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charts/chart10.xml" ContentType="application/vnd.openxmlformats-officedocument.drawingml.chart+xml"/>
  <Override PartName="/word/drawings/drawing7.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9.xml" ContentType="application/vnd.openxmlformats-officedocument.drawingml.chartshapes+xml"/>
  <Override PartName="/word/charts/chart13.xml" ContentType="application/vnd.openxmlformats-officedocument.drawingml.chart+xml"/>
  <Override PartName="/word/theme/themeOverride6.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drawings/drawing11.xml" ContentType="application/vnd.openxmlformats-officedocument.drawingml.chartshapes+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D9F" w:rsidRDefault="00A26D9F">
      <w:bookmarkStart w:id="0" w:name="_Toc185342325"/>
      <w:bookmarkStart w:id="1" w:name="_Toc444605532"/>
      <w:bookmarkStart w:id="2" w:name="_Toc337117118"/>
    </w:p>
    <w:p w:rsidR="00794EF9" w:rsidRPr="00794EF9" w:rsidRDefault="00794EF9" w:rsidP="00794EF9">
      <w:pPr>
        <w:spacing w:after="160" w:line="360" w:lineRule="auto"/>
        <w:jc w:val="center"/>
        <w:rPr>
          <w:rFonts w:eastAsia="MS PGothic"/>
          <w:b/>
          <w:w w:val="110"/>
          <w:sz w:val="44"/>
          <w:szCs w:val="44"/>
          <w:lang w:eastAsia="ja-JP"/>
        </w:rPr>
      </w:pPr>
      <w:r>
        <w:rPr>
          <w:rFonts w:eastAsia="MS PGothic"/>
          <w:b/>
          <w:w w:val="110"/>
          <w:sz w:val="44"/>
          <w:szCs w:val="44"/>
          <w:lang w:val="sr-Latn-RS" w:eastAsia="ja-JP"/>
        </w:rPr>
        <w:t>ECONOMIC REFORM PROGRAMME</w:t>
      </w:r>
      <w:r>
        <w:rPr>
          <w:rFonts w:eastAsia="MS PGothic"/>
          <w:b/>
          <w:w w:val="110"/>
          <w:sz w:val="44"/>
          <w:szCs w:val="44"/>
          <w:lang w:val="sr-Cyrl-RS" w:eastAsia="ja-JP"/>
        </w:rPr>
        <w:t xml:space="preserve"> FOR THE PERIOD</w:t>
      </w:r>
      <w:r w:rsidRPr="00A6164C">
        <w:rPr>
          <w:rFonts w:eastAsia="MS PGothic"/>
          <w:b/>
          <w:w w:val="110"/>
          <w:sz w:val="44"/>
          <w:szCs w:val="44"/>
          <w:lang w:val="sr-Cyrl-RS" w:eastAsia="ja-JP"/>
        </w:rPr>
        <w:t xml:space="preserve"> 202</w:t>
      </w:r>
      <w:r>
        <w:rPr>
          <w:rFonts w:eastAsia="MS PGothic"/>
          <w:b/>
          <w:w w:val="110"/>
          <w:sz w:val="44"/>
          <w:szCs w:val="44"/>
          <w:lang w:eastAsia="ja-JP"/>
        </w:rPr>
        <w:t xml:space="preserve">6 </w:t>
      </w:r>
      <w:r>
        <w:rPr>
          <w:rFonts w:eastAsia="MS PGothic"/>
          <w:b/>
          <w:w w:val="110"/>
          <w:sz w:val="44"/>
          <w:szCs w:val="44"/>
          <w:lang w:val="sr-Cyrl-RS" w:eastAsia="ja-JP"/>
        </w:rPr>
        <w:t xml:space="preserve">- </w:t>
      </w:r>
      <w:r w:rsidRPr="00A6164C">
        <w:rPr>
          <w:rFonts w:eastAsia="MS PGothic"/>
          <w:b/>
          <w:w w:val="110"/>
          <w:sz w:val="44"/>
          <w:szCs w:val="44"/>
          <w:lang w:val="sr-Cyrl-RS" w:eastAsia="ja-JP"/>
        </w:rPr>
        <w:t>202</w:t>
      </w:r>
      <w:r>
        <w:rPr>
          <w:rFonts w:eastAsia="MS PGothic"/>
          <w:b/>
          <w:w w:val="110"/>
          <w:sz w:val="44"/>
          <w:szCs w:val="44"/>
          <w:lang w:eastAsia="ja-JP"/>
        </w:rPr>
        <w:t>8</w:t>
      </w:r>
    </w:p>
    <w:p w:rsidR="00794EF9" w:rsidRPr="00A6164C"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4D7A50" w:rsidP="004D7A50">
      <w:pPr>
        <w:tabs>
          <w:tab w:val="left" w:pos="5890"/>
        </w:tabs>
        <w:spacing w:after="160" w:line="259" w:lineRule="auto"/>
        <w:rPr>
          <w:rFonts w:eastAsia="MS PGothic"/>
          <w:b/>
          <w:w w:val="110"/>
          <w:sz w:val="26"/>
          <w:szCs w:val="26"/>
          <w:lang w:val="sr-Cyrl-RS" w:eastAsia="ja-JP"/>
        </w:rPr>
      </w:pPr>
      <w:r>
        <w:rPr>
          <w:rFonts w:eastAsia="MS PGothic"/>
          <w:b/>
          <w:w w:val="110"/>
          <w:sz w:val="26"/>
          <w:szCs w:val="26"/>
          <w:lang w:val="sr-Cyrl-RS" w:eastAsia="ja-JP"/>
        </w:rPr>
        <w:tab/>
      </w: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794EF9" w:rsidRDefault="00794EF9" w:rsidP="00794EF9">
      <w:pPr>
        <w:spacing w:after="160" w:line="259" w:lineRule="auto"/>
        <w:rPr>
          <w:rFonts w:eastAsia="MS PGothic"/>
          <w:b/>
          <w:w w:val="110"/>
          <w:sz w:val="26"/>
          <w:szCs w:val="26"/>
          <w:lang w:val="sr-Cyrl-RS" w:eastAsia="ja-JP"/>
        </w:rPr>
      </w:pPr>
    </w:p>
    <w:p w:rsidR="00AB6D4C" w:rsidRPr="00794EF9" w:rsidRDefault="00794EF9" w:rsidP="00794EF9">
      <w:pPr>
        <w:spacing w:after="160" w:line="259" w:lineRule="auto"/>
        <w:jc w:val="center"/>
        <w:rPr>
          <w:rFonts w:cs="Times New Roman"/>
          <w:b/>
          <w:szCs w:val="24"/>
        </w:rPr>
      </w:pPr>
      <w:r>
        <w:rPr>
          <w:rFonts w:eastAsia="MS PGothic"/>
          <w:b/>
          <w:w w:val="110"/>
          <w:lang w:val="sr-Latn-RS" w:eastAsia="ja-JP"/>
        </w:rPr>
        <w:t>Belgrade</w:t>
      </w:r>
      <w:r>
        <w:rPr>
          <w:rFonts w:eastAsia="MS PGothic"/>
          <w:b/>
          <w:w w:val="110"/>
          <w:lang w:val="sr-Cyrl-RS" w:eastAsia="ja-JP"/>
        </w:rPr>
        <w:t xml:space="preserve">, </w:t>
      </w:r>
      <w:r>
        <w:rPr>
          <w:rFonts w:eastAsia="MS PGothic"/>
          <w:b/>
          <w:w w:val="110"/>
          <w:lang w:eastAsia="ja-JP"/>
        </w:rPr>
        <w:t>December</w:t>
      </w:r>
      <w:r>
        <w:rPr>
          <w:rFonts w:eastAsia="MS PGothic"/>
          <w:b/>
          <w:w w:val="110"/>
          <w:lang w:val="sr-Cyrl-RS" w:eastAsia="ja-JP"/>
        </w:rPr>
        <w:t xml:space="preserve"> 202</w:t>
      </w:r>
      <w:r>
        <w:rPr>
          <w:rFonts w:eastAsia="MS PGothic"/>
          <w:b/>
          <w:w w:val="110"/>
          <w:lang w:eastAsia="ja-JP"/>
        </w:rPr>
        <w:t>5</w:t>
      </w:r>
    </w:p>
    <w:p w:rsidR="00AB6D4C" w:rsidRDefault="00AB6D4C" w:rsidP="00AB6D4C">
      <w:pPr>
        <w:rPr>
          <w:lang w:val="sr-Latn-RS"/>
        </w:rPr>
      </w:pPr>
      <w:r>
        <w:rPr>
          <w:lang w:val="sr-Latn-RS"/>
        </w:rPr>
        <w:br w:type="page"/>
      </w:r>
    </w:p>
    <w:sdt>
      <w:sdtPr>
        <w:rPr>
          <w:rFonts w:ascii="Times New Roman" w:eastAsiaTheme="minorHAnsi" w:hAnsi="Times New Roman" w:cstheme="minorBidi"/>
          <w:color w:val="auto"/>
          <w:sz w:val="16"/>
          <w:szCs w:val="16"/>
          <w:lang w:eastAsia="en-US"/>
        </w:rPr>
        <w:id w:val="-1989387460"/>
        <w:docPartObj>
          <w:docPartGallery w:val="Table of Contents"/>
          <w:docPartUnique/>
        </w:docPartObj>
      </w:sdtPr>
      <w:sdtEndPr>
        <w:rPr>
          <w:b/>
          <w:bCs/>
          <w:noProof/>
        </w:rPr>
      </w:sdtEndPr>
      <w:sdtContent>
        <w:p w:rsidR="004D7A50" w:rsidRDefault="004D7A50" w:rsidP="00AB6D4C">
          <w:pPr>
            <w:pStyle w:val="TOCHeading"/>
            <w:jc w:val="center"/>
            <w:rPr>
              <w:rFonts w:ascii="Times New Roman" w:eastAsiaTheme="minorHAnsi" w:hAnsi="Times New Roman" w:cstheme="minorBidi"/>
              <w:color w:val="auto"/>
              <w:sz w:val="16"/>
              <w:szCs w:val="16"/>
              <w:lang w:eastAsia="en-US"/>
            </w:rPr>
          </w:pPr>
        </w:p>
        <w:p w:rsidR="004D7A50" w:rsidRDefault="004D7A50" w:rsidP="00AB6D4C">
          <w:pPr>
            <w:pStyle w:val="TOCHeading"/>
            <w:jc w:val="center"/>
            <w:rPr>
              <w:rFonts w:ascii="Times New Roman" w:eastAsiaTheme="minorHAnsi" w:hAnsi="Times New Roman" w:cstheme="minorBidi"/>
              <w:color w:val="auto"/>
              <w:sz w:val="16"/>
              <w:szCs w:val="16"/>
              <w:lang w:eastAsia="en-US"/>
            </w:rPr>
          </w:pPr>
        </w:p>
        <w:p w:rsidR="004D7A50" w:rsidRDefault="004D7A50" w:rsidP="00AB6D4C">
          <w:pPr>
            <w:pStyle w:val="TOCHeading"/>
            <w:jc w:val="center"/>
            <w:rPr>
              <w:rFonts w:ascii="Times New Roman" w:eastAsiaTheme="minorHAnsi" w:hAnsi="Times New Roman" w:cstheme="minorBidi"/>
              <w:color w:val="auto"/>
              <w:sz w:val="16"/>
              <w:szCs w:val="16"/>
              <w:lang w:eastAsia="en-US"/>
            </w:rPr>
          </w:pPr>
        </w:p>
        <w:p w:rsidR="00AB6D4C" w:rsidRPr="00794EF9" w:rsidRDefault="00AB6D4C" w:rsidP="00AB6D4C">
          <w:pPr>
            <w:pStyle w:val="TOCHeading"/>
            <w:jc w:val="center"/>
            <w:rPr>
              <w:rFonts w:ascii="Times New Roman" w:hAnsi="Times New Roman" w:cs="Times New Roman"/>
              <w:b/>
              <w:color w:val="auto"/>
            </w:rPr>
          </w:pPr>
          <w:r w:rsidRPr="00794EF9">
            <w:rPr>
              <w:rFonts w:ascii="Times New Roman" w:hAnsi="Times New Roman" w:cs="Times New Roman"/>
              <w:b/>
              <w:color w:val="auto"/>
            </w:rPr>
            <w:t>Contents</w:t>
          </w:r>
        </w:p>
        <w:p w:rsidR="00AB6D4C" w:rsidRPr="00794EF9" w:rsidRDefault="00AB6D4C" w:rsidP="00AB6D4C">
          <w:pPr>
            <w:rPr>
              <w:sz w:val="16"/>
              <w:szCs w:val="16"/>
              <w:lang w:eastAsia="ja-JP"/>
            </w:rPr>
          </w:pPr>
        </w:p>
        <w:p w:rsidR="00AB6D4C" w:rsidRPr="00794EF9" w:rsidRDefault="00AB6D4C" w:rsidP="00AB6D4C">
          <w:pPr>
            <w:rPr>
              <w:sz w:val="16"/>
              <w:szCs w:val="16"/>
              <w:lang w:eastAsia="ja-JP"/>
            </w:rPr>
          </w:pPr>
        </w:p>
        <w:p w:rsidR="00AB6D4C" w:rsidRPr="00794EF9" w:rsidRDefault="00AB6D4C" w:rsidP="00AB6D4C">
          <w:pPr>
            <w:rPr>
              <w:sz w:val="16"/>
              <w:szCs w:val="16"/>
              <w:lang w:eastAsia="ja-JP"/>
            </w:rPr>
          </w:pPr>
        </w:p>
        <w:p w:rsidR="00AB6D4C" w:rsidRPr="00794EF9" w:rsidRDefault="00AB6D4C" w:rsidP="00AB6D4C">
          <w:pPr>
            <w:rPr>
              <w:sz w:val="16"/>
              <w:szCs w:val="16"/>
              <w:lang w:eastAsia="ja-JP"/>
            </w:rPr>
          </w:pPr>
        </w:p>
        <w:p w:rsidR="0077464B" w:rsidRPr="0077464B" w:rsidRDefault="00AB6D4C">
          <w:pPr>
            <w:pStyle w:val="TOC1"/>
            <w:rPr>
              <w:rFonts w:asciiTheme="minorHAnsi" w:eastAsiaTheme="minorEastAsia" w:hAnsiTheme="minorHAnsi"/>
              <w:kern w:val="0"/>
              <w:sz w:val="16"/>
              <w:szCs w:val="16"/>
              <w:lang w:eastAsia="en-US"/>
            </w:rPr>
          </w:pPr>
          <w:r w:rsidRPr="004D7A50">
            <w:rPr>
              <w:sz w:val="16"/>
              <w:szCs w:val="16"/>
            </w:rPr>
            <w:fldChar w:fldCharType="begin"/>
          </w:r>
          <w:r w:rsidRPr="004D7A50">
            <w:rPr>
              <w:sz w:val="16"/>
              <w:szCs w:val="16"/>
            </w:rPr>
            <w:instrText xml:space="preserve"> TOC \o "1-3" \h \z \u </w:instrText>
          </w:r>
          <w:r w:rsidRPr="004D7A50">
            <w:rPr>
              <w:sz w:val="16"/>
              <w:szCs w:val="16"/>
            </w:rPr>
            <w:fldChar w:fldCharType="separate"/>
          </w:r>
          <w:hyperlink w:anchor="_Toc221106866" w:history="1">
            <w:r w:rsidR="0077464B" w:rsidRPr="0077464B">
              <w:rPr>
                <w:rStyle w:val="Hyperlink"/>
                <w:rFonts w:eastAsiaTheme="minorHAnsi" w:cs="Times New Roman"/>
                <w:b/>
                <w:sz w:val="16"/>
                <w:szCs w:val="16"/>
                <w:lang w:val="sr-Latn-RS"/>
              </w:rPr>
              <w:t>1. GENERAL FRAMEWORK AND MAIN OBJECTIVES AND GUIDELINES OF ECONOMIC POLICY</w:t>
            </w:r>
            <w:r w:rsidR="0077464B" w:rsidRPr="0077464B">
              <w:rPr>
                <w:webHidden/>
                <w:sz w:val="16"/>
                <w:szCs w:val="16"/>
              </w:rPr>
              <w:tab/>
            </w:r>
            <w:r w:rsidR="0077464B" w:rsidRPr="0077464B">
              <w:rPr>
                <w:webHidden/>
                <w:sz w:val="16"/>
                <w:szCs w:val="16"/>
              </w:rPr>
              <w:fldChar w:fldCharType="begin"/>
            </w:r>
            <w:r w:rsidR="0077464B" w:rsidRPr="0077464B">
              <w:rPr>
                <w:webHidden/>
                <w:sz w:val="16"/>
                <w:szCs w:val="16"/>
              </w:rPr>
              <w:instrText xml:space="preserve"> PAGEREF _Toc221106866 \h </w:instrText>
            </w:r>
            <w:r w:rsidR="0077464B" w:rsidRPr="0077464B">
              <w:rPr>
                <w:webHidden/>
                <w:sz w:val="16"/>
                <w:szCs w:val="16"/>
              </w:rPr>
            </w:r>
            <w:r w:rsidR="0077464B" w:rsidRPr="0077464B">
              <w:rPr>
                <w:webHidden/>
                <w:sz w:val="16"/>
                <w:szCs w:val="16"/>
              </w:rPr>
              <w:fldChar w:fldCharType="separate"/>
            </w:r>
            <w:r w:rsidR="0077464B">
              <w:rPr>
                <w:webHidden/>
                <w:sz w:val="16"/>
                <w:szCs w:val="16"/>
              </w:rPr>
              <w:t>3</w:t>
            </w:r>
            <w:r w:rsidR="0077464B"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67" w:history="1">
            <w:r w:rsidRPr="0077464B">
              <w:rPr>
                <w:rStyle w:val="Hyperlink"/>
                <w:rFonts w:eastAsiaTheme="majorEastAsia" w:cs="Times New Roman"/>
                <w:b/>
                <w:sz w:val="16"/>
                <w:szCs w:val="16"/>
                <w:lang w:val="en-GB"/>
              </w:rPr>
              <w:t>2. IMPLEMENTATION OF POLICY GUIDANCE</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_Toc221106867 \h </w:instrText>
            </w:r>
            <w:r w:rsidRPr="0077464B">
              <w:rPr>
                <w:webHidden/>
                <w:sz w:val="16"/>
                <w:szCs w:val="16"/>
              </w:rPr>
            </w:r>
            <w:r w:rsidRPr="0077464B">
              <w:rPr>
                <w:webHidden/>
                <w:sz w:val="16"/>
                <w:szCs w:val="16"/>
              </w:rPr>
              <w:fldChar w:fldCharType="separate"/>
            </w:r>
            <w:r>
              <w:rPr>
                <w:webHidden/>
                <w:sz w:val="16"/>
                <w:szCs w:val="16"/>
              </w:rPr>
              <w:t>4</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68" w:history="1">
            <w:r w:rsidRPr="0077464B">
              <w:rPr>
                <w:rStyle w:val="Hyperlink"/>
                <w:rFonts w:cs="Times New Roman"/>
                <w:sz w:val="16"/>
                <w:szCs w:val="16"/>
                <w:lang w:val="sr-Latn-RS"/>
              </w:rPr>
              <w:t>3.1. ESTIMATES OF THE INTERNATIONAL ECONOMIC ENVIRONMENT</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_Toc221106868 \h </w:instrText>
            </w:r>
            <w:r w:rsidRPr="0077464B">
              <w:rPr>
                <w:webHidden/>
                <w:sz w:val="16"/>
                <w:szCs w:val="16"/>
              </w:rPr>
            </w:r>
            <w:r w:rsidRPr="0077464B">
              <w:rPr>
                <w:webHidden/>
                <w:sz w:val="16"/>
                <w:szCs w:val="16"/>
              </w:rPr>
              <w:fldChar w:fldCharType="separate"/>
            </w:r>
            <w:r>
              <w:rPr>
                <w:webHidden/>
                <w:sz w:val="16"/>
                <w:szCs w:val="16"/>
              </w:rPr>
              <w:t>9</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69" w:history="1">
            <w:r w:rsidRPr="0077464B">
              <w:rPr>
                <w:rStyle w:val="Hyperlink"/>
                <w:rFonts w:cs="Times New Roman"/>
                <w:sz w:val="16"/>
                <w:szCs w:val="16"/>
                <w:lang w:val="sr-Latn-RS"/>
              </w:rPr>
              <w:t>3.2. CURRENT ECONOMIC TRENDS AND OUTLOOK FOR 202</w:t>
            </w:r>
            <w:r w:rsidRPr="0077464B">
              <w:rPr>
                <w:rStyle w:val="Hyperlink"/>
                <w:rFonts w:cs="Times New Roman"/>
                <w:sz w:val="16"/>
                <w:szCs w:val="16"/>
                <w:lang w:val="sr-Cyrl-RS"/>
              </w:rPr>
              <w:t>5</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_Toc221106869 \h </w:instrText>
            </w:r>
            <w:r w:rsidRPr="0077464B">
              <w:rPr>
                <w:webHidden/>
                <w:sz w:val="16"/>
                <w:szCs w:val="16"/>
              </w:rPr>
            </w:r>
            <w:r w:rsidRPr="0077464B">
              <w:rPr>
                <w:webHidden/>
                <w:sz w:val="16"/>
                <w:szCs w:val="16"/>
              </w:rPr>
              <w:fldChar w:fldCharType="separate"/>
            </w:r>
            <w:r>
              <w:rPr>
                <w:webHidden/>
                <w:sz w:val="16"/>
                <w:szCs w:val="16"/>
              </w:rPr>
              <w:t>11</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0" w:history="1">
            <w:r w:rsidRPr="0077464B">
              <w:rPr>
                <w:rStyle w:val="Hyperlink"/>
                <w:rFonts w:cs="Times New Roman"/>
                <w:sz w:val="16"/>
                <w:szCs w:val="16"/>
                <w:lang w:val="sr-Latn-RS"/>
              </w:rPr>
              <w:t>3.3. MEDIUM-TERM MACROECONOMIC SCENARIO</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_Toc221106870 \h </w:instrText>
            </w:r>
            <w:r w:rsidRPr="0077464B">
              <w:rPr>
                <w:webHidden/>
                <w:sz w:val="16"/>
                <w:szCs w:val="16"/>
              </w:rPr>
            </w:r>
            <w:r w:rsidRPr="0077464B">
              <w:rPr>
                <w:webHidden/>
                <w:sz w:val="16"/>
                <w:szCs w:val="16"/>
              </w:rPr>
              <w:fldChar w:fldCharType="separate"/>
            </w:r>
            <w:r>
              <w:rPr>
                <w:webHidden/>
                <w:sz w:val="16"/>
                <w:szCs w:val="16"/>
              </w:rPr>
              <w:t>20</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1" w:history="1">
            <w:r w:rsidRPr="0077464B">
              <w:rPr>
                <w:rStyle w:val="Hyperlink"/>
                <w:rFonts w:cs="Times New Roman"/>
                <w:sz w:val="16"/>
                <w:szCs w:val="16"/>
                <w:lang w:val="sr-Latn-RS"/>
              </w:rPr>
              <w:t>3.4. ALTERNATIVE SCENARIO AND RISKS</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_Toc221106871 \h </w:instrText>
            </w:r>
            <w:r w:rsidRPr="0077464B">
              <w:rPr>
                <w:webHidden/>
                <w:sz w:val="16"/>
                <w:szCs w:val="16"/>
              </w:rPr>
            </w:r>
            <w:r w:rsidRPr="0077464B">
              <w:rPr>
                <w:webHidden/>
                <w:sz w:val="16"/>
                <w:szCs w:val="16"/>
              </w:rPr>
              <w:fldChar w:fldCharType="separate"/>
            </w:r>
            <w:r>
              <w:rPr>
                <w:webHidden/>
                <w:sz w:val="16"/>
                <w:szCs w:val="16"/>
              </w:rPr>
              <w:t>27</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2" w:history="1">
            <w:r w:rsidRPr="0077464B">
              <w:rPr>
                <w:rStyle w:val="Hyperlink"/>
                <w:rFonts w:eastAsiaTheme="minorHAnsi" w:cs="Times New Roman"/>
                <w:b/>
                <w:sz w:val="16"/>
                <w:szCs w:val="16"/>
                <w:lang w:val="sr-Latn-RS"/>
              </w:rPr>
              <w:t>4. FISCAL FRAMEWORK FOR THE PERIOD 2026–2028</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_Toc221106872 \h </w:instrText>
            </w:r>
            <w:r w:rsidRPr="0077464B">
              <w:rPr>
                <w:webHidden/>
                <w:sz w:val="16"/>
                <w:szCs w:val="16"/>
              </w:rPr>
            </w:r>
            <w:r w:rsidRPr="0077464B">
              <w:rPr>
                <w:webHidden/>
                <w:sz w:val="16"/>
                <w:szCs w:val="16"/>
              </w:rPr>
              <w:fldChar w:fldCharType="separate"/>
            </w:r>
            <w:r>
              <w:rPr>
                <w:webHidden/>
                <w:sz w:val="16"/>
                <w:szCs w:val="16"/>
              </w:rPr>
              <w:t>30</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3" w:history="1">
            <w:r w:rsidRPr="0077464B">
              <w:rPr>
                <w:rStyle w:val="Hyperlink"/>
                <w:rFonts w:cs="Times New Roman"/>
                <w:sz w:val="16"/>
                <w:szCs w:val="16"/>
                <w:lang w:val="sr-Latn-RS"/>
              </w:rPr>
              <w:t>4.1.</w:t>
            </w:r>
            <w:r w:rsidRPr="0077464B">
              <w:rPr>
                <w:rStyle w:val="Hyperlink"/>
                <w:rFonts w:cs="Times New Roman"/>
                <w:sz w:val="16"/>
                <w:szCs w:val="16"/>
                <w:lang w:val="sr-Cyrl-RS"/>
              </w:rPr>
              <w:t xml:space="preserve"> </w:t>
            </w:r>
            <w:r w:rsidRPr="0077464B">
              <w:rPr>
                <w:rStyle w:val="Hyperlink"/>
                <w:rFonts w:cs="Times New Roman"/>
                <w:sz w:val="16"/>
                <w:szCs w:val="16"/>
                <w:lang w:val="sr-Latn-RS"/>
              </w:rPr>
              <w:t>MEDIUM-TERM FISCAL POLICY OBJECTIVES</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_Toc221106873 \h </w:instrText>
            </w:r>
            <w:r w:rsidRPr="0077464B">
              <w:rPr>
                <w:webHidden/>
                <w:sz w:val="16"/>
                <w:szCs w:val="16"/>
              </w:rPr>
            </w:r>
            <w:r w:rsidRPr="0077464B">
              <w:rPr>
                <w:webHidden/>
                <w:sz w:val="16"/>
                <w:szCs w:val="16"/>
              </w:rPr>
              <w:fldChar w:fldCharType="separate"/>
            </w:r>
            <w:r>
              <w:rPr>
                <w:webHidden/>
                <w:sz w:val="16"/>
                <w:szCs w:val="16"/>
              </w:rPr>
              <w:t>30</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4" w:history="1">
            <w:r w:rsidRPr="0077464B">
              <w:rPr>
                <w:rStyle w:val="Hyperlink"/>
                <w:rFonts w:cs="Times New Roman"/>
                <w:sz w:val="16"/>
                <w:szCs w:val="16"/>
                <w:lang w:val="sr-Latn-RS"/>
              </w:rPr>
              <w:t>4.2. BUDGET EXECUTION IN 2025</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_Toc221106874 \h </w:instrText>
            </w:r>
            <w:r w:rsidRPr="0077464B">
              <w:rPr>
                <w:webHidden/>
                <w:sz w:val="16"/>
                <w:szCs w:val="16"/>
              </w:rPr>
            </w:r>
            <w:r w:rsidRPr="0077464B">
              <w:rPr>
                <w:webHidden/>
                <w:sz w:val="16"/>
                <w:szCs w:val="16"/>
              </w:rPr>
              <w:fldChar w:fldCharType="separate"/>
            </w:r>
            <w:r>
              <w:rPr>
                <w:webHidden/>
                <w:sz w:val="16"/>
                <w:szCs w:val="16"/>
              </w:rPr>
              <w:t>31</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5" w:history="1">
            <w:r w:rsidRPr="0077464B">
              <w:rPr>
                <w:rStyle w:val="Hyperlink"/>
                <w:rFonts w:cs="Times New Roman"/>
                <w:sz w:val="16"/>
                <w:szCs w:val="16"/>
                <w:lang w:val="sr-Latn-RS"/>
              </w:rPr>
              <w:t>4.3. FISCAL PROJECTIONS IN THE PERIOD 2026–2028</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_Toc221106875 \h </w:instrText>
            </w:r>
            <w:r w:rsidRPr="0077464B">
              <w:rPr>
                <w:webHidden/>
                <w:sz w:val="16"/>
                <w:szCs w:val="16"/>
              </w:rPr>
            </w:r>
            <w:r w:rsidRPr="0077464B">
              <w:rPr>
                <w:webHidden/>
                <w:sz w:val="16"/>
                <w:szCs w:val="16"/>
              </w:rPr>
              <w:fldChar w:fldCharType="separate"/>
            </w:r>
            <w:r>
              <w:rPr>
                <w:webHidden/>
                <w:sz w:val="16"/>
                <w:szCs w:val="16"/>
              </w:rPr>
              <w:t>40</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6" w:history="1">
            <w:r w:rsidRPr="0077464B">
              <w:rPr>
                <w:rStyle w:val="Hyperlink"/>
                <w:rFonts w:cs="Times New Roman"/>
                <w:sz w:val="16"/>
                <w:szCs w:val="16"/>
                <w:lang w:val="sr-Latn-RS"/>
              </w:rPr>
              <w:t>4.4. CYCLICALLY ADJUSTED AND STRUCTURAL FISCAL BALANCE</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_Toc221106876 \h </w:instrText>
            </w:r>
            <w:r w:rsidRPr="0077464B">
              <w:rPr>
                <w:webHidden/>
                <w:sz w:val="16"/>
                <w:szCs w:val="16"/>
              </w:rPr>
            </w:r>
            <w:r w:rsidRPr="0077464B">
              <w:rPr>
                <w:webHidden/>
                <w:sz w:val="16"/>
                <w:szCs w:val="16"/>
              </w:rPr>
              <w:fldChar w:fldCharType="separate"/>
            </w:r>
            <w:r>
              <w:rPr>
                <w:webHidden/>
                <w:sz w:val="16"/>
                <w:szCs w:val="16"/>
              </w:rPr>
              <w:t>46</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7" w:history="1">
            <w:r w:rsidRPr="0077464B">
              <w:rPr>
                <w:rStyle w:val="Hyperlink"/>
                <w:rFonts w:cs="Times New Roman"/>
                <w:sz w:val="16"/>
                <w:szCs w:val="16"/>
                <w:lang w:val="sr-Latn-RS"/>
              </w:rPr>
              <w:t>4.5. PUBLIC DEBT MANAGEMENT</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_Toc221106877 \h </w:instrText>
            </w:r>
            <w:r w:rsidRPr="0077464B">
              <w:rPr>
                <w:webHidden/>
                <w:sz w:val="16"/>
                <w:szCs w:val="16"/>
              </w:rPr>
            </w:r>
            <w:r w:rsidRPr="0077464B">
              <w:rPr>
                <w:webHidden/>
                <w:sz w:val="16"/>
                <w:szCs w:val="16"/>
              </w:rPr>
              <w:fldChar w:fldCharType="separate"/>
            </w:r>
            <w:r>
              <w:rPr>
                <w:webHidden/>
                <w:sz w:val="16"/>
                <w:szCs w:val="16"/>
              </w:rPr>
              <w:t>50</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8" w:history="1">
            <w:r w:rsidRPr="0077464B">
              <w:rPr>
                <w:rStyle w:val="Hyperlink"/>
                <w:rFonts w:cs="Times New Roman"/>
                <w:sz w:val="16"/>
                <w:szCs w:val="16"/>
                <w:lang w:val="sr-Latn-RS"/>
              </w:rPr>
              <w:t>4.6. SENSITIVITY ANALYSIS AND COMPARISON WITH THE PREVIOUS PROGRAM</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_Toc221106878 \h </w:instrText>
            </w:r>
            <w:r w:rsidRPr="0077464B">
              <w:rPr>
                <w:webHidden/>
                <w:sz w:val="16"/>
                <w:szCs w:val="16"/>
              </w:rPr>
            </w:r>
            <w:r w:rsidRPr="0077464B">
              <w:rPr>
                <w:webHidden/>
                <w:sz w:val="16"/>
                <w:szCs w:val="16"/>
              </w:rPr>
              <w:fldChar w:fldCharType="separate"/>
            </w:r>
            <w:r>
              <w:rPr>
                <w:webHidden/>
                <w:sz w:val="16"/>
                <w:szCs w:val="16"/>
              </w:rPr>
              <w:t>52</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79" w:history="1">
            <w:r w:rsidRPr="0077464B">
              <w:rPr>
                <w:rStyle w:val="Hyperlink"/>
                <w:rFonts w:cs="Times New Roman"/>
                <w:sz w:val="16"/>
                <w:szCs w:val="16"/>
                <w:lang w:val="sr-Latn-RS"/>
              </w:rPr>
              <w:t>4.7. QUALITY OF PUBLIC FINANCES</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_Toc221106879 \h </w:instrText>
            </w:r>
            <w:r w:rsidRPr="0077464B">
              <w:rPr>
                <w:webHidden/>
                <w:sz w:val="16"/>
                <w:szCs w:val="16"/>
              </w:rPr>
            </w:r>
            <w:r w:rsidRPr="0077464B">
              <w:rPr>
                <w:webHidden/>
                <w:sz w:val="16"/>
                <w:szCs w:val="16"/>
              </w:rPr>
              <w:fldChar w:fldCharType="separate"/>
            </w:r>
            <w:r>
              <w:rPr>
                <w:webHidden/>
                <w:sz w:val="16"/>
                <w:szCs w:val="16"/>
              </w:rPr>
              <w:t>63</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80" w:history="1">
            <w:r w:rsidRPr="0077464B">
              <w:rPr>
                <w:rStyle w:val="Hyperlink"/>
                <w:rFonts w:cs="Times New Roman"/>
                <w:sz w:val="16"/>
                <w:szCs w:val="16"/>
                <w:lang w:val="sr-Latn-RS"/>
              </w:rPr>
              <w:t>4.8. FISCAL GOVERNANCE AND BUDGETARY FRAMEWORKS</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_Toc221106880 \h </w:instrText>
            </w:r>
            <w:r w:rsidRPr="0077464B">
              <w:rPr>
                <w:webHidden/>
                <w:sz w:val="16"/>
                <w:szCs w:val="16"/>
              </w:rPr>
            </w:r>
            <w:r w:rsidRPr="0077464B">
              <w:rPr>
                <w:webHidden/>
                <w:sz w:val="16"/>
                <w:szCs w:val="16"/>
              </w:rPr>
              <w:fldChar w:fldCharType="separate"/>
            </w:r>
            <w:r>
              <w:rPr>
                <w:webHidden/>
                <w:sz w:val="16"/>
                <w:szCs w:val="16"/>
              </w:rPr>
              <w:t>68</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81" w:history="1">
            <w:r w:rsidRPr="0077464B">
              <w:rPr>
                <w:rStyle w:val="Hyperlink"/>
                <w:rFonts w:cs="Times New Roman"/>
                <w:sz w:val="16"/>
                <w:szCs w:val="16"/>
                <w:lang w:val="sr-Latn-RS"/>
              </w:rPr>
              <w:t>4.9 SUSTAINABILITY OF PUBLIC FINANCES</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_Toc221106881 \h </w:instrText>
            </w:r>
            <w:r w:rsidRPr="0077464B">
              <w:rPr>
                <w:webHidden/>
                <w:sz w:val="16"/>
                <w:szCs w:val="16"/>
              </w:rPr>
            </w:r>
            <w:r w:rsidRPr="0077464B">
              <w:rPr>
                <w:webHidden/>
                <w:sz w:val="16"/>
                <w:szCs w:val="16"/>
              </w:rPr>
              <w:fldChar w:fldCharType="separate"/>
            </w:r>
            <w:r>
              <w:rPr>
                <w:webHidden/>
                <w:sz w:val="16"/>
                <w:szCs w:val="16"/>
              </w:rPr>
              <w:t>70</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82" w:history="1">
            <w:r w:rsidRPr="0077464B">
              <w:rPr>
                <w:rStyle w:val="Hyperlink"/>
                <w:rFonts w:eastAsiaTheme="minorHAnsi" w:cs="Times New Roman"/>
                <w:b/>
                <w:sz w:val="16"/>
                <w:szCs w:val="16"/>
                <w:lang w:val="sr-Latn-RS"/>
              </w:rPr>
              <w:t>5A. COMPLIANCE OF THE REFORM AGENDA WITH THE MACROFISCAL FRAMEWORK OF THE ERP</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_Toc221106882 \h </w:instrText>
            </w:r>
            <w:r w:rsidRPr="0077464B">
              <w:rPr>
                <w:webHidden/>
                <w:sz w:val="16"/>
                <w:szCs w:val="16"/>
              </w:rPr>
            </w:r>
            <w:r w:rsidRPr="0077464B">
              <w:rPr>
                <w:webHidden/>
                <w:sz w:val="16"/>
                <w:szCs w:val="16"/>
              </w:rPr>
              <w:fldChar w:fldCharType="separate"/>
            </w:r>
            <w:r>
              <w:rPr>
                <w:webHidden/>
                <w:sz w:val="16"/>
                <w:szCs w:val="16"/>
              </w:rPr>
              <w:t>71</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83" w:history="1">
            <w:r w:rsidRPr="0077464B">
              <w:rPr>
                <w:rStyle w:val="Hyperlink"/>
                <w:rFonts w:eastAsiaTheme="minorHAnsi" w:cs="Times New Roman"/>
                <w:b/>
                <w:sz w:val="16"/>
                <w:szCs w:val="16"/>
                <w:lang w:val="sr-Latn-RS"/>
              </w:rPr>
              <w:t>6. INSTITUTIONAL MATTERS AND STAKEHOLDER ENGAGEMENT</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_Toc221106883 \h </w:instrText>
            </w:r>
            <w:r w:rsidRPr="0077464B">
              <w:rPr>
                <w:webHidden/>
                <w:sz w:val="16"/>
                <w:szCs w:val="16"/>
              </w:rPr>
            </w:r>
            <w:r w:rsidRPr="0077464B">
              <w:rPr>
                <w:webHidden/>
                <w:sz w:val="16"/>
                <w:szCs w:val="16"/>
              </w:rPr>
              <w:fldChar w:fldCharType="separate"/>
            </w:r>
            <w:r>
              <w:rPr>
                <w:webHidden/>
                <w:sz w:val="16"/>
                <w:szCs w:val="16"/>
              </w:rPr>
              <w:t>78</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884" w:history="1">
            <w:r w:rsidRPr="0077464B">
              <w:rPr>
                <w:rStyle w:val="Hyperlink"/>
                <w:rFonts w:cs="Times New Roman"/>
                <w:b/>
                <w:sz w:val="16"/>
                <w:szCs w:val="16"/>
              </w:rPr>
              <w:t>ANNEX 1: TA</w:t>
            </w:r>
            <w:r w:rsidRPr="0077464B">
              <w:rPr>
                <w:rStyle w:val="Hyperlink"/>
                <w:rFonts w:cs="Times New Roman"/>
                <w:b/>
                <w:sz w:val="16"/>
                <w:szCs w:val="16"/>
              </w:rPr>
              <w:t>B</w:t>
            </w:r>
            <w:r w:rsidRPr="0077464B">
              <w:rPr>
                <w:rStyle w:val="Hyperlink"/>
                <w:rFonts w:cs="Times New Roman"/>
                <w:b/>
                <w:sz w:val="16"/>
                <w:szCs w:val="16"/>
              </w:rPr>
              <w:t>LES 1 - 8</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_Toc221106884 \h </w:instrText>
            </w:r>
            <w:r w:rsidRPr="0077464B">
              <w:rPr>
                <w:webHidden/>
                <w:sz w:val="16"/>
                <w:szCs w:val="16"/>
              </w:rPr>
            </w:r>
            <w:r w:rsidRPr="0077464B">
              <w:rPr>
                <w:webHidden/>
                <w:sz w:val="16"/>
                <w:szCs w:val="16"/>
              </w:rPr>
              <w:fldChar w:fldCharType="separate"/>
            </w:r>
            <w:r>
              <w:rPr>
                <w:webHidden/>
                <w:sz w:val="16"/>
                <w:szCs w:val="16"/>
              </w:rPr>
              <w:t>80</w:t>
            </w:r>
            <w:r w:rsidRPr="0077464B">
              <w:rPr>
                <w:webHidden/>
                <w:sz w:val="16"/>
                <w:szCs w:val="16"/>
              </w:rPr>
              <w:fldChar w:fldCharType="end"/>
            </w:r>
          </w:hyperlink>
        </w:p>
        <w:p w:rsidR="0077464B" w:rsidRPr="0077464B" w:rsidRDefault="0077464B">
          <w:pPr>
            <w:pStyle w:val="TOC1"/>
            <w:rPr>
              <w:rFonts w:asciiTheme="minorHAnsi" w:eastAsiaTheme="minorEastAsia" w:hAnsiTheme="minorHAnsi"/>
              <w:kern w:val="0"/>
              <w:sz w:val="16"/>
              <w:szCs w:val="16"/>
              <w:lang w:eastAsia="en-US"/>
            </w:rPr>
          </w:pPr>
          <w:hyperlink w:anchor="_Toc221106910" w:history="1">
            <w:r w:rsidRPr="0077464B">
              <w:rPr>
                <w:rStyle w:val="Hyperlink"/>
                <w:rFonts w:cs="Times New Roman"/>
                <w:b/>
                <w:sz w:val="16"/>
                <w:szCs w:val="16"/>
                <w:lang w:val="sr-Latn-RS"/>
              </w:rPr>
              <w:t>ANNEX 2: EXTERNAL CONTRI</w:t>
            </w:r>
            <w:r w:rsidRPr="0077464B">
              <w:rPr>
                <w:rStyle w:val="Hyperlink"/>
                <w:rFonts w:cs="Times New Roman"/>
                <w:b/>
                <w:sz w:val="16"/>
                <w:szCs w:val="16"/>
                <w:lang w:val="sr-Latn-RS"/>
              </w:rPr>
              <w:t>B</w:t>
            </w:r>
            <w:r w:rsidRPr="0077464B">
              <w:rPr>
                <w:rStyle w:val="Hyperlink"/>
                <w:rFonts w:cs="Times New Roman"/>
                <w:b/>
                <w:sz w:val="16"/>
                <w:szCs w:val="16"/>
                <w:lang w:val="sr-Latn-RS"/>
              </w:rPr>
              <w:t>UTIONS TO ERP 2026–2028</w:t>
            </w:r>
            <w:r w:rsidRPr="0077464B">
              <w:rPr>
                <w:webHidden/>
                <w:sz w:val="16"/>
                <w:szCs w:val="16"/>
              </w:rPr>
              <w:tab/>
            </w:r>
            <w:r w:rsidRPr="0077464B">
              <w:rPr>
                <w:webHidden/>
                <w:sz w:val="16"/>
                <w:szCs w:val="16"/>
              </w:rPr>
              <w:fldChar w:fldCharType="begin"/>
            </w:r>
            <w:r w:rsidRPr="0077464B">
              <w:rPr>
                <w:webHidden/>
                <w:sz w:val="16"/>
                <w:szCs w:val="16"/>
              </w:rPr>
              <w:instrText xml:space="preserve"> PAGEREF _Toc221106910 \h </w:instrText>
            </w:r>
            <w:r w:rsidRPr="0077464B">
              <w:rPr>
                <w:webHidden/>
                <w:sz w:val="16"/>
                <w:szCs w:val="16"/>
              </w:rPr>
            </w:r>
            <w:r w:rsidRPr="0077464B">
              <w:rPr>
                <w:webHidden/>
                <w:sz w:val="16"/>
                <w:szCs w:val="16"/>
              </w:rPr>
              <w:fldChar w:fldCharType="separate"/>
            </w:r>
            <w:r>
              <w:rPr>
                <w:webHidden/>
                <w:sz w:val="16"/>
                <w:szCs w:val="16"/>
              </w:rPr>
              <w:t>110</w:t>
            </w:r>
            <w:r w:rsidRPr="0077464B">
              <w:rPr>
                <w:webHidden/>
                <w:sz w:val="16"/>
                <w:szCs w:val="16"/>
              </w:rPr>
              <w:fldChar w:fldCharType="end"/>
            </w:r>
          </w:hyperlink>
        </w:p>
        <w:p w:rsidR="00AB6D4C" w:rsidRDefault="00AB6D4C" w:rsidP="00AB6D4C">
          <w:pPr>
            <w:rPr>
              <w:b/>
              <w:bCs/>
              <w:noProof/>
            </w:rPr>
          </w:pPr>
          <w:r w:rsidRPr="004D7A50">
            <w:rPr>
              <w:b/>
              <w:bCs/>
              <w:noProof/>
              <w:sz w:val="16"/>
              <w:szCs w:val="16"/>
            </w:rPr>
            <w:fldChar w:fldCharType="end"/>
          </w:r>
        </w:p>
      </w:sdtContent>
    </w:sdt>
    <w:p w:rsidR="00A26D9F" w:rsidRDefault="00A26D9F">
      <w:pPr>
        <w:spacing w:after="160" w:line="259" w:lineRule="auto"/>
        <w:jc w:val="left"/>
        <w:rPr>
          <w:rFonts w:cs="Times New Roman"/>
          <w:b/>
          <w:szCs w:val="24"/>
          <w:lang w:val="sr-Latn-RS"/>
        </w:rPr>
      </w:pPr>
      <w:r>
        <w:rPr>
          <w:rFonts w:cs="Times New Roman"/>
          <w:b/>
          <w:szCs w:val="24"/>
          <w:lang w:val="sr-Latn-RS"/>
        </w:rPr>
        <w:br w:type="page"/>
      </w:r>
      <w:bookmarkStart w:id="3" w:name="_GoBack"/>
      <w:bookmarkEnd w:id="3"/>
    </w:p>
    <w:p w:rsidR="006C04C7" w:rsidRPr="00002D92" w:rsidRDefault="006C04C7" w:rsidP="006C04C7">
      <w:pPr>
        <w:pStyle w:val="Heading1"/>
        <w:spacing w:before="0" w:after="240"/>
        <w:rPr>
          <w:rFonts w:ascii="Times New Roman" w:eastAsiaTheme="minorHAnsi" w:hAnsi="Times New Roman" w:cs="Times New Roman"/>
          <w:b/>
          <w:color w:val="auto"/>
          <w:sz w:val="24"/>
          <w:szCs w:val="24"/>
          <w:lang w:val="sr-Latn-RS"/>
        </w:rPr>
      </w:pPr>
      <w:bookmarkStart w:id="4" w:name="_Toc221106866"/>
      <w:r w:rsidRPr="00002D92">
        <w:rPr>
          <w:rFonts w:ascii="Times New Roman" w:eastAsiaTheme="minorHAnsi" w:hAnsi="Times New Roman" w:cs="Times New Roman"/>
          <w:b/>
          <w:color w:val="auto"/>
          <w:sz w:val="24"/>
          <w:szCs w:val="24"/>
          <w:lang w:val="sr-Latn-RS"/>
        </w:rPr>
        <w:lastRenderedPageBreak/>
        <w:t xml:space="preserve">1. </w:t>
      </w:r>
      <w:bookmarkEnd w:id="0"/>
      <w:r w:rsidR="005B0ABF">
        <w:rPr>
          <w:rFonts w:ascii="Times New Roman" w:eastAsiaTheme="minorHAnsi" w:hAnsi="Times New Roman" w:cs="Times New Roman"/>
          <w:b/>
          <w:color w:val="auto"/>
          <w:sz w:val="24"/>
          <w:szCs w:val="24"/>
          <w:lang w:val="sr-Latn-RS"/>
        </w:rPr>
        <w:t>GENERAL FRAMEWORK AND MAIN OBJECTIVES AND GUIDELINES OF ECONOMIC POLICY</w:t>
      </w:r>
      <w:bookmarkEnd w:id="4"/>
      <w:r w:rsidRPr="00002D92">
        <w:rPr>
          <w:rFonts w:ascii="Times New Roman" w:eastAsiaTheme="minorHAnsi" w:hAnsi="Times New Roman" w:cs="Times New Roman"/>
          <w:b/>
          <w:color w:val="auto"/>
          <w:sz w:val="24"/>
          <w:szCs w:val="24"/>
          <w:lang w:val="sr-Latn-RS"/>
        </w:rPr>
        <w:t xml:space="preserve"> </w:t>
      </w:r>
    </w:p>
    <w:p w:rsidR="005B0ABF" w:rsidRPr="006650AF" w:rsidRDefault="005B0ABF" w:rsidP="005B0ABF">
      <w:pPr>
        <w:rPr>
          <w:rFonts w:cs="Times New Roman"/>
          <w:szCs w:val="24"/>
          <w:lang w:val="sr-Cyrl-RS"/>
        </w:rPr>
      </w:pPr>
      <w:r w:rsidRPr="005946DB">
        <w:rPr>
          <w:rFonts w:cs="Times New Roman"/>
          <w:szCs w:val="24"/>
          <w:lang w:val="sr-Cyrl-RS"/>
        </w:rPr>
        <w:t>The global economic context in 2025 is marked by deep structural changes and pronounced uncertainty arising from increased trade and geopolitical fragmentation. The escalation of tariff measures, the restructuring of global supply chains, and the redefinition of industrial policies in leading economies have significantly affected trade flows, investment decisions, and developments in commodity and financial markets. The Republic of Serbia monitors these processes carefully and continuously analyzes the potential transmission channels of global risks to the domestic economy. Although challenges in the areas of trade, investment, and financial flows are real, the Republic of Serbia is entering this period of heightened uncertainty with strong defensive positions: high foreign exchange reserves, a stable and well-capitalized banking sector, a low share of public debt in GDP, and adequate fiscal space. In such an environment, preserving macroeconomic stability remains the central priority of economic policy, along with enhanced monitoring of risks and timely adjustment of measures in accordance with developments in the immediate surroundings. At the same time, the increasingly pronounced global fragmentation and changes in regulatory and climate policies, including mechanisms such as the CBAM (Carbon Border Adjustment Mechanism) in the European Union (hereinafter: the EU), increase the need for structural adjustments that will affect the costs and competitiveness of certain sectors of the Serbian economy.</w:t>
      </w:r>
    </w:p>
    <w:p w:rsidR="005B0ABF" w:rsidRPr="006650AF" w:rsidRDefault="005B0ABF" w:rsidP="005B0ABF">
      <w:pPr>
        <w:rPr>
          <w:rFonts w:cs="Times New Roman"/>
          <w:szCs w:val="24"/>
          <w:lang w:val="sr-Cyrl-RS"/>
        </w:rPr>
      </w:pPr>
      <w:r w:rsidRPr="00061C4F">
        <w:rPr>
          <w:rFonts w:cs="Times New Roman"/>
          <w:szCs w:val="24"/>
          <w:lang w:val="sr-Cyrl-RS"/>
        </w:rPr>
        <w:t>Over the past several years, the Republic of Serbia, as a small and open economy, has shown exceptional resilience to various challenges. Thanks to responsible fiscal and monetary policy, continuous investments, and implemented structural reforms, macroeconomic stability has been preserved, investor confidence has been maintained, and growth continuity has been ensured. Nevertheless, developments during 2025 have increased uncertainty: the rise of tariff barriers and pronounced global fragmentation, along with a simultaneous increase in domestic socio-political tensions, have acted to restrain investment and consumer activity. Although the main macroeconomic indicators remained stable, economic growth in the first half of 2025 was below expectations, so according to current estimates, GDP growth of 2.3% is expected. For 2026, GDP growth of 3.0% is projected, and the key drivers of growth remain domestic demand, the growth of real income, the continuation of public and private investment, and the implementation of projects related to EXPO 2027 and the Leap into the Future program. Inflation remained in the upper zone of the target for most of 2025, but slowed significantly from September (to 2.9% y/y), thanks to the limitation of trade margins. For 2026, with the normalization of cost factors and a more stable agricultural season, average inflation of 3.7% is projected.</w:t>
      </w:r>
    </w:p>
    <w:p w:rsidR="005B0ABF" w:rsidRPr="00061C4F" w:rsidRDefault="005B0ABF" w:rsidP="005B0ABF">
      <w:pPr>
        <w:rPr>
          <w:rFonts w:cs="Times New Roman"/>
          <w:szCs w:val="24"/>
          <w:lang w:val="sr-Cyrl-RS"/>
        </w:rPr>
      </w:pPr>
      <w:r w:rsidRPr="00061C4F">
        <w:rPr>
          <w:rFonts w:cs="Times New Roman"/>
          <w:szCs w:val="24"/>
          <w:lang w:val="sr-Cyrl-RS"/>
        </w:rPr>
        <w:t xml:space="preserve">From a medium-term perspective, cumulative growth of 11.9% is projected for the period 2026–2028, with an average annual growth rate of 3.8%. Growth dynamics will be based on domestic demand, with a strong continuation of the investment cycle, growth in private consumption, and a gradual recovery of external demand. An acceleration to 5.0% in 2027 will result from the implementation of EXPO 2027 activities, while in 2028 a moderate slowdown is expected due to the base effect. Such a growth profile indicates the stability of macroeconomic fundamentals and a balanced </w:t>
      </w:r>
      <w:r>
        <w:rPr>
          <w:rFonts w:cs="Times New Roman"/>
          <w:szCs w:val="24"/>
          <w:lang w:val="sr-Cyrl-RS"/>
        </w:rPr>
        <w:t>structure of economic activity.</w:t>
      </w:r>
    </w:p>
    <w:p w:rsidR="005B0ABF" w:rsidRPr="00FD08A0" w:rsidRDefault="005B0ABF" w:rsidP="005B0ABF">
      <w:pPr>
        <w:rPr>
          <w:rFonts w:cs="Times New Roman"/>
          <w:szCs w:val="24"/>
          <w:lang w:val="sr-Latn-RS"/>
        </w:rPr>
      </w:pPr>
      <w:r w:rsidRPr="00061C4F">
        <w:rPr>
          <w:rFonts w:cs="Times New Roman"/>
          <w:szCs w:val="24"/>
          <w:lang w:val="sr-Cyrl-RS"/>
        </w:rPr>
        <w:t>Medium-term risks remain pronounced and primarily arise from global fragmentation, the tightening of trade and industrial policies, geopolitical tensions, and instability in energy and food markets. On the domestic front, the most important challenges relate to sectoral uncertainties in energy and export-oriented industries. Economic policy directs the response to these challenges through the preservation of fiscal discipline, measures to increase energy efficiency and security, and the acceleration of the implementation of infrastructure and EXPO 2027-related projects. Such a framework makes it possible to mitigate the negative effects of shocks and to transmit positive external impulses more quickly into growth.</w:t>
      </w:r>
    </w:p>
    <w:p w:rsidR="005B0ABF" w:rsidRPr="00061C4F" w:rsidRDefault="005B0ABF" w:rsidP="005B0ABF">
      <w:pPr>
        <w:spacing w:after="240"/>
        <w:rPr>
          <w:rFonts w:cs="Times New Roman"/>
          <w:szCs w:val="24"/>
          <w:lang w:val="sr-Cyrl-RS"/>
        </w:rPr>
      </w:pPr>
      <w:r w:rsidRPr="00061C4F">
        <w:rPr>
          <w:rFonts w:cs="Times New Roman"/>
          <w:szCs w:val="24"/>
          <w:lang w:val="sr-Cyrl-RS"/>
        </w:rPr>
        <w:lastRenderedPageBreak/>
        <w:t>Fiscal discipline remains a fundamental principle of the economic policy of the Republic of Serbia. A gradual reduction of the budget deficit from 3.0% of GDP during the investment cycle to 2.5% of GDP by 2028 is planned, which ensures the continuation of the downward trend in public debt, which is estimated to fall to around 44% of GDP by the end of the medium-term period. At the same time, a high level of public investment will be maintained, along with improvements in the transparency and efficiency</w:t>
      </w:r>
      <w:r>
        <w:rPr>
          <w:rFonts w:cs="Times New Roman"/>
          <w:szCs w:val="24"/>
          <w:lang w:val="sr-Cyrl-RS"/>
        </w:rPr>
        <w:t xml:space="preserve"> of capital project management.</w:t>
      </w:r>
    </w:p>
    <w:p w:rsidR="006C04C7" w:rsidRPr="00002D92" w:rsidRDefault="005B0ABF" w:rsidP="005B0ABF">
      <w:pPr>
        <w:rPr>
          <w:rFonts w:cs="Times New Roman"/>
          <w:szCs w:val="24"/>
          <w:lang w:val="sr-Cyrl-RS"/>
        </w:rPr>
      </w:pPr>
      <w:r w:rsidRPr="00061C4F">
        <w:rPr>
          <w:rFonts w:cs="Times New Roman"/>
          <w:szCs w:val="24"/>
          <w:lang w:val="sr-Cyrl-RS"/>
        </w:rPr>
        <w:t>The continuation of the process of European integration and the deepening of cooperation remain strategic goals of the economic policy of the Republic of Serbia. The implementation of the Growth Agenda represents an important instrument for strengthening the economic interconnectedness of the Western Balkans with the single market of the European Union, while the advisory arrangement with the International Monetary Fund (hereinafter: the IMF) provides additional support for the implementation of structural reforms, strengthens the transparency and predictability of economic policy, and contributes to preserving the macroeconomic credibility of the Republic of Serbia in the international context. Combined, these processes position the Republic of Serbia as a stable and reliable partner on the European path and in regional initiatives.</w:t>
      </w:r>
    </w:p>
    <w:p w:rsidR="006C04C7" w:rsidRDefault="006C04C7" w:rsidP="006C04C7">
      <w:pPr>
        <w:rPr>
          <w:rFonts w:cs="Times New Roman"/>
          <w:szCs w:val="24"/>
          <w:lang w:val="sr-Cyrl-RS"/>
        </w:rPr>
      </w:pPr>
    </w:p>
    <w:p w:rsidR="0056106E" w:rsidRPr="00585EB9" w:rsidRDefault="0056106E" w:rsidP="0056106E">
      <w:pPr>
        <w:keepNext/>
        <w:keepLines/>
        <w:spacing w:before="240" w:after="0"/>
        <w:outlineLvl w:val="0"/>
        <w:rPr>
          <w:rFonts w:eastAsiaTheme="majorEastAsia" w:cs="Times New Roman"/>
          <w:b/>
          <w:szCs w:val="24"/>
          <w:lang w:val="en-GB"/>
        </w:rPr>
      </w:pPr>
      <w:bookmarkStart w:id="5" w:name="_Toc216780319"/>
      <w:bookmarkStart w:id="6" w:name="_Toc221106867"/>
      <w:r w:rsidRPr="00585EB9">
        <w:rPr>
          <w:rFonts w:eastAsiaTheme="majorEastAsia" w:cs="Times New Roman"/>
          <w:b/>
          <w:szCs w:val="24"/>
          <w:lang w:val="en-GB"/>
        </w:rPr>
        <w:t xml:space="preserve">2. </w:t>
      </w:r>
      <w:bookmarkEnd w:id="5"/>
      <w:r w:rsidRPr="003B5774">
        <w:rPr>
          <w:rFonts w:eastAsiaTheme="majorEastAsia" w:cs="Times New Roman"/>
          <w:b/>
          <w:szCs w:val="24"/>
          <w:lang w:val="en-GB"/>
        </w:rPr>
        <w:t>IMPLEMENTATION OF POLICY GUIDANCE</w:t>
      </w:r>
      <w:bookmarkEnd w:id="6"/>
    </w:p>
    <w:p w:rsidR="0056106E" w:rsidRPr="00585EB9" w:rsidRDefault="0056106E" w:rsidP="0056106E">
      <w:pPr>
        <w:rPr>
          <w:rFonts w:cs="Times New Roman"/>
          <w:b/>
          <w:szCs w:val="24"/>
          <w:lang w:val="en-GB"/>
        </w:rPr>
      </w:pPr>
    </w:p>
    <w:p w:rsidR="0056106E" w:rsidRDefault="0056106E" w:rsidP="0056106E">
      <w:pPr>
        <w:rPr>
          <w:rFonts w:cs="Times New Roman"/>
          <w:szCs w:val="24"/>
          <w:lang w:val="en-GB"/>
        </w:rPr>
      </w:pPr>
      <w:r w:rsidRPr="00482481">
        <w:rPr>
          <w:rFonts w:cs="Times New Roman"/>
          <w:szCs w:val="24"/>
          <w:lang w:val="en-GB"/>
        </w:rPr>
        <w:t>The implementation of the Policy Guidance (PG) for individual policy areas, as part of the Joint Conclusions related to the Economic Reform Programme (ERP) 2026–2028, adopted at the meeting of the Council of the European Union for Economic and Financial Affairs (ECOFIN Council) held in May 2025 in Brussels, within the framework of the Economic and Financial Dialogue between the European Union and the Western Balkans and Türkiye, is reflected in a wide range of reform measures and activities undertaken by the Government of the Republic of Serbia.</w:t>
      </w:r>
    </w:p>
    <w:p w:rsidR="0056106E" w:rsidRPr="00482481" w:rsidRDefault="0056106E" w:rsidP="0056106E">
      <w:pPr>
        <w:rPr>
          <w:rFonts w:cs="Times New Roman"/>
          <w:b/>
          <w:szCs w:val="24"/>
          <w:lang w:val="en-GB"/>
        </w:rPr>
      </w:pPr>
      <w:r w:rsidRPr="00482481">
        <w:rPr>
          <w:rFonts w:cs="Times New Roman"/>
          <w:b/>
          <w:szCs w:val="24"/>
          <w:lang w:val="en-GB"/>
        </w:rPr>
        <w:t>Implementation of the ECOFIN Council Policy Guidance of May 2025 for the Republic of Serbia</w:t>
      </w:r>
    </w:p>
    <w:p w:rsidR="0056106E" w:rsidRPr="00482481" w:rsidRDefault="0056106E" w:rsidP="0056106E">
      <w:pPr>
        <w:rPr>
          <w:rFonts w:cs="Times New Roman"/>
          <w:b/>
          <w:i/>
          <w:szCs w:val="24"/>
          <w:lang w:val="en-GB"/>
        </w:rPr>
      </w:pPr>
      <w:r>
        <w:rPr>
          <w:rFonts w:cs="Times New Roman"/>
          <w:b/>
          <w:szCs w:val="24"/>
          <w:lang w:val="en-GB"/>
        </w:rPr>
        <w:t>-</w:t>
      </w:r>
      <w:r w:rsidRPr="00482481">
        <w:rPr>
          <w:rFonts w:cs="Times New Roman"/>
          <w:b/>
          <w:i/>
          <w:szCs w:val="24"/>
          <w:lang w:val="en-GB"/>
        </w:rPr>
        <w:t>Maintain an adequately restrictive fiscal policy in 2025 to mitigate inflationary pressures, including by containing current expenditure and using any potential budgetary overperformance to reduce the deficit faster than planned.</w:t>
      </w:r>
    </w:p>
    <w:p w:rsidR="0056106E" w:rsidRDefault="0056106E" w:rsidP="0056106E">
      <w:pPr>
        <w:rPr>
          <w:rFonts w:cs="Times New Roman"/>
          <w:szCs w:val="24"/>
          <w:lang w:val="en-GB"/>
        </w:rPr>
      </w:pPr>
      <w:r w:rsidRPr="00482481">
        <w:rPr>
          <w:rFonts w:cs="Times New Roman"/>
          <w:szCs w:val="24"/>
          <w:lang w:val="en-GB"/>
        </w:rPr>
        <w:t>The Government of the Republic of Serbia remains firmly committed to preserving fiscal discipline over the medium term. Fiscal deficit projections for the coming years are designed to ensure a continuous and sustainable reduction in public debt.</w:t>
      </w:r>
    </w:p>
    <w:p w:rsidR="0056106E" w:rsidRDefault="0056106E" w:rsidP="0056106E">
      <w:pPr>
        <w:rPr>
          <w:rFonts w:cs="Times New Roman"/>
          <w:szCs w:val="24"/>
          <w:lang w:val="en-GB"/>
        </w:rPr>
      </w:pPr>
      <w:r w:rsidRPr="00482481">
        <w:rPr>
          <w:rFonts w:cs="Times New Roman"/>
          <w:szCs w:val="24"/>
          <w:lang w:val="en-GB"/>
        </w:rPr>
        <w:t>Over the period 2025–2028, the fiscal deficit is projected to remain below the threshold of 3% of GDP, thereby ensuring adequate fiscal space to support priority investment projects under the development programme “Leap into the Future – Serbia 2027”, as well as measures aimed at strengthening national security capacities.</w:t>
      </w:r>
    </w:p>
    <w:p w:rsidR="0056106E" w:rsidRDefault="0056106E" w:rsidP="0056106E">
      <w:pPr>
        <w:rPr>
          <w:rFonts w:cs="Times New Roman"/>
          <w:szCs w:val="24"/>
          <w:lang w:val="en-GB"/>
        </w:rPr>
      </w:pPr>
      <w:r w:rsidRPr="00482481">
        <w:rPr>
          <w:rFonts w:cs="Times New Roman"/>
          <w:szCs w:val="24"/>
          <w:lang w:val="en-GB"/>
        </w:rPr>
        <w:t>To enable the full implementation of the investment cycle, the activation of the fiscal deficit correction mechanism prescribed by the fiscal rule has been postponed until 2029, taking into account the projected declining trajectory of public debt. By the end of the medium-term horizon, general government debt is expected to decline below 45% of GDP, in line with the Government’s commitment to sound and sustainable public finances.</w:t>
      </w:r>
    </w:p>
    <w:p w:rsidR="0056106E" w:rsidRPr="00585EB9" w:rsidRDefault="0056106E" w:rsidP="0056106E">
      <w:pPr>
        <w:rPr>
          <w:rFonts w:cs="Times New Roman"/>
          <w:i/>
          <w:szCs w:val="24"/>
          <w:lang w:val="en-GB"/>
        </w:rPr>
      </w:pPr>
      <w:r w:rsidRPr="00585EB9">
        <w:rPr>
          <w:rFonts w:cs="Times New Roman"/>
          <w:b/>
          <w:bCs/>
          <w:i/>
          <w:szCs w:val="24"/>
          <w:lang w:val="sr-Cyrl-RS"/>
        </w:rPr>
        <w:t xml:space="preserve">- </w:t>
      </w:r>
      <w:r w:rsidRPr="00482481">
        <w:rPr>
          <w:rFonts w:cs="Times New Roman"/>
          <w:b/>
          <w:bCs/>
          <w:i/>
          <w:szCs w:val="24"/>
          <w:lang w:val="en-GB"/>
        </w:rPr>
        <w:t>Further improve public investment management, including through the establishment of a unified, comprehensive and transparent system for the prioritisation and selection of all public investments, irrespective of their type and source of financing, and in line with international best practices.</w:t>
      </w:r>
    </w:p>
    <w:p w:rsidR="0056106E" w:rsidRDefault="0056106E" w:rsidP="0056106E">
      <w:pPr>
        <w:rPr>
          <w:rFonts w:cs="Times New Roman"/>
          <w:szCs w:val="24"/>
          <w:lang w:val="en-GB"/>
        </w:rPr>
      </w:pPr>
      <w:r w:rsidRPr="00482481">
        <w:rPr>
          <w:rFonts w:cs="Times New Roman"/>
          <w:szCs w:val="24"/>
          <w:lang w:val="en-GB"/>
        </w:rPr>
        <w:lastRenderedPageBreak/>
        <w:t>The Republic of Serbia is committed to strengthening the efficiency of the public investment management framework, ensuring the optimal allocation of public resources and contributing to long-term economic and social development. The document “Basic Principles for the Preparation of Public Investment Roadmaps” aims to establish clear guidelines for the planning, appraisal, selection, implementation and evaluation of public investments, with a particular focus on transparency and maximisation of public value.</w:t>
      </w:r>
    </w:p>
    <w:p w:rsidR="0056106E" w:rsidRDefault="0056106E" w:rsidP="0056106E">
      <w:pPr>
        <w:rPr>
          <w:rFonts w:cs="Times New Roman"/>
          <w:szCs w:val="24"/>
          <w:lang w:val="en-GB"/>
        </w:rPr>
      </w:pPr>
      <w:r w:rsidRPr="00482481">
        <w:rPr>
          <w:rFonts w:cs="Times New Roman"/>
          <w:szCs w:val="24"/>
          <w:lang w:val="en-GB"/>
        </w:rPr>
        <w:t>In line with commitments under the Reform Agenda, the document “Public Investment Management Policy Concept” was prepared in 2025. Public consultations were conducted in accordance with the Law on the Planning System, ensuring the involvement of all relevant stakeholders, including public institutions, the academic and professional community, civil society organisations and citizens. Line ministries were specifically invited to provide comments and suggestions.</w:t>
      </w:r>
    </w:p>
    <w:p w:rsidR="0056106E" w:rsidRPr="00585EB9" w:rsidRDefault="0056106E" w:rsidP="0056106E">
      <w:pPr>
        <w:rPr>
          <w:rFonts w:cs="Times New Roman"/>
          <w:szCs w:val="24"/>
          <w:lang w:val="en-GB"/>
        </w:rPr>
      </w:pPr>
      <w:r w:rsidRPr="00482481">
        <w:rPr>
          <w:rFonts w:cs="Times New Roman"/>
          <w:szCs w:val="24"/>
          <w:lang w:val="en-GB"/>
        </w:rPr>
        <w:t>As a result of the consultative process, the proposed document was renamed “Basic Principles for the Preparation of Public Investment Roadmaps” to ensure clearer structure and terminology aligned with legal requirements. Comments from the European Commission and SIGMA were also incorporated into the revised version to improve its structure and more clearly define institutional roles.</w:t>
      </w:r>
    </w:p>
    <w:p w:rsidR="0056106E" w:rsidRPr="00585EB9" w:rsidRDefault="0056106E" w:rsidP="0056106E">
      <w:pPr>
        <w:rPr>
          <w:rFonts w:cs="Times New Roman"/>
          <w:szCs w:val="24"/>
          <w:lang w:val="en-GB"/>
        </w:rPr>
      </w:pPr>
      <w:r w:rsidRPr="00482481">
        <w:rPr>
          <w:rFonts w:cs="Times New Roman"/>
          <w:szCs w:val="24"/>
          <w:lang w:val="en-GB"/>
        </w:rPr>
        <w:t>Following the conclusion of the public consultations, the revised document was submitted to the European Commission, where a GAP analysis identified weaknesses and proposed solutions, which will be subject to further implementation. In the forthcoming period, the Ministry of Finance, in consultation with the European Commission, will develop an accompanying Action Plan to enable both documents to be submitted for adoption by the Government of the Republic of Serbia within the established timelines. These steps have laid the foundation for further progress in public investment management, introducing mechanisms for recording, monitoring and reporting, as well as enhancing transparency in line wi</w:t>
      </w:r>
      <w:r>
        <w:rPr>
          <w:rFonts w:cs="Times New Roman"/>
          <w:szCs w:val="24"/>
          <w:lang w:val="en-GB"/>
        </w:rPr>
        <w:t>th international best practices</w:t>
      </w:r>
      <w:r w:rsidRPr="00585EB9">
        <w:rPr>
          <w:rFonts w:cs="Times New Roman"/>
          <w:szCs w:val="24"/>
          <w:lang w:val="en-GB"/>
        </w:rPr>
        <w:t>.</w:t>
      </w:r>
    </w:p>
    <w:p w:rsidR="0056106E" w:rsidRPr="00585EB9" w:rsidRDefault="0056106E" w:rsidP="0056106E">
      <w:pPr>
        <w:rPr>
          <w:rFonts w:cs="Times New Roman"/>
          <w:i/>
          <w:szCs w:val="24"/>
          <w:lang w:val="en-GB"/>
        </w:rPr>
      </w:pPr>
      <w:r w:rsidRPr="00585EB9">
        <w:rPr>
          <w:rFonts w:cs="Times New Roman"/>
          <w:b/>
          <w:bCs/>
          <w:i/>
          <w:szCs w:val="24"/>
          <w:lang w:val="sr-Cyrl-RS"/>
        </w:rPr>
        <w:t xml:space="preserve">- </w:t>
      </w:r>
      <w:r w:rsidRPr="00482481">
        <w:rPr>
          <w:rFonts w:cs="Times New Roman"/>
          <w:b/>
          <w:bCs/>
          <w:i/>
          <w:szCs w:val="24"/>
          <w:lang w:val="en-GB"/>
        </w:rPr>
        <w:t>Develop capacities to assess the long-term financial sustainability of the pension system and conduct a comprehensive analysis of Serbia’s pension system</w:t>
      </w:r>
    </w:p>
    <w:p w:rsidR="0056106E" w:rsidRPr="00585EB9" w:rsidRDefault="0056106E" w:rsidP="0056106E">
      <w:pPr>
        <w:rPr>
          <w:rFonts w:cs="Times New Roman"/>
          <w:szCs w:val="24"/>
          <w:lang w:val="en-GB"/>
        </w:rPr>
      </w:pPr>
      <w:r w:rsidRPr="00482481">
        <w:rPr>
          <w:rFonts w:cs="Times New Roman"/>
          <w:szCs w:val="24"/>
          <w:lang w:val="en-GB"/>
        </w:rPr>
        <w:t xml:space="preserve">The Ministry of Finance and the Fiscal Council are engaged in a joint project aimed at assessing the long-term sustainability of public finances, in particular the pension system in the Republic of Serbia, taking into account long-term demographic projections. A model for long-term pension system projections is currently under development, along with the collection of the necessary data for the model. </w:t>
      </w:r>
      <w:r>
        <w:rPr>
          <w:rFonts w:cs="Times New Roman"/>
          <w:szCs w:val="24"/>
          <w:lang w:val="en-GB"/>
        </w:rPr>
        <w:t>The project is supported by GIZ</w:t>
      </w:r>
      <w:r w:rsidRPr="00585EB9">
        <w:rPr>
          <w:rFonts w:cs="Times New Roman"/>
          <w:szCs w:val="24"/>
          <w:lang w:val="en-GB"/>
        </w:rPr>
        <w:t>.</w:t>
      </w:r>
    </w:p>
    <w:p w:rsidR="0056106E" w:rsidRPr="00585EB9" w:rsidRDefault="0056106E" w:rsidP="0056106E">
      <w:pPr>
        <w:rPr>
          <w:rFonts w:cs="Times New Roman"/>
          <w:i/>
          <w:szCs w:val="24"/>
          <w:lang w:val="en-GB"/>
        </w:rPr>
      </w:pPr>
      <w:r w:rsidRPr="00585EB9">
        <w:rPr>
          <w:rFonts w:cs="Times New Roman"/>
          <w:b/>
          <w:bCs/>
          <w:i/>
          <w:szCs w:val="24"/>
          <w:lang w:val="sr-Cyrl-RS"/>
        </w:rPr>
        <w:t xml:space="preserve">- </w:t>
      </w:r>
      <w:r w:rsidRPr="00482481">
        <w:rPr>
          <w:rFonts w:cs="Times New Roman"/>
          <w:b/>
          <w:bCs/>
          <w:i/>
          <w:szCs w:val="24"/>
          <w:lang w:val="en-GB"/>
        </w:rPr>
        <w:t>Initiate technical work to present a comprehensive overview of tax expenditures and submit the first draft report to the European Commission</w:t>
      </w:r>
    </w:p>
    <w:p w:rsidR="0056106E" w:rsidRPr="00585EB9" w:rsidRDefault="0056106E" w:rsidP="0056106E">
      <w:pPr>
        <w:rPr>
          <w:rFonts w:cs="Times New Roman"/>
          <w:szCs w:val="24"/>
          <w:lang w:val="en-GB"/>
        </w:rPr>
      </w:pPr>
      <w:r w:rsidRPr="00482481">
        <w:rPr>
          <w:rFonts w:cs="Times New Roman"/>
          <w:szCs w:val="24"/>
          <w:lang w:val="en-GB"/>
        </w:rPr>
        <w:t>The Fiscal System Department of the Ministry of Finance has conducted consultations with the IMF to ensure full understanding of the provisions of the Personal Income Tax Law, Corporate Income Tax Law, and Value Added Tax Law, as well as to identify provisions that may give rise to tax expenditures. In line with this, the Fiscal System Department provided the IMF, at their request, with data on aggregated amounts related to the use of identified tax measures</w:t>
      </w:r>
      <w:r w:rsidRPr="00585EB9">
        <w:rPr>
          <w:rFonts w:cs="Times New Roman"/>
          <w:szCs w:val="24"/>
          <w:lang w:val="en-GB"/>
        </w:rPr>
        <w:t>.</w:t>
      </w:r>
    </w:p>
    <w:p w:rsidR="0056106E" w:rsidRPr="00585EB9" w:rsidRDefault="0056106E" w:rsidP="0056106E">
      <w:pPr>
        <w:rPr>
          <w:rFonts w:cs="Times New Roman"/>
          <w:szCs w:val="24"/>
          <w:lang w:val="en-GB"/>
        </w:rPr>
      </w:pPr>
      <w:r w:rsidRPr="00482481">
        <w:rPr>
          <w:rFonts w:cs="Times New Roman"/>
          <w:szCs w:val="24"/>
          <w:lang w:val="en-GB"/>
        </w:rPr>
        <w:t>The next step in this process is the IMF mission scheduled for December 2025, during which the IMF will hold further consultations with relevant organisational units of the Ministry of Finance to prepare the requested Draft Report on Tax Expenditures</w:t>
      </w:r>
      <w:r w:rsidRPr="00585EB9">
        <w:rPr>
          <w:rFonts w:cs="Times New Roman"/>
          <w:szCs w:val="24"/>
          <w:lang w:val="en-GB"/>
        </w:rPr>
        <w:t>.</w:t>
      </w:r>
    </w:p>
    <w:p w:rsidR="0056106E" w:rsidRPr="00585EB9" w:rsidRDefault="0056106E" w:rsidP="0056106E">
      <w:pPr>
        <w:rPr>
          <w:rFonts w:cs="Times New Roman"/>
          <w:i/>
          <w:szCs w:val="24"/>
          <w:lang w:val="en-GB"/>
        </w:rPr>
      </w:pPr>
      <w:r w:rsidRPr="00585EB9">
        <w:rPr>
          <w:rFonts w:cs="Times New Roman"/>
          <w:b/>
          <w:bCs/>
          <w:i/>
          <w:szCs w:val="24"/>
          <w:lang w:val="sr-Cyrl-RS"/>
        </w:rPr>
        <w:t xml:space="preserve">- </w:t>
      </w:r>
      <w:r w:rsidRPr="00482481">
        <w:rPr>
          <w:rFonts w:cs="Times New Roman"/>
          <w:b/>
          <w:bCs/>
          <w:i/>
          <w:szCs w:val="24"/>
          <w:lang w:val="en-GB"/>
        </w:rPr>
        <w:t>Based on the application of the fiscal risk monitoring methodology, continue expanding fiscal risk reporting within the Fiscal Strategy, including strengthening the capacities of the Fiscal Risk Monitoring Unit and further improving proactive monitoring of fiscal risks to support fiscal planning</w:t>
      </w:r>
      <w:r w:rsidRPr="00585EB9">
        <w:rPr>
          <w:rFonts w:cs="Times New Roman"/>
          <w:i/>
          <w:szCs w:val="24"/>
          <w:lang w:val="en-GB"/>
        </w:rPr>
        <w:t>.</w:t>
      </w:r>
    </w:p>
    <w:p w:rsidR="0056106E" w:rsidRPr="00585EB9" w:rsidRDefault="0056106E" w:rsidP="0056106E">
      <w:pPr>
        <w:rPr>
          <w:rFonts w:cs="Times New Roman"/>
          <w:szCs w:val="24"/>
          <w:lang w:val="en-GB"/>
        </w:rPr>
      </w:pPr>
      <w:r w:rsidRPr="00482481">
        <w:rPr>
          <w:rFonts w:cs="Times New Roman"/>
          <w:szCs w:val="24"/>
          <w:lang w:val="en-GB"/>
        </w:rPr>
        <w:t xml:space="preserve">In 2025, the Ministry of Finance, in cooperation with the World Bank, carried out a comprehensive review of the criteria used to monitor fiscal risks in public enterprises and local government units. </w:t>
      </w:r>
      <w:r w:rsidRPr="00482481">
        <w:rPr>
          <w:rFonts w:cs="Times New Roman"/>
          <w:szCs w:val="24"/>
          <w:lang w:val="en-GB"/>
        </w:rPr>
        <w:lastRenderedPageBreak/>
        <w:t xml:space="preserve">Within this process, concrete measures and follow-up actions were agreed to strengthen the framework for monitoring and improving the collection, analysis and reporting of fiscal risks. These efforts aim to support proactive fiscal risk monitoring and enable fiscal planning and decision-making to be based on more </w:t>
      </w:r>
      <w:r>
        <w:rPr>
          <w:rFonts w:cs="Times New Roman"/>
          <w:szCs w:val="24"/>
          <w:lang w:val="en-GB"/>
        </w:rPr>
        <w:t>accurate and timely information</w:t>
      </w:r>
      <w:r w:rsidRPr="00585EB9">
        <w:rPr>
          <w:rFonts w:cs="Times New Roman"/>
          <w:szCs w:val="24"/>
          <w:lang w:val="en-GB"/>
        </w:rPr>
        <w:t>.</w:t>
      </w:r>
    </w:p>
    <w:p w:rsidR="0056106E" w:rsidRPr="00585EB9" w:rsidRDefault="0056106E" w:rsidP="0056106E">
      <w:pPr>
        <w:rPr>
          <w:rFonts w:cs="Times New Roman"/>
          <w:i/>
          <w:szCs w:val="24"/>
          <w:lang w:val="en-GB"/>
        </w:rPr>
      </w:pPr>
      <w:r w:rsidRPr="00585EB9">
        <w:rPr>
          <w:rFonts w:cs="Times New Roman"/>
          <w:b/>
          <w:bCs/>
          <w:i/>
          <w:szCs w:val="24"/>
          <w:lang w:val="sr-Cyrl-RS"/>
        </w:rPr>
        <w:t xml:space="preserve">- </w:t>
      </w:r>
      <w:r w:rsidRPr="00482481">
        <w:rPr>
          <w:rFonts w:cs="Times New Roman"/>
          <w:b/>
          <w:bCs/>
          <w:i/>
          <w:szCs w:val="24"/>
          <w:lang w:val="en-GB"/>
        </w:rPr>
        <w:t>Prepare a conceptual document for public sector wage reform, outlining objectives, scope, key features, and a detailed implementation timeline</w:t>
      </w:r>
      <w:r w:rsidRPr="00585EB9">
        <w:rPr>
          <w:rFonts w:cs="Times New Roman"/>
          <w:i/>
          <w:szCs w:val="24"/>
          <w:lang w:val="en-GB"/>
        </w:rPr>
        <w:t>.</w:t>
      </w:r>
    </w:p>
    <w:p w:rsidR="0056106E" w:rsidRPr="00585EB9" w:rsidRDefault="0056106E" w:rsidP="0056106E">
      <w:pPr>
        <w:rPr>
          <w:rFonts w:cs="Times New Roman"/>
          <w:szCs w:val="24"/>
          <w:lang w:val="en-GB"/>
        </w:rPr>
      </w:pPr>
      <w:r w:rsidRPr="002816B1">
        <w:rPr>
          <w:rFonts w:cs="Times New Roman"/>
          <w:szCs w:val="24"/>
          <w:lang w:val="en-GB"/>
        </w:rPr>
        <w:t>At the session of the National Assembly held on 6 March 2025, the Law on the Termination of the Validity of the Law on the Salary System of Public Sector Employees, the Law on Salaries of Civil Servants and Employees in the Autonomous Province and Local Government Units, the Law on Employees in Public Services, and the Law on Salaries of Employees in Public Agencies and Other Organisations Established by the Republic of Serbia, the Autonomous Province or Local Government Units were adopted, thereby repealing the previous set of salary laws</w:t>
      </w:r>
      <w:r w:rsidRPr="00585EB9">
        <w:rPr>
          <w:rFonts w:cs="Times New Roman"/>
          <w:szCs w:val="24"/>
          <w:lang w:val="en-GB"/>
        </w:rPr>
        <w:t>.</w:t>
      </w:r>
    </w:p>
    <w:p w:rsidR="0056106E" w:rsidRDefault="0056106E" w:rsidP="0056106E">
      <w:pPr>
        <w:rPr>
          <w:rFonts w:cs="Times New Roman"/>
          <w:szCs w:val="24"/>
          <w:lang w:val="en-GB"/>
        </w:rPr>
      </w:pPr>
      <w:r w:rsidRPr="002816B1">
        <w:rPr>
          <w:rFonts w:cs="Times New Roman"/>
          <w:szCs w:val="24"/>
          <w:lang w:val="en-GB"/>
        </w:rPr>
        <w:t>This legislative update was prompted by the need to consider reforms of the public sector wage system on a new basis, taking into account numerous changes in the wage system that occurred since the adoption of the previous laws (2016–2017) to the present, including the COVID-19 pandemic in the Republic of Serbia, fiscal consolidation, gradual “unfreezing” of public sector wages leading to uneven growth, and a significant increase in the minimum wage</w:t>
      </w:r>
      <w:r>
        <w:rPr>
          <w:rFonts w:cs="Times New Roman"/>
          <w:szCs w:val="24"/>
          <w:lang w:val="en-GB"/>
        </w:rPr>
        <w:t>.</w:t>
      </w:r>
    </w:p>
    <w:p w:rsidR="0056106E" w:rsidRPr="00585EB9" w:rsidRDefault="0056106E" w:rsidP="0056106E">
      <w:pPr>
        <w:rPr>
          <w:rFonts w:cs="Times New Roman"/>
          <w:szCs w:val="24"/>
          <w:lang w:val="en-GB"/>
        </w:rPr>
      </w:pPr>
      <w:r w:rsidRPr="002816B1">
        <w:rPr>
          <w:rFonts w:cs="Times New Roman"/>
          <w:szCs w:val="24"/>
          <w:lang w:val="en-GB"/>
        </w:rPr>
        <w:t>These circumstances have significantly affected the relationships established under the previous wage system, creating the need to reassess key provisions in the framework law to account for wage developments and ensure that the expected reform processes are implemented in line with budgetary constraints and projected wage growth in the coming period</w:t>
      </w:r>
      <w:r w:rsidRPr="00585EB9">
        <w:rPr>
          <w:rFonts w:cs="Times New Roman"/>
          <w:szCs w:val="24"/>
          <w:lang w:val="en-GB"/>
        </w:rPr>
        <w:t>.</w:t>
      </w:r>
    </w:p>
    <w:p w:rsidR="0056106E" w:rsidRPr="00585EB9" w:rsidRDefault="0056106E" w:rsidP="0056106E">
      <w:pPr>
        <w:rPr>
          <w:rFonts w:cs="Times New Roman"/>
          <w:szCs w:val="24"/>
          <w:lang w:val="en-GB"/>
        </w:rPr>
      </w:pPr>
      <w:r w:rsidRPr="002816B1">
        <w:rPr>
          <w:rFonts w:cs="Times New Roman"/>
          <w:szCs w:val="24"/>
          <w:lang w:val="en-GB"/>
        </w:rPr>
        <w:t>The Ministry of Finance has developed an Analytical Reporting Platform that provides the technical capacity for wage simulations and the creation of alternative scenarios depending on the version of the new wage system. This tool enables evidence-based analyses and supports decision-making in the preparation and assessment of potential public sector wage reform models</w:t>
      </w:r>
      <w:r w:rsidRPr="00585EB9">
        <w:rPr>
          <w:rFonts w:cs="Times New Roman"/>
          <w:szCs w:val="24"/>
          <w:lang w:val="en-GB"/>
        </w:rPr>
        <w:t>.</w:t>
      </w:r>
    </w:p>
    <w:p w:rsidR="0056106E" w:rsidRPr="00585EB9" w:rsidRDefault="0056106E" w:rsidP="0056106E">
      <w:pPr>
        <w:rPr>
          <w:rFonts w:cs="Times New Roman"/>
          <w:szCs w:val="24"/>
          <w:lang w:val="en-GB"/>
        </w:rPr>
      </w:pPr>
      <w:r w:rsidRPr="00585EB9">
        <w:rPr>
          <w:rFonts w:cs="Times New Roman"/>
          <w:b/>
          <w:bCs/>
          <w:szCs w:val="24"/>
          <w:lang w:val="sr-Cyrl-RS"/>
        </w:rPr>
        <w:t xml:space="preserve">- </w:t>
      </w:r>
      <w:r w:rsidRPr="002816B1">
        <w:rPr>
          <w:rFonts w:cs="Times New Roman"/>
          <w:b/>
          <w:bCs/>
          <w:i/>
          <w:szCs w:val="24"/>
          <w:lang w:val="en-GB"/>
        </w:rPr>
        <w:t>Continue appropriate calibration of monetary policy to achieve sustainable price stability and anchor inflation expectations. Implement a credit registry to align bank credit information with EU-standard formats and ensure that measures affecting market-based risk pricing, such as interest rate caps, are targeted and adequately designed to avoid moral hazard. Continue efforts to promote the use of the domestic currency, including enhancing long-term financing in the local currency, further supporting currency risk hedging, and raising awareness of the risks associated with foreign currency lending</w:t>
      </w:r>
      <w:r w:rsidRPr="00585EB9">
        <w:rPr>
          <w:rFonts w:cs="Times New Roman"/>
          <w:i/>
          <w:szCs w:val="24"/>
          <w:lang w:val="en-GB"/>
        </w:rPr>
        <w:t>.</w:t>
      </w:r>
    </w:p>
    <w:p w:rsidR="0056106E" w:rsidRDefault="0056106E" w:rsidP="0056106E">
      <w:pPr>
        <w:rPr>
          <w:rFonts w:cs="Times New Roman"/>
          <w:szCs w:val="24"/>
          <w:lang w:val="en-GB"/>
        </w:rPr>
      </w:pPr>
      <w:r w:rsidRPr="002816B1">
        <w:rPr>
          <w:rFonts w:cs="Times New Roman"/>
          <w:szCs w:val="24"/>
          <w:lang w:val="en-GB"/>
        </w:rPr>
        <w:t>Regarding the recommendation: “Continue with appropriate calibration of monetary policy to achieve sustainable price stability and strengthen inflation expectations”, the following is highlighted:</w:t>
      </w:r>
    </w:p>
    <w:p w:rsidR="0056106E" w:rsidRDefault="0056106E" w:rsidP="0056106E">
      <w:pPr>
        <w:rPr>
          <w:rFonts w:cs="Times New Roman"/>
          <w:szCs w:val="24"/>
          <w:lang w:val="en-GB"/>
        </w:rPr>
      </w:pPr>
      <w:r w:rsidRPr="002816B1">
        <w:rPr>
          <w:rFonts w:cs="Times New Roman"/>
          <w:szCs w:val="24"/>
          <w:lang w:val="en-GB"/>
        </w:rPr>
        <w:t>In an environment of international uncertainty, driven by geopolitical and trade tensions, as well as rising food prices due to extremely adverse weather conditions during this year’s agricultural season, the National Bank of Serbia (NBS) decided over the past year to maintain the reference interest rate unchanged at 5.75% (following a 75 basis point reduction in the period June–September 2024). This decision reflects a cautious approach to monetary policy, whose primary objective is to achieve and maintain price stability, ensuring that medium-term inflation remains within the target range of 3% ± 1.5%.</w:t>
      </w:r>
    </w:p>
    <w:p w:rsidR="0056106E" w:rsidRPr="00585EB9" w:rsidRDefault="0056106E" w:rsidP="0056106E">
      <w:pPr>
        <w:rPr>
          <w:rFonts w:cs="Times New Roman"/>
          <w:szCs w:val="24"/>
          <w:lang w:val="en-GB"/>
        </w:rPr>
      </w:pPr>
      <w:r w:rsidRPr="002816B1">
        <w:rPr>
          <w:rFonts w:cs="Times New Roman"/>
          <w:szCs w:val="24"/>
          <w:lang w:val="en-GB"/>
        </w:rPr>
        <w:t>Through transparent communication with the public, the NBS seeks to preserve stable inflation expectations. Despite numerous challenges, medium-term (and short-term) inflation expectations in the financial sector have remained firmly within the target range, as observed since the beginning of 2024, demonstrating the credibility of the NBS and the confidence of the financial sector</w:t>
      </w:r>
      <w:r w:rsidRPr="00585EB9">
        <w:rPr>
          <w:rFonts w:cs="Times New Roman"/>
          <w:szCs w:val="24"/>
          <w:lang w:val="en-GB"/>
        </w:rPr>
        <w:t>.</w:t>
      </w:r>
    </w:p>
    <w:p w:rsidR="0056106E" w:rsidRDefault="0056106E" w:rsidP="0056106E">
      <w:pPr>
        <w:rPr>
          <w:rFonts w:cs="Times New Roman"/>
          <w:szCs w:val="24"/>
          <w:lang w:val="en-GB"/>
        </w:rPr>
      </w:pPr>
      <w:r w:rsidRPr="002816B1">
        <w:rPr>
          <w:rFonts w:cs="Times New Roman"/>
          <w:szCs w:val="24"/>
          <w:lang w:val="en-GB"/>
        </w:rPr>
        <w:lastRenderedPageBreak/>
        <w:t>Annual inflation slowed to 2.9% in September, supported by the Regulation on Special Conditions for the Trade of Certain Goods, adopted by the Government to limit wholesale and retail trade margins to 20% over a six-month period. According to the NBS assessment, total inflation is expected to remain within the target range of 3% ± 1.5% over the medium term in the coming year</w:t>
      </w:r>
    </w:p>
    <w:p w:rsidR="0056106E" w:rsidRDefault="0056106E" w:rsidP="0056106E">
      <w:pPr>
        <w:rPr>
          <w:rFonts w:cs="Times New Roman"/>
          <w:szCs w:val="24"/>
          <w:lang w:val="en-GB"/>
        </w:rPr>
      </w:pPr>
      <w:r w:rsidRPr="002816B1">
        <w:rPr>
          <w:rFonts w:cs="Times New Roman"/>
          <w:szCs w:val="24"/>
          <w:lang w:val="en-GB"/>
        </w:rPr>
        <w:t>In the forthcoming period, monetary policy decisions will continue to be taken cautiously, in line with the developments of key inflationary factors, including global uncertainty and capital flows, energy and food prices, as well as the dynamics of domestic demand growth and the characteristics of the upcoming agricultural season.</w:t>
      </w:r>
    </w:p>
    <w:p w:rsidR="0056106E" w:rsidRDefault="0056106E" w:rsidP="0056106E">
      <w:pPr>
        <w:rPr>
          <w:rFonts w:cs="Times New Roman"/>
          <w:szCs w:val="24"/>
          <w:lang w:val="en-GB"/>
        </w:rPr>
      </w:pPr>
      <w:r w:rsidRPr="002816B1">
        <w:rPr>
          <w:rFonts w:cs="Times New Roman"/>
          <w:szCs w:val="24"/>
          <w:lang w:val="en-GB"/>
        </w:rPr>
        <w:t>Regarding the recommendation: “</w:t>
      </w:r>
      <w:r w:rsidRPr="002816B1">
        <w:rPr>
          <w:rFonts w:cs="Times New Roman"/>
          <w:b/>
          <w:szCs w:val="24"/>
          <w:lang w:val="en-GB"/>
        </w:rPr>
        <w:t>Implement a credit registry to align bank credit information with EU-standard formats and ensure that measures affecting market-based risk pricing, such as interest rate caps, are well-targeted and adequately designed to avoid moral hazard</w:t>
      </w:r>
      <w:r w:rsidRPr="002816B1">
        <w:rPr>
          <w:rFonts w:cs="Times New Roman"/>
          <w:szCs w:val="24"/>
          <w:lang w:val="en-GB"/>
        </w:rPr>
        <w:t>”, the following should be noted:</w:t>
      </w:r>
    </w:p>
    <w:p w:rsidR="0056106E" w:rsidRPr="00585EB9" w:rsidRDefault="0056106E" w:rsidP="0056106E">
      <w:pPr>
        <w:rPr>
          <w:rFonts w:cs="Times New Roman"/>
          <w:szCs w:val="24"/>
          <w:lang w:val="en-GB"/>
        </w:rPr>
      </w:pPr>
      <w:r w:rsidRPr="00042805">
        <w:rPr>
          <w:rFonts w:cs="Times New Roman"/>
          <w:szCs w:val="24"/>
          <w:lang w:val="en-GB"/>
        </w:rPr>
        <w:t>The National Bank of Serbia (NBS) is continuously improving the reporting process within the banking system through the implementation of the new credit registry, introduced to enhance the quality, transparency, and accessibility of credit information in the financial system. As part of the rollout of the new Credit Registry, some banks are currently submitting data for testing purposes. Data validation is conducted to ensure accuracy, consistency, and completeness</w:t>
      </w:r>
      <w:r w:rsidRPr="00585EB9">
        <w:rPr>
          <w:rFonts w:cs="Times New Roman"/>
          <w:szCs w:val="24"/>
          <w:lang w:val="en-GB"/>
        </w:rPr>
        <w:t>.</w:t>
      </w:r>
    </w:p>
    <w:p w:rsidR="0056106E" w:rsidRPr="00585EB9" w:rsidRDefault="0056106E" w:rsidP="0056106E">
      <w:pPr>
        <w:rPr>
          <w:rFonts w:cs="Times New Roman"/>
          <w:szCs w:val="24"/>
          <w:lang w:val="en-GB"/>
        </w:rPr>
      </w:pPr>
      <w:r w:rsidRPr="00042805">
        <w:rPr>
          <w:rFonts w:cs="Times New Roman"/>
          <w:szCs w:val="24"/>
          <w:lang w:val="en-GB"/>
        </w:rPr>
        <w:t>The decision on temporary measures for banks regarding housing loans to individuals has successfully achieved its preventive objectives amid global interest rate volatility, preventing the emergence and growth of non-performing loans (NPLs) in the housing loan portfolio of the banking sector, thereby maintaining financial stability. Additionally, the new Law on the Protection of Financial Services Users, adopted in March 2025, has fulfilled its objectives by:</w:t>
      </w:r>
    </w:p>
    <w:p w:rsidR="00C74734" w:rsidRPr="00C74734" w:rsidRDefault="0056106E" w:rsidP="00C74734">
      <w:pPr>
        <w:pStyle w:val="ListParagraph"/>
        <w:numPr>
          <w:ilvl w:val="0"/>
          <w:numId w:val="38"/>
        </w:numPr>
        <w:rPr>
          <w:rFonts w:cs="Times New Roman"/>
          <w:sz w:val="24"/>
          <w:szCs w:val="24"/>
          <w:lang w:val="en-GB"/>
        </w:rPr>
      </w:pPr>
      <w:r w:rsidRPr="00C74734">
        <w:rPr>
          <w:rFonts w:cs="Times New Roman"/>
          <w:sz w:val="24"/>
          <w:szCs w:val="24"/>
          <w:lang w:val="en-GB"/>
        </w:rPr>
        <w:t>Preventing the charging of excessive interest rates on loans to individuals</w:t>
      </w:r>
      <w:r w:rsidR="00C74734" w:rsidRPr="00C74734">
        <w:rPr>
          <w:rFonts w:cs="Times New Roman"/>
          <w:sz w:val="24"/>
          <w:szCs w:val="24"/>
          <w:lang w:val="en-GB"/>
        </w:rPr>
        <w:t>;</w:t>
      </w:r>
    </w:p>
    <w:p w:rsidR="00C74734" w:rsidRPr="00C74734" w:rsidRDefault="0056106E" w:rsidP="00C74734">
      <w:pPr>
        <w:pStyle w:val="ListParagraph"/>
        <w:numPr>
          <w:ilvl w:val="0"/>
          <w:numId w:val="38"/>
        </w:numPr>
        <w:rPr>
          <w:rFonts w:cs="Times New Roman"/>
          <w:sz w:val="24"/>
          <w:szCs w:val="24"/>
          <w:lang w:val="en-GB"/>
        </w:rPr>
      </w:pPr>
      <w:r w:rsidRPr="00C74734">
        <w:rPr>
          <w:rFonts w:cs="Times New Roman"/>
          <w:sz w:val="24"/>
          <w:szCs w:val="24"/>
          <w:lang w:val="en-GB"/>
        </w:rPr>
        <w:t>In the event of a sharp and rapid increase in market interest rates, slowing down and amortising the resulting increase in interest rates paid by borrowers, thereby limiting interest rate risk exposure</w:t>
      </w:r>
      <w:r w:rsidR="00C74734" w:rsidRPr="00C74734">
        <w:rPr>
          <w:rFonts w:cs="Times New Roman"/>
          <w:sz w:val="24"/>
          <w:szCs w:val="24"/>
          <w:lang w:val="en-GB"/>
        </w:rPr>
        <w:t>;</w:t>
      </w:r>
    </w:p>
    <w:p w:rsidR="0056106E" w:rsidRPr="00C74734" w:rsidRDefault="0056106E" w:rsidP="00C74734">
      <w:pPr>
        <w:pStyle w:val="ListParagraph"/>
        <w:numPr>
          <w:ilvl w:val="0"/>
          <w:numId w:val="38"/>
        </w:numPr>
        <w:rPr>
          <w:rFonts w:cs="Times New Roman"/>
          <w:sz w:val="24"/>
          <w:szCs w:val="24"/>
          <w:lang w:val="en-GB"/>
        </w:rPr>
      </w:pPr>
      <w:r w:rsidRPr="00C74734">
        <w:rPr>
          <w:rFonts w:cs="Times New Roman"/>
          <w:sz w:val="24"/>
          <w:szCs w:val="24"/>
          <w:lang w:val="en-GB"/>
        </w:rPr>
        <w:t>Promoting lending with fixed interest rates.</w:t>
      </w:r>
    </w:p>
    <w:p w:rsidR="0056106E" w:rsidRDefault="0056106E" w:rsidP="0056106E">
      <w:pPr>
        <w:rPr>
          <w:rFonts w:cs="Times New Roman"/>
          <w:szCs w:val="24"/>
          <w:lang w:val="en-GB"/>
        </w:rPr>
      </w:pPr>
      <w:r w:rsidRPr="00042805">
        <w:rPr>
          <w:rFonts w:cs="Times New Roman"/>
          <w:szCs w:val="24"/>
          <w:lang w:val="en-GB"/>
        </w:rPr>
        <w:t>The effectiveness of this regulation is demonstrated by the fact that the NPL ratio further declined to 2.21% in August and September 2025, reaching a historical low, while the NPL indicator in the housing loan sector fell to only 1.13% in September 2025</w:t>
      </w:r>
    </w:p>
    <w:p w:rsidR="0056106E" w:rsidRPr="00585EB9" w:rsidRDefault="0056106E" w:rsidP="0056106E">
      <w:pPr>
        <w:rPr>
          <w:rFonts w:cs="Times New Roman"/>
          <w:szCs w:val="24"/>
          <w:lang w:val="en-GB"/>
        </w:rPr>
      </w:pPr>
      <w:r w:rsidRPr="00042805">
        <w:rPr>
          <w:rFonts w:cs="Times New Roman"/>
          <w:szCs w:val="24"/>
          <w:lang w:val="en-GB"/>
        </w:rPr>
        <w:t>Regarding the last part of the recommendation: “</w:t>
      </w:r>
      <w:r w:rsidRPr="00042805">
        <w:rPr>
          <w:rFonts w:cs="Times New Roman"/>
          <w:b/>
          <w:szCs w:val="24"/>
          <w:lang w:val="en-GB"/>
        </w:rPr>
        <w:t>Continue efforts to promote the use of the domestic currency, including enhancing long-term financing in the local currency, further supporting currency risk hedging, and raising awareness of risks related to foreign currency lending</w:t>
      </w:r>
      <w:r w:rsidRPr="00042805">
        <w:rPr>
          <w:rFonts w:cs="Times New Roman"/>
          <w:szCs w:val="24"/>
          <w:lang w:val="en-GB"/>
        </w:rPr>
        <w:t>”, the following measures have been implemented:</w:t>
      </w:r>
    </w:p>
    <w:p w:rsidR="0056106E" w:rsidRPr="00585EB9" w:rsidRDefault="0056106E" w:rsidP="0056106E">
      <w:pPr>
        <w:rPr>
          <w:rFonts w:cs="Times New Roman"/>
          <w:szCs w:val="24"/>
          <w:lang w:val="en-GB"/>
        </w:rPr>
      </w:pPr>
      <w:r w:rsidRPr="00042805">
        <w:rPr>
          <w:rFonts w:cs="Times New Roman"/>
          <w:szCs w:val="24"/>
          <w:lang w:val="en-GB"/>
        </w:rPr>
        <w:t>To encourage more favorable treatment of dinar-denominated funding sources for banks, the NBS applies lower reserve requirements on dinar sources, particularly long-term deposits</w:t>
      </w:r>
      <w:r>
        <w:rPr>
          <w:rFonts w:cs="Times New Roman"/>
          <w:szCs w:val="24"/>
          <w:lang w:val="en-GB"/>
        </w:rPr>
        <w:t>.</w:t>
      </w:r>
    </w:p>
    <w:p w:rsidR="0056106E" w:rsidRPr="00585EB9" w:rsidRDefault="0056106E" w:rsidP="0056106E">
      <w:pPr>
        <w:rPr>
          <w:rFonts w:cs="Times New Roman"/>
          <w:szCs w:val="24"/>
          <w:lang w:val="en-GB"/>
        </w:rPr>
      </w:pPr>
      <w:r w:rsidRPr="00042805">
        <w:rPr>
          <w:rFonts w:cs="Times New Roman"/>
          <w:szCs w:val="24"/>
          <w:lang w:val="en-GB"/>
        </w:rPr>
        <w:t>The NBS also ensures preferential treatment of dinar sources by paying interest on mandatory reserves held in dinars (currently 0.75%), while no interest is paid on mandatory re</w:t>
      </w:r>
      <w:r>
        <w:rPr>
          <w:rFonts w:cs="Times New Roman"/>
          <w:szCs w:val="24"/>
          <w:lang w:val="en-GB"/>
        </w:rPr>
        <w:t>serves held in foreign currency</w:t>
      </w:r>
      <w:r w:rsidRPr="00585EB9">
        <w:rPr>
          <w:rFonts w:cs="Times New Roman"/>
          <w:szCs w:val="24"/>
          <w:lang w:val="en-GB"/>
        </w:rPr>
        <w:t>.</w:t>
      </w:r>
    </w:p>
    <w:p w:rsidR="0056106E" w:rsidRDefault="0056106E" w:rsidP="0056106E">
      <w:pPr>
        <w:rPr>
          <w:rFonts w:cs="Times New Roman"/>
          <w:szCs w:val="24"/>
          <w:lang w:val="en-GB"/>
        </w:rPr>
      </w:pPr>
      <w:r w:rsidRPr="00042805">
        <w:rPr>
          <w:rFonts w:cs="Times New Roman"/>
          <w:szCs w:val="24"/>
          <w:lang w:val="en-GB"/>
        </w:rPr>
        <w:t>Since the beginning of 2025, the NBS has applied a measure (adopted in 2019) requiring banks to reduce the amount of capital when calculating capital adequacy if the share of newly approved foreign currency-indexed loans and foreign currency loans granted to the non-financial and non-governmental sectors after 1 July 2023, as well as dinar-denominated securities with a foreign currency clause or in foreign currency, exceeds the prescribed threshold (71% in 2025, 64% in 2026, 57% in 2027, and 50% thereafter)</w:t>
      </w:r>
    </w:p>
    <w:p w:rsidR="0056106E" w:rsidRPr="00585EB9" w:rsidRDefault="0056106E" w:rsidP="0056106E">
      <w:pPr>
        <w:rPr>
          <w:rFonts w:cs="Times New Roman"/>
          <w:szCs w:val="24"/>
          <w:lang w:val="en-GB"/>
        </w:rPr>
      </w:pPr>
      <w:r w:rsidRPr="00042805">
        <w:rPr>
          <w:rFonts w:cs="Times New Roman"/>
          <w:szCs w:val="24"/>
          <w:lang w:val="en-GB"/>
        </w:rPr>
        <w:lastRenderedPageBreak/>
        <w:t>To limit systemic euroisation risk, a capital buffer for structural systemic risk has been applied since June 2017. It is currently maintained at 3% of total foreign currency and foreign currency-indexed exposures of banks to corporations and households in Serbia. All banks whose share of foreign currency and foreign currency-indexed exposures to corporations and households exceeds 10% of total exposures are required to maintain the systemic buffer</w:t>
      </w:r>
      <w:r>
        <w:rPr>
          <w:rFonts w:cs="Times New Roman"/>
          <w:szCs w:val="24"/>
          <w:lang w:val="en-GB"/>
        </w:rPr>
        <w:t xml:space="preserve">. </w:t>
      </w:r>
      <w:r w:rsidRPr="00042805">
        <w:rPr>
          <w:rFonts w:cs="Times New Roman"/>
          <w:szCs w:val="24"/>
          <w:lang w:val="en-GB"/>
        </w:rPr>
        <w:t>The obligation is reviewed at least once every two years. The most recent review in 2024 concluded that the decision on the level and maintenance method of the systemic buffer should be retained.</w:t>
      </w:r>
    </w:p>
    <w:p w:rsidR="0056106E" w:rsidRDefault="0056106E" w:rsidP="0056106E">
      <w:pPr>
        <w:rPr>
          <w:rFonts w:cs="Times New Roman"/>
          <w:szCs w:val="24"/>
          <w:lang w:val="en-GB"/>
        </w:rPr>
      </w:pPr>
      <w:r w:rsidRPr="00042805">
        <w:rPr>
          <w:rFonts w:cs="Times New Roman"/>
          <w:szCs w:val="24"/>
          <w:lang w:val="en-GB"/>
        </w:rPr>
        <w:t>The National Bank of Serbia (NBS) continues to allow banks to conclude bilateral swap transactions as a form of support in managing both dinar and foreign currency liquidity and overcoming insufficient limits for interbank trading. In these transactions, the NBS acts as an intermediary between the two banks, without affecting the overall dinar and euro liquidity of the banking sector</w:t>
      </w:r>
      <w:r>
        <w:rPr>
          <w:rFonts w:cs="Times New Roman"/>
          <w:szCs w:val="24"/>
          <w:lang w:val="en-GB"/>
        </w:rPr>
        <w:t>.</w:t>
      </w:r>
    </w:p>
    <w:p w:rsidR="0056106E" w:rsidRPr="009E35C8" w:rsidRDefault="0056106E" w:rsidP="0056106E">
      <w:pPr>
        <w:rPr>
          <w:rFonts w:cs="Times New Roman"/>
          <w:szCs w:val="24"/>
          <w:lang w:val="en-GB"/>
        </w:rPr>
      </w:pPr>
      <w:r w:rsidRPr="00042805">
        <w:rPr>
          <w:rFonts w:cs="Times New Roman"/>
          <w:szCs w:val="24"/>
          <w:lang w:val="en-GB"/>
        </w:rPr>
        <w:t>The NBS continues to publish the quarterly Report on the Dinarisation of the Domestic Financial System and the semi-annual Analysis of the Profitability of Dinar Savings, aimed at promoting increased use of the domestic currency</w:t>
      </w:r>
      <w:r w:rsidRPr="00585EB9">
        <w:rPr>
          <w:rFonts w:cs="Times New Roman"/>
          <w:szCs w:val="24"/>
          <w:lang w:val="en-GB"/>
        </w:rPr>
        <w:t>.</w:t>
      </w:r>
    </w:p>
    <w:p w:rsidR="0056106E" w:rsidRPr="00002D92" w:rsidRDefault="0056106E" w:rsidP="006C04C7">
      <w:pPr>
        <w:rPr>
          <w:rFonts w:cs="Times New Roman"/>
          <w:szCs w:val="24"/>
          <w:lang w:val="sr-Cyrl-RS"/>
        </w:rPr>
      </w:pPr>
    </w:p>
    <w:p w:rsidR="00165976" w:rsidRDefault="00165976">
      <w:pPr>
        <w:spacing w:after="160" w:line="259" w:lineRule="auto"/>
        <w:jc w:val="left"/>
        <w:rPr>
          <w:rFonts w:cs="Times New Roman"/>
          <w:b/>
          <w:szCs w:val="24"/>
          <w:lang w:val="sr-Latn-RS"/>
        </w:rPr>
      </w:pPr>
      <w:bookmarkStart w:id="7" w:name="_Toc185342327"/>
      <w:r>
        <w:rPr>
          <w:rFonts w:cs="Times New Roman"/>
          <w:b/>
          <w:szCs w:val="24"/>
          <w:lang w:val="sr-Latn-RS"/>
        </w:rPr>
        <w:br w:type="page"/>
      </w:r>
    </w:p>
    <w:p w:rsidR="006C04C7" w:rsidRPr="0056106E" w:rsidRDefault="006C04C7" w:rsidP="0056106E">
      <w:pPr>
        <w:spacing w:after="240"/>
        <w:rPr>
          <w:rFonts w:cs="Times New Roman"/>
          <w:szCs w:val="24"/>
          <w:lang w:val="sr-Cyrl-RS"/>
        </w:rPr>
      </w:pPr>
      <w:r w:rsidRPr="00002D92">
        <w:rPr>
          <w:rFonts w:cs="Times New Roman"/>
          <w:b/>
          <w:szCs w:val="24"/>
          <w:lang w:val="sr-Latn-RS"/>
        </w:rPr>
        <w:lastRenderedPageBreak/>
        <w:t xml:space="preserve">3. </w:t>
      </w:r>
      <w:bookmarkEnd w:id="7"/>
      <w:r w:rsidR="0013195C" w:rsidRPr="0013195C">
        <w:rPr>
          <w:rFonts w:cs="Times New Roman"/>
          <w:b/>
          <w:szCs w:val="24"/>
          <w:lang w:val="sr-Latn-RS"/>
        </w:rPr>
        <w:t>MACROECONOMIC FRAMEWORK</w:t>
      </w:r>
    </w:p>
    <w:p w:rsidR="006C04C7" w:rsidRPr="00002D92" w:rsidRDefault="006C04C7" w:rsidP="006C04C7">
      <w:pPr>
        <w:pStyle w:val="Heading11"/>
        <w:spacing w:before="180" w:after="180"/>
        <w:rPr>
          <w:rFonts w:ascii="Times New Roman" w:hAnsi="Times New Roman" w:cs="Times New Roman"/>
          <w:color w:val="auto"/>
          <w:sz w:val="24"/>
          <w:szCs w:val="24"/>
          <w:lang w:val="sr-Latn-RS"/>
        </w:rPr>
      </w:pPr>
      <w:bookmarkStart w:id="8" w:name="_Toc185342328"/>
      <w:bookmarkStart w:id="9" w:name="_Toc221106868"/>
      <w:r w:rsidRPr="00002D92">
        <w:rPr>
          <w:rFonts w:ascii="Times New Roman" w:hAnsi="Times New Roman" w:cs="Times New Roman"/>
          <w:color w:val="auto"/>
          <w:sz w:val="24"/>
          <w:szCs w:val="24"/>
          <w:lang w:val="sr-Latn-RS"/>
        </w:rPr>
        <w:t xml:space="preserve">3.1. </w:t>
      </w:r>
      <w:bookmarkEnd w:id="8"/>
      <w:r w:rsidR="0013195C">
        <w:rPr>
          <w:rFonts w:ascii="Times New Roman" w:hAnsi="Times New Roman" w:cs="Times New Roman"/>
          <w:color w:val="auto"/>
          <w:sz w:val="24"/>
          <w:szCs w:val="24"/>
          <w:lang w:val="sr-Latn-RS"/>
        </w:rPr>
        <w:t>ESTIMATES OF THE INTERNATIONAL ECONOMIC ENVIRONMENT</w:t>
      </w:r>
      <w:bookmarkEnd w:id="9"/>
    </w:p>
    <w:p w:rsidR="0013195C" w:rsidRDefault="0013195C" w:rsidP="0013195C">
      <w:pPr>
        <w:pStyle w:val="NormalWeb"/>
      </w:pPr>
      <w:r w:rsidRPr="00A30F6B">
        <w:t xml:space="preserve">According to the European Commission's (EC) autumn forecast, EU economic growth will be 1.4% in 2025, an upward revision of 0.3 pp compared to the spring forecast. Economic activity exceeded expectations in the first nine months of the year, mainly due to a surge in exports ahead of the announced tariff hike. At the same time, investment in equipment and intangible assets also performed better than initially projected. Household disposable income continued to grow in the first half of 2025; however, due to deteriorating consumer confidence, a significant part of this additional income was directed towards savings, reflecting a decline in households' willingness to spend in conditions of increased uncertainty. The household saving rate was 14.7% in the first and 15.0% in the second quarter of 2025, </w:t>
      </w:r>
      <w:r>
        <w:t xml:space="preserve">which is </w:t>
      </w:r>
      <w:r w:rsidRPr="00A30F6B">
        <w:t>above the pre-pandemic average. These factors led to somewhat slower growth in private consumption compared to earlier expectations, while government spending continued to support economic activity, primarily thanks to the growth in public sector employment. Investment activity showed variable dynamics: growth of 2.1% was recorded in the first quarter, while a decline of 1.6% was recorded in the second quarter. EU exports of goods and services recorded a higher-than-expected growth, mainly due to early deliveries motivated by the expected increase in import tariffs in the US. As the effect of these one-off deliveries diminishes, export growth is expected to slow significantly in the rest of the year. EU imports also grew faster than expected, partly due to increased domestic demand for intermediate goods necessary for growing export activity, but also due to early purchases ahead of announced changes in tariff policies in trading partners, which encouraged companies to accelerate import orders to avoid higher future costs.</w:t>
      </w:r>
    </w:p>
    <w:p w:rsidR="0013195C" w:rsidRPr="006C04C7" w:rsidRDefault="0013195C" w:rsidP="0013195C">
      <w:pPr>
        <w:pStyle w:val="NormalWeb"/>
        <w:rPr>
          <w:lang w:val="sr-Cyrl-RS"/>
        </w:rPr>
      </w:pPr>
      <w:r w:rsidRPr="00A30F6B">
        <w:t>A moderate but steady strengthening of domestic demand is expected to be a key driver of economic growth in the medium term. A resilient labo</w:t>
      </w:r>
      <w:r w:rsidR="00AB0237">
        <w:t>u</w:t>
      </w:r>
      <w:r w:rsidRPr="00A30F6B">
        <w:t xml:space="preserve">r market and a further slowdown in inflation should continue to support real household incomes and private consumption, at a pace broadly in line with the spring projections. Private consumption will continue to make a steady contribution to GDP growth in 2026 and 2027, increasing by 1.5% in both years, supported by rising disposable income and a gradual decline in the savings rate. Investment activity is expected to accelerate in the coming period, driven by a number of factors: a recovery in demand and corporate profitability, more favorable financing conditions, continued credit support, available EU funds, and increased defense spending. The expected recovery in consumer confidence and the gradual strengthening of household purchasing power should support continued growth in domestic demand, although a more dynamic recovery in construction investment may be achieved with some delay. Export growth is projected to remain weak in 2026 — and at a lower level than in the spring estimates — due to a slowdown in merchandise exports. Exports are expected to recover in 2027, in line with the expected improvement in global trade. Imports are expected to continue to grow, primarily as a result of a recovery in domestic demand, increased investment activity and the need for higher volumes of imported intermediate goods in the manufacturing sector, as well as due to a gradual strengthening of private and public consumption in the medium term. This dynamic of export-import activity will result in a negative contribution of net exports to economic growth in 2026, while its neutral position is expected in 2027. Economic developments in Serbia's most important foreign trade partners from the EU — primarily Germany and Italy — continue to be strongly influenced by the conflict in Ukraine, the introduced tariffs on exports, and problems in the industrial sector, which negatively affects all components of economic growth. It is estimated that the German economy will achieve a slight growth of 0.2% in 2025 (compared to the previously expected stagnation), while the growth projection for 2026 has been revised upwards from 1.1% to 1.2%. Italy is expected to grow by 0.4% in 2025, while growth of 0.8% is forecast for 2026, a downward revision of 0.1 pp compared to the spring forecast. Uncertainty and risks to the projections remain high and stem from the ongoing conflicts in Ukraine and the Middle </w:t>
      </w:r>
      <w:r w:rsidRPr="00A30F6B">
        <w:lastRenderedPageBreak/>
        <w:t>East, the negative effects of protectionist measures and tariffs on global trade, and the increasing effects of climate change.</w:t>
      </w:r>
    </w:p>
    <w:tbl>
      <w:tblPr>
        <w:tblW w:w="9140" w:type="dxa"/>
        <w:jc w:val="center"/>
        <w:tblLayout w:type="fixed"/>
        <w:tblLook w:val="04A0" w:firstRow="1" w:lastRow="0" w:firstColumn="1" w:lastColumn="0" w:noHBand="0" w:noVBand="1"/>
      </w:tblPr>
      <w:tblGrid>
        <w:gridCol w:w="3601"/>
        <w:gridCol w:w="830"/>
        <w:gridCol w:w="1107"/>
        <w:gridCol w:w="831"/>
        <w:gridCol w:w="832"/>
        <w:gridCol w:w="1107"/>
        <w:gridCol w:w="832"/>
      </w:tblGrid>
      <w:tr w:rsidR="0013195C" w:rsidRPr="00F82D20" w:rsidTr="00F82D20">
        <w:trPr>
          <w:trHeight w:val="312"/>
          <w:jc w:val="center"/>
        </w:trPr>
        <w:tc>
          <w:tcPr>
            <w:tcW w:w="9140" w:type="dxa"/>
            <w:gridSpan w:val="7"/>
            <w:tcBorders>
              <w:top w:val="nil"/>
              <w:left w:val="nil"/>
              <w:bottom w:val="single" w:sz="8" w:space="0" w:color="002060"/>
              <w:right w:val="nil"/>
            </w:tcBorders>
          </w:tcPr>
          <w:p w:rsidR="0013195C" w:rsidRPr="00F82D20" w:rsidRDefault="0013195C" w:rsidP="005B0ABF">
            <w:pPr>
              <w:spacing w:after="0"/>
              <w:rPr>
                <w:rFonts w:cs="Times New Roman"/>
                <w:i/>
                <w:color w:val="FF0000"/>
                <w:sz w:val="20"/>
                <w:szCs w:val="20"/>
                <w:lang w:val="sr-Cyrl-RS"/>
              </w:rPr>
            </w:pPr>
            <w:r w:rsidRPr="00F82D20">
              <w:rPr>
                <w:rFonts w:cs="Times New Roman"/>
                <w:i/>
                <w:sz w:val="20"/>
                <w:szCs w:val="20"/>
                <w:lang w:val="sr-Cyrl-RS"/>
              </w:rPr>
              <w:t xml:space="preserve">Table 1. Macroeconomic projections for </w:t>
            </w:r>
            <w:r w:rsidRPr="00F82D20">
              <w:rPr>
                <w:rFonts w:cs="Times New Roman"/>
                <w:i/>
                <w:sz w:val="20"/>
                <w:szCs w:val="20"/>
              </w:rPr>
              <w:t>EU</w:t>
            </w:r>
            <w:r w:rsidRPr="00F82D20">
              <w:rPr>
                <w:rFonts w:cs="Times New Roman"/>
                <w:i/>
                <w:sz w:val="20"/>
                <w:szCs w:val="20"/>
                <w:lang w:val="sr-Cyrl-RS"/>
              </w:rPr>
              <w:t>, changes compared to the previous year, %</w:t>
            </w:r>
          </w:p>
        </w:tc>
      </w:tr>
      <w:tr w:rsidR="0013195C" w:rsidRPr="00F82D20" w:rsidTr="00F82D20">
        <w:trPr>
          <w:trHeight w:val="356"/>
          <w:jc w:val="center"/>
        </w:trPr>
        <w:tc>
          <w:tcPr>
            <w:tcW w:w="3601" w:type="dxa"/>
            <w:tcBorders>
              <w:top w:val="nil"/>
              <w:left w:val="nil"/>
              <w:bottom w:val="single" w:sz="8" w:space="0" w:color="002060"/>
              <w:right w:val="nil"/>
            </w:tcBorders>
            <w:shd w:val="clear" w:color="auto" w:fill="auto"/>
            <w:noWrap/>
            <w:vAlign w:val="center"/>
            <w:hideMark/>
          </w:tcPr>
          <w:p w:rsidR="0013195C" w:rsidRPr="00F82D20" w:rsidRDefault="0013195C" w:rsidP="005B0ABF">
            <w:pPr>
              <w:spacing w:after="0"/>
              <w:jc w:val="center"/>
              <w:rPr>
                <w:rFonts w:eastAsia="Times New Roman" w:cs="Times New Roman"/>
                <w:color w:val="FF0000"/>
                <w:sz w:val="20"/>
                <w:szCs w:val="20"/>
                <w:lang w:val="sr-Cyrl-RS" w:eastAsia="en-GB"/>
              </w:rPr>
            </w:pPr>
            <w:r w:rsidRPr="00F82D20">
              <w:rPr>
                <w:rFonts w:eastAsia="Times New Roman" w:cs="Times New Roman"/>
                <w:color w:val="FF0000"/>
                <w:sz w:val="20"/>
                <w:szCs w:val="20"/>
                <w:lang w:val="sr-Cyrl-RS" w:eastAsia="en-GB"/>
              </w:rPr>
              <w:t> </w:t>
            </w:r>
          </w:p>
        </w:tc>
        <w:tc>
          <w:tcPr>
            <w:tcW w:w="3600" w:type="dxa"/>
            <w:gridSpan w:val="4"/>
            <w:tcBorders>
              <w:top w:val="single" w:sz="4" w:space="0" w:color="auto"/>
              <w:left w:val="nil"/>
              <w:bottom w:val="single" w:sz="8" w:space="0" w:color="002060"/>
              <w:right w:val="single" w:sz="8" w:space="0" w:color="auto"/>
            </w:tcBorders>
            <w:shd w:val="clear" w:color="auto" w:fill="auto"/>
            <w:noWrap/>
            <w:vAlign w:val="center"/>
            <w:hideMark/>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eastAsia="en-GB"/>
              </w:rPr>
              <w:t>Current projections</w:t>
            </w:r>
          </w:p>
        </w:tc>
        <w:tc>
          <w:tcPr>
            <w:tcW w:w="1939" w:type="dxa"/>
            <w:gridSpan w:val="2"/>
            <w:tcBorders>
              <w:top w:val="single" w:sz="8" w:space="0" w:color="auto"/>
              <w:left w:val="single" w:sz="8" w:space="0" w:color="auto"/>
              <w:bottom w:val="single" w:sz="8" w:space="0" w:color="002060"/>
            </w:tcBorders>
            <w:shd w:val="clear" w:color="auto" w:fill="auto"/>
            <w:noWrap/>
            <w:vAlign w:val="center"/>
            <w:hideMark/>
          </w:tcPr>
          <w:p w:rsidR="0013195C" w:rsidRPr="00F82D20" w:rsidRDefault="0013195C" w:rsidP="005B0ABF">
            <w:pPr>
              <w:spacing w:after="0"/>
              <w:jc w:val="center"/>
              <w:rPr>
                <w:rFonts w:eastAsia="Times New Roman" w:cs="Times New Roman"/>
                <w:sz w:val="20"/>
                <w:szCs w:val="20"/>
                <w:lang w:eastAsia="en-GB"/>
              </w:rPr>
            </w:pPr>
            <w:r w:rsidRPr="00F82D20">
              <w:rPr>
                <w:rFonts w:eastAsia="Times New Roman" w:cs="Times New Roman"/>
                <w:sz w:val="20"/>
                <w:szCs w:val="20"/>
                <w:lang w:eastAsia="en-GB"/>
              </w:rPr>
              <w:t>Previous</w:t>
            </w:r>
            <w:r w:rsidRPr="00F82D20">
              <w:rPr>
                <w:rFonts w:eastAsia="Times New Roman" w:cs="Times New Roman"/>
                <w:sz w:val="20"/>
                <w:szCs w:val="20"/>
                <w:lang w:val="sr-Cyrl-RS" w:eastAsia="en-GB"/>
              </w:rPr>
              <w:t xml:space="preserve"> (</w:t>
            </w:r>
            <w:r w:rsidRPr="00F82D20">
              <w:rPr>
                <w:rFonts w:eastAsia="Times New Roman" w:cs="Times New Roman"/>
                <w:sz w:val="20"/>
                <w:szCs w:val="20"/>
                <w:lang w:eastAsia="en-GB"/>
              </w:rPr>
              <w:t>spring</w:t>
            </w:r>
            <w:r w:rsidRPr="00F82D20">
              <w:rPr>
                <w:rFonts w:eastAsia="Times New Roman" w:cs="Times New Roman"/>
                <w:sz w:val="20"/>
                <w:szCs w:val="20"/>
                <w:lang w:val="sr-Cyrl-RS" w:eastAsia="en-GB"/>
              </w:rPr>
              <w:t xml:space="preserve">) </w:t>
            </w:r>
            <w:r w:rsidRPr="00F82D20">
              <w:rPr>
                <w:rFonts w:eastAsia="Times New Roman" w:cs="Times New Roman"/>
                <w:sz w:val="20"/>
                <w:szCs w:val="20"/>
                <w:lang w:eastAsia="en-GB"/>
              </w:rPr>
              <w:t>projections</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jc w:val="center"/>
              <w:rPr>
                <w:rFonts w:eastAsia="Times New Roman" w:cs="Times New Roman"/>
                <w:color w:val="FF0000"/>
                <w:sz w:val="20"/>
                <w:szCs w:val="20"/>
                <w:lang w:val="sr-Cyrl-RS" w:eastAsia="en-GB"/>
              </w:rPr>
            </w:pPr>
          </w:p>
        </w:tc>
        <w:tc>
          <w:tcPr>
            <w:tcW w:w="830" w:type="dxa"/>
            <w:tcBorders>
              <w:top w:val="nil"/>
              <w:left w:val="nil"/>
              <w:bottom w:val="single" w:sz="8" w:space="0" w:color="002060"/>
              <w:right w:val="nil"/>
            </w:tcBorders>
            <w:shd w:val="clear" w:color="auto" w:fill="auto"/>
            <w:noWrap/>
            <w:vAlign w:val="center"/>
            <w:hideMark/>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2024</w:t>
            </w:r>
          </w:p>
        </w:tc>
        <w:tc>
          <w:tcPr>
            <w:tcW w:w="1107" w:type="dxa"/>
            <w:tcBorders>
              <w:top w:val="nil"/>
              <w:left w:val="nil"/>
              <w:bottom w:val="single" w:sz="8" w:space="0" w:color="002060"/>
              <w:right w:val="nil"/>
            </w:tcBorders>
            <w:shd w:val="clear" w:color="auto" w:fill="auto"/>
            <w:noWrap/>
            <w:vAlign w:val="center"/>
            <w:hideMark/>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2025</w:t>
            </w:r>
          </w:p>
        </w:tc>
        <w:tc>
          <w:tcPr>
            <w:tcW w:w="831" w:type="dxa"/>
            <w:tcBorders>
              <w:top w:val="nil"/>
              <w:left w:val="nil"/>
              <w:bottom w:val="single" w:sz="8" w:space="0" w:color="002060"/>
            </w:tcBorders>
            <w:shd w:val="clear" w:color="auto" w:fill="auto"/>
            <w:noWrap/>
            <w:vAlign w:val="center"/>
            <w:hideMark/>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2026</w:t>
            </w:r>
          </w:p>
        </w:tc>
        <w:tc>
          <w:tcPr>
            <w:tcW w:w="830" w:type="dxa"/>
            <w:tcBorders>
              <w:top w:val="nil"/>
              <w:left w:val="nil"/>
              <w:bottom w:val="single" w:sz="8" w:space="0" w:color="002060"/>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2027</w:t>
            </w:r>
          </w:p>
        </w:tc>
        <w:tc>
          <w:tcPr>
            <w:tcW w:w="1107" w:type="dxa"/>
            <w:tcBorders>
              <w:top w:val="nil"/>
              <w:left w:val="single" w:sz="8" w:space="0" w:color="auto"/>
              <w:bottom w:val="single" w:sz="8" w:space="0" w:color="002060"/>
              <w:right w:val="nil"/>
            </w:tcBorders>
            <w:shd w:val="clear" w:color="auto" w:fill="auto"/>
            <w:noWrap/>
            <w:vAlign w:val="center"/>
            <w:hideMark/>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2025</w:t>
            </w:r>
          </w:p>
        </w:tc>
        <w:tc>
          <w:tcPr>
            <w:tcW w:w="831" w:type="dxa"/>
            <w:tcBorders>
              <w:top w:val="nil"/>
              <w:left w:val="nil"/>
              <w:bottom w:val="single" w:sz="8" w:space="0" w:color="002060"/>
            </w:tcBorders>
            <w:shd w:val="clear" w:color="auto" w:fill="auto"/>
            <w:vAlign w:val="center"/>
            <w:hideMark/>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2026</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rPr>
                <w:rFonts w:eastAsia="Times New Roman" w:cs="Times New Roman"/>
                <w:sz w:val="20"/>
                <w:szCs w:val="20"/>
                <w:lang w:eastAsia="en-GB"/>
              </w:rPr>
            </w:pPr>
            <w:r w:rsidRPr="00F82D20">
              <w:rPr>
                <w:rFonts w:eastAsia="Times New Roman" w:cs="Times New Roman"/>
                <w:sz w:val="20"/>
                <w:szCs w:val="20"/>
                <w:lang w:eastAsia="en-GB"/>
              </w:rPr>
              <w:t>GDP</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1</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1</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ind w:firstLine="340"/>
              <w:rPr>
                <w:rFonts w:eastAsia="Times New Roman" w:cs="Times New Roman"/>
                <w:sz w:val="20"/>
                <w:szCs w:val="20"/>
                <w:lang w:val="sr-Cyrl-RS" w:eastAsia="en-GB"/>
              </w:rPr>
            </w:pPr>
            <w:r w:rsidRPr="00F82D20">
              <w:rPr>
                <w:rFonts w:eastAsia="Times New Roman" w:cs="Times New Roman"/>
                <w:sz w:val="20"/>
                <w:szCs w:val="20"/>
                <w:lang w:eastAsia="en-GB"/>
              </w:rPr>
              <w:t>Private consumption</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6</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ind w:firstLine="340"/>
              <w:rPr>
                <w:rFonts w:eastAsia="Times New Roman" w:cs="Times New Roman"/>
                <w:sz w:val="20"/>
                <w:szCs w:val="20"/>
                <w:lang w:val="sr-Cyrl-RS" w:eastAsia="en-GB"/>
              </w:rPr>
            </w:pPr>
            <w:r w:rsidRPr="00F82D20">
              <w:rPr>
                <w:rFonts w:eastAsia="Times New Roman" w:cs="Times New Roman"/>
                <w:sz w:val="20"/>
                <w:szCs w:val="20"/>
                <w:lang w:eastAsia="en-GB"/>
              </w:rPr>
              <w:t>Public consumption</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8</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2</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7</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ind w:firstLine="340"/>
              <w:rPr>
                <w:rFonts w:eastAsia="Times New Roman" w:cs="Times New Roman"/>
                <w:sz w:val="20"/>
                <w:szCs w:val="20"/>
                <w:lang w:val="sr-Cyrl-RS" w:eastAsia="en-GB"/>
              </w:rPr>
            </w:pPr>
            <w:r w:rsidRPr="00F82D20">
              <w:rPr>
                <w:rFonts w:eastAsia="Times New Roman" w:cs="Times New Roman"/>
                <w:sz w:val="20"/>
                <w:szCs w:val="20"/>
                <w:lang w:eastAsia="en-GB"/>
              </w:rPr>
              <w:t>Gross fixed capital formation</w:t>
            </w:r>
            <w:r w:rsidRPr="00F82D20">
              <w:rPr>
                <w:rFonts w:eastAsia="Times New Roman" w:cs="Times New Roman"/>
                <w:sz w:val="20"/>
                <w:szCs w:val="20"/>
                <w:lang w:val="sr-Cyrl-RS" w:eastAsia="en-GB"/>
              </w:rPr>
              <w:t xml:space="preserve"> </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9</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0</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7</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ind w:firstLine="340"/>
              <w:rPr>
                <w:rFonts w:eastAsia="Times New Roman" w:cs="Times New Roman"/>
                <w:sz w:val="20"/>
                <w:szCs w:val="20"/>
                <w:lang w:eastAsia="en-GB"/>
              </w:rPr>
            </w:pPr>
            <w:r w:rsidRPr="00F82D20">
              <w:rPr>
                <w:rFonts w:eastAsia="Times New Roman" w:cs="Times New Roman"/>
                <w:sz w:val="20"/>
                <w:szCs w:val="20"/>
                <w:lang w:eastAsia="en-GB"/>
              </w:rPr>
              <w:t>Exports</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8</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6</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6</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7</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1</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ind w:firstLine="340"/>
              <w:rPr>
                <w:rFonts w:eastAsia="Times New Roman" w:cs="Times New Roman"/>
                <w:sz w:val="20"/>
                <w:szCs w:val="20"/>
                <w:lang w:eastAsia="en-GB"/>
              </w:rPr>
            </w:pPr>
            <w:r w:rsidRPr="00F82D20">
              <w:rPr>
                <w:rFonts w:eastAsia="Times New Roman" w:cs="Times New Roman"/>
                <w:sz w:val="20"/>
                <w:szCs w:val="20"/>
                <w:lang w:eastAsia="en-GB"/>
              </w:rPr>
              <w:t>Imports</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0</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6</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7</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rPr>
                <w:rFonts w:eastAsia="Times New Roman" w:cs="Times New Roman"/>
                <w:sz w:val="20"/>
                <w:szCs w:val="20"/>
                <w:lang w:eastAsia="en-GB"/>
              </w:rPr>
            </w:pPr>
            <w:r w:rsidRPr="00F82D20">
              <w:rPr>
                <w:rFonts w:eastAsia="Times New Roman" w:cs="Times New Roman"/>
                <w:sz w:val="20"/>
                <w:szCs w:val="20"/>
                <w:lang w:eastAsia="en-GB"/>
              </w:rPr>
              <w:t>Employment</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8</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0</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rPr>
                <w:rFonts w:eastAsia="Times New Roman" w:cs="Times New Roman"/>
                <w:sz w:val="20"/>
                <w:szCs w:val="20"/>
                <w:lang w:val="sr-Cyrl-RS" w:eastAsia="en-GB"/>
              </w:rPr>
            </w:pPr>
            <w:r w:rsidRPr="00F82D20">
              <w:rPr>
                <w:rFonts w:eastAsia="Times New Roman" w:cs="Times New Roman"/>
                <w:sz w:val="20"/>
                <w:szCs w:val="20"/>
                <w:lang w:eastAsia="en-GB"/>
              </w:rPr>
              <w:t>Unemployment rate</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5</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9</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5</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9</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5</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9</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5</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8</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5</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9</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5</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7</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rPr>
                <w:rFonts w:eastAsia="Times New Roman" w:cs="Times New Roman"/>
                <w:sz w:val="20"/>
                <w:szCs w:val="20"/>
                <w:lang w:eastAsia="en-GB"/>
              </w:rPr>
            </w:pPr>
            <w:r w:rsidRPr="00F82D20">
              <w:rPr>
                <w:rFonts w:eastAsia="Times New Roman" w:cs="Times New Roman"/>
                <w:sz w:val="20"/>
                <w:szCs w:val="20"/>
                <w:lang w:eastAsia="en-GB"/>
              </w:rPr>
              <w:t>Inflation rate</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6</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1</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2</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9</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rPr>
                <w:rFonts w:eastAsia="Times New Roman" w:cs="Times New Roman"/>
                <w:sz w:val="20"/>
                <w:szCs w:val="20"/>
                <w:lang w:val="sr-Cyrl-RS" w:eastAsia="en-GB"/>
              </w:rPr>
            </w:pPr>
            <w:r w:rsidRPr="00F82D20">
              <w:rPr>
                <w:rFonts w:eastAsia="Times New Roman" w:cs="Times New Roman"/>
                <w:sz w:val="20"/>
                <w:szCs w:val="20"/>
                <w:lang w:eastAsia="en-GB"/>
              </w:rPr>
              <w:t>Unit labor costs</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4</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8</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2</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1</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9</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1</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0</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rPr>
                <w:rFonts w:eastAsia="Times New Roman" w:cs="Times New Roman"/>
                <w:sz w:val="20"/>
                <w:szCs w:val="20"/>
                <w:lang w:eastAsia="en-GB"/>
              </w:rPr>
            </w:pPr>
            <w:r w:rsidRPr="00F82D20">
              <w:rPr>
                <w:rFonts w:eastAsia="Times New Roman" w:cs="Times New Roman"/>
                <w:sz w:val="20"/>
                <w:szCs w:val="20"/>
                <w:lang w:eastAsia="en-GB"/>
              </w:rPr>
              <w:t>Net lending/borrowing</w:t>
            </w:r>
            <w:r w:rsidRPr="00F82D20">
              <w:rPr>
                <w:rFonts w:eastAsia="Times New Roman" w:cs="Times New Roman"/>
                <w:sz w:val="20"/>
                <w:szCs w:val="20"/>
                <w:lang w:val="sr-Cyrl-RS" w:eastAsia="en-GB"/>
              </w:rPr>
              <w:t xml:space="preserve">, % </w:t>
            </w:r>
            <w:r w:rsidRPr="00F82D20">
              <w:rPr>
                <w:rFonts w:eastAsia="Times New Roman" w:cs="Times New Roman"/>
                <w:sz w:val="20"/>
                <w:szCs w:val="20"/>
                <w:lang w:eastAsia="en-GB"/>
              </w:rPr>
              <w:t>GDP</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1</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r>
      <w:tr w:rsidR="0013195C" w:rsidRPr="00F82D20" w:rsidTr="00F82D20">
        <w:trPr>
          <w:trHeight w:val="280"/>
          <w:jc w:val="center"/>
        </w:trPr>
        <w:tc>
          <w:tcPr>
            <w:tcW w:w="3601" w:type="dxa"/>
            <w:tcBorders>
              <w:top w:val="nil"/>
              <w:left w:val="nil"/>
              <w:bottom w:val="nil"/>
              <w:right w:val="nil"/>
            </w:tcBorders>
            <w:shd w:val="clear" w:color="auto" w:fill="auto"/>
            <w:noWrap/>
            <w:vAlign w:val="center"/>
            <w:hideMark/>
          </w:tcPr>
          <w:p w:rsidR="0013195C" w:rsidRPr="00F82D20" w:rsidRDefault="0013195C" w:rsidP="005B0ABF">
            <w:pPr>
              <w:spacing w:after="0"/>
              <w:rPr>
                <w:rFonts w:eastAsia="Times New Roman" w:cs="Times New Roman"/>
                <w:sz w:val="20"/>
                <w:szCs w:val="20"/>
                <w:lang w:eastAsia="en-GB"/>
              </w:rPr>
            </w:pPr>
            <w:r w:rsidRPr="00F82D20">
              <w:rPr>
                <w:rFonts w:eastAsia="Times New Roman" w:cs="Times New Roman"/>
                <w:sz w:val="20"/>
                <w:szCs w:val="20"/>
                <w:lang w:eastAsia="en-GB"/>
              </w:rPr>
              <w:t>Gross public debt</w:t>
            </w:r>
            <w:r w:rsidRPr="00F82D20">
              <w:rPr>
                <w:rFonts w:eastAsia="Times New Roman" w:cs="Times New Roman"/>
                <w:sz w:val="20"/>
                <w:szCs w:val="20"/>
                <w:lang w:val="sr-Cyrl-RS" w:eastAsia="en-GB"/>
              </w:rPr>
              <w:t xml:space="preserve">, % </w:t>
            </w:r>
            <w:r w:rsidRPr="00F82D20">
              <w:rPr>
                <w:rFonts w:eastAsia="Times New Roman" w:cs="Times New Roman"/>
                <w:sz w:val="20"/>
                <w:szCs w:val="20"/>
                <w:lang w:eastAsia="en-GB"/>
              </w:rPr>
              <w:t>GDP</w:t>
            </w:r>
          </w:p>
        </w:tc>
        <w:tc>
          <w:tcPr>
            <w:tcW w:w="830"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82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0</w:t>
            </w:r>
          </w:p>
        </w:tc>
        <w:tc>
          <w:tcPr>
            <w:tcW w:w="1107" w:type="dxa"/>
            <w:tcBorders>
              <w:top w:val="nil"/>
              <w:left w:val="nil"/>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82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8</w:t>
            </w:r>
          </w:p>
        </w:tc>
        <w:tc>
          <w:tcPr>
            <w:tcW w:w="831" w:type="dxa"/>
            <w:tcBorders>
              <w:top w:val="nil"/>
              <w:left w:val="nil"/>
              <w:bottom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83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8</w:t>
            </w:r>
          </w:p>
        </w:tc>
        <w:tc>
          <w:tcPr>
            <w:tcW w:w="830" w:type="dxa"/>
            <w:tcBorders>
              <w:top w:val="nil"/>
              <w:left w:val="nil"/>
              <w:bottom w:val="nil"/>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84</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1107" w:type="dxa"/>
            <w:tcBorders>
              <w:top w:val="nil"/>
              <w:left w:val="single" w:sz="8" w:space="0" w:color="auto"/>
              <w:bottom w:val="nil"/>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83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2</w:t>
            </w:r>
          </w:p>
        </w:tc>
        <w:tc>
          <w:tcPr>
            <w:tcW w:w="831" w:type="dxa"/>
            <w:tcBorders>
              <w:top w:val="nil"/>
              <w:left w:val="nil"/>
              <w:bottom w:val="nil"/>
            </w:tcBorders>
            <w:shd w:val="clear" w:color="auto" w:fill="auto"/>
            <w:vAlign w:val="center"/>
          </w:tcPr>
          <w:p w:rsidR="0013195C" w:rsidRPr="00F82D20" w:rsidRDefault="0013195C" w:rsidP="005B0ABF">
            <w:pPr>
              <w:spacing w:after="0"/>
              <w:jc w:val="center"/>
              <w:rPr>
                <w:rFonts w:eastAsia="Times New Roman" w:cs="Times New Roman"/>
                <w:sz w:val="20"/>
                <w:szCs w:val="20"/>
                <w:lang w:val="sr-Cyrl-RS" w:eastAsia="en-GB"/>
              </w:rPr>
            </w:pPr>
            <w:r w:rsidRPr="00F82D20">
              <w:rPr>
                <w:rFonts w:eastAsia="Times New Roman" w:cs="Times New Roman"/>
                <w:sz w:val="20"/>
                <w:szCs w:val="20"/>
                <w:lang w:val="sr-Cyrl-RS" w:eastAsia="en-GB"/>
              </w:rPr>
              <w:t>84</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r>
      <w:tr w:rsidR="0013195C" w:rsidRPr="00F82D20" w:rsidTr="00F82D20">
        <w:trPr>
          <w:trHeight w:val="169"/>
          <w:jc w:val="center"/>
        </w:trPr>
        <w:tc>
          <w:tcPr>
            <w:tcW w:w="3601" w:type="dxa"/>
            <w:tcBorders>
              <w:top w:val="nil"/>
              <w:left w:val="nil"/>
              <w:bottom w:val="single" w:sz="8" w:space="0" w:color="002060"/>
              <w:right w:val="nil"/>
            </w:tcBorders>
            <w:shd w:val="clear" w:color="auto" w:fill="auto"/>
            <w:noWrap/>
            <w:vAlign w:val="center"/>
            <w:hideMark/>
          </w:tcPr>
          <w:p w:rsidR="0013195C" w:rsidRPr="00F82D20" w:rsidRDefault="0013195C" w:rsidP="005B0ABF">
            <w:pPr>
              <w:spacing w:after="0"/>
              <w:rPr>
                <w:rFonts w:eastAsia="Times New Roman" w:cs="Times New Roman"/>
                <w:sz w:val="20"/>
                <w:szCs w:val="20"/>
                <w:lang w:eastAsia="en-GB"/>
              </w:rPr>
            </w:pPr>
            <w:r w:rsidRPr="00F82D20">
              <w:rPr>
                <w:rFonts w:eastAsia="Times New Roman" w:cs="Times New Roman"/>
                <w:sz w:val="20"/>
                <w:szCs w:val="20"/>
                <w:lang w:eastAsia="en-GB"/>
              </w:rPr>
              <w:t>Current account balance,</w:t>
            </w:r>
            <w:r w:rsidRPr="00F82D20">
              <w:rPr>
                <w:rFonts w:eastAsia="Times New Roman" w:cs="Times New Roman"/>
                <w:sz w:val="20"/>
                <w:szCs w:val="20"/>
                <w:lang w:val="sr-Cyrl-RS" w:eastAsia="en-GB"/>
              </w:rPr>
              <w:t xml:space="preserve"> % </w:t>
            </w:r>
            <w:r w:rsidRPr="00F82D20">
              <w:rPr>
                <w:rFonts w:eastAsia="Times New Roman" w:cs="Times New Roman"/>
                <w:sz w:val="20"/>
                <w:szCs w:val="20"/>
                <w:lang w:eastAsia="en-GB"/>
              </w:rPr>
              <w:t>GDP</w:t>
            </w:r>
          </w:p>
        </w:tc>
        <w:tc>
          <w:tcPr>
            <w:tcW w:w="830" w:type="dxa"/>
            <w:tcBorders>
              <w:top w:val="nil"/>
              <w:left w:val="nil"/>
              <w:bottom w:val="single" w:sz="8" w:space="0" w:color="002060"/>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2</w:t>
            </w:r>
          </w:p>
        </w:tc>
        <w:tc>
          <w:tcPr>
            <w:tcW w:w="1107" w:type="dxa"/>
            <w:tcBorders>
              <w:top w:val="nil"/>
              <w:left w:val="nil"/>
              <w:bottom w:val="single" w:sz="8" w:space="0" w:color="002060"/>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5</w:t>
            </w:r>
          </w:p>
        </w:tc>
        <w:tc>
          <w:tcPr>
            <w:tcW w:w="831" w:type="dxa"/>
            <w:tcBorders>
              <w:top w:val="nil"/>
              <w:left w:val="nil"/>
              <w:bottom w:val="single" w:sz="8" w:space="0" w:color="002060"/>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4</w:t>
            </w:r>
          </w:p>
        </w:tc>
        <w:tc>
          <w:tcPr>
            <w:tcW w:w="830" w:type="dxa"/>
            <w:tcBorders>
              <w:top w:val="nil"/>
              <w:left w:val="nil"/>
              <w:bottom w:val="single" w:sz="8" w:space="0" w:color="auto"/>
              <w:right w:val="single" w:sz="8" w:space="0" w:color="auto"/>
            </w:tcBorders>
            <w:vAlign w:val="center"/>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2</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3</w:t>
            </w:r>
          </w:p>
        </w:tc>
        <w:tc>
          <w:tcPr>
            <w:tcW w:w="1107" w:type="dxa"/>
            <w:tcBorders>
              <w:top w:val="nil"/>
              <w:left w:val="single" w:sz="8" w:space="0" w:color="auto"/>
              <w:bottom w:val="single" w:sz="8" w:space="0" w:color="auto"/>
              <w:right w:val="nil"/>
            </w:tcBorders>
            <w:shd w:val="clear" w:color="auto" w:fill="auto"/>
            <w:noWrap/>
            <w:vAlign w:val="center"/>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0</w:t>
            </w:r>
          </w:p>
        </w:tc>
        <w:tc>
          <w:tcPr>
            <w:tcW w:w="831" w:type="dxa"/>
            <w:tcBorders>
              <w:top w:val="nil"/>
              <w:left w:val="nil"/>
              <w:bottom w:val="single" w:sz="8" w:space="0" w:color="auto"/>
            </w:tcBorders>
            <w:shd w:val="clear" w:color="auto" w:fill="auto"/>
            <w:vAlign w:val="center"/>
          </w:tcPr>
          <w:p w:rsidR="0013195C" w:rsidRPr="00F82D20" w:rsidRDefault="0013195C" w:rsidP="005B0ABF">
            <w:pPr>
              <w:spacing w:after="0"/>
              <w:jc w:val="center"/>
              <w:rPr>
                <w:rFonts w:eastAsia="Times New Roman" w:cs="Times New Roman"/>
                <w:sz w:val="20"/>
                <w:szCs w:val="20"/>
                <w:lang w:val="sr-Latn-RS" w:eastAsia="en-GB"/>
              </w:rPr>
            </w:pPr>
            <w:r w:rsidRPr="00F82D20">
              <w:rPr>
                <w:rFonts w:eastAsia="Times New Roman" w:cs="Times New Roman"/>
                <w:sz w:val="20"/>
                <w:szCs w:val="20"/>
                <w:lang w:val="sr-Cyrl-RS" w:eastAsia="en-GB"/>
              </w:rPr>
              <w:t>3</w:t>
            </w:r>
            <w:r w:rsidR="008C664B" w:rsidRPr="00F82D20">
              <w:rPr>
                <w:rFonts w:eastAsia="Times New Roman" w:cs="Times New Roman"/>
                <w:sz w:val="20"/>
                <w:szCs w:val="20"/>
                <w:lang w:val="sr-Cyrl-RS" w:eastAsia="en-GB"/>
              </w:rPr>
              <w:t>.</w:t>
            </w:r>
            <w:r w:rsidRPr="00F82D20">
              <w:rPr>
                <w:rFonts w:eastAsia="Times New Roman" w:cs="Times New Roman"/>
                <w:sz w:val="20"/>
                <w:szCs w:val="20"/>
                <w:lang w:val="sr-Cyrl-RS" w:eastAsia="en-GB"/>
              </w:rPr>
              <w:t>0</w:t>
            </w:r>
          </w:p>
        </w:tc>
      </w:tr>
    </w:tbl>
    <w:p w:rsidR="0013195C" w:rsidRDefault="0013195C" w:rsidP="006C04C7">
      <w:pPr>
        <w:rPr>
          <w:rFonts w:eastAsiaTheme="minorEastAsia" w:cs="Times New Roman"/>
          <w:sz w:val="22"/>
          <w:szCs w:val="24"/>
          <w:lang w:val="sr-Cyrl-RS" w:eastAsia="ja-JP"/>
        </w:rPr>
      </w:pPr>
      <w:bookmarkStart w:id="10" w:name="_Toc373932747"/>
      <w:bookmarkStart w:id="11" w:name="_Toc444605529"/>
      <w:r w:rsidRPr="0013195C">
        <w:rPr>
          <w:rFonts w:eastAsiaTheme="minorEastAsia" w:cs="Times New Roman"/>
          <w:sz w:val="22"/>
          <w:szCs w:val="24"/>
          <w:lang w:val="sr-Cyrl-RS" w:eastAsia="ja-JP"/>
        </w:rPr>
        <w:t>Source: ЕC, Autumn projections, November 2025.</w:t>
      </w:r>
    </w:p>
    <w:p w:rsidR="0013195C" w:rsidRDefault="0013195C" w:rsidP="0013195C">
      <w:pPr>
        <w:rPr>
          <w:lang w:val="sr-Cyrl-RS"/>
        </w:rPr>
      </w:pPr>
      <w:r w:rsidRPr="00821429">
        <w:rPr>
          <w:lang w:val="sr-Cyrl-RS"/>
        </w:rPr>
        <w:t>The EU labour market is expected to remain resilient and relatively strong, although employment and wage growth are expected to slow down compared to previous years. Employment is projected to grow at a steady rate of 0.5% in 2025 and 2026, before slowing slightly to 0.4% in 2027. Nominal wage growth will continue to moderate gradually, while the unemployment rate will continue to decline, reaching historically low levels. The combination of more moderate employment growth and accelerating economic activity should contribute to productivity growth throughout the projection period.</w:t>
      </w:r>
    </w:p>
    <w:p w:rsidR="0013195C" w:rsidRDefault="0013195C" w:rsidP="0013195C">
      <w:pPr>
        <w:rPr>
          <w:lang w:val="sr-Cyrl-RS"/>
        </w:rPr>
      </w:pPr>
      <w:bookmarkStart w:id="12" w:name="_Toc185342329"/>
      <w:r w:rsidRPr="00B96D4A">
        <w:rPr>
          <w:lang w:val="sr-Cyrl-RS"/>
        </w:rPr>
        <w:t>According to the EC's autumn projections, inflation is expected to hover around the 2% target in the coming years. Inflation in the EU is estimated to slow from 2.6% in 2024 to 2.5% in 2025, and then to 2.1% in 2026, while a slight increase to 2.2% is expected in 2027. Price growth in the food and services sector is expected to gradually decline, due to a slowdown in wage growth and weakening price pressures in food production. Although energy prices are expected to fall in 2025 and 2026, they are expected to increase in 2027, making a positive contribution to overall inflation, due to the entry into force of the new EU Emissions Trading System (ETS2). With price pressures in the services sector easing, core inflation is expected to continue its gradual decline and approach 2% by the end of 2027, both in the euro area and in the EU as a whole.</w:t>
      </w:r>
    </w:p>
    <w:p w:rsidR="0013195C" w:rsidRDefault="0013195C" w:rsidP="0013195C">
      <w:pPr>
        <w:pStyle w:val="NormalWeb"/>
        <w:spacing w:before="0" w:beforeAutospacing="0" w:after="120" w:afterAutospacing="0"/>
        <w:rPr>
          <w:rFonts w:eastAsiaTheme="minorHAnsi" w:cstheme="minorBidi"/>
          <w:szCs w:val="22"/>
          <w:lang w:val="sr-Cyrl-RS"/>
        </w:rPr>
      </w:pPr>
      <w:r w:rsidRPr="00B96D4A">
        <w:rPr>
          <w:rFonts w:eastAsiaTheme="minorHAnsi" w:cstheme="minorBidi"/>
          <w:szCs w:val="22"/>
          <w:lang w:val="sr-Cyrl-RS"/>
        </w:rPr>
        <w:t>After a period of marked monetary tightening, financing conditions in the EU remain relatively favourable, primarily due to the reduction in interest rates in the EU and the US. Bank lending continues to recover at a slower pace, despite increased uncertainty and trade tensions. Stable developments in capital markets, with a narrowing of corporate and government bond spreads, indicate that investor confidence remains intact, despite the existence of global and domestic risks. The European Central Bank (hereinafter: ECB) has lowered its reference interest rate four times since the beginning of the year, by a total of 100 basis points, and it reached a level of 2.15% in October. The ECB emphasizes that all future decisions will be based on data, in line with the underlying inflation and growth projections, with an assessment of emerging risks. Although risks to the eurozone's economic development have been partially mitigated following the trade agreement with the US, the ceasefire in Gaza and progress in US-China negotiations, risks to the inflation projection remain higher than usual, due to global instability in trade policy.</w:t>
      </w:r>
    </w:p>
    <w:p w:rsidR="006C04C7" w:rsidRPr="00002D92" w:rsidRDefault="0013195C" w:rsidP="006C04C7">
      <w:pPr>
        <w:pStyle w:val="NormalWeb"/>
        <w:spacing w:before="0" w:beforeAutospacing="0" w:after="120" w:afterAutospacing="0"/>
        <w:rPr>
          <w:lang w:val="sr-Cyrl-RS"/>
        </w:rPr>
      </w:pPr>
      <w:r w:rsidRPr="00B96D4A">
        <w:rPr>
          <w:lang w:val="sr-Cyrl-RS"/>
        </w:rPr>
        <w:lastRenderedPageBreak/>
        <w:t>Fiscal policy in the EU and the euro area is projected to remain broadly neutral over the projection horizon, with significant differences across Member States. The EU budget deficit is projected to increase from 3.1% of GDP in 2024 to 3.3% in 2025, and then to 3.4% in 2026 and 2027. This increase is mainly due to the growth in defence spending, which will increase from 1.5% of GDP in 2024 to 2% in 2027, as well as the continued growth in interest expenditure and somewhat weaker public revenue dynamics. Twelve EU Member States are projected to have budget deficits above 3% of GDP at the end of the projection horizon, one more than in 2025. These developments are driven by persistent primary deficits and average debt service costs that exceed nominal GDP growth. By 2027, four Member States will have public debt above 100%.</w:t>
      </w:r>
    </w:p>
    <w:p w:rsidR="006C04C7" w:rsidRPr="00002D92" w:rsidRDefault="006C04C7" w:rsidP="006C04C7">
      <w:pPr>
        <w:pStyle w:val="Heading11"/>
        <w:spacing w:before="180" w:after="180"/>
        <w:rPr>
          <w:rFonts w:ascii="Times New Roman" w:hAnsi="Times New Roman" w:cs="Times New Roman"/>
          <w:color w:val="auto"/>
          <w:sz w:val="24"/>
          <w:szCs w:val="24"/>
          <w:lang w:val="sr-Latn-RS"/>
        </w:rPr>
      </w:pPr>
      <w:bookmarkStart w:id="13" w:name="_Toc221106869"/>
      <w:r w:rsidRPr="00002D92">
        <w:rPr>
          <w:rFonts w:ascii="Times New Roman" w:hAnsi="Times New Roman" w:cs="Times New Roman"/>
          <w:color w:val="auto"/>
          <w:sz w:val="24"/>
          <w:szCs w:val="24"/>
          <w:lang w:val="sr-Latn-RS"/>
        </w:rPr>
        <w:t xml:space="preserve">3.2. </w:t>
      </w:r>
      <w:bookmarkEnd w:id="10"/>
      <w:bookmarkEnd w:id="11"/>
      <w:r w:rsidR="005B0ABF">
        <w:rPr>
          <w:rFonts w:ascii="Times New Roman" w:hAnsi="Times New Roman" w:cs="Times New Roman"/>
          <w:color w:val="auto"/>
          <w:sz w:val="24"/>
          <w:szCs w:val="24"/>
          <w:lang w:val="sr-Latn-RS"/>
        </w:rPr>
        <w:t>CURRENT ECONOMIC TRENDS AND OUTLOOK FOR</w:t>
      </w:r>
      <w:r w:rsidRPr="00002D92">
        <w:rPr>
          <w:rFonts w:ascii="Times New Roman" w:hAnsi="Times New Roman" w:cs="Times New Roman"/>
          <w:color w:val="auto"/>
          <w:sz w:val="24"/>
          <w:szCs w:val="24"/>
          <w:lang w:val="sr-Latn-RS"/>
        </w:rPr>
        <w:t xml:space="preserve"> 202</w:t>
      </w:r>
      <w:r w:rsidRPr="00002D92">
        <w:rPr>
          <w:rFonts w:ascii="Times New Roman" w:hAnsi="Times New Roman" w:cs="Times New Roman"/>
          <w:color w:val="auto"/>
          <w:sz w:val="24"/>
          <w:szCs w:val="24"/>
          <w:lang w:val="sr-Cyrl-RS"/>
        </w:rPr>
        <w:t>5</w:t>
      </w:r>
      <w:bookmarkEnd w:id="12"/>
      <w:bookmarkEnd w:id="13"/>
    </w:p>
    <w:p w:rsidR="005B0ABF" w:rsidRPr="0012173A" w:rsidRDefault="005B0ABF" w:rsidP="005B0ABF">
      <w:pPr>
        <w:rPr>
          <w:rFonts w:eastAsia="Constantia" w:cs="Times New Roman"/>
          <w:szCs w:val="24"/>
          <w:lang w:val="sr-Cyrl-RS"/>
        </w:rPr>
      </w:pPr>
      <w:bookmarkStart w:id="14" w:name="_Toc373932748"/>
      <w:r>
        <w:rPr>
          <w:rStyle w:val="Strong"/>
        </w:rPr>
        <w:t>Real sector.</w:t>
      </w:r>
      <w:r>
        <w:t xml:space="preserve"> After GDP growth of the Republic of Serbia of 3.9% in 2024, the beginning of 2025 was marked by a pronounced slowdown in economic activity. Real GDP growth in the first quarter amounted to 1.9%, while in the second quarter it was 2.1%. The slowdown is primarily a consequence of internal socio-political tensions and increased instability, which gradually reflected on economic developments. In addition, international factors, primarily rising geopolitical uncertainty and global economic fragmentation, further contributed to the weakening of economic flows.</w:t>
      </w:r>
    </w:p>
    <w:p w:rsidR="005B0ABF" w:rsidRDefault="005B0ABF" w:rsidP="005B0ABF">
      <w:pPr>
        <w:rPr>
          <w:rFonts w:eastAsia="Constantia" w:cs="Times New Roman"/>
          <w:szCs w:val="24"/>
          <w:lang w:val="sr-Cyrl-RS"/>
        </w:rPr>
      </w:pPr>
      <w:r w:rsidRPr="00D22B72">
        <w:rPr>
          <w:rFonts w:eastAsia="Constantia" w:cs="Times New Roman"/>
          <w:szCs w:val="24"/>
          <w:lang w:val="sr-Cyrl-RS"/>
        </w:rPr>
        <w:t>Viewed from the production side, the most pronounced negative impact of increased uncertainty was recorded in construction, the sector of the economy most sensitive to changes in the general economic climate. In the first half of 2025 this sector achieved a decline in GVA of 11.3%, whereby construction recorded the most significant negative contribution to GDP growth. Despite real growth of 2.5%, the performance of the services sector was somewhat lower than expected. Although in certain segments, such as information technology, financial and professional services, relatively solid growth continued, the effect of weaker performance in classical service branches – tourism, trade and transportation – caused the overall contribution of the services sector to GDP growth to remain limited. Industrial production in the same period recorded growth of 2.5%, thereby demonstrating resilience under conditions of still weak external demand. With its positive result, industry partially mitigated the negative effects on GDP growth stemming from the sharp decline in construction and below-average results in the services sector. This resilience is the result of the activation of new production capacities in a larger number of branches, primarily in the automotive and rubber industry, which provided stable export and production contributions despite the challenging environment. Unfavorable climatic conditions during the summer, especially long periods of high temperatures and lack of precipitation, negatively affected the yields of the most important agricultural crops, which resulted in yet another below-average agricultural season.</w:t>
      </w:r>
    </w:p>
    <w:p w:rsidR="005B0ABF" w:rsidRPr="00D22B72" w:rsidRDefault="005B0ABF" w:rsidP="005B0ABF">
      <w:pPr>
        <w:rPr>
          <w:rFonts w:eastAsia="Constantia" w:cs="Times New Roman"/>
          <w:szCs w:val="24"/>
          <w:lang w:val="sr-Cyrl-RS"/>
        </w:rPr>
      </w:pPr>
      <w:r w:rsidRPr="00D22B72">
        <w:rPr>
          <w:rFonts w:eastAsia="Constantia" w:cs="Times New Roman"/>
          <w:szCs w:val="24"/>
          <w:lang w:val="sr-Cyrl-RS"/>
        </w:rPr>
        <w:t>A similar dynamic of economic activity was achieved during the third quarter of 2025, since according to the flash estimate of the Statistical Office (SORS), year-o</w:t>
      </w:r>
      <w:r>
        <w:rPr>
          <w:rFonts w:eastAsia="Constantia" w:cs="Times New Roman"/>
          <w:szCs w:val="24"/>
          <w:lang w:val="sr-Cyrl-RS"/>
        </w:rPr>
        <w:t>n-year growth amounted to 2.0%.</w:t>
      </w:r>
    </w:p>
    <w:p w:rsidR="005B0ABF" w:rsidRPr="0012173A" w:rsidRDefault="005B0ABF" w:rsidP="005B0ABF">
      <w:pPr>
        <w:rPr>
          <w:rFonts w:eastAsia="Constantia" w:cs="Times New Roman"/>
          <w:szCs w:val="24"/>
          <w:lang w:val="sr-Cyrl-RS"/>
        </w:rPr>
      </w:pPr>
      <w:r w:rsidRPr="00D22B72">
        <w:rPr>
          <w:rFonts w:eastAsia="Constantia" w:cs="Times New Roman"/>
          <w:szCs w:val="24"/>
          <w:lang w:val="sr-Cyrl-RS"/>
        </w:rPr>
        <w:t>High-frequency indicators also point to a slowdown in economic activity during 2025, particularly in the services sector and construction.</w:t>
      </w:r>
    </w:p>
    <w:p w:rsidR="005B0ABF" w:rsidRPr="00BE26E5" w:rsidRDefault="005B0ABF" w:rsidP="005B0ABF">
      <w:pPr>
        <w:rPr>
          <w:rFonts w:eastAsia="Constantia" w:cs="Times New Roman"/>
          <w:szCs w:val="24"/>
          <w:lang w:val="sr-Cyrl-RS"/>
        </w:rPr>
      </w:pPr>
      <w:r w:rsidRPr="00D22B72">
        <w:rPr>
          <w:rFonts w:eastAsia="Constantia" w:cs="Times New Roman"/>
          <w:szCs w:val="24"/>
          <w:lang w:val="sr-Cyrl-RS"/>
        </w:rPr>
        <w:t>Real turnover in retail trade increased by 2.7% in the period January–September 2025, but the growth dynamics slowed compared to the previous period. The increase in turnover was achieved in all three categories of products: non-food products by 4.7%, motor fuels by 2.4%, and food products by 1.1%. However, the slower growth dynamics indicate the impact of increased uncertainty in the domestic market, which led to the postponement of household consumption and greater caution in purchasing. At the same time, there was a significant slowdown in tourism activity. The number of tourist arrivals decreased by 1.6%, while the number of overnight stays was lower by 2.7% in the first nine months. In addition, a decline in catering turnover was recorded, whereby in the first eight months it was 1.4% lower in real terms. In the first nine months of 2025, foreign exchange inflow from tourism increased year-on-year by 1.2%.</w:t>
      </w:r>
    </w:p>
    <w:p w:rsidR="005B0ABF" w:rsidRDefault="005B0ABF" w:rsidP="005B0ABF">
      <w:pPr>
        <w:rPr>
          <w:rFonts w:eastAsia="Constantia" w:cs="Times New Roman"/>
          <w:szCs w:val="24"/>
          <w:lang w:val="sr-Cyrl-RS"/>
        </w:rPr>
      </w:pPr>
      <w:r w:rsidRPr="00D22B72">
        <w:rPr>
          <w:rFonts w:eastAsia="Constantia" w:cs="Times New Roman"/>
          <w:szCs w:val="24"/>
          <w:lang w:val="sr-Cyrl-RS"/>
        </w:rPr>
        <w:lastRenderedPageBreak/>
        <w:t>The information and communication technology sector continued its continuous growth, with an increasingly pronounced significance in the structure of the domestic economy. In the first six months of 2025, GVA growth of 6.9% was achieved, which confirms the role of this sector as one of the key drivers of economic growth. Positive developments in the information technology sector are accompanied by growth in export activity, which during the first nine months of 2025 reached a value of EUR 3.3 billion, with a year-on-year increase of 12.4%. With such dynamics, the ICT sector reached almost one-third of total service exports, confirming the increasing competitiveness of the domestic ICT industry and its significance in foreign trade.</w:t>
      </w:r>
    </w:p>
    <w:p w:rsidR="005B0ABF" w:rsidRDefault="005B0ABF" w:rsidP="005B0ABF">
      <w:pPr>
        <w:rPr>
          <w:rFonts w:eastAsia="Constantia" w:cs="Times New Roman"/>
          <w:szCs w:val="24"/>
          <w:lang w:val="sr-Cyrl-RS"/>
        </w:rPr>
      </w:pPr>
      <w:r w:rsidRPr="00D22B72">
        <w:rPr>
          <w:rFonts w:eastAsia="Constantia" w:cs="Times New Roman"/>
          <w:szCs w:val="24"/>
          <w:lang w:val="sr-Cyrl-RS"/>
        </w:rPr>
        <w:t>Construction activity in the first nine months of 2025 was 12.0% lower in real terms compared to the same period of the previous year. The main negative impact originated from the decrease in activity in civil engineering, where the value of works performed declined by 18.9%, primarily as a consequence of the slower implementation of infrastructure projects due to intensified administrative oversight, the transitional phase between the completion of major and the launch of new projects, but also due to the high base. On the other hand, building construction partially mitigated these negative developments, achieving a positive contribution through growth in the value of works performed of 2.2%.</w:t>
      </w:r>
    </w:p>
    <w:p w:rsidR="005B0ABF" w:rsidRDefault="005B0ABF" w:rsidP="005B0ABF">
      <w:pPr>
        <w:rPr>
          <w:rFonts w:eastAsia="Constantia" w:cs="Times New Roman"/>
          <w:szCs w:val="24"/>
          <w:lang w:val="sr-Cyrl-RS"/>
        </w:rPr>
      </w:pPr>
      <w:r w:rsidRPr="00D22B72">
        <w:rPr>
          <w:rFonts w:eastAsia="Constantia" w:cs="Times New Roman"/>
          <w:szCs w:val="24"/>
          <w:lang w:val="sr-Cyrl-RS"/>
        </w:rPr>
        <w:t>Industrial production continued its positive trend during 2025, with physical volume of production in the first nine months increasing by 2.7%. In this period, growth was driven by a higher volume of production in the manufacturing sector of 3.0%. At the same time, the mining sector achieved an increase of 4.9%, which is primarily the result of intensified coal exploitation (9.5%) and growth in the exploitation of metal ores (3.3%). On the other hand, electricity production was lower by 0.2% in the first nine months and had a slight negative effect on the growth of total industrial production. However, it should be noted that since June 2025 electricity production has been recording positive year-on-year growth, and thanks to the launch of the newly built thermal block “B3” at the Kostolac thermal power plant, this sector is expected to continue providing a positive contribution to total industrial production in the coming months. Viewed by branches of the manufacturing industry, in the first nine months growth was recorded in 12 out of 24 activities. The most significant positive contribution to the growth of the manufacturing industry in this period comes from the rubber and automotive industries, which recorded increases of 19.6% and 26.0%, respectively. The strong year-on-year growth of these two activities is primarily the result of the expansion of production capacities related to tire production in the company Linglong, and the production of a new car model in the factory in Kragujevac, whereby these two activities account for about half of the positive impact among the activities that achieved production growth. At the same time, the physical volume of the oil industry was higher by 7.4%, whose production dynamics was significantly influenced by the base effect due to last year’s overhaul and investment works in most processing facilities at the NIS refining complex. The upward trend in the production of basic metals continued, with the volume of activity in this branch increasing by 8.4% in the first nine months compared to the same period of the previous year. At the same time, a positive contribution comes from the production of metal products, as well as from the chemical industry, which recorded growth of 7.5% and 3.7%, respectively. On the other hand, the most significant negative contribution to the movement of the manufacturing industry in this period came from the machinery industry, with a decline in production of 14.5%. Production of wearing apparel recorded a decline of 18.0%, while the physical volume of production in the food industry and the repair and installation of machinery and equipment decreased by 1.9% and 15.5%, respectively. Other activities that achieved lower physical production volumes had a slight negative impact on the movement of the manufacturing industry.</w:t>
      </w:r>
    </w:p>
    <w:p w:rsidR="006C04C7" w:rsidRPr="00002D92" w:rsidRDefault="005B0ABF" w:rsidP="005B0ABF">
      <w:pPr>
        <w:rPr>
          <w:rFonts w:eastAsia="Constantia" w:cs="Times New Roman"/>
          <w:szCs w:val="24"/>
          <w:lang w:val="sr-Cyrl-RS"/>
        </w:rPr>
      </w:pPr>
      <w:r w:rsidRPr="00D22B72">
        <w:rPr>
          <w:rFonts w:eastAsia="Constantia" w:cs="Times New Roman"/>
          <w:szCs w:val="24"/>
          <w:lang w:val="sr-Cyrl-RS"/>
        </w:rPr>
        <w:t>Taking into account developments since the beginning of the year, as well as the dynamics of high-frequency indicators, the GDP growth projection for 2025 has been revised downward, from the previous 3.0% to 2.3%. We assess the risk matrix at this moment as symmetric, meaning that the prospects for deviations of economic growth in a positive and negative direction are approximately equally likely.</w:t>
      </w:r>
    </w:p>
    <w:p w:rsidR="006C04C7" w:rsidRPr="00002D92" w:rsidRDefault="008C5263" w:rsidP="006C04C7">
      <w:pPr>
        <w:rPr>
          <w:rFonts w:cs="Times New Roman"/>
          <w:color w:val="FF0000"/>
          <w:szCs w:val="24"/>
          <w:lang w:val="sr-Cyrl-RS"/>
        </w:rPr>
      </w:pPr>
      <w:r>
        <w:rPr>
          <w:rStyle w:val="Strong"/>
        </w:rPr>
        <w:lastRenderedPageBreak/>
        <w:t>Labour market.</w:t>
      </w:r>
      <w:r>
        <w:t xml:space="preserve"> The labour market in the Republic of Serbia continues with positive developments during 2025 as well, maintaining stability and resilience under conditions of moderate slowing of economic activity. Employment continues to grow, although at a slower pace than in the previous period. At the same time, wages continue to grow both in the private and in the public sector, supported by the increase in the minimum wage, intensified competition in the labour market, and the effectuation of tax relief measures from the previous period, which contributed to preserving purchasing power and improving the living standard of employees. Structural improvements in the labour market are also reflected through a decrease in the number of persons outside the labour force and the long-term unemployed, as well as through growth in formal employment. According to data of the Central Registry of Compulsory Social Insurance (CROSO), in the period January–September 2025 the average number of employees was higher by 0.2% compared to the same period of the previous year. The pace of employment growth slowed, primarily due to a decrease in the number of employees in the manufacturing industry, which is the consequence of a lower volume of activity in traditional labour-intensive branches, particularly in the apparel and leather industry, as well as in the production of electrical equipment. On the other hand, certain sectors, such as administrative and ICT services, continued to contribute positively to employment growth, compensating for the negative effects of the reduction in employment in manufacturing. In the private sector, growth of 0.4% was recorded (7.3 thousand persons), while in the public sector the number of employees decreased by 0.4% (-2.4 thousand persons). According to the data of the National Employment Service, in the period January–September, the number of persons actively seeking employment decreased year-on-year by 7.2% and amounted to 349.4 thousand persons. According to LFS data, in the first quarter of 2025 positive developments were recorded in the labour market, so compared to the same quarter of the previous year the employment rate increased from 50.9% to 51.4%, as well as a decrease in the unemployment rate from 9.4% to 9.1% and of the population outside the labour force from 43.8% to 43.4%. Positive developments continued in the second quarter as well, so the employment rate increased by 0.1 percentage points and amounted to 51.5%, while the unemployment rate increased by 0.3 percentage points and amounted to 8.5%. At the same time, the informal employment rate decreased by 0.4 percentage points and amounted to 11.4%, while the youth unemployment rate increased by 2.6 p.p. and amounted to 22.8%. The informal employment rate outside agriculture amounted to 6.1%, and relative to the second quarter of 2024 it is higher by 0.2 p.p., while in agriculture it amounted to 50.4% and was lower by 1.3 p.p. Structural improvements in the labour market in this period are reflected primarily in the decrease of the long-term unemployment rate by 0.1 p.p. to 3.7%, as well as the decrease of the rate of the population outside the labour force by 0.2 p.p. to 43.8%. In the period January–August, the average net wage amounted to 107,217 dinars and was higher in real terms by 6.1% compared to the same period of the previous year. Wage growth was determined largely by the real growth of wages in the private sector, which amounted to 6.2% and was driven primarily by the increase in wages in manufacturing and trade. At the same time, a real increase in wages in the public sector of 6.1% was also recorded. The favourable wage dynamics were also contributed to by the effectuation of the wage tax relief policy from the previous period, which was accompanied by an increase in the minimum wage, which from 2025 was increased twice — in January by 13.7% to 308.00 dinars per working hour, and by 9.4% in October to 337.00 dinars, with the aim of improving the living standard of persons with the lowest incomes. Such wage movements also had a positive impact on the ratio of the average wage to the average consumer basket, so it increased from 93.9%, which it amounted to in the period January–June 2024, to 100.0% in the same period of 2025.</w:t>
      </w:r>
    </w:p>
    <w:p w:rsidR="00A07FA5" w:rsidRPr="00A07FA5" w:rsidRDefault="00CE2166" w:rsidP="00A07FA5">
      <w:pPr>
        <w:rPr>
          <w:rFonts w:cs="Times New Roman"/>
          <w:bCs/>
          <w:iCs/>
          <w:szCs w:val="24"/>
          <w:lang w:val="sr-Cyrl-RS"/>
        </w:rPr>
      </w:pPr>
      <w:r w:rsidRPr="00CE2166">
        <w:rPr>
          <w:rFonts w:eastAsia="Calibri" w:cs="Times New Roman"/>
          <w:b/>
          <w:i/>
          <w:sz w:val="22"/>
          <w:lang w:val="en-GB"/>
        </w:rPr>
        <w:t>External sector</w:t>
      </w:r>
      <w:r w:rsidR="006C04C7" w:rsidRPr="00002D92">
        <w:rPr>
          <w:rFonts w:cs="Times New Roman"/>
          <w:b/>
          <w:i/>
          <w:szCs w:val="24"/>
          <w:lang w:val="sr-Cyrl-RS"/>
        </w:rPr>
        <w:t xml:space="preserve">. </w:t>
      </w:r>
      <w:r w:rsidR="00A07FA5" w:rsidRPr="00A07FA5">
        <w:rPr>
          <w:rFonts w:cs="Times New Roman"/>
          <w:bCs/>
          <w:iCs/>
          <w:szCs w:val="24"/>
          <w:lang w:val="sr-Cyrl-RS"/>
        </w:rPr>
        <w:t xml:space="preserve">In the first nine months of 2025 the current account deficit amounted to EUR 2,752.0 mn, up by EUR 138.9 mn y-o-y. This mainly reflected reduced surpluses in services and secondary income account, by EUR 207.0 mn and EUR 107.6 mn, respectively, and to a lesser extent, the goods deficit widening by EUR 67.7 mn. Working in the opposite direction was the primary income deficit narrowing by EUR 243.4 mn. </w:t>
      </w:r>
    </w:p>
    <w:p w:rsidR="006C04C7" w:rsidRPr="00002D92" w:rsidRDefault="00A07FA5" w:rsidP="00A07FA5">
      <w:pPr>
        <w:rPr>
          <w:rFonts w:cs="Times New Roman"/>
          <w:bCs/>
          <w:iCs/>
          <w:szCs w:val="24"/>
          <w:lang w:val="sr-Cyrl-RS"/>
        </w:rPr>
      </w:pPr>
      <w:r w:rsidRPr="00A07FA5">
        <w:rPr>
          <w:rFonts w:cs="Times New Roman"/>
          <w:bCs/>
          <w:iCs/>
          <w:szCs w:val="24"/>
          <w:lang w:val="sr-Cyrl-RS"/>
        </w:rPr>
        <w:lastRenderedPageBreak/>
        <w:t>Goods exports continued to post relatively high growth rates in 2025, rising faster than imports, primarily thanks to investments in tradable sectors in the past period. In the first nine months of 2025, goods exports reached EUR 24.2 bn, rising at a rate of 9.5% y-o-y</w:t>
      </w:r>
      <w:r>
        <w:rPr>
          <w:rStyle w:val="FootnoteReference"/>
          <w:rFonts w:cs="Times New Roman"/>
          <w:bCs/>
          <w:iCs/>
          <w:szCs w:val="24"/>
          <w:lang w:val="sr-Cyrl-RS"/>
        </w:rPr>
        <w:footnoteReference w:id="1"/>
      </w:r>
      <w:r w:rsidRPr="00A07FA5">
        <w:rPr>
          <w:rFonts w:cs="Times New Roman"/>
          <w:bCs/>
          <w:iCs/>
          <w:szCs w:val="24"/>
          <w:lang w:val="sr-Cyrl-RS"/>
        </w:rPr>
        <w:t>.  The greatest contributor was the increase in manufacturing exports (9.6% y-o-y, adding 8.3 pp to total goods exports), with export growth recorded in 19 out of 23 branches, followed by electricity, gas and steam supply (33.2% y-o-y, contribution of 0.7 pp) and mining (9.4% y-o-y, contribution of 0.5 pp). On the other hand, agricultural exports declined (13.1% y-o-y, contribution of -0.6 pp). In terms of specific markets, the major part of goods exports in this period was placed in the EU market (62.4%), while CEFTA accounted for 15.0% аnd countries in the Euroasian Economic Union for 3.2%. Key export drivers, in terms of economic activity, were the exports of motor vehicles and trailers (contribution of 2.3 pp), rubber and plastic products (1.5 pp), food products (0.9 pp), base metals (0.7 pp), miscellaneous machinery and equipment (0.7 pp), electricity, gas and steam supply (0.7 pp), and chemicals and chemical products (0.5 pp). A decline was recorded for exports of electrical equipment (-0.6 pp).</w:t>
      </w:r>
    </w:p>
    <w:p w:rsidR="00A07FA5" w:rsidRPr="00A07FA5" w:rsidRDefault="00A07FA5" w:rsidP="00A07FA5">
      <w:pPr>
        <w:rPr>
          <w:rFonts w:cs="Times New Roman"/>
          <w:bCs/>
          <w:iCs/>
          <w:szCs w:val="24"/>
          <w:lang w:val="sr-Cyrl-RS"/>
        </w:rPr>
      </w:pPr>
      <w:r w:rsidRPr="00A07FA5">
        <w:rPr>
          <w:rFonts w:cs="Times New Roman"/>
          <w:bCs/>
          <w:iCs/>
          <w:szCs w:val="24"/>
          <w:lang w:val="sr-Cyrl-RS"/>
        </w:rPr>
        <w:t>In the nine months of 2025, goods imports amounted to EUR 29.0 bn, rising by 8.0% y-o-y. The greatest contributors to import growth, apart from non-classified goods, were the imports of main pharmaceutical products (1.2 pp), base metals (0.9 pp), agricultural products (0.9 pp), motor vehicles and trailers (0.6 pp) and electricity, gas and steam supply (0.5 pp). Import decline was recorded in metal products except machinery (-0.5 pp) and coke and petroleum products (-0.5 pp).</w:t>
      </w:r>
    </w:p>
    <w:p w:rsidR="006C04C7" w:rsidRPr="00002D92" w:rsidRDefault="00A07FA5" w:rsidP="00A07FA5">
      <w:pPr>
        <w:rPr>
          <w:rFonts w:cs="Times New Roman"/>
          <w:bCs/>
          <w:iCs/>
          <w:szCs w:val="24"/>
          <w:lang w:val="sr-Cyrl-RS"/>
        </w:rPr>
      </w:pPr>
      <w:r w:rsidRPr="00A07FA5">
        <w:rPr>
          <w:rFonts w:cs="Times New Roman"/>
          <w:bCs/>
          <w:iCs/>
          <w:szCs w:val="24"/>
          <w:lang w:val="sr-Cyrl-RS"/>
        </w:rPr>
        <w:t xml:space="preserve">The services account is traditionally in surplus, but in the first nine months of 2025 it decreased by 11.2% y-o-y, mainly reflecting higher net imports of tourism services, while the rise in net exports of ICT services worked in the opposite direction. Services exports rose by 6.6% у-o-y, mainly as a result of increased exports of ICT services (3.5 pp), other business services (1.2 pp) and transport services (0.8 pp). Concurrently, the rising services imports (10.4% y-o-y) received the greatest impetus from higher imports of tourism services (7.7 pp), ICT services (0.7 pp) and transport services (0.6 pp). </w:t>
      </w:r>
      <w:r w:rsidR="006C04C7" w:rsidRPr="00002D92">
        <w:rPr>
          <w:rFonts w:cs="Times New Roman"/>
          <w:bCs/>
          <w:iCs/>
          <w:szCs w:val="24"/>
          <w:lang w:val="sr-Cyrl-RS"/>
        </w:rPr>
        <w:t xml:space="preserve"> </w:t>
      </w:r>
    </w:p>
    <w:p w:rsidR="00A07FA5" w:rsidRPr="00A07FA5" w:rsidRDefault="00A07FA5" w:rsidP="00A07FA5">
      <w:pPr>
        <w:rPr>
          <w:rFonts w:cs="Times New Roman"/>
          <w:bCs/>
          <w:iCs/>
          <w:szCs w:val="24"/>
          <w:lang w:val="sr-Cyrl-RS"/>
        </w:rPr>
      </w:pPr>
      <w:r w:rsidRPr="00A07FA5">
        <w:rPr>
          <w:rFonts w:cs="Times New Roman"/>
          <w:bCs/>
          <w:iCs/>
          <w:szCs w:val="24"/>
          <w:lang w:val="sr-Cyrl-RS"/>
        </w:rPr>
        <w:t>In terms of a specific country, 20 countries accounted for around 78% of services trade, eleven of which are EU members (Germany, Greece, Austria, Slovenia, Croatia, the Netherlands, Ireland, Italy, France, Hungary and the Czech Republic), two being CEFTA members (Bosnia and Herzegovina and Montenegro) and one country belonging to EFTA (Switzerland). Significant trade in services also takes place with the United States, the United Kingdom, China, Turkey, the Russian Federation, and the United Arab Emirates.</w:t>
      </w:r>
    </w:p>
    <w:p w:rsidR="006C04C7" w:rsidRPr="00002D92" w:rsidRDefault="00A07FA5" w:rsidP="00A07FA5">
      <w:pPr>
        <w:rPr>
          <w:rFonts w:cs="Times New Roman"/>
          <w:bCs/>
          <w:iCs/>
          <w:szCs w:val="24"/>
          <w:lang w:val="sr-Cyrl-RS"/>
        </w:rPr>
      </w:pPr>
      <w:r w:rsidRPr="00A07FA5">
        <w:rPr>
          <w:rFonts w:cs="Times New Roman"/>
          <w:bCs/>
          <w:iCs/>
          <w:szCs w:val="24"/>
          <w:lang w:val="sr-Cyrl-RS"/>
        </w:rPr>
        <w:t>Deficit in the primary income account narrowed by 6.6% y-o-y, mostly on account of lower net outflows under income from direct investments (by 5.1% y-o-y) and lower net outflows for employee salaries (by 87.6% y-o-y), while the surplus in the secondary income account contracted (2.7% y-o-y) amid higher net outflows under miscellaneous current transfers of government (56.0% y-o-y). In the year to September, the remittances inflow amounted to EUR 3.9 bn, rising by EUR 132.3 mn or 3.5% relative to the same period of 2024. The largest remittances inflows originated from Germany (24.6%), Switzerland (11.7%), Аustria (8.6%), USA (6.8%), Croatia (6.5%), that is, from the countries with the largest diaspora and from which the highest inflows were recorded in previous years as well.</w:t>
      </w:r>
    </w:p>
    <w:p w:rsidR="00A07FA5" w:rsidRPr="00EE56EF" w:rsidRDefault="00A07FA5" w:rsidP="00A07FA5">
      <w:pPr>
        <w:spacing w:after="240" w:line="276" w:lineRule="auto"/>
        <w:rPr>
          <w:rFonts w:eastAsia="Calibri" w:cs="Times New Roman"/>
          <w:szCs w:val="24"/>
          <w:lang w:val="en-GB"/>
        </w:rPr>
      </w:pPr>
      <w:r w:rsidRPr="00EE56EF">
        <w:rPr>
          <w:rFonts w:eastAsia="Calibri" w:cs="Times New Roman"/>
          <w:szCs w:val="24"/>
          <w:lang w:val="en-GB"/>
        </w:rPr>
        <w:t xml:space="preserve">The financial account (without change in FX reserves) registered a net inflow of EUR 2.2 bn in the period January–September 2025. FDI inflow to Serbia came at EUR 2.5 bn, down by 36.2% compared to the same period of 2024, while net inflow in the period observed amounted to EUR 1.5 bn. FDI inflow remained project-diversified, and sector-wise, it was mainly channelled to manufacturing (23.9%), professional and scientific activities (18.9%), wholesale and retail trade (15.6%) and mining (12.6%). In terms of geographical region, according to data for H1 2025, the bulk of FDI inflow </w:t>
      </w:r>
      <w:r w:rsidRPr="00EE56EF">
        <w:rPr>
          <w:rFonts w:eastAsia="Calibri" w:cs="Times New Roman"/>
          <w:szCs w:val="24"/>
          <w:lang w:val="en-GB"/>
        </w:rPr>
        <w:lastRenderedPageBreak/>
        <w:t>continued to originate from European countries (85.0%, of which 68.6% from the EU) and Asian countries (9.3%).</w:t>
      </w:r>
    </w:p>
    <w:p w:rsidR="00A07FA5" w:rsidRPr="00EE56EF" w:rsidRDefault="00A07FA5" w:rsidP="00A07FA5">
      <w:pPr>
        <w:spacing w:after="240" w:line="276" w:lineRule="auto"/>
        <w:rPr>
          <w:rFonts w:eastAsia="Calibri" w:cs="Times New Roman"/>
          <w:szCs w:val="24"/>
          <w:lang w:val="en-GB"/>
        </w:rPr>
      </w:pPr>
      <w:r w:rsidRPr="00EE56EF">
        <w:rPr>
          <w:rFonts w:eastAsia="Calibri" w:cs="Times New Roman"/>
          <w:szCs w:val="24"/>
          <w:lang w:val="en-GB"/>
        </w:rPr>
        <w:t xml:space="preserve">A net outflow of EUR 702.1 mn was recorded under portfolio investment in the period January–September 2025, as residents stepped up their investment in foreign securities and non-residents sold more government securities than they bought. </w:t>
      </w:r>
    </w:p>
    <w:p w:rsidR="00A07FA5" w:rsidRPr="00EE56EF" w:rsidRDefault="00A07FA5" w:rsidP="00A07FA5">
      <w:pPr>
        <w:spacing w:after="240" w:line="276" w:lineRule="auto"/>
        <w:rPr>
          <w:rFonts w:eastAsia="Calibri" w:cs="Times New Roman"/>
          <w:szCs w:val="24"/>
          <w:lang w:val="en-GB"/>
        </w:rPr>
      </w:pPr>
      <w:r w:rsidRPr="00EE56EF">
        <w:rPr>
          <w:rFonts w:eastAsia="Calibri" w:cs="Times New Roman"/>
          <w:szCs w:val="24"/>
          <w:lang w:val="en-GB"/>
        </w:rPr>
        <w:t xml:space="preserve">A net inflow of EUR 1.4 bn came from other investments, rising by 12.2% y-o-y, mostly owing to greater disbursement of financial corporate loans. </w:t>
      </w:r>
    </w:p>
    <w:p w:rsidR="00A07FA5" w:rsidRPr="00EE56EF" w:rsidRDefault="00A07FA5" w:rsidP="00A07FA5">
      <w:pPr>
        <w:spacing w:after="240" w:line="276" w:lineRule="auto"/>
        <w:rPr>
          <w:rFonts w:eastAsia="Calibri" w:cs="Times New Roman"/>
          <w:szCs w:val="24"/>
          <w:lang w:val="en-GB"/>
        </w:rPr>
      </w:pPr>
      <w:r w:rsidRPr="00EE56EF">
        <w:rPr>
          <w:rFonts w:eastAsia="Calibri" w:cs="Times New Roman"/>
          <w:szCs w:val="24"/>
          <w:lang w:val="en-GB"/>
        </w:rPr>
        <w:t>The National Bank of Serbia’s FX reserves (without cross-currency and asset price changes) went down by EUR 820.0 mn in this period, staying well above the level ensuring adequate protection from external shocks. At end-September, FX reserves equalled EUR 29.1 bn, covering more than seven months’ worth of the country’s imports of goods and services, 162.7% of M1 and around 398.4% of debt</w:t>
      </w:r>
      <w:r w:rsidRPr="00EE56EF">
        <w:rPr>
          <w:rStyle w:val="FootnoteReference"/>
          <w:rFonts w:eastAsia="Calibri" w:cs="Times New Roman"/>
          <w:szCs w:val="24"/>
          <w:lang w:val="en-GB"/>
        </w:rPr>
        <w:footnoteReference w:id="2"/>
      </w:r>
      <w:r w:rsidRPr="00EE56EF">
        <w:rPr>
          <w:rFonts w:eastAsia="Calibri" w:cs="Times New Roman"/>
          <w:szCs w:val="24"/>
          <w:lang w:val="en-GB"/>
        </w:rPr>
        <w:t xml:space="preserve"> maturing in up to one year. </w:t>
      </w:r>
    </w:p>
    <w:p w:rsidR="006C04C7" w:rsidRPr="00EE56EF" w:rsidRDefault="00A07FA5" w:rsidP="008C5263">
      <w:pPr>
        <w:spacing w:after="240" w:line="276" w:lineRule="auto"/>
        <w:rPr>
          <w:rFonts w:eastAsia="Calibri" w:cs="Times New Roman"/>
          <w:szCs w:val="24"/>
          <w:lang w:val="en-GB"/>
        </w:rPr>
      </w:pPr>
      <w:r w:rsidRPr="00EE56EF">
        <w:rPr>
          <w:rFonts w:eastAsia="Calibri" w:cs="Times New Roman"/>
          <w:szCs w:val="24"/>
          <w:lang w:val="en-GB"/>
        </w:rPr>
        <w:t>In the year as a whole, the current account deficit is projected at EUR 4.4 bn or 5.0% of GDP, with the maintained faster growth of goods and services imports compared to exports (7.9% vs. 6.5%), owing to the rise in disposable income for consumption and higher investment as part of the implementation of the “Leap into the Future – Serbia Expo 2027” programme.</w:t>
      </w:r>
    </w:p>
    <w:p w:rsidR="006C04C7" w:rsidRPr="00EE56EF" w:rsidRDefault="00A07FA5" w:rsidP="006C04C7">
      <w:pPr>
        <w:rPr>
          <w:rFonts w:cs="Times New Roman"/>
          <w:color w:val="00B0F0"/>
          <w:szCs w:val="24"/>
          <w:lang w:val="sr-Cyrl-RS"/>
        </w:rPr>
      </w:pPr>
      <w:r w:rsidRPr="00EE56EF">
        <w:rPr>
          <w:rFonts w:eastAsia="Calibri" w:cs="Times New Roman"/>
          <w:b/>
          <w:bCs/>
          <w:i/>
          <w:iCs/>
          <w:szCs w:val="24"/>
          <w:lang w:val="en-GB"/>
        </w:rPr>
        <w:t>Exchange rate.</w:t>
      </w:r>
      <w:r w:rsidRPr="00EE56EF">
        <w:rPr>
          <w:rFonts w:eastAsia="Calibri" w:cs="Times New Roman"/>
          <w:b/>
          <w:bCs/>
          <w:szCs w:val="24"/>
          <w:lang w:val="en-GB"/>
        </w:rPr>
        <w:t xml:space="preserve"> In the ten months of 2025, the National Bank of Serbia net bought EUR 355 mn in the domestic FX market to preserve the relative stability of the dinar exchange rate against the euro. The dinar weakened against the euro by 0.2% in nominal terms. </w:t>
      </w:r>
      <w:r w:rsidRPr="00EE56EF">
        <w:rPr>
          <w:rFonts w:eastAsia="Calibri" w:cs="Times New Roman"/>
          <w:szCs w:val="24"/>
          <w:lang w:val="en-GB"/>
        </w:rPr>
        <w:t xml:space="preserve">Depreciation pressures prevailed </w:t>
      </w:r>
      <w:r w:rsidRPr="00EE56EF">
        <w:rPr>
          <w:rFonts w:eastAsia="Calibri" w:cs="Times New Roman"/>
          <w:b/>
          <w:bCs/>
          <w:szCs w:val="24"/>
          <w:lang w:val="en-GB"/>
        </w:rPr>
        <w:t xml:space="preserve">from January to end-May, </w:t>
      </w:r>
      <w:r w:rsidRPr="00EE56EF">
        <w:rPr>
          <w:rFonts w:eastAsia="Calibri" w:cs="Times New Roman"/>
          <w:szCs w:val="24"/>
          <w:lang w:val="en-GB"/>
        </w:rPr>
        <w:t>reflecting the seasonal increase in energy importers’ FX demand and reduced FX supply by other domestic companies, due in part to lower FX inflows from FDIs relative to the same period last year. As a result, the</w:t>
      </w:r>
      <w:r w:rsidRPr="00EE56EF">
        <w:rPr>
          <w:rFonts w:eastAsia="Calibri" w:cs="Times New Roman"/>
          <w:b/>
          <w:bCs/>
          <w:szCs w:val="24"/>
          <w:lang w:val="en-GB"/>
        </w:rPr>
        <w:t xml:space="preserve"> National Bank of Serbia sold EUR 1 bn net. From early June to end-October, </w:t>
      </w:r>
      <w:r w:rsidRPr="00EE56EF">
        <w:rPr>
          <w:rFonts w:eastAsia="Calibri" w:cs="Times New Roman"/>
          <w:szCs w:val="24"/>
          <w:lang w:val="en-GB"/>
        </w:rPr>
        <w:t xml:space="preserve">appreciation pressures prevailed reflecting a rise in FX supply by domestic companies (reduced FX demand of energy importers and higher supply of FX earned primarily through exports and FDIs) and other factors (increase in net indexed assets, net purchases of foreign cash by banks, lengthening of the banks’ FX position in respect of payment card use). </w:t>
      </w:r>
      <w:r w:rsidRPr="00EE56EF">
        <w:rPr>
          <w:rFonts w:eastAsia="Calibri" w:cs="Times New Roman"/>
          <w:b/>
          <w:bCs/>
          <w:szCs w:val="24"/>
          <w:lang w:val="en-GB"/>
        </w:rPr>
        <w:t>From June until end-October, the National Bank of Serbia bought EUR 1,355 mn net.</w:t>
      </w:r>
    </w:p>
    <w:p w:rsidR="00A07FA5" w:rsidRPr="00EE56EF" w:rsidRDefault="00A07FA5" w:rsidP="00A07FA5">
      <w:pPr>
        <w:spacing w:after="200" w:line="276" w:lineRule="auto"/>
        <w:rPr>
          <w:rFonts w:eastAsia="Calibri" w:cs="Times New Roman"/>
          <w:bCs/>
          <w:iCs/>
          <w:szCs w:val="24"/>
          <w:lang w:val="en-GB"/>
        </w:rPr>
      </w:pPr>
      <w:bookmarkStart w:id="15" w:name="_Hlk88465511"/>
      <w:r w:rsidRPr="00EE56EF">
        <w:rPr>
          <w:rFonts w:eastAsia="Calibri" w:cs="Times New Roman"/>
          <w:b/>
          <w:i/>
          <w:szCs w:val="24"/>
          <w:lang w:val="en-GB"/>
        </w:rPr>
        <w:t>Lending activity and monetary developments.</w:t>
      </w:r>
      <w:r w:rsidRPr="00EE56EF">
        <w:rPr>
          <w:rFonts w:eastAsia="Calibri" w:cs="Times New Roman"/>
          <w:bCs/>
          <w:iCs/>
          <w:szCs w:val="24"/>
          <w:lang w:val="en-GB"/>
        </w:rPr>
        <w:t xml:space="preserve"> In 2025, y-o-y growth in total domestic loans continued to accelerate to 12.8% in September (compared to 8.2% in late 2024) amid eased credit standards and favourable terms of borrowing. By sector, corporate loans sped up their y-o-y growth to 9.0% and household loans – to 16.1%.</w:t>
      </w:r>
    </w:p>
    <w:p w:rsidR="00A07FA5" w:rsidRPr="00EE56EF" w:rsidRDefault="00A07FA5" w:rsidP="00A07FA5">
      <w:pPr>
        <w:spacing w:after="200" w:line="276" w:lineRule="auto"/>
        <w:rPr>
          <w:rFonts w:eastAsia="Calibri" w:cs="Times New Roman"/>
          <w:bCs/>
          <w:iCs/>
          <w:szCs w:val="24"/>
          <w:lang w:val="en-GB"/>
        </w:rPr>
      </w:pPr>
      <w:r w:rsidRPr="00EE56EF">
        <w:rPr>
          <w:rFonts w:eastAsia="Calibri" w:cs="Times New Roman"/>
          <w:bCs/>
          <w:iCs/>
          <w:szCs w:val="24"/>
          <w:lang w:val="en-GB"/>
        </w:rPr>
        <w:t xml:space="preserve">The results of the bank lending surveys conducted by the National Bank of Serbia show that banks generally eased their standards for corporates and households in 2025. The easing of standards was underpinned mainly by cheaper sources of funding and, in the household sector, also by the effects of competition. Household demand for loans </w:t>
      </w:r>
      <w:r w:rsidRPr="00EE56EF">
        <w:rPr>
          <w:rFonts w:eastAsia="Calibri" w:cs="Times New Roman"/>
          <w:szCs w:val="24"/>
          <w:lang w:val="en-GB"/>
        </w:rPr>
        <w:t xml:space="preserve">increased throughout the year, spurred by the need to refinance existing loans, purchase durable consumer goods and buy real estate, with higher wages and employment having a positive impact. After subsiding in Q1, corporate loan demand rose in the next </w:t>
      </w:r>
      <w:r w:rsidRPr="00EE56EF">
        <w:rPr>
          <w:rFonts w:eastAsia="Calibri" w:cs="Times New Roman"/>
          <w:szCs w:val="24"/>
          <w:lang w:val="en-GB"/>
        </w:rPr>
        <w:lastRenderedPageBreak/>
        <w:t xml:space="preserve">two quarters, more in the segment of SMEs. </w:t>
      </w:r>
      <w:r w:rsidRPr="00EE56EF">
        <w:rPr>
          <w:rFonts w:eastAsia="Calibri" w:cs="Times New Roman"/>
          <w:bCs/>
          <w:iCs/>
          <w:szCs w:val="24"/>
          <w:lang w:val="en-GB"/>
        </w:rPr>
        <w:t>This was mostly the result of the need to finance working capital, followed by investment funding.</w:t>
      </w:r>
    </w:p>
    <w:p w:rsidR="00A07FA5" w:rsidRPr="00EE56EF" w:rsidRDefault="00A07FA5" w:rsidP="00A07FA5">
      <w:pPr>
        <w:spacing w:after="200" w:line="276" w:lineRule="auto"/>
        <w:rPr>
          <w:rFonts w:eastAsia="Calibri" w:cs="Times New Roman"/>
          <w:szCs w:val="24"/>
          <w:lang w:val="en-GB"/>
        </w:rPr>
      </w:pPr>
      <w:r w:rsidRPr="00EE56EF">
        <w:rPr>
          <w:rFonts w:eastAsia="Calibri" w:cs="Times New Roman"/>
          <w:szCs w:val="24"/>
          <w:lang w:val="en-GB"/>
        </w:rPr>
        <w:t>In the nine months of 2025, corporates resorted to liquidity and working capital loans the most (10.8% y-o-y growth in September), followed by investment loans (12.3% y-o-y growth in September). As a result, the share of liquidity and working capital loans in total corporate loans climbed to 48.6% in September, while the share of the next most common category – investment loans – measured 41.8%. Borrowing by companies across all sectors went up, but mostly by those in trade, manufacturing and transport. Observed by enterprise size, loans to micro, small and medium-sized enterprises made up 59.2% of total corporate loans in September, and their stock was 9.9% higher than a year ago. Household loan growth was guided by cash loans (19.2% y-o-y), followed by housing loans (15.4% y-o-y). This growth was supported by eased credit standards, lower interest rates, banks’ promotional offers, subsidised housing loans under the youth housing loans programme, and higher wages and employment. The fall in dinar interest rates and high approval of household loans in September reflected the start of application of the measures facilitating favourable lending to lower-income citizens. In addition, the application of caps on interest rates on housing loans extended into 2025, while the new Law on the Protection of Financial Service Consumers has systemically regulated interest rate caps on borrowing by natural persons.</w:t>
      </w:r>
    </w:p>
    <w:p w:rsidR="00A07FA5" w:rsidRPr="00EE56EF" w:rsidRDefault="00A07FA5" w:rsidP="00A07FA5">
      <w:pPr>
        <w:spacing w:after="200" w:line="276" w:lineRule="auto"/>
        <w:rPr>
          <w:rFonts w:eastAsia="Calibri" w:cs="Times New Roman"/>
          <w:szCs w:val="24"/>
          <w:lang w:val="en-GB"/>
        </w:rPr>
      </w:pPr>
      <w:r w:rsidRPr="00EE56EF">
        <w:rPr>
          <w:rFonts w:eastAsia="Calibri" w:cs="Times New Roman"/>
          <w:szCs w:val="24"/>
          <w:lang w:val="en-GB"/>
        </w:rPr>
        <w:t>The dinarisation of total corporate and household receivables gained 1.2 pp in 2025, to 38.6% in September, thanks to more pronounced growth in dinar compared to FX-indexed loans. The degree of dinarisation of corporate receivables increased by 0.8 pp to 21.7% in September and of household receivables – by 0.6 pp to 56.0%. The rise in dinar loans was supported by the provisions of the Decision on Capital Adequacy of Banks which sets out that, starting from 2025, when calculating the capital adequacy ratio banks are required to reduce their capital if the share of FX-indexed and FX loans in total loans to the non-financial and non-governmental sector approved after 1 July 2023 exceeds the defined threshold (71% in 2025).</w:t>
      </w:r>
      <w:r w:rsidRPr="00EE56EF">
        <w:rPr>
          <w:rFonts w:eastAsia="Calibri" w:cs="Times New Roman"/>
          <w:szCs w:val="24"/>
          <w:vertAlign w:val="superscript"/>
          <w:lang w:val="en-GB"/>
        </w:rPr>
        <w:footnoteReference w:id="3"/>
      </w:r>
    </w:p>
    <w:p w:rsidR="00A07FA5" w:rsidRPr="00EE56EF" w:rsidRDefault="00A07FA5" w:rsidP="00A07FA5">
      <w:pPr>
        <w:spacing w:after="200" w:line="276" w:lineRule="auto"/>
        <w:rPr>
          <w:rFonts w:eastAsia="Calibri" w:cs="Times New Roman"/>
          <w:szCs w:val="24"/>
          <w:lang w:val="en-GB"/>
        </w:rPr>
      </w:pPr>
      <w:r w:rsidRPr="00EE56EF">
        <w:rPr>
          <w:rFonts w:eastAsia="Calibri" w:cs="Times New Roman"/>
          <w:szCs w:val="24"/>
          <w:lang w:val="en-GB"/>
        </w:rPr>
        <w:t>In view of developments so far in the year, we expect credit growth in 2025 to be close to 14%. Taking into account the high base from this year, we expect that credit growth will measure around 9% in 2026 and around 8% in 2027, and that it will largely be consistent with nominal GDP growth.</w:t>
      </w:r>
    </w:p>
    <w:p w:rsidR="006C04C7" w:rsidRPr="00EE56EF" w:rsidRDefault="00A07FA5" w:rsidP="00A07FA5">
      <w:pPr>
        <w:rPr>
          <w:rFonts w:cs="Times New Roman"/>
          <w:szCs w:val="24"/>
          <w:lang w:val="sr-Latn-RS"/>
        </w:rPr>
      </w:pPr>
      <w:r w:rsidRPr="00EE56EF">
        <w:rPr>
          <w:rFonts w:eastAsia="Calibri" w:cs="Times New Roman"/>
          <w:szCs w:val="24"/>
          <w:lang w:val="en-GB"/>
        </w:rPr>
        <w:t>Monetary aggregates M1 and M2 posted nominal y-o-y growth of 15.9% and 14.7%, respectively, in September, while M3 rose by 10.5%. The rise in dinar money supply was guided by higher demand deposits, as well as savings and time deposits, with growth in both cases propped up by the increase in household deposits. Household dinar savings climbed to a new high of RSD 201.7 bn in September,</w:t>
      </w:r>
      <w:r w:rsidRPr="00EE56EF">
        <w:rPr>
          <w:rFonts w:eastAsia="Calibri" w:cs="Times New Roman"/>
          <w:szCs w:val="24"/>
          <w:vertAlign w:val="superscript"/>
          <w:lang w:val="en-GB"/>
        </w:rPr>
        <w:footnoteReference w:id="4"/>
      </w:r>
      <w:r w:rsidRPr="00EE56EF">
        <w:rPr>
          <w:rFonts w:eastAsia="Calibri" w:cs="Times New Roman"/>
          <w:szCs w:val="24"/>
          <w:lang w:val="en-GB"/>
        </w:rPr>
        <w:t xml:space="preserve"> and their share in total household savings rose to 10.2% (compared to 10.0% in late 2024 and 1.9% in late 2012). Growth in FX deposits continued as well, supported by higher household deposits (also sustained by the remittances inflow) and deposits of other financial organisations. The dinarisation of corporate and household deposits measured 46.3% in September, which is slightly less compared to the record-high end-2024 level (46.5%) and significantly more than at end-2012 (19.3%) when the Dinarisation Strategy was adopted.</w:t>
      </w:r>
      <w:r w:rsidR="006C04C7" w:rsidRPr="00EE56EF">
        <w:rPr>
          <w:rFonts w:cs="Times New Roman"/>
          <w:szCs w:val="24"/>
          <w:lang w:val="sr-Latn-RS"/>
        </w:rPr>
        <w:t xml:space="preserve"> </w:t>
      </w:r>
    </w:p>
    <w:bookmarkEnd w:id="15"/>
    <w:p w:rsidR="00A07FA5" w:rsidRPr="00EE56EF" w:rsidRDefault="00A07FA5" w:rsidP="00A07FA5">
      <w:pPr>
        <w:spacing w:after="200" w:line="276" w:lineRule="auto"/>
        <w:rPr>
          <w:rFonts w:eastAsia="Calibri" w:cs="Times New Roman"/>
          <w:szCs w:val="24"/>
          <w:lang w:val="en-GB"/>
        </w:rPr>
      </w:pPr>
      <w:r w:rsidRPr="00EE56EF">
        <w:rPr>
          <w:rFonts w:eastAsia="Calibri" w:cs="Times New Roman"/>
          <w:b/>
          <w:bCs/>
          <w:i/>
          <w:iCs/>
          <w:szCs w:val="24"/>
          <w:lang w:val="en-GB"/>
        </w:rPr>
        <w:lastRenderedPageBreak/>
        <w:t>Financial sector</w:t>
      </w:r>
      <w:r w:rsidRPr="00EE56EF">
        <w:rPr>
          <w:rFonts w:eastAsia="Calibri" w:cs="Times New Roman"/>
          <w:szCs w:val="24"/>
          <w:lang w:val="en-GB"/>
        </w:rPr>
        <w:t>. There were no major changes in the composition of Serbia’s financial system in 2025 – the banking sector remains dominant with the share of over 90% in total financial sector assets. By 30 September 2025, Serbia’s banking sector comprised 19 banks, of which 15 banks in the majority ownership of foreign persons, two banks in the majority ownership of the Republic of Serbia and two banks in the majority ownership of domestic legal persons. Foreign-owned banks account for 77.9% of total balance sheet assets, 79.6% of total gross loans and 76.7% of total banking sector deposits.</w:t>
      </w:r>
    </w:p>
    <w:p w:rsidR="00A07FA5" w:rsidRPr="00EE56EF" w:rsidRDefault="00A07FA5" w:rsidP="00A07FA5">
      <w:pPr>
        <w:spacing w:after="200" w:line="276" w:lineRule="auto"/>
        <w:rPr>
          <w:rFonts w:eastAsia="Calibri" w:cs="Times New Roman"/>
          <w:szCs w:val="24"/>
          <w:lang w:val="en-GB"/>
        </w:rPr>
      </w:pPr>
      <w:r w:rsidRPr="00EE56EF">
        <w:rPr>
          <w:rFonts w:eastAsia="Calibri" w:cs="Times New Roman"/>
          <w:szCs w:val="24"/>
          <w:lang w:val="en-GB"/>
        </w:rPr>
        <w:t>Banking sector balance sheet total and capital at end-September 2025 measured RSD 6,854 bn and RSD 927 bn, respectively. Ample capital reserves built up by banks in earlier years made banks more resilient to risks in the situation of lingering uncertainties from the international environment. The capital adequacy ratio for the banking sector was 20.96%, and the leverage ratio (under Basel 3) was 10.27% at end-September 2025, which is another confirmation of high solvency of the banking sector.</w:t>
      </w:r>
    </w:p>
    <w:p w:rsidR="00A07FA5" w:rsidRPr="00EE56EF" w:rsidRDefault="00A07FA5" w:rsidP="00A07FA5">
      <w:pPr>
        <w:spacing w:before="100" w:beforeAutospacing="1" w:after="100" w:afterAutospacing="1" w:line="276" w:lineRule="auto"/>
        <w:rPr>
          <w:rFonts w:eastAsia="Times New Roman" w:cs="Times New Roman"/>
          <w:szCs w:val="24"/>
          <w:lang w:val="en-GB" w:eastAsia="sr-Latn-RS"/>
        </w:rPr>
      </w:pPr>
      <w:r w:rsidRPr="00EE56EF">
        <w:rPr>
          <w:rFonts w:eastAsia="Times New Roman" w:cs="Times New Roman"/>
          <w:szCs w:val="24"/>
          <w:lang w:val="en-GB" w:eastAsia="sr-Latn-RS"/>
        </w:rPr>
        <w:t xml:space="preserve">Liquidity reserves of the banking sector are more than sufficient to cover potential liquidity needs, as confirmed by the movements in all key liquidity indicators. The liquidity coverage ratio measured 170.73%, while the net stable funding ratio stood at 170.5% at end-September 2025. </w:t>
      </w:r>
    </w:p>
    <w:p w:rsidR="006C04C7" w:rsidRPr="00EE56EF" w:rsidRDefault="00A07FA5" w:rsidP="00A07FA5">
      <w:pPr>
        <w:spacing w:before="100" w:beforeAutospacing="1" w:after="100" w:afterAutospacing="1" w:line="276" w:lineRule="auto"/>
        <w:rPr>
          <w:rFonts w:eastAsia="Times New Roman" w:cs="Times New Roman"/>
          <w:szCs w:val="24"/>
          <w:lang w:val="en-GB" w:eastAsia="sr-Latn-RS"/>
        </w:rPr>
      </w:pPr>
      <w:r w:rsidRPr="00EE56EF">
        <w:rPr>
          <w:rFonts w:eastAsia="Times New Roman" w:cs="Times New Roman"/>
          <w:szCs w:val="24"/>
          <w:lang w:val="en-GB" w:eastAsia="sr-Latn-RS"/>
        </w:rPr>
        <w:t>The banking sector also preserved satisfactory profitability in 2025. Total net profit before tax generated from the beginning of the year to end-September came at RSD 142.6 bn, with profitability indicators of 2.82% for ROA and 20.55% for ROE.</w:t>
      </w:r>
    </w:p>
    <w:p w:rsidR="006C04C7" w:rsidRPr="00EE56EF" w:rsidRDefault="00A07FA5" w:rsidP="006C04C7">
      <w:pPr>
        <w:spacing w:after="200" w:line="276" w:lineRule="auto"/>
        <w:rPr>
          <w:rFonts w:eastAsia="Calibri" w:cs="Times New Roman"/>
          <w:szCs w:val="24"/>
          <w:lang w:val="sr-Cyrl-RS"/>
        </w:rPr>
      </w:pPr>
      <w:bookmarkStart w:id="16" w:name="_Hlk88058820"/>
      <w:r w:rsidRPr="00EE56EF">
        <w:rPr>
          <w:rFonts w:eastAsia="Calibri" w:cs="Times New Roman"/>
          <w:szCs w:val="24"/>
          <w:lang w:val="sr-Cyrl-RS"/>
        </w:rPr>
        <w:t>Ten years after the adoption of the NPL Resolution Strategy, the share of NPLs in total gross loans of the banking sector declined by 20.04 pp and measured 2.21% at end-September 2025, its historical low. Over the same period, the stock of gross NPLs decreased by 78.6% (from RSD 427.3 bn to RSD 91.3 bn). At end-September 2025, the share of NPLs in total corporate loans stood at 2.03%, while their share in loans to natural persons was 2.83%. The coverage of NPLs with allowances for impairment in line with IFRS amounted to 62.42%.</w:t>
      </w:r>
    </w:p>
    <w:p w:rsidR="00553471" w:rsidRPr="00EE56EF" w:rsidRDefault="00553471" w:rsidP="00553471">
      <w:pPr>
        <w:spacing w:before="100" w:beforeAutospacing="1" w:after="100" w:afterAutospacing="1" w:line="276" w:lineRule="auto"/>
        <w:rPr>
          <w:rFonts w:eastAsia="Times New Roman" w:cs="Times New Roman"/>
          <w:szCs w:val="24"/>
          <w:lang w:val="en-GB" w:eastAsia="sr-Latn-RS"/>
        </w:rPr>
      </w:pPr>
      <w:bookmarkStart w:id="17" w:name="_Hlk149722595"/>
      <w:bookmarkStart w:id="18" w:name="_Hlk214367668"/>
      <w:bookmarkEnd w:id="16"/>
      <w:r w:rsidRPr="00EE56EF">
        <w:rPr>
          <w:rFonts w:eastAsia="Times New Roman" w:cs="Times New Roman"/>
          <w:szCs w:val="24"/>
          <w:lang w:val="en-GB" w:eastAsia="sr-Latn-RS"/>
        </w:rPr>
        <w:t xml:space="preserve">The National Bank of Serbia regularly reviews the need for maintenance of </w:t>
      </w:r>
      <w:r w:rsidRPr="00EE56EF">
        <w:rPr>
          <w:rFonts w:eastAsia="Times New Roman" w:cs="Times New Roman"/>
          <w:b/>
          <w:bCs/>
          <w:szCs w:val="24"/>
          <w:lang w:val="en-GB" w:eastAsia="sr-Latn-RS"/>
        </w:rPr>
        <w:t>capital buffers</w:t>
      </w:r>
      <w:r w:rsidRPr="00EE56EF">
        <w:rPr>
          <w:rFonts w:eastAsia="Times New Roman" w:cs="Times New Roman"/>
          <w:szCs w:val="24"/>
          <w:lang w:val="en-GB" w:eastAsia="sr-Latn-RS"/>
        </w:rPr>
        <w:t xml:space="preserve"> designed to limit systemic risks in the financial system of the Republic of Serbia. The most recent review of the systemic risk buffer took place in March 2024, when it was decided to keep this buffer at 3% of total FX and FX-indexed loans approved to corporates and households. The capital buffer for systemically important banks is reviewed at least once a year. Eight banks identified as systemically important for the Republic of Serbia are required, as of 30 June 2025, to maintain this buffer (four banks at 2% and four banks at 1%).</w:t>
      </w:r>
      <w:r w:rsidRPr="00EE56EF">
        <w:rPr>
          <w:rFonts w:eastAsia="Calibri" w:cs="Times New Roman"/>
          <w:szCs w:val="24"/>
          <w:vertAlign w:val="superscript"/>
          <w:lang w:val="en-GB" w:eastAsia="sr-Latn-RS"/>
        </w:rPr>
        <w:footnoteReference w:id="5"/>
      </w:r>
      <w:r w:rsidRPr="00EE56EF">
        <w:rPr>
          <w:rFonts w:eastAsia="Times New Roman" w:cs="Times New Roman"/>
          <w:szCs w:val="24"/>
          <w:lang w:val="en-GB" w:eastAsia="sr-Latn-RS"/>
        </w:rPr>
        <w:t xml:space="preserve"> The countercyclical capital buffer (CCyB) rate for the Republic of Serbia is reviewed quarterly. On 11 September 2025, the National Bank of Serbia’s Executive Board decided to keep the CCyB rate at 0%, given that the deviation of the credit-to-GDP ratio from its long-term trend in Q2 2025 stood below the 2 pp threshold for the activation of the CCyB. At end-September 2025, banks allocated a total of RSD 221.7 bn of Common Equity Tier 1 capital for the maintenance of all prescribed capital buffers, or 5.7% of risk-weighted assets.</w:t>
      </w:r>
    </w:p>
    <w:p w:rsidR="00553471" w:rsidRPr="00EE56EF" w:rsidRDefault="00553471" w:rsidP="00553471">
      <w:pPr>
        <w:spacing w:before="100" w:beforeAutospacing="1" w:after="100" w:afterAutospacing="1" w:line="276" w:lineRule="auto"/>
        <w:rPr>
          <w:rFonts w:eastAsia="Times New Roman" w:cs="Times New Roman"/>
          <w:szCs w:val="24"/>
          <w:lang w:val="en-GB" w:eastAsia="sr-Latn-RS"/>
        </w:rPr>
      </w:pPr>
      <w:r w:rsidRPr="00EE56EF">
        <w:rPr>
          <w:rFonts w:eastAsia="Times New Roman" w:cs="Times New Roman"/>
          <w:szCs w:val="24"/>
          <w:lang w:val="en-GB" w:eastAsia="sr-Latn-RS"/>
        </w:rPr>
        <w:lastRenderedPageBreak/>
        <w:t xml:space="preserve">The National Bank of Serbia prepared the </w:t>
      </w:r>
      <w:r w:rsidRPr="00EE56EF">
        <w:rPr>
          <w:rFonts w:eastAsia="Times New Roman" w:cs="Times New Roman"/>
          <w:b/>
          <w:bCs/>
          <w:szCs w:val="24"/>
          <w:lang w:val="en-GB" w:eastAsia="sr-Latn-RS"/>
        </w:rPr>
        <w:t>Law Amending the Law on Banks</w:t>
      </w:r>
      <w:r w:rsidRPr="00EE56EF">
        <w:rPr>
          <w:rFonts w:eastAsia="Times New Roman" w:cs="Times New Roman"/>
          <w:szCs w:val="24"/>
          <w:lang w:val="en-GB" w:eastAsia="sr-Latn-RS"/>
        </w:rPr>
        <w:t>, which entered into force on 14 March 2025, and is largely applicable as of 1 October 2025 (except for the provisions relating to key function holders, applicable as of 1 January 2026). The key novelty is the establishment of the Bank Resolution Fund, with mandatory membership for all banks, to support bank resolution without recourse to taxpayers’ funds. This further improves the legal framework for bank resolution and ensures significant additional alignment with the Bank Recovery and Resolution Directive (BRRD). Furthermore, the amendments ensure additional compliance with the Capital Requirements Directive (CRD) in the areas of risk management, capital adequacy and disclosure. The amendments also introduce the concept of key functions and key function holders, and establish the maintenance of the leverage ratio at the prescribed minimum as a statutory obligation, in line with the Capital Requirements Regulation (CRR). Additionally, the amendments set out the legal framework for financial holding companies and mixed financial holding companies, as well as additional supervisory powers of the National Bank of Serbia, thereby strengthening the overall regulatory and supervisory framework for banks.</w:t>
      </w:r>
    </w:p>
    <w:p w:rsidR="006C04C7" w:rsidRPr="00EE56EF" w:rsidRDefault="00553471" w:rsidP="00EE56EF">
      <w:pPr>
        <w:spacing w:before="100" w:beforeAutospacing="1" w:after="100" w:afterAutospacing="1" w:line="276" w:lineRule="auto"/>
        <w:rPr>
          <w:rFonts w:eastAsia="Times New Roman" w:cs="Times New Roman"/>
          <w:szCs w:val="24"/>
          <w:lang w:val="en-GB" w:eastAsia="sr-Latn-RS"/>
        </w:rPr>
      </w:pPr>
      <w:r w:rsidRPr="00EE56EF">
        <w:rPr>
          <w:rFonts w:eastAsia="Times New Roman" w:cs="Times New Roman"/>
          <w:szCs w:val="24"/>
          <w:lang w:val="en-GB" w:eastAsia="sr-Latn-RS"/>
        </w:rPr>
        <w:t>Within the statutory deadline of 30 June 2025, the National Bank of Serbia adopted all by-laws necessary for the implementation of the Law Amending the Law on Banks, further regulating all key issues.</w:t>
      </w:r>
      <w:r w:rsidRPr="00EE56EF">
        <w:rPr>
          <w:rFonts w:eastAsia="Calibri" w:cs="Times New Roman"/>
          <w:szCs w:val="24"/>
          <w:vertAlign w:val="superscript"/>
          <w:lang w:val="en-GB" w:eastAsia="sr-Latn-RS"/>
        </w:rPr>
        <w:footnoteReference w:id="6"/>
      </w:r>
      <w:r w:rsidRPr="00EE56EF">
        <w:rPr>
          <w:rFonts w:eastAsia="Times New Roman" w:cs="Times New Roman"/>
          <w:szCs w:val="24"/>
          <w:lang w:val="en-GB" w:eastAsia="sr-Latn-RS"/>
        </w:rPr>
        <w:t xml:space="preserve"> Among other things, these by-laws define more precisely the conditions and procedure for appointing key function holders in a bank, the new requirement for membership in the bank’s managing board, the minimum leverage ratio and the method for calculating total exposure amount included by banks in this indicator, as well as other issues aimed at enabling uniform and simultaneous application of all legislative novelties on both individual and consolidated bases. </w:t>
      </w:r>
    </w:p>
    <w:bookmarkEnd w:id="17"/>
    <w:bookmarkEnd w:id="18"/>
    <w:p w:rsidR="00553471" w:rsidRPr="00EE56EF" w:rsidRDefault="00553471" w:rsidP="00553471">
      <w:pPr>
        <w:spacing w:before="100" w:beforeAutospacing="1" w:after="100" w:afterAutospacing="1" w:line="276" w:lineRule="auto"/>
        <w:rPr>
          <w:rFonts w:eastAsia="Times New Roman" w:cs="Times New Roman"/>
          <w:szCs w:val="24"/>
          <w:lang w:val="en-GB" w:eastAsia="sr-Latn-RS"/>
        </w:rPr>
      </w:pPr>
      <w:r w:rsidRPr="00EE56EF">
        <w:rPr>
          <w:rFonts w:eastAsia="Times New Roman" w:cs="Times New Roman"/>
          <w:szCs w:val="24"/>
          <w:lang w:val="en-GB" w:eastAsia="sr-Latn-RS"/>
        </w:rPr>
        <w:t>For the purpose of implementing the amendments to the Law on Banks and further alignment with the EU legal framework, the National Bank of Serbia has also adopted a set of by-laws in the field of bank resolution.</w:t>
      </w:r>
      <w:r w:rsidRPr="00EE56EF">
        <w:rPr>
          <w:rFonts w:eastAsia="Calibri" w:cs="Times New Roman"/>
          <w:szCs w:val="24"/>
          <w:vertAlign w:val="superscript"/>
          <w:lang w:val="en-GB" w:eastAsia="sr-Latn-RS"/>
        </w:rPr>
        <w:footnoteReference w:id="7"/>
      </w:r>
    </w:p>
    <w:p w:rsidR="00553471" w:rsidRPr="00EE56EF" w:rsidRDefault="00553471" w:rsidP="00553471">
      <w:pPr>
        <w:spacing w:before="100" w:beforeAutospacing="1" w:after="100" w:afterAutospacing="1" w:line="276" w:lineRule="auto"/>
        <w:rPr>
          <w:rFonts w:eastAsia="Times New Roman" w:cs="Times New Roman"/>
          <w:szCs w:val="24"/>
          <w:lang w:val="en-GB" w:eastAsia="sr-Latn-RS"/>
        </w:rPr>
      </w:pPr>
      <w:r w:rsidRPr="00EE56EF">
        <w:rPr>
          <w:rFonts w:eastAsia="Times New Roman" w:cs="Times New Roman"/>
          <w:szCs w:val="24"/>
          <w:lang w:val="en-GB" w:eastAsia="sr-Latn-RS"/>
        </w:rPr>
        <w:t xml:space="preserve">In February 2025, the National Bank of Serbia adopted the </w:t>
      </w:r>
      <w:r w:rsidRPr="00EE56EF">
        <w:rPr>
          <w:rFonts w:eastAsia="Times New Roman" w:cs="Times New Roman"/>
          <w:b/>
          <w:bCs/>
          <w:szCs w:val="24"/>
          <w:lang w:val="en-GB" w:eastAsia="sr-Latn-RS"/>
        </w:rPr>
        <w:t>Decision on the Management of Interest Rate Risk in the Non-Trading Book</w:t>
      </w:r>
      <w:r w:rsidRPr="00EE56EF">
        <w:rPr>
          <w:rFonts w:eastAsia="Times New Roman" w:cs="Times New Roman"/>
          <w:szCs w:val="24"/>
          <w:lang w:val="en-GB" w:eastAsia="sr-Latn-RS"/>
        </w:rPr>
        <w:t xml:space="preserve"> and the related </w:t>
      </w:r>
      <w:r w:rsidRPr="00EE56EF">
        <w:rPr>
          <w:rFonts w:eastAsia="Times New Roman" w:cs="Times New Roman"/>
          <w:b/>
          <w:bCs/>
          <w:szCs w:val="24"/>
          <w:lang w:val="en-GB" w:eastAsia="sr-Latn-RS"/>
        </w:rPr>
        <w:t>Guidelines for Implementation of the Standardised Approach and the Simplified Standardised Approach for the Measurement of Exposure to Interest Rate Risk in the Non-Trading Book</w:t>
      </w:r>
      <w:r w:rsidRPr="00EE56EF">
        <w:rPr>
          <w:rFonts w:eastAsia="Times New Roman" w:cs="Times New Roman"/>
          <w:szCs w:val="24"/>
          <w:lang w:val="en-GB" w:eastAsia="sr-Latn-RS"/>
        </w:rPr>
        <w:t xml:space="preserve">. These documents upgrade and improve the existing framework for managing this risk, taking into account the new EU framework on interest </w:t>
      </w:r>
      <w:r w:rsidRPr="00EE56EF">
        <w:rPr>
          <w:rFonts w:eastAsia="Times New Roman" w:cs="Times New Roman"/>
          <w:szCs w:val="24"/>
          <w:lang w:val="en-GB" w:eastAsia="sr-Latn-RS"/>
        </w:rPr>
        <w:lastRenderedPageBreak/>
        <w:t>rate risk in the banking book (IRRBB). The entire regulatory package (including the relevant reporting requirements) will apply as of 1 January 2026.</w:t>
      </w:r>
    </w:p>
    <w:p w:rsidR="00553471" w:rsidRPr="00EE56EF" w:rsidRDefault="00553471" w:rsidP="00553471">
      <w:pPr>
        <w:spacing w:before="100" w:beforeAutospacing="1" w:after="100" w:afterAutospacing="1" w:line="276" w:lineRule="auto"/>
        <w:rPr>
          <w:rFonts w:eastAsia="Times New Roman" w:cs="Times New Roman"/>
          <w:szCs w:val="24"/>
          <w:lang w:val="en-GB" w:eastAsia="sr-Latn-RS"/>
        </w:rPr>
      </w:pPr>
      <w:r w:rsidRPr="00EE56EF">
        <w:rPr>
          <w:rFonts w:eastAsia="Times New Roman" w:cs="Times New Roman"/>
          <w:szCs w:val="24"/>
          <w:lang w:val="en-GB" w:eastAsia="sr-Latn-RS"/>
        </w:rPr>
        <w:t>Full alignment of the domestic regulatory framework with the Capital Requirements Directive (CRD) and Capital Requirements Regulation (CRR) is planned by end-2026.</w:t>
      </w:r>
    </w:p>
    <w:p w:rsidR="00553471" w:rsidRPr="00EE56EF" w:rsidRDefault="00553471" w:rsidP="00553471">
      <w:pPr>
        <w:spacing w:before="100" w:beforeAutospacing="1" w:after="100" w:afterAutospacing="1" w:line="276" w:lineRule="auto"/>
        <w:rPr>
          <w:rFonts w:eastAsia="Times New Roman" w:cs="Times New Roman"/>
          <w:szCs w:val="24"/>
          <w:lang w:val="en-GB" w:eastAsia="sr-Latn-RS"/>
        </w:rPr>
      </w:pPr>
      <w:r w:rsidRPr="00EE56EF">
        <w:rPr>
          <w:rFonts w:eastAsia="Times New Roman" w:cs="Times New Roman"/>
          <w:szCs w:val="24"/>
          <w:lang w:val="en-GB" w:eastAsia="sr-Latn-RS"/>
        </w:rPr>
        <w:t xml:space="preserve">By establishing the NBS IPS – </w:t>
      </w:r>
      <w:r w:rsidRPr="00EE56EF">
        <w:rPr>
          <w:rFonts w:eastAsia="Times New Roman" w:cs="Times New Roman"/>
          <w:b/>
          <w:bCs/>
          <w:i/>
          <w:iCs/>
          <w:szCs w:val="24"/>
          <w:lang w:val="en-GB" w:eastAsia="sr-Latn-RS"/>
        </w:rPr>
        <w:t>instant payments system</w:t>
      </w:r>
      <w:r w:rsidRPr="00EE56EF">
        <w:rPr>
          <w:rFonts w:eastAsia="Times New Roman" w:cs="Times New Roman"/>
          <w:szCs w:val="24"/>
          <w:lang w:val="en-GB" w:eastAsia="sr-Latn-RS"/>
        </w:rPr>
        <w:t>, the National Bank of Serbia made it possible for low-value payments to be executed in real time, 24/7/365. In addition to developing the infrastructure for the acceptance of instant payments at merchants’ points of sale through merchant cash registers, fiscal software, merchant mobile applications, POS terminals and online points of sale, the National Bank of Serbia upgraded the instant payment service for online purchases by implementing deep link technology. This enables customers to complete the entire purchase process using only a single device (e.g. a mobile phone), without leaving sensitive payment instrument data on the internet. The payment of bills has also been made easier by scanning the NBS IPS QR code on bills/invoices, without having to go to a bank. Since September 2021, banks can offer the “Transfer” service to users, in their mobile banking application, enabling them to send funds to the payee simply, quickly and securely, using only the payee’s mobile phone number. The option to initiate transactions via the “Transfer” service from third-party applications has also been provided. Instant payment of fees and charges for services provided by public administration authorities on the eGovernment portal has likewise been made possible by scanning the NBS IPS QR code from the unique payment slip, thereby contributing to further digitalisation of the public administration and to the efficiency of public service delivery.</w:t>
      </w:r>
    </w:p>
    <w:p w:rsidR="00553471" w:rsidRPr="00EE56EF" w:rsidRDefault="00553471" w:rsidP="00553471">
      <w:pPr>
        <w:spacing w:after="200" w:line="276" w:lineRule="auto"/>
        <w:rPr>
          <w:rFonts w:eastAsia="Calibri" w:cs="Times New Roman"/>
          <w:szCs w:val="24"/>
          <w:lang w:val="en-GB"/>
        </w:rPr>
      </w:pPr>
      <w:r w:rsidRPr="00EE56EF">
        <w:rPr>
          <w:rFonts w:eastAsia="Calibri" w:cs="Times New Roman"/>
          <w:szCs w:val="24"/>
          <w:lang w:val="en-GB"/>
        </w:rPr>
        <w:t>With the development of a new payment infrastructure based on instant payments, non-bank payment service providers have also gained the possibility of becoming participants in the NBS IPS system and providing instant payment services, thereby encouraging competitiveness among participants in the payment services market.</w:t>
      </w:r>
    </w:p>
    <w:p w:rsidR="00553471" w:rsidRPr="00EE56EF" w:rsidRDefault="00553471" w:rsidP="00553471">
      <w:pPr>
        <w:spacing w:after="200" w:line="276" w:lineRule="auto"/>
        <w:rPr>
          <w:rFonts w:eastAsia="Calibri" w:cs="Times New Roman"/>
          <w:szCs w:val="24"/>
          <w:lang w:val="en-GB"/>
        </w:rPr>
      </w:pPr>
      <w:r w:rsidRPr="00EE56EF">
        <w:rPr>
          <w:rFonts w:eastAsia="Calibri" w:cs="Times New Roman"/>
          <w:szCs w:val="24"/>
          <w:lang w:val="en-GB"/>
        </w:rPr>
        <w:t>As part of activities related to joining the Single Euro Payments Area (SEPA), following the regulatory changes implemented by the National Bank of Serbia and the submission of the formal application to the European Payments Council, the Republic of Serbia officially became the 41</w:t>
      </w:r>
      <w:r w:rsidRPr="00EE56EF">
        <w:rPr>
          <w:rFonts w:eastAsia="Calibri" w:cs="Times New Roman"/>
          <w:szCs w:val="24"/>
          <w:vertAlign w:val="superscript"/>
          <w:lang w:val="en-GB"/>
        </w:rPr>
        <w:t>st</w:t>
      </w:r>
      <w:r w:rsidRPr="00EE56EF">
        <w:rPr>
          <w:rFonts w:eastAsia="Calibri" w:cs="Times New Roman"/>
          <w:szCs w:val="24"/>
          <w:lang w:val="en-GB"/>
        </w:rPr>
        <w:t xml:space="preserve"> member of the SEPA area on 22 May 2025. Activities concerning the connection of payment service providers to SEPA payment schemes are underway, bearing in mind that Serbian payment service providers may submit applications to join SEPA payment schemes as of November 2025, while 4 May 2026 has been set as the earliest operational readiness date for Serbian payment service providers within the SEPA schemes. The expectation of the National Bank of Serbia is that, from that date, banks will enable, first and foremost, the execution of payments within the SEPA Credit Transfer (SCT) scheme, and then payment transactions within the SEPA Instant Credit Transfer (SCT Inst) scheme. To facilitate the accession of payment service providers to SEPA payment schemes, the National Adherence Support Organisation (NASO) will be established within the Serbian Banking Association, which will be responsible for communication and coordination of activities with the European Payments Council during the accession process. The National Bank of Serbia will support the NASO to ensure that the planned deadlines for the accession of payment service providers to SEPA payment schemes are met.</w:t>
      </w:r>
    </w:p>
    <w:p w:rsidR="006C04C7" w:rsidRPr="00EE56EF" w:rsidRDefault="00553471" w:rsidP="006C04C7">
      <w:pPr>
        <w:spacing w:after="180" w:line="276" w:lineRule="auto"/>
        <w:rPr>
          <w:rFonts w:eastAsia="Calibri" w:cs="Times New Roman"/>
          <w:szCs w:val="24"/>
          <w:lang w:val="en-GB"/>
        </w:rPr>
      </w:pPr>
      <w:r w:rsidRPr="00EE56EF">
        <w:rPr>
          <w:rFonts w:eastAsia="Calibri" w:cs="Times New Roman"/>
          <w:szCs w:val="24"/>
          <w:lang w:val="en-GB"/>
        </w:rPr>
        <w:lastRenderedPageBreak/>
        <w:t xml:space="preserve">Acknowledging global trends, the Republic of Serbia adopted the </w:t>
      </w:r>
      <w:r w:rsidRPr="00EE56EF">
        <w:rPr>
          <w:rFonts w:eastAsia="Calibri" w:cs="Times New Roman"/>
          <w:b/>
          <w:bCs/>
          <w:szCs w:val="24"/>
          <w:lang w:val="en-GB"/>
        </w:rPr>
        <w:t>Law on Digital Assets</w:t>
      </w:r>
      <w:r w:rsidRPr="00EE56EF">
        <w:rPr>
          <w:rFonts w:eastAsia="Calibri" w:cs="Times New Roman"/>
          <w:szCs w:val="24"/>
          <w:lang w:val="en-GB"/>
        </w:rPr>
        <w:t>, which sets forth in detail the issuance and secondary trading in digital assets, including the operation of virtual currency trading platforms and their exchange for money. The Law began to apply on 29 June 2021. Since the beginning of its implementation, the National Bank of Serbia has issued three licences for the provision of virtual currency-related services, so there are currently three licensed digital asset service providers operating in the Republic of Serbia.</w:t>
      </w:r>
    </w:p>
    <w:p w:rsidR="006C04C7" w:rsidRPr="00002D92" w:rsidRDefault="006C04C7" w:rsidP="006C04C7">
      <w:pPr>
        <w:pStyle w:val="Heading11"/>
        <w:spacing w:before="180" w:after="180"/>
        <w:rPr>
          <w:rFonts w:ascii="Times New Roman" w:hAnsi="Times New Roman" w:cs="Times New Roman"/>
          <w:color w:val="auto"/>
          <w:sz w:val="24"/>
          <w:szCs w:val="24"/>
          <w:lang w:val="sr-Latn-RS"/>
        </w:rPr>
      </w:pPr>
      <w:bookmarkStart w:id="19" w:name="_Toc185342330"/>
      <w:bookmarkStart w:id="20" w:name="_Toc221106870"/>
      <w:bookmarkEnd w:id="1"/>
      <w:bookmarkEnd w:id="2"/>
      <w:bookmarkEnd w:id="14"/>
      <w:r w:rsidRPr="00002D92">
        <w:rPr>
          <w:rFonts w:ascii="Times New Roman" w:hAnsi="Times New Roman" w:cs="Times New Roman"/>
          <w:color w:val="auto"/>
          <w:sz w:val="24"/>
          <w:szCs w:val="24"/>
          <w:lang w:val="sr-Latn-RS"/>
        </w:rPr>
        <w:t xml:space="preserve">3.3. </w:t>
      </w:r>
      <w:bookmarkEnd w:id="19"/>
      <w:r w:rsidR="008C5263">
        <w:rPr>
          <w:rFonts w:ascii="Times New Roman" w:hAnsi="Times New Roman" w:cs="Times New Roman"/>
          <w:color w:val="auto"/>
          <w:sz w:val="24"/>
          <w:szCs w:val="24"/>
          <w:lang w:val="sr-Latn-RS"/>
        </w:rPr>
        <w:t>MEDIUM-TERM MACROECONOMIC SCENARIO</w:t>
      </w:r>
      <w:bookmarkEnd w:id="20"/>
    </w:p>
    <w:p w:rsidR="008C5263" w:rsidRPr="00A307A3" w:rsidRDefault="008C5263" w:rsidP="008C5263">
      <w:pPr>
        <w:rPr>
          <w:rFonts w:cs="Times New Roman"/>
          <w:bCs/>
          <w:szCs w:val="24"/>
          <w:lang w:val="sr-Cyrl-RS"/>
        </w:rPr>
      </w:pPr>
      <w:r w:rsidRPr="00E126A3">
        <w:rPr>
          <w:rFonts w:cs="Times New Roman"/>
          <w:bCs/>
          <w:szCs w:val="24"/>
          <w:lang w:val="sr-Cyrl-RS"/>
        </w:rPr>
        <w:t>In a dynamic global environment, the Republic of Serbia continues to build a sustainable and competitive economic model, relying on strategic investments, macroeconomic stability and innovation as the main pillars of long-term development. Openness toward foreign investments remains an important anchor of development, especially due to the transfer of knowledge and technologies, but the state is directing increasing attention toward strengthening domestic investors. Through tax relief, improved access to sources of financing and simplification of administrative procedures, new possibilities for growth are being opened. In parallel with this, the new strategic cycle of industrial policy is focused on strengthening sectors with high added value, encouraging the transfer of technologies and the development of the innovation ecosystem. Policy instruments include subsidies for the purchase of equipment, tax incentives for research and development, as well as the expansion of the network of science-technology parks in all major cities of the Republic of Serbia. This creates an institutional framework for the accelerated structural transformation of the domestic economy. Particularly significant progress has been achieved by obtaining an investment rating, which not only reduces the borrowing costs of the state, but also opens additional space for the private sector’s access to international capital markets.</w:t>
      </w:r>
      <w:r w:rsidRPr="00A307A3">
        <w:rPr>
          <w:rFonts w:cs="Times New Roman"/>
          <w:bCs/>
          <w:szCs w:val="24"/>
          <w:lang w:val="sr-Cyrl-RS"/>
        </w:rPr>
        <w:t xml:space="preserve"> </w:t>
      </w:r>
    </w:p>
    <w:p w:rsidR="008C5263" w:rsidRPr="00A307A3" w:rsidRDefault="008C5263" w:rsidP="008C5263">
      <w:pPr>
        <w:rPr>
          <w:rFonts w:cs="Times New Roman"/>
          <w:bCs/>
          <w:szCs w:val="24"/>
          <w:lang w:val="sr-Cyrl-RS"/>
        </w:rPr>
      </w:pPr>
      <w:r w:rsidRPr="00E126A3">
        <w:rPr>
          <w:rFonts w:cs="Times New Roman"/>
          <w:bCs/>
          <w:szCs w:val="24"/>
          <w:lang w:val="sr-Cyrl-RS"/>
        </w:rPr>
        <w:t>Public investments in transport, energy and communal infrastructure have multiple effects, since they not only directly contribute to GDP growth, but also create a stimulating environment for the expansion of the private sector. The modernization of infrastructure enables more efficient integration of domestic companies into European value chains, while simultaneously improving the quality of life of citizens. The program “Leap into the Future – EXPO Serbia 2027” represents an integrated strategic framework that unites infrastructure, innovation and the international promotion of the Republic of Serbia. Planned investments include the construction of the transport and energy network, the metro system, cultural and sports facilities, as well as educational and innovation centers. Infrastructure investments in digital highways, educational hubs and sustainable urban systems are already today creating synergy between the state and the private sector, thereby accelerating the convergence of the Republic of Serbia toward developed European economies. Modernization and digitalization will continue, which will be reflected in the further development and application of artificial intelligence and the expansion of supercomputer systems, as well as in the expansion of the capacities of the State Data Center. At the same time, activities continue that aim at the accelerated development of the innovation ecosystem through the expansion of existing science-technology parks and the construction of new ones, as well as the improvement of conditions for opening research-development centers of well-known global IT and other companies. Special emphasis is placed on improving human capital through programs for youth employment, dual education and support to vulnerable social groups, thereby ensuring inclusive development. The growth agenda, aligned with the strategic guidelines of the European Union, clearly sets development priorities, from investments in energy, digitalization and the development of the 5G network, through the reform of the education system, all the way to strengthening the rule of law, thus building a stable basis for the long-term resilience and sustainability of the economy.</w:t>
      </w:r>
      <w:r w:rsidRPr="00A307A3">
        <w:rPr>
          <w:rFonts w:cs="Times New Roman"/>
          <w:bCs/>
          <w:szCs w:val="24"/>
          <w:lang w:val="sr-Cyrl-RS"/>
        </w:rPr>
        <w:t xml:space="preserve"> </w:t>
      </w:r>
    </w:p>
    <w:p w:rsidR="008C5263" w:rsidRPr="00A307A3" w:rsidRDefault="008C5263" w:rsidP="008C5263">
      <w:pPr>
        <w:rPr>
          <w:rFonts w:cs="Times New Roman"/>
          <w:bCs/>
          <w:szCs w:val="24"/>
          <w:lang w:val="sr-Cyrl-RS"/>
        </w:rPr>
      </w:pPr>
      <w:r w:rsidRPr="00E126A3">
        <w:rPr>
          <w:rFonts w:cs="Times New Roman"/>
          <w:bCs/>
          <w:szCs w:val="24"/>
          <w:lang w:val="sr-Cyrl-RS"/>
        </w:rPr>
        <w:t xml:space="preserve">Ensuring energy security and sustainable energy sources will be the primary goal of the energy strategy and the decarbonization process. The Republic of Serbia has committed itself to the gradual </w:t>
      </w:r>
      <w:r w:rsidRPr="00E126A3">
        <w:rPr>
          <w:rFonts w:cs="Times New Roman"/>
          <w:bCs/>
          <w:szCs w:val="24"/>
          <w:lang w:val="sr-Cyrl-RS"/>
        </w:rPr>
        <w:lastRenderedPageBreak/>
        <w:t>introduction of sustainable energy sources, increasing energy efficiency and reducing carbon-dioxide emissions, which is an essential precondition for economic and environmental resilience in the long run. The introduction of the Carbon Border Adjustment Mechanism (CBAM) in the European Union from 2026 represents an important turning point in trade and climate policies, which may have significant macroeconomic effects for the Republic of Serbia. According to this mechanism, importers in the EU will be obliged to pay CBAM certificates, whose value depends on the amount of CO₂ emissions generated during the production of imported goods such as cement, iron, steel, aluminum, fertilizers, hydrogen and electricity.</w:t>
      </w:r>
      <w:r w:rsidRPr="00A307A3">
        <w:rPr>
          <w:rFonts w:cs="Times New Roman"/>
          <w:bCs/>
          <w:szCs w:val="24"/>
          <w:lang w:val="sr-Cyrl-RS"/>
        </w:rPr>
        <w:t xml:space="preserve"> </w:t>
      </w:r>
    </w:p>
    <w:p w:rsidR="008C5263" w:rsidRDefault="008C5263" w:rsidP="008C5263">
      <w:pPr>
        <w:rPr>
          <w:rFonts w:cs="Times New Roman"/>
          <w:bCs/>
          <w:szCs w:val="24"/>
          <w:lang w:val="sr-Cyrl-RS"/>
        </w:rPr>
      </w:pPr>
      <w:r w:rsidRPr="00E126A3">
        <w:rPr>
          <w:rFonts w:cs="Times New Roman"/>
          <w:bCs/>
          <w:szCs w:val="24"/>
          <w:lang w:val="sr-Cyrl-RS"/>
        </w:rPr>
        <w:t>Expected medium-term developments of the real sector are based on current economic trends and prospects for the Republic of Serbia and the international environment, with consideration of adopted economic policy measures. At the same time, the projections are burdened with a pronounced degree of uncertainty due to global events and heightened socio-political tensions in the country, as well as high uncertainty regarding the dynamics of economic activity in certain industrial branches that are sensitive to changes in the international business environment. Such risks may significantly influence economic expectations, confidence of economic agents and investment activity in the upcoming period. Therefore, the projections given in this document represent only one of the possible scenarios, and economic developments in the coming period could significantly deviate from the central trajectory depending on the materialization of risks.</w:t>
      </w:r>
    </w:p>
    <w:p w:rsidR="008C5263" w:rsidRPr="00A307A3" w:rsidRDefault="008C5263" w:rsidP="008C5263">
      <w:pPr>
        <w:rPr>
          <w:rFonts w:cs="Times New Roman"/>
          <w:bCs/>
          <w:szCs w:val="24"/>
          <w:lang w:val="sr-Cyrl-RS"/>
        </w:rPr>
      </w:pPr>
      <w:r w:rsidRPr="00E126A3">
        <w:rPr>
          <w:rFonts w:cs="Times New Roman"/>
          <w:bCs/>
          <w:szCs w:val="24"/>
          <w:lang w:val="sr-Cyrl-RS"/>
        </w:rPr>
        <w:t>According to the medium-term macroeconomic projection, the cumulative growth rate in the period from 2026 to 2028 will amount to 11.9% and will be determined by the growth of domestic demand, with a mildly negative contribution of net exports. This source of growth is determined both by the strong continuation of the investment cycle and the growth of investment activity, as well as by the increase of private household consumption due to the growth of real disposable income. With the expected recovery of external demand, the acceleration of growth to 5.0% in 2027 will primarily be the result of the realization of activities within the EXPO project, whose organization will generate strong infrastructure, construction and logistics activities during 2026, and will achieve its full effect precisely during 2027. The holding of the event itself will lead to a significant increase in foreign arrivals, consumption and investments, especially in the sectors of tourism, hospitality and services. At the same time, EXPO will additionally encourage the promotion of the domestic economy, strengthening export potential and attracting foreign direct investments, thereby ensuring a strong contribution to total GDP growth in 2027. The slowdown of economic growth in 2028 to 3.5% will largely be the consequence of a pronounced base effect, since the implementation of the international EXPO exhibition in 2027 will lead to a temporary but extremely strong growth in certain segments of the economy. Given that these effects will be time-limited and dominantly concentrated in the year of the event, their influence will gradually cease in 2028, which will lead to the return of the GDP growth rate to a more moderate trajectory. Such a slowdown does not represent a signal of weakening economic fundamentals, but primarily a reflection of comparison with a year in which one-off and extremely intensive stimuli to economic activity were present.</w:t>
      </w:r>
    </w:p>
    <w:p w:rsidR="006C04C7" w:rsidRPr="00002D92" w:rsidRDefault="008C5263" w:rsidP="008C5263">
      <w:pPr>
        <w:rPr>
          <w:rFonts w:cs="Times New Roman"/>
          <w:bCs/>
          <w:szCs w:val="24"/>
          <w:lang w:val="sr-Cyrl-RS"/>
        </w:rPr>
      </w:pPr>
      <w:r w:rsidRPr="00E126A3">
        <w:rPr>
          <w:rFonts w:cs="Times New Roman"/>
          <w:bCs/>
          <w:szCs w:val="24"/>
          <w:lang w:val="sr-Cyrl-RS"/>
        </w:rPr>
        <w:t xml:space="preserve">On average annually, the Serbian economy will grow at a rate of 3.8% in the period from 2026 to 2028. The increase in real household consumption will follow the growth of economic activity and will amount to an average of 3.8%. Stable growth of fixed investments is expected, which will average 5.8% per year. The high level of public investments will be accompanied by growth in private investments, so that at the end of the projection period the share of fixed investments in GDP is expected to reach 24.3%. With the activation of new production capacities and the recovery of external demand, the volume of foreign trade will increase. In addition, the effectuation of FDI from the previous period will contribute to increased competition and influence the efficiency of domestic producers, while on the other hand new sales channels will be activated and new market niches opened. Exports will grow on average annually at a rate of 6.2%, which is faster than the expected annual </w:t>
      </w:r>
      <w:r w:rsidRPr="00E126A3">
        <w:rPr>
          <w:rFonts w:cs="Times New Roman"/>
          <w:bCs/>
          <w:szCs w:val="24"/>
          <w:lang w:val="sr-Cyrl-RS"/>
        </w:rPr>
        <w:lastRenderedPageBreak/>
        <w:t>growth of imports, which will average 6.0%, but due to the higher share of imports, the contribution of net exports to GDP growth will be mildly negative.</w:t>
      </w:r>
    </w:p>
    <w:p w:rsidR="006C04C7" w:rsidRPr="00002D92" w:rsidRDefault="007F4BF4" w:rsidP="006C04C7">
      <w:pPr>
        <w:rPr>
          <w:rFonts w:eastAsia="Calibri" w:cs="Times New Roman"/>
          <w:bCs/>
          <w:i/>
          <w:szCs w:val="24"/>
          <w:lang w:val="sr-Cyrl-RS"/>
        </w:rPr>
      </w:pPr>
      <w:r w:rsidRPr="007F4BF4">
        <w:rPr>
          <w:rFonts w:eastAsia="Calibri" w:cs="Times New Roman"/>
          <w:bCs/>
          <w:i/>
          <w:szCs w:val="24"/>
          <w:lang w:val="sr-Latn-RS"/>
        </w:rPr>
        <w:t>Table</w:t>
      </w:r>
      <w:r w:rsidRPr="007F4BF4">
        <w:rPr>
          <w:rFonts w:eastAsia="Calibri" w:cs="Times New Roman"/>
          <w:bCs/>
          <w:i/>
          <w:szCs w:val="24"/>
          <w:lang w:val="sr-Cyrl-RS"/>
        </w:rPr>
        <w:t xml:space="preserve"> 2. Projection of key macroeconomic indicators of the Republic of Serbia</w:t>
      </w:r>
      <w:r w:rsidRPr="00002D92">
        <w:rPr>
          <w:rFonts w:eastAsia="Calibri" w:cs="Times New Roman"/>
          <w:bCs/>
          <w:i/>
          <w:szCs w:val="24"/>
          <w:lang w:val="sr-Cyrl-RS"/>
        </w:rPr>
        <w:t xml:space="preserve"> </w:t>
      </w:r>
      <w:r w:rsidR="006C04C7" w:rsidRPr="00002D92">
        <w:rPr>
          <w:rFonts w:eastAsia="Calibri" w:cs="Times New Roman"/>
          <w:bCs/>
          <w:i/>
          <w:szCs w:val="24"/>
          <w:lang w:val="sr-Cyrl-RS"/>
        </w:rPr>
        <w:fldChar w:fldCharType="begin"/>
      </w:r>
      <w:r w:rsidR="006C04C7" w:rsidRPr="00002D92">
        <w:rPr>
          <w:rFonts w:eastAsia="Calibri" w:cs="Times New Roman"/>
          <w:bCs/>
          <w:i/>
          <w:szCs w:val="24"/>
          <w:lang w:val="sr-Cyrl-RS"/>
        </w:rPr>
        <w:instrText xml:space="preserve"> LINK Excel.Sheet.12 "Book1" "Sheet1!R1C2:R10C7" \a \f 5 \h  \* MERGEFORMAT </w:instrText>
      </w:r>
      <w:r w:rsidR="006C04C7" w:rsidRPr="00002D92">
        <w:rPr>
          <w:rFonts w:eastAsia="Calibri" w:cs="Times New Roman"/>
          <w:bCs/>
          <w:i/>
          <w:szCs w:val="24"/>
          <w:lang w:val="sr-Cyrl-RS"/>
        </w:rPr>
        <w:fldChar w:fldCharType="separate"/>
      </w:r>
    </w:p>
    <w:tbl>
      <w:tblPr>
        <w:tblStyle w:val="TableGrid"/>
        <w:tblW w:w="8607" w:type="dxa"/>
        <w:tblLook w:val="04A0" w:firstRow="1" w:lastRow="0" w:firstColumn="1" w:lastColumn="0" w:noHBand="0" w:noVBand="1"/>
      </w:tblPr>
      <w:tblGrid>
        <w:gridCol w:w="2901"/>
        <w:gridCol w:w="1296"/>
        <w:gridCol w:w="861"/>
        <w:gridCol w:w="1182"/>
        <w:gridCol w:w="1182"/>
        <w:gridCol w:w="1185"/>
      </w:tblGrid>
      <w:tr w:rsidR="006C04C7" w:rsidRPr="00002D92" w:rsidTr="0098339B">
        <w:trPr>
          <w:cnfStyle w:val="100000000000" w:firstRow="1" w:lastRow="0" w:firstColumn="0" w:lastColumn="0" w:oddVBand="0" w:evenVBand="0" w:oddHBand="0" w:evenHBand="0" w:firstRowFirstColumn="0" w:firstRowLastColumn="0" w:lastRowFirstColumn="0" w:lastRowLastColumn="0"/>
          <w:trHeight w:val="147"/>
        </w:trPr>
        <w:tc>
          <w:tcPr>
            <w:tcW w:w="2901" w:type="dxa"/>
            <w:vMerge w:val="restart"/>
            <w:hideMark/>
          </w:tcPr>
          <w:p w:rsidR="006C04C7" w:rsidRPr="00002D92" w:rsidRDefault="006C04C7" w:rsidP="0098339B">
            <w:pPr>
              <w:spacing w:before="0" w:after="0"/>
              <w:ind w:left="0" w:right="0"/>
              <w:rPr>
                <w:rFonts w:eastAsia="Calibri" w:cs="Times New Roman"/>
                <w:bCs/>
                <w:szCs w:val="24"/>
                <w:lang w:val="sr-Cyrl-RS"/>
              </w:rPr>
            </w:pPr>
            <w:r w:rsidRPr="00002D92">
              <w:rPr>
                <w:rFonts w:eastAsia="Calibri" w:cs="Times New Roman"/>
                <w:bCs/>
                <w:szCs w:val="24"/>
                <w:lang w:val="sr-Cyrl-RS"/>
              </w:rPr>
              <w:t> </w:t>
            </w:r>
          </w:p>
        </w:tc>
        <w:tc>
          <w:tcPr>
            <w:tcW w:w="1296" w:type="dxa"/>
            <w:hideMark/>
          </w:tcPr>
          <w:p w:rsidR="006C04C7" w:rsidRPr="007F4BF4" w:rsidRDefault="007F4BF4" w:rsidP="0098339B">
            <w:pPr>
              <w:spacing w:before="0" w:after="0"/>
              <w:ind w:left="0" w:right="0"/>
              <w:jc w:val="center"/>
              <w:rPr>
                <w:rFonts w:eastAsia="Calibri" w:cs="Times New Roman"/>
                <w:bCs/>
                <w:szCs w:val="24"/>
                <w:lang w:val="sr-Latn-RS"/>
              </w:rPr>
            </w:pPr>
            <w:r>
              <w:rPr>
                <w:rFonts w:eastAsia="Calibri" w:cs="Times New Roman"/>
                <w:bCs/>
                <w:szCs w:val="24"/>
                <w:lang w:val="sr-Latn-RS"/>
              </w:rPr>
              <w:t>Estimate</w:t>
            </w:r>
          </w:p>
        </w:tc>
        <w:tc>
          <w:tcPr>
            <w:tcW w:w="861" w:type="dxa"/>
            <w:vMerge w:val="restart"/>
            <w:hideMark/>
          </w:tcPr>
          <w:p w:rsidR="006C04C7" w:rsidRPr="00002D92" w:rsidRDefault="006C04C7" w:rsidP="0098339B">
            <w:pPr>
              <w:spacing w:before="0" w:after="0"/>
              <w:ind w:left="0" w:right="0"/>
              <w:rPr>
                <w:rFonts w:eastAsia="Calibri" w:cs="Times New Roman"/>
                <w:b w:val="0"/>
                <w:bCs/>
                <w:szCs w:val="24"/>
              </w:rPr>
            </w:pPr>
            <w:r w:rsidRPr="00002D92">
              <w:rPr>
                <w:rFonts w:eastAsia="Calibri" w:cs="Times New Roman"/>
                <w:bCs/>
                <w:szCs w:val="24"/>
                <w:lang w:val="sr-Cyrl-RS"/>
              </w:rPr>
              <w:t> </w:t>
            </w:r>
          </w:p>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lang w:val="sr-Cyrl-RS"/>
              </w:rPr>
              <w:t> </w:t>
            </w:r>
          </w:p>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lang w:val="sr-Cyrl-RS"/>
              </w:rPr>
              <w:t> </w:t>
            </w:r>
          </w:p>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lang w:val="sr-Cyrl-RS"/>
              </w:rPr>
              <w:t> </w:t>
            </w:r>
          </w:p>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lang w:val="sr-Cyrl-RS"/>
              </w:rPr>
              <w:t> </w:t>
            </w:r>
          </w:p>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lang w:val="sr-Cyrl-RS"/>
              </w:rPr>
              <w:t> </w:t>
            </w:r>
          </w:p>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lang w:val="sr-Cyrl-RS"/>
              </w:rPr>
              <w:t> </w:t>
            </w:r>
          </w:p>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lang w:val="sr-Cyrl-RS"/>
              </w:rPr>
              <w:t> </w:t>
            </w:r>
          </w:p>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lang w:val="sr-Cyrl-RS"/>
              </w:rPr>
              <w:t> </w:t>
            </w:r>
          </w:p>
        </w:tc>
        <w:tc>
          <w:tcPr>
            <w:tcW w:w="3549" w:type="dxa"/>
            <w:gridSpan w:val="3"/>
            <w:hideMark/>
          </w:tcPr>
          <w:p w:rsidR="006C04C7" w:rsidRPr="007F4BF4" w:rsidRDefault="007F4BF4" w:rsidP="0098339B">
            <w:pPr>
              <w:spacing w:before="0" w:after="0"/>
              <w:ind w:left="0" w:right="0"/>
              <w:jc w:val="center"/>
              <w:rPr>
                <w:rFonts w:eastAsia="Calibri" w:cs="Times New Roman"/>
                <w:bCs/>
                <w:szCs w:val="24"/>
                <w:lang w:val="sr-Latn-RS"/>
              </w:rPr>
            </w:pPr>
            <w:r>
              <w:rPr>
                <w:rFonts w:eastAsia="Calibri" w:cs="Times New Roman"/>
                <w:bCs/>
                <w:szCs w:val="24"/>
                <w:lang w:val="sr-Latn-RS"/>
              </w:rPr>
              <w:t>Projections</w:t>
            </w:r>
          </w:p>
        </w:tc>
      </w:tr>
      <w:tr w:rsidR="006C04C7" w:rsidRPr="00002D92" w:rsidTr="007F4BF4">
        <w:trPr>
          <w:trHeight w:val="147"/>
        </w:trPr>
        <w:tc>
          <w:tcPr>
            <w:tcW w:w="2901" w:type="dxa"/>
            <w:vMerge/>
            <w:hideMark/>
          </w:tcPr>
          <w:p w:rsidR="006C04C7" w:rsidRPr="00002D92" w:rsidRDefault="006C04C7" w:rsidP="0098339B">
            <w:pPr>
              <w:spacing w:before="0" w:after="0"/>
              <w:ind w:left="0" w:right="0"/>
              <w:rPr>
                <w:rFonts w:eastAsia="Calibri" w:cs="Times New Roman"/>
                <w:bCs/>
                <w:szCs w:val="24"/>
              </w:rPr>
            </w:pPr>
          </w:p>
        </w:tc>
        <w:tc>
          <w:tcPr>
            <w:tcW w:w="1296" w:type="dxa"/>
            <w:hideMark/>
          </w:tcPr>
          <w:p w:rsidR="006C04C7" w:rsidRPr="00002D92" w:rsidRDefault="006C04C7" w:rsidP="0098339B">
            <w:pPr>
              <w:spacing w:before="0" w:after="0"/>
              <w:ind w:left="0" w:right="0"/>
              <w:jc w:val="center"/>
              <w:rPr>
                <w:rFonts w:eastAsia="Calibri" w:cs="Times New Roman"/>
                <w:bCs/>
                <w:szCs w:val="24"/>
              </w:rPr>
            </w:pPr>
            <w:r w:rsidRPr="00002D92">
              <w:rPr>
                <w:rFonts w:eastAsia="Calibri" w:cs="Times New Roman"/>
                <w:bCs/>
                <w:szCs w:val="24"/>
                <w:lang w:val="sr-Cyrl-RS"/>
              </w:rPr>
              <w:t>202</w:t>
            </w:r>
            <w:r w:rsidRPr="00002D92">
              <w:rPr>
                <w:rFonts w:eastAsia="Calibri" w:cs="Times New Roman"/>
                <w:bCs/>
                <w:szCs w:val="24"/>
              </w:rPr>
              <w:t>5</w:t>
            </w:r>
          </w:p>
        </w:tc>
        <w:tc>
          <w:tcPr>
            <w:tcW w:w="861" w:type="dxa"/>
            <w:vMerge/>
            <w:hideMark/>
          </w:tcPr>
          <w:p w:rsidR="006C04C7" w:rsidRPr="00002D92" w:rsidRDefault="006C04C7" w:rsidP="0098339B">
            <w:pPr>
              <w:spacing w:before="0" w:after="0"/>
              <w:ind w:left="0" w:right="0"/>
              <w:jc w:val="right"/>
              <w:rPr>
                <w:rFonts w:eastAsia="Calibri" w:cs="Times New Roman"/>
                <w:bCs/>
                <w:szCs w:val="24"/>
              </w:rPr>
            </w:pPr>
          </w:p>
        </w:tc>
        <w:tc>
          <w:tcPr>
            <w:tcW w:w="1182" w:type="dxa"/>
            <w:hideMark/>
          </w:tcPr>
          <w:p w:rsidR="006C04C7" w:rsidRPr="00002D92" w:rsidRDefault="006C04C7" w:rsidP="0098339B">
            <w:pPr>
              <w:spacing w:before="0" w:after="0"/>
              <w:ind w:left="0" w:right="0"/>
              <w:jc w:val="center"/>
              <w:rPr>
                <w:rFonts w:eastAsia="Calibri" w:cs="Times New Roman"/>
                <w:bCs/>
                <w:szCs w:val="24"/>
              </w:rPr>
            </w:pPr>
            <w:r w:rsidRPr="00002D92">
              <w:rPr>
                <w:rFonts w:eastAsia="Calibri" w:cs="Times New Roman"/>
                <w:bCs/>
                <w:szCs w:val="24"/>
                <w:lang w:val="sr-Cyrl-RS"/>
              </w:rPr>
              <w:t>202</w:t>
            </w:r>
            <w:r w:rsidRPr="00002D92">
              <w:rPr>
                <w:rFonts w:eastAsia="Calibri" w:cs="Times New Roman"/>
                <w:bCs/>
                <w:szCs w:val="24"/>
              </w:rPr>
              <w:t>6</w:t>
            </w:r>
          </w:p>
        </w:tc>
        <w:tc>
          <w:tcPr>
            <w:tcW w:w="1182" w:type="dxa"/>
            <w:hideMark/>
          </w:tcPr>
          <w:p w:rsidR="006C04C7" w:rsidRPr="00002D92" w:rsidRDefault="006C04C7" w:rsidP="0098339B">
            <w:pPr>
              <w:spacing w:before="0" w:after="0"/>
              <w:ind w:left="0" w:right="0"/>
              <w:jc w:val="center"/>
              <w:rPr>
                <w:rFonts w:eastAsia="Calibri" w:cs="Times New Roman"/>
                <w:bCs/>
                <w:szCs w:val="24"/>
              </w:rPr>
            </w:pPr>
            <w:r w:rsidRPr="00002D92">
              <w:rPr>
                <w:rFonts w:eastAsia="Calibri" w:cs="Times New Roman"/>
                <w:bCs/>
                <w:szCs w:val="24"/>
                <w:lang w:val="sr-Cyrl-RS"/>
              </w:rPr>
              <w:t>202</w:t>
            </w:r>
            <w:r w:rsidRPr="00002D92">
              <w:rPr>
                <w:rFonts w:eastAsia="Calibri" w:cs="Times New Roman"/>
                <w:bCs/>
                <w:szCs w:val="24"/>
              </w:rPr>
              <w:t>7</w:t>
            </w:r>
          </w:p>
        </w:tc>
        <w:tc>
          <w:tcPr>
            <w:tcW w:w="1185" w:type="dxa"/>
            <w:hideMark/>
          </w:tcPr>
          <w:p w:rsidR="006C04C7" w:rsidRPr="00002D92" w:rsidRDefault="006C04C7" w:rsidP="0098339B">
            <w:pPr>
              <w:spacing w:before="0" w:after="0"/>
              <w:ind w:left="0" w:right="0"/>
              <w:jc w:val="center"/>
              <w:rPr>
                <w:rFonts w:eastAsia="Calibri" w:cs="Times New Roman"/>
                <w:bCs/>
                <w:szCs w:val="24"/>
              </w:rPr>
            </w:pPr>
            <w:r w:rsidRPr="00002D92">
              <w:rPr>
                <w:rFonts w:eastAsia="Calibri" w:cs="Times New Roman"/>
                <w:bCs/>
                <w:szCs w:val="24"/>
                <w:lang w:val="sr-Cyrl-RS"/>
              </w:rPr>
              <w:t>202</w:t>
            </w:r>
            <w:r w:rsidRPr="00002D92">
              <w:rPr>
                <w:rFonts w:eastAsia="Calibri" w:cs="Times New Roman"/>
                <w:bCs/>
                <w:szCs w:val="24"/>
              </w:rPr>
              <w:t>8</w:t>
            </w:r>
          </w:p>
        </w:tc>
      </w:tr>
      <w:tr w:rsidR="006C04C7" w:rsidRPr="00002D92" w:rsidTr="007F4BF4">
        <w:trPr>
          <w:trHeight w:val="273"/>
        </w:trPr>
        <w:tc>
          <w:tcPr>
            <w:tcW w:w="2901" w:type="dxa"/>
            <w:hideMark/>
          </w:tcPr>
          <w:p w:rsidR="006C04C7" w:rsidRPr="007F4BF4" w:rsidRDefault="007F4BF4" w:rsidP="0098339B">
            <w:pPr>
              <w:spacing w:before="0" w:after="0"/>
              <w:ind w:left="0" w:right="0"/>
              <w:jc w:val="left"/>
              <w:rPr>
                <w:rFonts w:eastAsia="Calibri" w:cs="Times New Roman"/>
                <w:bCs/>
                <w:szCs w:val="24"/>
                <w:lang w:val="sr-Latn-RS"/>
              </w:rPr>
            </w:pPr>
            <w:r>
              <w:rPr>
                <w:rFonts w:eastAsia="Calibri" w:cs="Times New Roman"/>
                <w:bCs/>
                <w:szCs w:val="24"/>
                <w:lang w:val="sr-Latn-RS"/>
              </w:rPr>
              <w:t>GDP, billion dinars (current prices)</w:t>
            </w:r>
          </w:p>
        </w:tc>
        <w:tc>
          <w:tcPr>
            <w:tcW w:w="1296" w:type="dxa"/>
          </w:tcPr>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rPr>
              <w:t>10</w:t>
            </w:r>
            <w:r w:rsidR="007F4BF4">
              <w:rPr>
                <w:rFonts w:eastAsia="Calibri" w:cs="Times New Roman"/>
                <w:bCs/>
                <w:szCs w:val="24"/>
                <w:lang w:val="sr-Latn-RS"/>
              </w:rPr>
              <w:t>,</w:t>
            </w:r>
            <w:r w:rsidR="007F4BF4">
              <w:rPr>
                <w:rFonts w:eastAsia="Calibri" w:cs="Times New Roman"/>
                <w:bCs/>
                <w:szCs w:val="24"/>
              </w:rPr>
              <w:t>377.</w:t>
            </w:r>
            <w:r w:rsidRPr="00002D92">
              <w:rPr>
                <w:rFonts w:eastAsia="Calibri" w:cs="Times New Roman"/>
                <w:bCs/>
                <w:szCs w:val="24"/>
              </w:rPr>
              <w:t>9</w:t>
            </w:r>
          </w:p>
        </w:tc>
        <w:tc>
          <w:tcPr>
            <w:tcW w:w="861" w:type="dxa"/>
            <w:vMerge/>
          </w:tcPr>
          <w:p w:rsidR="006C04C7" w:rsidRPr="00002D92" w:rsidRDefault="006C04C7" w:rsidP="0098339B">
            <w:pPr>
              <w:spacing w:before="0" w:after="0"/>
              <w:ind w:left="0" w:right="0"/>
              <w:jc w:val="right"/>
              <w:rPr>
                <w:rFonts w:eastAsia="Calibri" w:cs="Times New Roman"/>
                <w:bCs/>
                <w:szCs w:val="24"/>
              </w:rPr>
            </w:pPr>
          </w:p>
        </w:tc>
        <w:tc>
          <w:tcPr>
            <w:tcW w:w="1182" w:type="dxa"/>
          </w:tcPr>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rPr>
              <w:t>11</w:t>
            </w:r>
            <w:r w:rsidR="007F4BF4">
              <w:rPr>
                <w:rFonts w:eastAsia="Calibri" w:cs="Times New Roman"/>
                <w:bCs/>
                <w:szCs w:val="24"/>
                <w:lang w:val="sr-Latn-RS"/>
              </w:rPr>
              <w:t>,</w:t>
            </w:r>
            <w:r w:rsidR="007F4BF4">
              <w:rPr>
                <w:rFonts w:eastAsia="Calibri" w:cs="Times New Roman"/>
                <w:bCs/>
                <w:szCs w:val="24"/>
              </w:rPr>
              <w:t>085.</w:t>
            </w:r>
            <w:r w:rsidRPr="00002D92">
              <w:rPr>
                <w:rFonts w:eastAsia="Calibri" w:cs="Times New Roman"/>
                <w:bCs/>
                <w:szCs w:val="24"/>
              </w:rPr>
              <w:t>1</w:t>
            </w:r>
          </w:p>
        </w:tc>
        <w:tc>
          <w:tcPr>
            <w:tcW w:w="1182" w:type="dxa"/>
          </w:tcPr>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rPr>
              <w:t>12</w:t>
            </w:r>
            <w:r w:rsidR="007F4BF4">
              <w:rPr>
                <w:rFonts w:eastAsia="Calibri" w:cs="Times New Roman"/>
                <w:bCs/>
                <w:szCs w:val="24"/>
                <w:lang w:val="sr-Latn-RS"/>
              </w:rPr>
              <w:t>,</w:t>
            </w:r>
            <w:r w:rsidR="007F4BF4">
              <w:rPr>
                <w:rFonts w:eastAsia="Calibri" w:cs="Times New Roman"/>
                <w:bCs/>
                <w:szCs w:val="24"/>
              </w:rPr>
              <w:t>034.</w:t>
            </w:r>
            <w:r w:rsidRPr="00002D92">
              <w:rPr>
                <w:rFonts w:eastAsia="Calibri" w:cs="Times New Roman"/>
                <w:bCs/>
                <w:szCs w:val="24"/>
              </w:rPr>
              <w:t>3</w:t>
            </w:r>
          </w:p>
        </w:tc>
        <w:tc>
          <w:tcPr>
            <w:tcW w:w="1185" w:type="dxa"/>
          </w:tcPr>
          <w:p w:rsidR="006C04C7" w:rsidRPr="00002D92" w:rsidRDefault="006C04C7" w:rsidP="0098339B">
            <w:pPr>
              <w:spacing w:before="0" w:after="0"/>
              <w:ind w:left="0" w:right="0"/>
              <w:jc w:val="right"/>
              <w:rPr>
                <w:rFonts w:eastAsia="Calibri" w:cs="Times New Roman"/>
                <w:bCs/>
                <w:szCs w:val="24"/>
              </w:rPr>
            </w:pPr>
            <w:r w:rsidRPr="00002D92">
              <w:rPr>
                <w:rFonts w:eastAsia="Calibri" w:cs="Times New Roman"/>
                <w:bCs/>
                <w:szCs w:val="24"/>
              </w:rPr>
              <w:t>12</w:t>
            </w:r>
            <w:r w:rsidR="007F4BF4">
              <w:rPr>
                <w:rFonts w:eastAsia="Calibri" w:cs="Times New Roman"/>
                <w:bCs/>
                <w:szCs w:val="24"/>
                <w:lang w:val="sr-Latn-RS"/>
              </w:rPr>
              <w:t>,</w:t>
            </w:r>
            <w:r w:rsidR="007F4BF4">
              <w:rPr>
                <w:rFonts w:eastAsia="Calibri" w:cs="Times New Roman"/>
                <w:bCs/>
                <w:szCs w:val="24"/>
              </w:rPr>
              <w:t>807.</w:t>
            </w:r>
            <w:r w:rsidRPr="00002D92">
              <w:rPr>
                <w:rFonts w:eastAsia="Calibri" w:cs="Times New Roman"/>
                <w:bCs/>
                <w:szCs w:val="24"/>
              </w:rPr>
              <w:t>2</w:t>
            </w:r>
          </w:p>
        </w:tc>
      </w:tr>
      <w:tr w:rsidR="007F4BF4" w:rsidRPr="00002D92" w:rsidTr="007F4BF4">
        <w:trPr>
          <w:trHeight w:val="273"/>
        </w:trPr>
        <w:tc>
          <w:tcPr>
            <w:tcW w:w="2901" w:type="dxa"/>
            <w:hideMark/>
          </w:tcPr>
          <w:p w:rsidR="007F4BF4" w:rsidRPr="000459AB" w:rsidRDefault="007F4BF4" w:rsidP="007F4BF4">
            <w:pPr>
              <w:spacing w:before="0" w:after="0"/>
              <w:ind w:left="0" w:right="0"/>
              <w:jc w:val="left"/>
              <w:rPr>
                <w:rFonts w:eastAsia="Calibri" w:cs="Times New Roman"/>
                <w:bCs/>
                <w:szCs w:val="24"/>
                <w:lang w:val="sr-Latn-RS"/>
              </w:rPr>
            </w:pPr>
            <w:r w:rsidRPr="000459AB">
              <w:rPr>
                <w:rFonts w:eastAsia="Calibri" w:cs="Times New Roman"/>
                <w:bCs/>
                <w:szCs w:val="24"/>
                <w:lang w:val="sr-Latn-RS"/>
              </w:rPr>
              <w:t>Real GDP growth, %</w:t>
            </w:r>
          </w:p>
        </w:tc>
        <w:tc>
          <w:tcPr>
            <w:tcW w:w="1296"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2.</w:t>
            </w:r>
            <w:r w:rsidRPr="00002D92">
              <w:rPr>
                <w:rFonts w:eastAsia="Calibri" w:cs="Times New Roman"/>
                <w:bCs/>
                <w:szCs w:val="24"/>
              </w:rPr>
              <w:t>3</w:t>
            </w:r>
          </w:p>
        </w:tc>
        <w:tc>
          <w:tcPr>
            <w:tcW w:w="861" w:type="dxa"/>
            <w:vMerge/>
          </w:tcPr>
          <w:p w:rsidR="007F4BF4" w:rsidRPr="00002D92" w:rsidRDefault="007F4BF4" w:rsidP="007F4BF4">
            <w:pPr>
              <w:spacing w:before="0" w:after="0"/>
              <w:ind w:left="0" w:right="0"/>
              <w:jc w:val="right"/>
              <w:rPr>
                <w:rFonts w:eastAsia="Calibri" w:cs="Times New Roman"/>
                <w:bCs/>
                <w:szCs w:val="24"/>
              </w:rPr>
            </w:pP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3.</w:t>
            </w:r>
            <w:r w:rsidRPr="00002D92">
              <w:rPr>
                <w:rFonts w:eastAsia="Calibri" w:cs="Times New Roman"/>
                <w:bCs/>
                <w:szCs w:val="24"/>
              </w:rPr>
              <w:t>0</w:t>
            </w: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5.</w:t>
            </w:r>
            <w:r w:rsidRPr="00002D92">
              <w:rPr>
                <w:rFonts w:eastAsia="Calibri" w:cs="Times New Roman"/>
                <w:bCs/>
                <w:szCs w:val="24"/>
              </w:rPr>
              <w:t>0</w:t>
            </w:r>
          </w:p>
        </w:tc>
        <w:tc>
          <w:tcPr>
            <w:tcW w:w="1185"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3.</w:t>
            </w:r>
            <w:r w:rsidRPr="00002D92">
              <w:rPr>
                <w:rFonts w:eastAsia="Calibri" w:cs="Times New Roman"/>
                <w:bCs/>
                <w:szCs w:val="24"/>
              </w:rPr>
              <w:t>5</w:t>
            </w:r>
          </w:p>
        </w:tc>
      </w:tr>
      <w:tr w:rsidR="007F4BF4" w:rsidRPr="00002D92" w:rsidTr="007F4BF4">
        <w:trPr>
          <w:trHeight w:val="273"/>
        </w:trPr>
        <w:tc>
          <w:tcPr>
            <w:tcW w:w="2901" w:type="dxa"/>
            <w:hideMark/>
          </w:tcPr>
          <w:p w:rsidR="007F4BF4" w:rsidRPr="000459AB" w:rsidRDefault="007F4BF4" w:rsidP="007F4BF4">
            <w:pPr>
              <w:spacing w:before="0" w:after="0"/>
              <w:ind w:left="0" w:right="0"/>
              <w:jc w:val="left"/>
              <w:rPr>
                <w:rFonts w:eastAsia="Calibri" w:cs="Times New Roman"/>
                <w:bCs/>
                <w:szCs w:val="24"/>
                <w:lang w:val="sr-Latn-RS"/>
              </w:rPr>
            </w:pPr>
            <w:r w:rsidRPr="000459AB">
              <w:rPr>
                <w:rFonts w:eastAsia="Calibri" w:cs="Times New Roman"/>
                <w:bCs/>
                <w:szCs w:val="24"/>
                <w:lang w:val="sr-Latn-RS"/>
              </w:rPr>
              <w:t>GDP deflator, %</w:t>
            </w:r>
          </w:p>
        </w:tc>
        <w:tc>
          <w:tcPr>
            <w:tcW w:w="1296"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4.</w:t>
            </w:r>
            <w:r w:rsidRPr="00002D92">
              <w:rPr>
                <w:rFonts w:eastAsia="Calibri" w:cs="Times New Roman"/>
                <w:bCs/>
                <w:szCs w:val="24"/>
              </w:rPr>
              <w:t>1</w:t>
            </w:r>
          </w:p>
        </w:tc>
        <w:tc>
          <w:tcPr>
            <w:tcW w:w="861" w:type="dxa"/>
            <w:vMerge/>
          </w:tcPr>
          <w:p w:rsidR="007F4BF4" w:rsidRPr="00002D92" w:rsidRDefault="007F4BF4" w:rsidP="007F4BF4">
            <w:pPr>
              <w:spacing w:before="0" w:after="0"/>
              <w:ind w:left="0" w:right="0"/>
              <w:jc w:val="right"/>
              <w:rPr>
                <w:rFonts w:eastAsia="Calibri" w:cs="Times New Roman"/>
                <w:bCs/>
                <w:szCs w:val="24"/>
              </w:rPr>
            </w:pP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3.</w:t>
            </w:r>
            <w:r w:rsidRPr="00002D92">
              <w:rPr>
                <w:rFonts w:eastAsia="Calibri" w:cs="Times New Roman"/>
                <w:bCs/>
                <w:szCs w:val="24"/>
              </w:rPr>
              <w:t>7</w:t>
            </w: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3.</w:t>
            </w:r>
            <w:r w:rsidRPr="00002D92">
              <w:rPr>
                <w:rFonts w:eastAsia="Calibri" w:cs="Times New Roman"/>
                <w:bCs/>
                <w:szCs w:val="24"/>
              </w:rPr>
              <w:t>4</w:t>
            </w:r>
          </w:p>
        </w:tc>
        <w:tc>
          <w:tcPr>
            <w:tcW w:w="1185"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2.</w:t>
            </w:r>
            <w:r w:rsidRPr="00002D92">
              <w:rPr>
                <w:rFonts w:eastAsia="Calibri" w:cs="Times New Roman"/>
                <w:bCs/>
                <w:szCs w:val="24"/>
              </w:rPr>
              <w:t>9</w:t>
            </w:r>
          </w:p>
        </w:tc>
      </w:tr>
      <w:tr w:rsidR="007F4BF4" w:rsidRPr="00002D92" w:rsidTr="007F4BF4">
        <w:trPr>
          <w:trHeight w:val="273"/>
        </w:trPr>
        <w:tc>
          <w:tcPr>
            <w:tcW w:w="2901" w:type="dxa"/>
            <w:hideMark/>
          </w:tcPr>
          <w:p w:rsidR="007F4BF4" w:rsidRPr="000459AB" w:rsidRDefault="007F4BF4" w:rsidP="007F4BF4">
            <w:pPr>
              <w:spacing w:before="0" w:after="0"/>
              <w:ind w:left="0" w:right="0"/>
              <w:jc w:val="left"/>
              <w:rPr>
                <w:rFonts w:eastAsia="Calibri" w:cs="Times New Roman"/>
                <w:bCs/>
                <w:szCs w:val="24"/>
                <w:lang w:val="sr-Latn-RS"/>
              </w:rPr>
            </w:pPr>
            <w:r w:rsidRPr="000459AB">
              <w:rPr>
                <w:rFonts w:eastAsia="Calibri" w:cs="Times New Roman"/>
                <w:bCs/>
                <w:szCs w:val="24"/>
                <w:lang w:val="sr-Latn-RS"/>
              </w:rPr>
              <w:t>Private consumption</w:t>
            </w:r>
          </w:p>
        </w:tc>
        <w:tc>
          <w:tcPr>
            <w:tcW w:w="1296"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2.</w:t>
            </w:r>
            <w:r w:rsidRPr="00002D92">
              <w:rPr>
                <w:rFonts w:eastAsia="Calibri" w:cs="Times New Roman"/>
                <w:bCs/>
                <w:szCs w:val="24"/>
              </w:rPr>
              <w:t>8</w:t>
            </w:r>
          </w:p>
        </w:tc>
        <w:tc>
          <w:tcPr>
            <w:tcW w:w="861" w:type="dxa"/>
            <w:vMerge/>
          </w:tcPr>
          <w:p w:rsidR="007F4BF4" w:rsidRPr="00002D92" w:rsidRDefault="007F4BF4" w:rsidP="007F4BF4">
            <w:pPr>
              <w:spacing w:before="0" w:after="0"/>
              <w:ind w:left="0" w:right="0"/>
              <w:jc w:val="right"/>
              <w:rPr>
                <w:rFonts w:eastAsia="Calibri" w:cs="Times New Roman"/>
                <w:bCs/>
                <w:szCs w:val="24"/>
              </w:rPr>
            </w:pP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4.</w:t>
            </w:r>
            <w:r w:rsidRPr="00002D92">
              <w:rPr>
                <w:rFonts w:eastAsia="Calibri" w:cs="Times New Roman"/>
                <w:bCs/>
                <w:szCs w:val="24"/>
              </w:rPr>
              <w:t>6</w:t>
            </w: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3.</w:t>
            </w:r>
            <w:r w:rsidRPr="00002D92">
              <w:rPr>
                <w:rFonts w:eastAsia="Calibri" w:cs="Times New Roman"/>
                <w:bCs/>
                <w:szCs w:val="24"/>
              </w:rPr>
              <w:t>5</w:t>
            </w:r>
          </w:p>
        </w:tc>
        <w:tc>
          <w:tcPr>
            <w:tcW w:w="1185"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3.</w:t>
            </w:r>
            <w:r w:rsidRPr="00002D92">
              <w:rPr>
                <w:rFonts w:eastAsia="Calibri" w:cs="Times New Roman"/>
                <w:bCs/>
                <w:szCs w:val="24"/>
              </w:rPr>
              <w:t>4</w:t>
            </w:r>
          </w:p>
        </w:tc>
      </w:tr>
      <w:tr w:rsidR="007F4BF4" w:rsidRPr="00002D92" w:rsidTr="007F4BF4">
        <w:trPr>
          <w:trHeight w:val="273"/>
        </w:trPr>
        <w:tc>
          <w:tcPr>
            <w:tcW w:w="2901" w:type="dxa"/>
            <w:hideMark/>
          </w:tcPr>
          <w:p w:rsidR="007F4BF4" w:rsidRPr="000459AB" w:rsidRDefault="007F4BF4" w:rsidP="007F4BF4">
            <w:pPr>
              <w:spacing w:before="0" w:after="0"/>
              <w:ind w:left="0" w:right="0"/>
              <w:jc w:val="left"/>
              <w:rPr>
                <w:rFonts w:eastAsia="Calibri" w:cs="Times New Roman"/>
                <w:bCs/>
                <w:szCs w:val="24"/>
                <w:lang w:val="sr-Latn-RS"/>
              </w:rPr>
            </w:pPr>
            <w:r w:rsidRPr="000459AB">
              <w:rPr>
                <w:rFonts w:eastAsia="Calibri" w:cs="Times New Roman"/>
                <w:bCs/>
                <w:szCs w:val="24"/>
                <w:lang w:val="sr-Latn-RS"/>
              </w:rPr>
              <w:t>Government consumption</w:t>
            </w:r>
          </w:p>
        </w:tc>
        <w:tc>
          <w:tcPr>
            <w:tcW w:w="1296"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2.</w:t>
            </w:r>
            <w:r w:rsidRPr="00002D92">
              <w:rPr>
                <w:rFonts w:eastAsia="Calibri" w:cs="Times New Roman"/>
                <w:bCs/>
                <w:szCs w:val="24"/>
              </w:rPr>
              <w:t>6</w:t>
            </w:r>
          </w:p>
        </w:tc>
        <w:tc>
          <w:tcPr>
            <w:tcW w:w="861" w:type="dxa"/>
            <w:vMerge/>
          </w:tcPr>
          <w:p w:rsidR="007F4BF4" w:rsidRPr="00002D92" w:rsidRDefault="007F4BF4" w:rsidP="007F4BF4">
            <w:pPr>
              <w:spacing w:before="0" w:after="0"/>
              <w:ind w:left="0" w:right="0"/>
              <w:jc w:val="right"/>
              <w:rPr>
                <w:rFonts w:eastAsia="Calibri" w:cs="Times New Roman"/>
                <w:bCs/>
                <w:szCs w:val="24"/>
              </w:rPr>
            </w:pP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2.</w:t>
            </w:r>
            <w:r w:rsidRPr="00002D92">
              <w:rPr>
                <w:rFonts w:eastAsia="Calibri" w:cs="Times New Roman"/>
                <w:bCs/>
                <w:szCs w:val="24"/>
              </w:rPr>
              <w:t>9</w:t>
            </w: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2.</w:t>
            </w:r>
            <w:r w:rsidRPr="00002D92">
              <w:rPr>
                <w:rFonts w:eastAsia="Calibri" w:cs="Times New Roman"/>
                <w:bCs/>
                <w:szCs w:val="24"/>
              </w:rPr>
              <w:t>0</w:t>
            </w:r>
          </w:p>
        </w:tc>
        <w:tc>
          <w:tcPr>
            <w:tcW w:w="1185"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2.</w:t>
            </w:r>
            <w:r w:rsidRPr="00002D92">
              <w:rPr>
                <w:rFonts w:eastAsia="Calibri" w:cs="Times New Roman"/>
                <w:bCs/>
                <w:szCs w:val="24"/>
              </w:rPr>
              <w:t>4</w:t>
            </w:r>
          </w:p>
        </w:tc>
      </w:tr>
      <w:tr w:rsidR="007F4BF4" w:rsidRPr="00002D92" w:rsidTr="007F4BF4">
        <w:trPr>
          <w:trHeight w:val="273"/>
        </w:trPr>
        <w:tc>
          <w:tcPr>
            <w:tcW w:w="2901" w:type="dxa"/>
            <w:hideMark/>
          </w:tcPr>
          <w:p w:rsidR="007F4BF4" w:rsidRPr="000459AB" w:rsidRDefault="007F4BF4" w:rsidP="007F4BF4">
            <w:pPr>
              <w:spacing w:before="0" w:after="0"/>
              <w:ind w:left="0" w:right="0"/>
              <w:jc w:val="left"/>
              <w:rPr>
                <w:rFonts w:eastAsia="Calibri" w:cs="Times New Roman"/>
                <w:bCs/>
                <w:szCs w:val="24"/>
                <w:lang w:val="sr-Latn-RS"/>
              </w:rPr>
            </w:pPr>
            <w:r w:rsidRPr="000459AB">
              <w:rPr>
                <w:rFonts w:eastAsia="Calibri" w:cs="Times New Roman"/>
                <w:bCs/>
                <w:szCs w:val="24"/>
                <w:lang w:val="sr-Latn-RS"/>
              </w:rPr>
              <w:t>Gross fixed capital formation</w:t>
            </w:r>
          </w:p>
        </w:tc>
        <w:tc>
          <w:tcPr>
            <w:tcW w:w="1296"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1.</w:t>
            </w:r>
            <w:r w:rsidRPr="00002D92">
              <w:rPr>
                <w:rFonts w:eastAsia="Calibri" w:cs="Times New Roman"/>
                <w:bCs/>
                <w:szCs w:val="24"/>
              </w:rPr>
              <w:t>6</w:t>
            </w:r>
          </w:p>
        </w:tc>
        <w:tc>
          <w:tcPr>
            <w:tcW w:w="861" w:type="dxa"/>
            <w:vMerge/>
          </w:tcPr>
          <w:p w:rsidR="007F4BF4" w:rsidRPr="00002D92" w:rsidRDefault="007F4BF4" w:rsidP="007F4BF4">
            <w:pPr>
              <w:spacing w:before="0" w:after="0"/>
              <w:ind w:left="0" w:right="0"/>
              <w:jc w:val="right"/>
              <w:rPr>
                <w:rFonts w:eastAsia="Calibri" w:cs="Times New Roman"/>
                <w:bCs/>
                <w:szCs w:val="24"/>
              </w:rPr>
            </w:pP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6.</w:t>
            </w:r>
            <w:r w:rsidRPr="00002D92">
              <w:rPr>
                <w:rFonts w:eastAsia="Calibri" w:cs="Times New Roman"/>
                <w:bCs/>
                <w:szCs w:val="24"/>
              </w:rPr>
              <w:t>9</w:t>
            </w: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5.</w:t>
            </w:r>
            <w:r w:rsidRPr="00002D92">
              <w:rPr>
                <w:rFonts w:eastAsia="Calibri" w:cs="Times New Roman"/>
                <w:bCs/>
                <w:szCs w:val="24"/>
              </w:rPr>
              <w:t>9</w:t>
            </w:r>
          </w:p>
        </w:tc>
        <w:tc>
          <w:tcPr>
            <w:tcW w:w="1185"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4.</w:t>
            </w:r>
            <w:r w:rsidRPr="00002D92">
              <w:rPr>
                <w:rFonts w:eastAsia="Calibri" w:cs="Times New Roman"/>
                <w:bCs/>
                <w:szCs w:val="24"/>
              </w:rPr>
              <w:t>5</w:t>
            </w:r>
          </w:p>
        </w:tc>
      </w:tr>
      <w:tr w:rsidR="007F4BF4" w:rsidRPr="00002D92" w:rsidTr="007F4BF4">
        <w:trPr>
          <w:trHeight w:val="273"/>
        </w:trPr>
        <w:tc>
          <w:tcPr>
            <w:tcW w:w="2901" w:type="dxa"/>
            <w:hideMark/>
          </w:tcPr>
          <w:p w:rsidR="007F4BF4" w:rsidRPr="000459AB" w:rsidRDefault="007F4BF4" w:rsidP="007F4BF4">
            <w:pPr>
              <w:spacing w:before="0" w:after="0"/>
              <w:ind w:left="0" w:right="0"/>
              <w:jc w:val="left"/>
              <w:rPr>
                <w:rFonts w:eastAsia="Calibri" w:cs="Times New Roman"/>
                <w:bCs/>
                <w:szCs w:val="24"/>
                <w:lang w:val="sr-Latn-RS"/>
              </w:rPr>
            </w:pPr>
            <w:r w:rsidRPr="000459AB">
              <w:rPr>
                <w:rFonts w:eastAsia="Calibri" w:cs="Times New Roman"/>
                <w:bCs/>
                <w:szCs w:val="24"/>
                <w:lang w:val="sr-Latn-RS"/>
              </w:rPr>
              <w:t>Exports of goods and services</w:t>
            </w:r>
          </w:p>
        </w:tc>
        <w:tc>
          <w:tcPr>
            <w:tcW w:w="1296"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4.</w:t>
            </w:r>
            <w:r w:rsidRPr="00002D92">
              <w:rPr>
                <w:rFonts w:eastAsia="Calibri" w:cs="Times New Roman"/>
                <w:bCs/>
                <w:szCs w:val="24"/>
              </w:rPr>
              <w:t>3</w:t>
            </w:r>
          </w:p>
        </w:tc>
        <w:tc>
          <w:tcPr>
            <w:tcW w:w="861" w:type="dxa"/>
            <w:vMerge/>
          </w:tcPr>
          <w:p w:rsidR="007F4BF4" w:rsidRPr="00002D92" w:rsidRDefault="007F4BF4" w:rsidP="007F4BF4">
            <w:pPr>
              <w:spacing w:before="0" w:after="0"/>
              <w:ind w:left="0" w:right="0"/>
              <w:jc w:val="right"/>
              <w:rPr>
                <w:rFonts w:eastAsia="Calibri" w:cs="Times New Roman"/>
                <w:bCs/>
                <w:szCs w:val="24"/>
              </w:rPr>
            </w:pP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4.</w:t>
            </w:r>
            <w:r w:rsidRPr="00002D92">
              <w:rPr>
                <w:rFonts w:eastAsia="Calibri" w:cs="Times New Roman"/>
                <w:bCs/>
                <w:szCs w:val="24"/>
              </w:rPr>
              <w:t>7</w:t>
            </w: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8.</w:t>
            </w:r>
            <w:r w:rsidRPr="00002D92">
              <w:rPr>
                <w:rFonts w:eastAsia="Calibri" w:cs="Times New Roman"/>
                <w:bCs/>
                <w:szCs w:val="24"/>
              </w:rPr>
              <w:t>4</w:t>
            </w:r>
          </w:p>
        </w:tc>
        <w:tc>
          <w:tcPr>
            <w:tcW w:w="1185"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5.</w:t>
            </w:r>
            <w:r w:rsidRPr="00002D92">
              <w:rPr>
                <w:rFonts w:eastAsia="Calibri" w:cs="Times New Roman"/>
                <w:bCs/>
                <w:szCs w:val="24"/>
              </w:rPr>
              <w:t>6</w:t>
            </w:r>
          </w:p>
        </w:tc>
      </w:tr>
      <w:tr w:rsidR="007F4BF4" w:rsidRPr="00002D92" w:rsidTr="007F4BF4">
        <w:trPr>
          <w:trHeight w:val="273"/>
        </w:trPr>
        <w:tc>
          <w:tcPr>
            <w:tcW w:w="2901" w:type="dxa"/>
            <w:hideMark/>
          </w:tcPr>
          <w:p w:rsidR="007F4BF4" w:rsidRPr="000459AB" w:rsidRDefault="007F4BF4" w:rsidP="007F4BF4">
            <w:pPr>
              <w:spacing w:before="0" w:after="0"/>
              <w:ind w:left="0" w:right="0"/>
              <w:jc w:val="left"/>
              <w:rPr>
                <w:rFonts w:eastAsia="Calibri" w:cs="Times New Roman"/>
                <w:bCs/>
                <w:szCs w:val="24"/>
                <w:lang w:val="sr-Latn-RS"/>
              </w:rPr>
            </w:pPr>
            <w:r w:rsidRPr="000459AB">
              <w:rPr>
                <w:rFonts w:eastAsia="Calibri" w:cs="Times New Roman"/>
                <w:bCs/>
                <w:szCs w:val="24"/>
                <w:lang w:val="sr-Latn-RS"/>
              </w:rPr>
              <w:t>Imports of goods and services</w:t>
            </w:r>
          </w:p>
        </w:tc>
        <w:tc>
          <w:tcPr>
            <w:tcW w:w="1296"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5.</w:t>
            </w:r>
            <w:r w:rsidRPr="00002D92">
              <w:rPr>
                <w:rFonts w:eastAsia="Calibri" w:cs="Times New Roman"/>
                <w:bCs/>
                <w:szCs w:val="24"/>
              </w:rPr>
              <w:t>5</w:t>
            </w:r>
          </w:p>
        </w:tc>
        <w:tc>
          <w:tcPr>
            <w:tcW w:w="861" w:type="dxa"/>
            <w:vMerge/>
          </w:tcPr>
          <w:p w:rsidR="007F4BF4" w:rsidRPr="00002D92" w:rsidRDefault="007F4BF4" w:rsidP="007F4BF4">
            <w:pPr>
              <w:spacing w:before="0" w:after="0"/>
              <w:ind w:left="0" w:right="0"/>
              <w:jc w:val="right"/>
              <w:rPr>
                <w:rFonts w:eastAsia="Calibri" w:cs="Times New Roman"/>
                <w:bCs/>
                <w:szCs w:val="24"/>
              </w:rPr>
            </w:pP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6.</w:t>
            </w:r>
            <w:r w:rsidRPr="00002D92">
              <w:rPr>
                <w:rFonts w:eastAsia="Calibri" w:cs="Times New Roman"/>
                <w:bCs/>
                <w:szCs w:val="24"/>
              </w:rPr>
              <w:t>5</w:t>
            </w:r>
          </w:p>
        </w:tc>
        <w:tc>
          <w:tcPr>
            <w:tcW w:w="1182"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6.</w:t>
            </w:r>
            <w:r w:rsidRPr="00002D92">
              <w:rPr>
                <w:rFonts w:eastAsia="Calibri" w:cs="Times New Roman"/>
                <w:bCs/>
                <w:szCs w:val="24"/>
              </w:rPr>
              <w:t>0</w:t>
            </w:r>
          </w:p>
        </w:tc>
        <w:tc>
          <w:tcPr>
            <w:tcW w:w="1185" w:type="dxa"/>
          </w:tcPr>
          <w:p w:rsidR="007F4BF4" w:rsidRPr="00002D92" w:rsidRDefault="007F4BF4" w:rsidP="007F4BF4">
            <w:pPr>
              <w:spacing w:before="0" w:after="0"/>
              <w:ind w:left="0" w:right="0"/>
              <w:jc w:val="right"/>
              <w:rPr>
                <w:rFonts w:eastAsia="Calibri" w:cs="Times New Roman"/>
                <w:bCs/>
                <w:szCs w:val="24"/>
              </w:rPr>
            </w:pPr>
            <w:r>
              <w:rPr>
                <w:rFonts w:eastAsia="Calibri" w:cs="Times New Roman"/>
                <w:bCs/>
                <w:szCs w:val="24"/>
              </w:rPr>
              <w:t>5.</w:t>
            </w:r>
            <w:r w:rsidRPr="00002D92">
              <w:rPr>
                <w:rFonts w:eastAsia="Calibri" w:cs="Times New Roman"/>
                <w:bCs/>
                <w:szCs w:val="24"/>
              </w:rPr>
              <w:t>5</w:t>
            </w:r>
          </w:p>
        </w:tc>
      </w:tr>
    </w:tbl>
    <w:p w:rsidR="006C04C7" w:rsidRPr="007F4BF4" w:rsidRDefault="006C04C7" w:rsidP="006C04C7">
      <w:pPr>
        <w:spacing w:before="40" w:after="180"/>
        <w:rPr>
          <w:rFonts w:eastAsia="Calibri" w:cs="Times New Roman"/>
          <w:bCs/>
          <w:sz w:val="22"/>
          <w:szCs w:val="24"/>
          <w:lang w:val="sr-Latn-RS"/>
        </w:rPr>
      </w:pPr>
      <w:r w:rsidRPr="00002D92">
        <w:rPr>
          <w:rFonts w:eastAsia="Calibri" w:cs="Times New Roman"/>
          <w:bCs/>
          <w:szCs w:val="24"/>
          <w:lang w:val="sr-Cyrl-RS"/>
        </w:rPr>
        <w:fldChar w:fldCharType="end"/>
      </w:r>
      <w:r w:rsidR="007F4BF4">
        <w:rPr>
          <w:rFonts w:eastAsia="Calibri" w:cs="Times New Roman"/>
          <w:bCs/>
          <w:sz w:val="22"/>
          <w:szCs w:val="24"/>
          <w:lang w:val="sr-Latn-RS"/>
        </w:rPr>
        <w:t>Source</w:t>
      </w:r>
      <w:r w:rsidRPr="00002D92">
        <w:rPr>
          <w:rFonts w:eastAsia="Calibri" w:cs="Times New Roman"/>
          <w:bCs/>
          <w:sz w:val="22"/>
          <w:szCs w:val="24"/>
          <w:lang w:val="sr-Cyrl-RS"/>
        </w:rPr>
        <w:t xml:space="preserve">: </w:t>
      </w:r>
      <w:r w:rsidR="007F4BF4">
        <w:rPr>
          <w:rFonts w:eastAsia="Calibri" w:cs="Times New Roman"/>
          <w:bCs/>
          <w:sz w:val="22"/>
          <w:szCs w:val="24"/>
          <w:lang w:val="sr-Latn-RS"/>
        </w:rPr>
        <w:t>MoF</w:t>
      </w:r>
    </w:p>
    <w:p w:rsidR="006C04C7" w:rsidRPr="00002D92" w:rsidRDefault="008C5263" w:rsidP="006C04C7">
      <w:pPr>
        <w:rPr>
          <w:rFonts w:cs="Times New Roman"/>
          <w:bCs/>
          <w:szCs w:val="24"/>
          <w:lang w:val="sr-Cyrl-RS"/>
        </w:rPr>
      </w:pPr>
      <w:r w:rsidRPr="00E126A3">
        <w:rPr>
          <w:rFonts w:cs="Times New Roman"/>
          <w:bCs/>
          <w:szCs w:val="24"/>
          <w:lang w:val="sr-Cyrl-RS"/>
        </w:rPr>
        <w:t>Observed on the supply side, in the period from 2026 to 2028, the services sector and industry will, consequently to their largest share in GDP, retain the role of dominant sources of growth and increase the created GVA with an average annual growth of 4.2% and 3.0%, respectively. A significant positive contribution will also be made by construction, which will on average record growth of 5.3% as a result of the acceleration of the implementation of infrastructure projects, but also of the acceleration of private investments. Achieving European standards and raising competitiveness in agriculture will reduce the variability of production in this sector caused by agrometeorological conditions, but even in this macroeconomic framework the assumption of an average agricultural season has been retained.</w:t>
      </w:r>
    </w:p>
    <w:p w:rsidR="006C04C7" w:rsidRPr="00002D92" w:rsidRDefault="009207CB" w:rsidP="006C04C7">
      <w:pPr>
        <w:rPr>
          <w:rFonts w:eastAsia="Calibri" w:cs="Times New Roman"/>
          <w:bCs/>
          <w:i/>
          <w:szCs w:val="24"/>
          <w:lang w:val="sr-Cyrl-RS"/>
        </w:rPr>
      </w:pPr>
      <w:r w:rsidRPr="009207CB">
        <w:rPr>
          <w:rFonts w:eastAsia="Calibri" w:cs="Times New Roman"/>
          <w:bCs/>
          <w:i/>
          <w:szCs w:val="24"/>
          <w:lang w:val="sr-Latn-RS"/>
        </w:rPr>
        <w:t>Chart</w:t>
      </w:r>
      <w:r w:rsidRPr="009207CB">
        <w:rPr>
          <w:rFonts w:eastAsia="Calibri" w:cs="Times New Roman"/>
          <w:bCs/>
          <w:i/>
          <w:szCs w:val="24"/>
          <w:lang w:val="sr-Cyrl-RS"/>
        </w:rPr>
        <w:t xml:space="preserve"> </w:t>
      </w:r>
      <w:r w:rsidRPr="009207CB">
        <w:rPr>
          <w:rFonts w:eastAsia="Calibri" w:cs="Times New Roman"/>
          <w:bCs/>
          <w:i/>
          <w:szCs w:val="24"/>
          <w:lang w:val="sr-Latn-RS"/>
        </w:rPr>
        <w:t>1</w:t>
      </w:r>
      <w:r w:rsidRPr="009207CB">
        <w:rPr>
          <w:rFonts w:eastAsia="Calibri" w:cs="Times New Roman"/>
          <w:bCs/>
          <w:i/>
          <w:szCs w:val="24"/>
          <w:lang w:val="sr-Cyrl-RS"/>
        </w:rPr>
        <w:t xml:space="preserve">. </w:t>
      </w:r>
      <w:r w:rsidRPr="009207CB">
        <w:rPr>
          <w:rFonts w:eastAsia="Calibri" w:cs="Times New Roman"/>
          <w:bCs/>
          <w:i/>
          <w:szCs w:val="24"/>
          <w:lang w:val="sr-Latn-RS"/>
        </w:rPr>
        <w:t>Contributions to the real GDP growth rate</w:t>
      </w:r>
      <w:r w:rsidRPr="009207CB">
        <w:rPr>
          <w:rFonts w:eastAsia="Calibri" w:cs="Times New Roman"/>
          <w:bCs/>
          <w:i/>
          <w:szCs w:val="24"/>
          <w:lang w:val="sr-Cyrl-RS"/>
        </w:rPr>
        <w:t>,</w:t>
      </w:r>
      <w:r w:rsidRPr="009207CB">
        <w:rPr>
          <w:rFonts w:eastAsia="Calibri" w:cs="Times New Roman"/>
          <w:bCs/>
          <w:i/>
          <w:szCs w:val="24"/>
          <w:lang w:val="sr-Latn-RS"/>
        </w:rPr>
        <w:t xml:space="preserve"> production and expenditure approach, pp</w:t>
      </w:r>
    </w:p>
    <w:p w:rsidR="006C04C7" w:rsidRPr="00002D92" w:rsidRDefault="006C04C7" w:rsidP="006C04C7">
      <w:pPr>
        <w:tabs>
          <w:tab w:val="left" w:pos="4867"/>
        </w:tabs>
        <w:spacing w:after="240"/>
        <w:rPr>
          <w:rFonts w:eastAsia="Calibri" w:cs="Times New Roman"/>
          <w:bCs/>
          <w:szCs w:val="24"/>
          <w:lang w:val="sr-Cyrl-RS"/>
        </w:rPr>
      </w:pPr>
      <w:r w:rsidRPr="00002D92">
        <w:rPr>
          <w:rFonts w:eastAsia="Calibri" w:cs="Times New Roman"/>
          <w:bCs/>
          <w:szCs w:val="24"/>
          <w:lang w:val="sr-Cyrl-RS"/>
        </w:rPr>
        <w:t xml:space="preserve"> </w:t>
      </w:r>
      <w:r w:rsidR="009207CB">
        <w:rPr>
          <w:noProof/>
        </w:rPr>
        <w:drawing>
          <wp:inline distT="0" distB="0" distL="0" distR="0" wp14:anchorId="17815265" wp14:editId="275F6613">
            <wp:extent cx="2743200" cy="2020824"/>
            <wp:effectExtent l="0" t="0" r="0" b="0"/>
            <wp:docPr id="5" name="Chart 5">
              <a:extLst xmlns:a="http://schemas.openxmlformats.org/drawingml/2006/main">
                <a:ext uri="{FF2B5EF4-FFF2-40B4-BE49-F238E27FC236}">
                  <a16:creationId xmlns:a16="http://schemas.microsoft.com/office/drawing/2014/main" id="{00000000-0008-0000-0F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002D92">
        <w:rPr>
          <w:rFonts w:eastAsia="Calibri" w:cs="Times New Roman"/>
          <w:bCs/>
          <w:szCs w:val="24"/>
          <w:lang w:val="sr-Cyrl-RS"/>
        </w:rPr>
        <w:tab/>
      </w:r>
      <w:r w:rsidR="009207CB">
        <w:rPr>
          <w:noProof/>
        </w:rPr>
        <w:drawing>
          <wp:inline distT="0" distB="0" distL="0" distR="0" wp14:anchorId="08953048" wp14:editId="706C354B">
            <wp:extent cx="2624328" cy="2029968"/>
            <wp:effectExtent l="0" t="0" r="5080" b="8890"/>
            <wp:docPr id="8" name="Chart 8">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C04C7" w:rsidRPr="009207CB" w:rsidRDefault="009207CB" w:rsidP="006C04C7">
      <w:pPr>
        <w:spacing w:before="40" w:after="180"/>
        <w:rPr>
          <w:rFonts w:eastAsia="Calibri" w:cs="Times New Roman"/>
          <w:bCs/>
          <w:sz w:val="22"/>
          <w:szCs w:val="24"/>
          <w:lang w:val="sr-Latn-RS"/>
        </w:rPr>
      </w:pPr>
      <w:r>
        <w:rPr>
          <w:rFonts w:eastAsia="Calibri" w:cs="Times New Roman"/>
          <w:bCs/>
          <w:sz w:val="22"/>
          <w:szCs w:val="24"/>
          <w:lang w:val="sr-Latn-RS"/>
        </w:rPr>
        <w:t>Source</w:t>
      </w:r>
      <w:r w:rsidR="006C04C7" w:rsidRPr="00002D92">
        <w:rPr>
          <w:rFonts w:eastAsia="Calibri" w:cs="Times New Roman"/>
          <w:bCs/>
          <w:sz w:val="22"/>
          <w:szCs w:val="24"/>
          <w:lang w:val="sr-Cyrl-RS"/>
        </w:rPr>
        <w:t xml:space="preserve">: </w:t>
      </w:r>
      <w:r>
        <w:rPr>
          <w:rFonts w:eastAsia="Calibri" w:cs="Times New Roman"/>
          <w:bCs/>
          <w:sz w:val="22"/>
          <w:szCs w:val="24"/>
          <w:lang w:val="sr-Latn-RS"/>
        </w:rPr>
        <w:t>MoF</w:t>
      </w:r>
    </w:p>
    <w:p w:rsidR="008C5263" w:rsidRPr="00F548C6" w:rsidRDefault="008C5263" w:rsidP="008C5263">
      <w:pPr>
        <w:keepNext/>
        <w:rPr>
          <w:rFonts w:cs="Times New Roman"/>
          <w:szCs w:val="24"/>
          <w:lang w:val="sr-Cyrl-RS"/>
        </w:rPr>
      </w:pPr>
      <w:r w:rsidRPr="0026305E">
        <w:rPr>
          <w:rFonts w:cs="Times New Roman"/>
          <w:szCs w:val="24"/>
          <w:lang w:val="sr-Cyrl-RS"/>
        </w:rPr>
        <w:t xml:space="preserve">According to the central scenario, in the medium-term period a continuation of stable potential GDP growth is expected, at a rate of slightly below 4.0%. The main drivers of this growth will be capital accumulation and total factor productivity (TFP), under the influence of continuous investments in infrastructure, the energy sector, digitalization and new technologies. These processes will be additionally supported by the inflow of foreign direct investments, as well as by investments in research, development and innovations, which will affect better utilization of available resources and an increase in efficiency. The digital transformation of the economy continues to be recognized as a key driver of productivity growth, export diversification and the attraction of quality investments, especially in the information technology sector. The continuation of the growth of the ICT sector can </w:t>
      </w:r>
      <w:r w:rsidRPr="0026305E">
        <w:rPr>
          <w:rFonts w:cs="Times New Roman"/>
          <w:szCs w:val="24"/>
          <w:lang w:val="sr-Cyrl-RS"/>
        </w:rPr>
        <w:lastRenderedPageBreak/>
        <w:t>give a strong incentive to the entire economy through the accelerated spread of knowledge and the application of advanced technological solutions. Significant planned investments in energy infrastructure, particularly in the areas of renewable sources and energy efficiency and security, represent an important part of the green transition and have the potential to improve the country’s energy security and create the preconditions for long-term sustainable growth. Large infrastructure projects, especially those that improve regional connectivity and logistical capacity, can significantly reduce trade costs and encourage private investments. On the other hand, developments in the labo</w:t>
      </w:r>
      <w:r w:rsidR="00AB0237">
        <w:rPr>
          <w:rFonts w:cs="Times New Roman"/>
          <w:szCs w:val="24"/>
        </w:rPr>
        <w:t>u</w:t>
      </w:r>
      <w:r w:rsidRPr="0026305E">
        <w:rPr>
          <w:rFonts w:cs="Times New Roman"/>
          <w:szCs w:val="24"/>
          <w:lang w:val="sr-Cyrl-RS"/>
        </w:rPr>
        <w:t>r market will also give a positive, although more moderate, contribution to potential GDP growth, mainly due to the gradual increase in the labor force participation rate and the moderate growth of employment. However, the contribution of the labo</w:t>
      </w:r>
      <w:r w:rsidR="00AB0237">
        <w:rPr>
          <w:rFonts w:cs="Times New Roman"/>
          <w:szCs w:val="24"/>
        </w:rPr>
        <w:t>u</w:t>
      </w:r>
      <w:r w:rsidRPr="0026305E">
        <w:rPr>
          <w:rFonts w:cs="Times New Roman"/>
          <w:szCs w:val="24"/>
          <w:lang w:val="sr-Cyrl-RS"/>
        </w:rPr>
        <w:t>r factor in the coming years will likely be smaller than in the previous period, due to demographic developments and structural constraints of the labo</w:t>
      </w:r>
      <w:r w:rsidR="00AB0237">
        <w:rPr>
          <w:rFonts w:cs="Times New Roman"/>
          <w:szCs w:val="24"/>
        </w:rPr>
        <w:t>u</w:t>
      </w:r>
      <w:r w:rsidRPr="0026305E">
        <w:rPr>
          <w:rFonts w:cs="Times New Roman"/>
          <w:szCs w:val="24"/>
          <w:lang w:val="sr-Cyrl-RS"/>
        </w:rPr>
        <w:t>r market.</w:t>
      </w:r>
    </w:p>
    <w:p w:rsidR="006C04C7" w:rsidRPr="00002D92" w:rsidRDefault="008C5263" w:rsidP="008C5263">
      <w:pPr>
        <w:keepNext/>
        <w:rPr>
          <w:rFonts w:cs="Times New Roman"/>
          <w:szCs w:val="24"/>
          <w:lang w:val="sr-Cyrl-RS"/>
        </w:rPr>
      </w:pPr>
      <w:r w:rsidRPr="0026305E">
        <w:rPr>
          <w:rFonts w:cs="Times New Roman"/>
          <w:szCs w:val="24"/>
          <w:lang w:val="sr-Cyrl-RS"/>
        </w:rPr>
        <w:t>For the acceleration of potential growth, structural reform processes are also key. Priority areas include the reform of the legal framework, strengthening the rule of law, reducing administrative barriers and improving the efficiency of the public administration. Such measures are necessary for unlocking the full potential of private investments and raising competitiveness and productivity. At the same time, price and exchange rate stability of the dinar, a stable and well-capitalized banking sector, and sustainable public finances contribute to the predictability of the business environment, which is an important condition for accelerating the investment cycle on sustainable foundations. Nevertheless, challenges remain regarding institutional capacities, the efficiency of project implementation and ensuring that investments are accompanied by complementary reforms. Their resolution will be of essential importance for the long-term sustainability of growth and the resilience of</w:t>
      </w:r>
      <w:r>
        <w:rPr>
          <w:rFonts w:cs="Times New Roman"/>
          <w:szCs w:val="24"/>
          <w:lang w:val="sr-Cyrl-RS"/>
        </w:rPr>
        <w:t xml:space="preserve"> the economy to external shocks</w:t>
      </w:r>
      <w:r w:rsidRPr="00F548C6">
        <w:rPr>
          <w:rFonts w:cs="Times New Roman"/>
          <w:szCs w:val="24"/>
          <w:lang w:val="sr-Cyrl-RS"/>
        </w:rPr>
        <w:t>.</w:t>
      </w:r>
    </w:p>
    <w:p w:rsidR="006C04C7" w:rsidRPr="00002D92" w:rsidRDefault="009207CB" w:rsidP="006C04C7">
      <w:pPr>
        <w:keepNext/>
        <w:rPr>
          <w:rFonts w:eastAsia="Calibri" w:cs="Times New Roman"/>
          <w:bCs/>
          <w:i/>
          <w:szCs w:val="24"/>
          <w:lang w:val="sr-Cyrl-RS"/>
        </w:rPr>
      </w:pPr>
      <w:r w:rsidRPr="009207CB">
        <w:rPr>
          <w:rFonts w:eastAsia="Calibri" w:cs="Times New Roman"/>
          <w:bCs/>
          <w:i/>
          <w:szCs w:val="24"/>
          <w:lang w:val="sr-Latn-RS"/>
        </w:rPr>
        <w:t>Chart</w:t>
      </w:r>
      <w:r w:rsidRPr="009207CB">
        <w:rPr>
          <w:rFonts w:eastAsia="Calibri" w:cs="Times New Roman"/>
          <w:bCs/>
          <w:i/>
          <w:szCs w:val="24"/>
          <w:lang w:val="sr-Cyrl-RS"/>
        </w:rPr>
        <w:t xml:space="preserve"> </w:t>
      </w:r>
      <w:r w:rsidRPr="009207CB">
        <w:rPr>
          <w:rFonts w:eastAsia="Calibri" w:cs="Times New Roman"/>
          <w:bCs/>
          <w:i/>
          <w:szCs w:val="24"/>
          <w:lang w:val="sr-Latn-RS"/>
        </w:rPr>
        <w:t>2</w:t>
      </w:r>
      <w:r w:rsidRPr="009207CB">
        <w:rPr>
          <w:rFonts w:eastAsia="Calibri" w:cs="Times New Roman"/>
          <w:bCs/>
          <w:i/>
          <w:szCs w:val="24"/>
          <w:lang w:val="sr-Cyrl-RS"/>
        </w:rPr>
        <w:t>. Contributions of the factors of production to the potential GDP growth rate, pp</w:t>
      </w:r>
    </w:p>
    <w:p w:rsidR="006C04C7" w:rsidRPr="00002D92" w:rsidRDefault="009207CB" w:rsidP="006C04C7">
      <w:pPr>
        <w:ind w:firstLine="720"/>
        <w:rPr>
          <w:rFonts w:eastAsia="Calibri" w:cs="Times New Roman"/>
          <w:szCs w:val="24"/>
          <w:lang w:val="sr-Cyrl-RS"/>
        </w:rPr>
      </w:pPr>
      <w:r>
        <w:rPr>
          <w:noProof/>
        </w:rPr>
        <w:drawing>
          <wp:inline distT="0" distB="0" distL="0" distR="0" wp14:anchorId="10F8A67A" wp14:editId="69FF8395">
            <wp:extent cx="4480560" cy="2441448"/>
            <wp:effectExtent l="0" t="0" r="0" b="0"/>
            <wp:docPr id="9" name="Chart 9">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679F1" w:rsidRPr="00002D92" w:rsidRDefault="008C5263" w:rsidP="000F5B2F">
      <w:pPr>
        <w:rPr>
          <w:rFonts w:cs="Times New Roman"/>
          <w:color w:val="FF0000"/>
          <w:szCs w:val="24"/>
          <w:lang w:val="sr-Cyrl-RS"/>
        </w:rPr>
      </w:pPr>
      <w:r w:rsidRPr="0026305E">
        <w:rPr>
          <w:rFonts w:eastAsia="Times New Roman" w:cs="Times New Roman"/>
          <w:b/>
          <w:bCs/>
          <w:szCs w:val="24"/>
        </w:rPr>
        <w:t>Labo</w:t>
      </w:r>
      <w:r w:rsidR="00AB0237">
        <w:rPr>
          <w:rFonts w:eastAsia="Times New Roman" w:cs="Times New Roman"/>
          <w:b/>
          <w:bCs/>
          <w:szCs w:val="24"/>
        </w:rPr>
        <w:t>u</w:t>
      </w:r>
      <w:r w:rsidRPr="0026305E">
        <w:rPr>
          <w:rFonts w:eastAsia="Times New Roman" w:cs="Times New Roman"/>
          <w:b/>
          <w:bCs/>
          <w:szCs w:val="24"/>
        </w:rPr>
        <w:t>r market</w:t>
      </w:r>
      <w:r w:rsidR="006C04C7" w:rsidRPr="00002D92">
        <w:rPr>
          <w:rFonts w:cs="Times New Roman"/>
          <w:b/>
          <w:szCs w:val="24"/>
          <w:lang w:val="sr-Cyrl-RS"/>
        </w:rPr>
        <w:t>.</w:t>
      </w:r>
      <w:r w:rsidR="006C04C7" w:rsidRPr="00002D92">
        <w:rPr>
          <w:rFonts w:cs="Times New Roman"/>
          <w:szCs w:val="24"/>
          <w:lang w:val="sr-Cyrl-RS"/>
        </w:rPr>
        <w:t xml:space="preserve"> </w:t>
      </w:r>
      <w:r w:rsidRPr="0026305E">
        <w:rPr>
          <w:rFonts w:eastAsia="Times New Roman" w:cs="Times New Roman"/>
          <w:szCs w:val="24"/>
        </w:rPr>
        <w:t>In the coming period, the labo</w:t>
      </w:r>
      <w:r w:rsidR="00AB0237">
        <w:rPr>
          <w:rFonts w:eastAsia="Times New Roman" w:cs="Times New Roman"/>
          <w:szCs w:val="24"/>
        </w:rPr>
        <w:t>u</w:t>
      </w:r>
      <w:r w:rsidRPr="0026305E">
        <w:rPr>
          <w:rFonts w:eastAsia="Times New Roman" w:cs="Times New Roman"/>
          <w:szCs w:val="24"/>
        </w:rPr>
        <w:t xml:space="preserve">r market is expected to continue with favorable developments, in line with the expected growth of economic activity and a stable macroeconomic environment. Public policy makers continue to improve measures aimed at strengthening the quality of the labor force and investing in human capital, which contributes to easier employment and the development of sectors with higher added value. Particularly notable is the growth of employment in fields based on innovation and knowledge, which confirms the structural strengthening of the economy. It is expected that activities aimed at encouraging formal employment will continue, thereby further improving working conditions and creating more stable sources of budget revenues. In the medium-term period, a continuation of the positive effects of active employment policy measures, retraining programs and support for social entrepreneurship is expected, which will enable greater </w:t>
      </w:r>
      <w:r w:rsidRPr="0026305E">
        <w:rPr>
          <w:rFonts w:eastAsia="Times New Roman" w:cs="Times New Roman"/>
          <w:szCs w:val="24"/>
        </w:rPr>
        <w:lastRenderedPageBreak/>
        <w:t>availability of jobs for socially vulnerable groups and contribute to inclusive economic growth. In accordance with the above, unemployment is projected to gradually decrease in the medium term, along with a continuation of real wage growth. In the private sector, stable growth is expected in line with market developments, while wages in the public sector will continue to be aligned with fiscal rules, ensuring long-term sustainability.</w:t>
      </w:r>
    </w:p>
    <w:p w:rsidR="006C04C7" w:rsidRPr="008C5263" w:rsidRDefault="00553471" w:rsidP="006C04C7">
      <w:pPr>
        <w:spacing w:before="180" w:after="180"/>
        <w:rPr>
          <w:rFonts w:cs="Times New Roman"/>
          <w:iCs/>
          <w:szCs w:val="24"/>
          <w:lang w:val="sr-Latn-RS"/>
        </w:rPr>
      </w:pPr>
      <w:r w:rsidRPr="008C5263">
        <w:rPr>
          <w:rFonts w:eastAsia="Calibri" w:cs="Times New Roman"/>
          <w:b/>
          <w:i/>
          <w:szCs w:val="24"/>
          <w:lang w:val="en-GB"/>
        </w:rPr>
        <w:t>Monetary policy, exchange rate policy and inflation</w:t>
      </w:r>
      <w:r w:rsidR="006C04C7" w:rsidRPr="008C5263">
        <w:rPr>
          <w:rFonts w:cs="Times New Roman"/>
          <w:b/>
          <w:i/>
          <w:szCs w:val="24"/>
          <w:lang w:val="sr-Latn-RS"/>
        </w:rPr>
        <w:t xml:space="preserve"> </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t xml:space="preserve">Since 2009, the National Bank of Serbia has been implementing the </w:t>
      </w:r>
      <w:r w:rsidRPr="008C5263">
        <w:rPr>
          <w:rFonts w:eastAsia="Calibri" w:cs="Times New Roman"/>
          <w:b/>
          <w:bCs/>
          <w:szCs w:val="24"/>
          <w:lang w:val="en-GB"/>
        </w:rPr>
        <w:t>inflation targeting regime</w:t>
      </w:r>
      <w:r w:rsidRPr="008C5263">
        <w:rPr>
          <w:rFonts w:eastAsia="Calibri" w:cs="Times New Roman"/>
          <w:szCs w:val="24"/>
          <w:lang w:val="en-GB"/>
        </w:rPr>
        <w:t xml:space="preserve"> as its monetary strategy. Owing to the achieved price stability, well-anchored inflation expectations, and a significant improvement in Serbia’s macroeconomic indicators and outlook – above all, the sustainable reduction of external and internal imbalances – since 2017, the targeted inflation rate has been lowered to a level of 3%±1.5 pp.</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t xml:space="preserve">The main instrument for achieving the inflation target is the </w:t>
      </w:r>
      <w:r w:rsidRPr="008C5263">
        <w:rPr>
          <w:rFonts w:eastAsia="Calibri" w:cs="Times New Roman"/>
          <w:b/>
          <w:bCs/>
          <w:szCs w:val="24"/>
          <w:lang w:val="en-GB"/>
        </w:rPr>
        <w:t>key policy rate</w:t>
      </w:r>
      <w:r w:rsidRPr="008C5263">
        <w:rPr>
          <w:rFonts w:eastAsia="Calibri" w:cs="Times New Roman"/>
          <w:szCs w:val="24"/>
          <w:lang w:val="en-GB"/>
        </w:rPr>
        <w:t>, which is applied in one-week reverse repo operations, while other monetary policy instruments (lending and deposit facilities, required reserves, and FX market interventions) play a supporting role.</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t xml:space="preserve">In line with the chosen monetary strategy, the National Bank of Serbia </w:t>
      </w:r>
      <w:r w:rsidRPr="008C5263">
        <w:rPr>
          <w:rFonts w:eastAsia="Calibri" w:cs="Times New Roman"/>
          <w:b/>
          <w:bCs/>
          <w:szCs w:val="24"/>
          <w:lang w:val="en-GB"/>
        </w:rPr>
        <w:t>will continue to implement a managed floating exchange rate regime</w:t>
      </w:r>
      <w:r w:rsidRPr="008C5263">
        <w:rPr>
          <w:rFonts w:eastAsia="Calibri" w:cs="Times New Roman"/>
          <w:szCs w:val="24"/>
          <w:lang w:val="en-GB"/>
        </w:rPr>
        <w:t>. It will intervene in the FX market to mitigate excessive short-term fluctuations of the dinar-euro exchange rate, preserve price and financial system stability, and maintain an adequate level of FX reserves.</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t>During the first eleven months of 2025, the Executive Board of the National Bank of Serbia did not change the key policy rate, which has stood at 5.75% since September 2024, nor the rates on deposit and lending facilities. At the same time, the average weighted repo rate (</w:t>
      </w:r>
      <w:r w:rsidRPr="008C5263">
        <w:rPr>
          <w:rFonts w:eastAsia="Calibri" w:cs="Times New Roman"/>
          <w:i/>
          <w:iCs/>
          <w:szCs w:val="24"/>
          <w:lang w:val="en-GB"/>
        </w:rPr>
        <w:t>the rate in the National Bank of Serbia’s main operations – one-week reverse repo transactions</w:t>
      </w:r>
      <w:r w:rsidRPr="008C5263">
        <w:rPr>
          <w:rFonts w:eastAsia="Calibri" w:cs="Times New Roman"/>
          <w:szCs w:val="24"/>
          <w:lang w:val="en-GB"/>
        </w:rPr>
        <w:t>), as the benchmark rate in the domestic money market, moved close to the deposit facility rate (4.50%) and within a very narrow range between October 2024 and November 2025 (4.50–4.55%), while in the 2025 auctions it remained almost unchanged at 4.51%.</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t>The Executive Board assessed that maintaining caution in the monetary policy conduct was necessary throughout 2025, primarily due to uncertainties in the international environment, caused mainly by geopolitical and trade tensions and rising protectionism. Caution was also mandated by the increase in the prices of certain food commodities on global exchanges, as well as unfavourable weather conditions and reduced supply of fruit and vegetables, which during the summer months led to an acceleration in food price growth in the domestic market and to inflation moving slightly above the upper bound of the target.</w:t>
      </w:r>
    </w:p>
    <w:p w:rsidR="006C04C7" w:rsidRPr="008C5263" w:rsidRDefault="00553471" w:rsidP="00553471">
      <w:pPr>
        <w:spacing w:after="200" w:line="276" w:lineRule="auto"/>
        <w:rPr>
          <w:rFonts w:eastAsia="Calibri" w:cs="Times New Roman"/>
          <w:szCs w:val="24"/>
          <w:lang w:val="sr-Cyrl-RS"/>
        </w:rPr>
      </w:pPr>
      <w:r w:rsidRPr="008C5263">
        <w:rPr>
          <w:rFonts w:eastAsia="Calibri" w:cs="Times New Roman"/>
          <w:szCs w:val="24"/>
          <w:lang w:val="en-GB"/>
        </w:rPr>
        <w:t xml:space="preserve">Y-o-y inflation slowed considerably in September, to 2.9%, and then to 2.8% in October, mainly thanks to the implementation of the Decree on Special Conditions for Trade in Certain Types of Goods, which, starting from September and for a period of six months, limited trade margins on food products and certain household chemical products to 20%. Y-o-y growth in the prices of food and non-alcoholic beverages slowed sharply from 7.8% in August to 1.7% in September, and then to 0.3% in October. Nevertheless, inflation would have slowed even without the introduction of the Decree. This is particularly evidenced by core inflation (excluding the prices of food, energy, alcohol and cigarettes), </w:t>
      </w:r>
      <w:r w:rsidRPr="008C5263">
        <w:rPr>
          <w:rFonts w:eastAsia="Calibri" w:cs="Times New Roman"/>
          <w:szCs w:val="24"/>
          <w:lang w:val="en-GB"/>
        </w:rPr>
        <w:lastRenderedPageBreak/>
        <w:t>which decelerated to 3.9% in September and then to 3.8% in October, owing both to slower growth in industrial product prices and service prices.</w:t>
      </w:r>
      <w:r w:rsidR="006C04C7" w:rsidRPr="008C5263">
        <w:rPr>
          <w:rFonts w:cs="Times New Roman"/>
          <w:color w:val="00B0F0"/>
          <w:szCs w:val="24"/>
          <w:lang w:val="sr-Cyrl-RS"/>
        </w:rPr>
        <w:t xml:space="preserve"> </w:t>
      </w:r>
    </w:p>
    <w:p w:rsidR="006C04C7" w:rsidRPr="008C5263" w:rsidRDefault="00553471" w:rsidP="00553471">
      <w:pPr>
        <w:spacing w:after="200" w:line="276" w:lineRule="auto"/>
        <w:rPr>
          <w:rFonts w:eastAsia="Calibri" w:cs="Times New Roman"/>
          <w:szCs w:val="24"/>
          <w:lang w:val="en-GB"/>
        </w:rPr>
      </w:pPr>
      <w:r w:rsidRPr="008C5263">
        <w:rPr>
          <w:rFonts w:eastAsia="Calibri" w:cs="Times New Roman"/>
          <w:b/>
          <w:i/>
          <w:szCs w:val="24"/>
          <w:lang w:val="en-GB"/>
        </w:rPr>
        <w:t xml:space="preserve">Medium-term inflation projection </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t>According to the central projection of the National Bank of Serbia, y-o-y inflation is expected to remain around the central target value for the remainder of 2025 and the beginning of 2026. In the remainder of 2026, as well as over the medium term, y-o-y inflation should continue moving within the target range of 3±1.5%, with the low base from September 2025 resulting in inflation reaching around 4% at end-2026. This inflation path will be influenced not only by the effects of the Decree and the adoption of the appropriate legal framework aimed at improving market regulation and preventing unfair trading practices, but also by further easing of cost-push pressures from the international environment and the new agricultural season, assuming it is better than the previous one, which should contribute to lower fruit and vegetable prices. Wage growth, and the resulting higher disposable income for consumption, should act in the opposite direction; however, even in this respect, no significant inflationary pressures are expected, as wage growth is largely expected to be accompanied by the rise in productivity. In 2027, further demand growth is anticipated due to the hosting of the “Expo” exhibition, so average inflation is expected to be around 4%.</w:t>
      </w:r>
    </w:p>
    <w:p w:rsidR="006C04C7" w:rsidRPr="008C5263" w:rsidRDefault="00553471" w:rsidP="00553471">
      <w:pPr>
        <w:spacing w:after="200" w:line="276" w:lineRule="auto"/>
        <w:rPr>
          <w:rFonts w:eastAsia="Times New Roman" w:cs="Times New Roman"/>
          <w:b/>
          <w:i/>
          <w:szCs w:val="24"/>
          <w:lang w:val="en-GB"/>
        </w:rPr>
      </w:pPr>
      <w:r w:rsidRPr="008C5263">
        <w:rPr>
          <w:rFonts w:eastAsia="Times New Roman" w:cs="Times New Roman"/>
          <w:b/>
          <w:i/>
          <w:szCs w:val="24"/>
          <w:lang w:val="en-GB"/>
        </w:rPr>
        <w:t>External sector and its medium-term sustainability</w:t>
      </w:r>
    </w:p>
    <w:p w:rsidR="00553471" w:rsidRPr="008C5263" w:rsidRDefault="00553471" w:rsidP="00553471">
      <w:pPr>
        <w:spacing w:after="200" w:line="276" w:lineRule="auto"/>
        <w:rPr>
          <w:rFonts w:eastAsia="Times New Roman" w:cs="Times New Roman"/>
          <w:szCs w:val="24"/>
          <w:lang w:val="en-GB"/>
        </w:rPr>
      </w:pPr>
      <w:r w:rsidRPr="008C5263">
        <w:rPr>
          <w:rFonts w:eastAsia="Times New Roman" w:cs="Times New Roman"/>
          <w:szCs w:val="24"/>
          <w:lang w:val="en-GB"/>
        </w:rPr>
        <w:t>Owing to FDI inflows into export-oriented sectors, supported by the achieved macroeconomic stability and a more stimulating business environment, export diversification has increased in recent years – both in terms of product and geography. This is indicated by a decline in the HHI by product in the past ten years, from 0.22 in 2013 to 0.20 in 2025, and by partner country from 0.26 to 0.23.</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t xml:space="preserve">By </w:t>
      </w:r>
      <w:r w:rsidRPr="008C5263">
        <w:rPr>
          <w:rFonts w:eastAsia="Calibri" w:cs="Times New Roman"/>
          <w:b/>
          <w:bCs/>
          <w:i/>
          <w:iCs/>
          <w:szCs w:val="24"/>
          <w:lang w:val="en-GB"/>
        </w:rPr>
        <w:t>stage of processing</w:t>
      </w:r>
      <w:r w:rsidRPr="008C5263">
        <w:rPr>
          <w:rFonts w:eastAsia="Calibri" w:cs="Times New Roman"/>
          <w:szCs w:val="24"/>
          <w:lang w:val="en-GB"/>
        </w:rPr>
        <w:t>, products in the medium-stage processing category accounted for the largest share of goods exports in the first nine months of 2025 (33.1%). Resource-based products followed with a share of 26.8%, then lower-stage processed products with 16.4% (furniture, plastic products, rolled products, base metal products, footwear), while primary products accounted for 12.2% of total exports. The share of high-technology products (mainly electrical machinery) in total exports amounted to 7.4% over the first nine months of 2025, up by 2.6 pp from 2013, when the share was 4.8%.</w:t>
      </w:r>
    </w:p>
    <w:p w:rsidR="006C04C7" w:rsidRPr="008C5263" w:rsidRDefault="00553471" w:rsidP="00553471">
      <w:pPr>
        <w:spacing w:after="200" w:line="276" w:lineRule="auto"/>
        <w:rPr>
          <w:rFonts w:eastAsia="Calibri" w:cs="Times New Roman"/>
          <w:szCs w:val="24"/>
          <w:lang w:val="sr-Cyrl-RS"/>
        </w:rPr>
      </w:pPr>
      <w:r w:rsidRPr="008C5263">
        <w:rPr>
          <w:rFonts w:eastAsia="Calibri" w:cs="Times New Roman"/>
          <w:szCs w:val="24"/>
          <w:lang w:val="en-GB"/>
        </w:rPr>
        <w:t xml:space="preserve">In terms of </w:t>
      </w:r>
      <w:r w:rsidRPr="008C5263">
        <w:rPr>
          <w:rFonts w:eastAsia="Calibri" w:cs="Times New Roman"/>
          <w:b/>
          <w:bCs/>
          <w:i/>
          <w:iCs/>
          <w:szCs w:val="24"/>
          <w:lang w:val="en-GB"/>
        </w:rPr>
        <w:t>price competitiveness indicators</w:t>
      </w:r>
      <w:r w:rsidRPr="008C5263">
        <w:rPr>
          <w:rFonts w:eastAsia="Calibri" w:cs="Times New Roman"/>
          <w:szCs w:val="24"/>
          <w:lang w:val="en-GB"/>
        </w:rPr>
        <w:t>, the appreciation of the real effective exchange rate of the dinar (calculated on the basis of consumer prices against a currency basket comprising the euro and the dollar</w:t>
      </w:r>
      <w:r w:rsidRPr="008C5263">
        <w:rPr>
          <w:rFonts w:eastAsia="Calibri" w:cs="Times New Roman"/>
          <w:szCs w:val="24"/>
          <w:vertAlign w:val="superscript"/>
          <w:lang w:val="en-GB"/>
        </w:rPr>
        <w:footnoteReference w:id="8"/>
      </w:r>
      <w:r w:rsidRPr="008C5263">
        <w:rPr>
          <w:rFonts w:eastAsia="Calibri" w:cs="Times New Roman"/>
          <w:szCs w:val="24"/>
          <w:lang w:val="en-GB"/>
        </w:rPr>
        <w:t xml:space="preserve">) in recent years reflects the gap between domestic and foreign inflation, although over a longer period the real effective exchange rate has been relatively stable. Due to higher inflation in Serbia compared to that in the euro area and the United States, the real effective appreciation of 2.3% was recorded in 2024, with a similar trend continuing in the first nine months of 2025, when the average real effective appreciation of the dinar amounted to 2.5% y-o-y. During 2024 and H1 2025, wages in Serbia rose faster than economic activity, which is why unit labour costs continued to increase, at a faster pace than in the euro area. Along with an unchanged value of the dinar against the euro, this resulted in real appreciation of the dinar, which, based on the currently available data, </w:t>
      </w:r>
      <w:r w:rsidRPr="008C5263">
        <w:rPr>
          <w:rFonts w:eastAsia="Calibri" w:cs="Times New Roman"/>
          <w:szCs w:val="24"/>
          <w:lang w:val="en-GB"/>
        </w:rPr>
        <w:lastRenderedPageBreak/>
        <w:t>amounted to 5.5% in 2024 and 5.4% in H1 2025 y-o-y. Still, labour costs in Serbia’s manufacturing sector (EUR 10.5 per hour including the costs of taxes and contributions reduced by subsidies in 2024) remain lower than in most comparable countries in Central and South-Eastern Europe. Price competitiveness is not a factor with a significant impact on Serbia’s net exports because of the country’s high integration into global supply chains, given that imported components make up a substantial share of goods produced by Serbian companies for export and, conversely, foreign products contain components manufactured in Serbia, which substantially diminishes the impact of the exchange rate. Moreover, structural competitiveness has increased significantly, reflected in new export capacities and greater geographical and product diversification of exports.</w:t>
      </w:r>
    </w:p>
    <w:p w:rsidR="00553471" w:rsidRPr="008C5263" w:rsidRDefault="00553471" w:rsidP="00553471">
      <w:pPr>
        <w:rPr>
          <w:rFonts w:eastAsia="Calibri" w:cs="Times New Roman"/>
          <w:b/>
          <w:i/>
          <w:szCs w:val="24"/>
          <w:lang w:val="en-GB"/>
        </w:rPr>
      </w:pPr>
      <w:r w:rsidRPr="008C5263">
        <w:rPr>
          <w:rFonts w:eastAsia="Calibri" w:cs="Times New Roman"/>
          <w:b/>
          <w:i/>
          <w:szCs w:val="24"/>
          <w:lang w:val="en-GB"/>
        </w:rPr>
        <w:t>International investment position</w:t>
      </w:r>
      <w:r w:rsidR="006C04C7" w:rsidRPr="008C5263">
        <w:rPr>
          <w:rFonts w:eastAsia="Calibri" w:cs="Times New Roman"/>
          <w:b/>
          <w:i/>
          <w:szCs w:val="24"/>
          <w:lang w:val="sr-Cyrl-RS"/>
        </w:rPr>
        <w:t>.</w:t>
      </w:r>
      <w:r w:rsidR="006C04C7" w:rsidRPr="008C5263">
        <w:rPr>
          <w:rFonts w:eastAsia="Calibri" w:cs="Times New Roman"/>
          <w:szCs w:val="24"/>
          <w:lang w:val="sr-Cyrl-RS"/>
        </w:rPr>
        <w:t xml:space="preserve"> </w:t>
      </w:r>
      <w:r w:rsidRPr="008C5263">
        <w:rPr>
          <w:rFonts w:eastAsia="Calibri" w:cs="Times New Roman"/>
          <w:szCs w:val="24"/>
          <w:lang w:val="en-GB"/>
        </w:rPr>
        <w:t>At end-Q2 2025, the negative international investment position (IIP) stood at EUR 52.2 bn (EUR 51.0 bn or 61.2% of GDP at end-2024). On the assets side, the stock of all components increased except for FX reserves and financial loans (within other investments), while on the liabilities side, the increase was primarily driven by the higher stock of FDIs and financial loans. At end-Q2 2025, net FDI accounted for around 105.9% of the net IIP, indicating a highly favourable IIP structure in terms of external sustainability.</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t xml:space="preserve">In the IIP liabilities structure, the share of debt instruments amounted to around 52.5% at end-Q2 2025, of which intercompany loans accounted for 22.4%. Around a half of </w:t>
      </w:r>
      <w:r w:rsidRPr="008C5263">
        <w:rPr>
          <w:rFonts w:eastAsia="Calibri" w:cs="Times New Roman"/>
          <w:b/>
          <w:bCs/>
          <w:i/>
          <w:iCs/>
          <w:szCs w:val="24"/>
          <w:lang w:val="en-GB"/>
        </w:rPr>
        <w:t>total external debt</w:t>
      </w:r>
      <w:r w:rsidRPr="008C5263">
        <w:rPr>
          <w:rFonts w:eastAsia="Calibri" w:cs="Times New Roman"/>
          <w:szCs w:val="24"/>
          <w:lang w:val="en-GB"/>
        </w:rPr>
        <w:t xml:space="preserve"> related to public sector debt (52.5%). By remaining maturity, almost the entire external debt of the public sector (comprising the general government and the National Bank of Serbia) is long-term in nature, and around 59.2% is contracted at a fixed interest rate. Two currencies dominate public external debt – the euro (71.9%) and the US dollar (18.7%). It is also important to note that the shares of the euro and dollar in FX reserves are largely aligned with the currency structure of public external debt. </w:t>
      </w:r>
    </w:p>
    <w:p w:rsidR="006C04C7" w:rsidRPr="008C5263" w:rsidRDefault="00553471" w:rsidP="00553471">
      <w:pPr>
        <w:spacing w:after="200" w:line="276" w:lineRule="auto"/>
        <w:rPr>
          <w:rFonts w:eastAsia="Calibri" w:cs="Times New Roman"/>
          <w:szCs w:val="24"/>
          <w:lang w:val="sr-Cyrl-RS"/>
        </w:rPr>
      </w:pPr>
      <w:r w:rsidRPr="008C5263">
        <w:rPr>
          <w:rFonts w:eastAsia="Calibri" w:cs="Times New Roman"/>
          <w:szCs w:val="24"/>
          <w:lang w:val="en-GB"/>
        </w:rPr>
        <w:t>In the structure of private sector external debt, the largest portion relates to the debt of enterprises (around 84.9%). Around 90% of enterprise debt is denominated in euros, and given that around 83% of export collections are carried out in euros, the currency risk associated with the external debt of enterprises is low. In addition, 49.7% of the debt is contracted at a fixed interest rate. By remaining maturity, almost 76.3% of enterprise debt is long-term. When considering bank external debt, around 97.6% is denominated in euros, and 90.2% is contracted at a variable interest rate. By remaining maturity, almost 76.5% of banking sector external debt (excluding deposits) is long-term in nature.</w:t>
      </w:r>
    </w:p>
    <w:p w:rsidR="00553471" w:rsidRPr="008C5263" w:rsidRDefault="00553471" w:rsidP="00553471">
      <w:pPr>
        <w:rPr>
          <w:rFonts w:eastAsia="Calibri" w:cs="Times New Roman"/>
          <w:b/>
          <w:i/>
          <w:szCs w:val="24"/>
          <w:lang w:val="en-GB"/>
        </w:rPr>
      </w:pPr>
      <w:r w:rsidRPr="008C5263">
        <w:rPr>
          <w:rFonts w:eastAsia="Calibri" w:cs="Times New Roman"/>
          <w:b/>
          <w:i/>
          <w:szCs w:val="24"/>
          <w:lang w:val="en-GB"/>
        </w:rPr>
        <w:t>Medium-term external sustainability</w:t>
      </w:r>
      <w:r w:rsidR="006C04C7" w:rsidRPr="008C5263">
        <w:rPr>
          <w:rFonts w:eastAsia="Calibri" w:cs="Times New Roman"/>
          <w:b/>
          <w:i/>
          <w:szCs w:val="24"/>
          <w:lang w:val="sr-Cyrl-RS"/>
        </w:rPr>
        <w:t>.</w:t>
      </w:r>
      <w:r w:rsidR="006C04C7" w:rsidRPr="008C5263">
        <w:rPr>
          <w:rFonts w:eastAsia="Calibri" w:cs="Times New Roman"/>
          <w:szCs w:val="24"/>
          <w:lang w:val="sr-Cyrl-RS"/>
        </w:rPr>
        <w:t xml:space="preserve"> </w:t>
      </w:r>
      <w:r w:rsidRPr="008C5263">
        <w:rPr>
          <w:rFonts w:eastAsia="Calibri" w:cs="Times New Roman"/>
          <w:szCs w:val="24"/>
          <w:lang w:val="en-GB"/>
        </w:rPr>
        <w:t xml:space="preserve">The current account deficit is projected at around 5% of GDP in the medium term, being somewhat higher in 2026 and lower in 2027 – the year of the specialised “Expo” exhibition. The current account deficit will continue to be largely covered by net FDI inflows, projected at around 4% of GDP annually. Medium-term movements in the current account balance will be determined primarily by structural factors. Continued growth in investment and implementation of projects related to the “Leap into the Future – Serbia Expo 2027” programme will contribute to growth in imports of capital and intermediate goods. The imports of goods and services are estimated to rise at 6–8% annually in the coming years. At the same time, as a result of past investment in tradable sectors, especially robust FDI inflows, and the expected recovery of external demand, export growth of goods and services is also expected to range between 6% and 10% annually in the medium run. According to the National Bank of Serbia’s projection, the secondary income surplus will stabilise at around 6% of GDP, while the expected trajectory of net FDI inflows will lead to the yield on their ownership remaining a solid expenditure item in the primary income account, whose deficit will therefore moderately increase. </w:t>
      </w:r>
    </w:p>
    <w:p w:rsidR="00553471" w:rsidRPr="008C5263" w:rsidRDefault="00553471" w:rsidP="00553471">
      <w:pPr>
        <w:spacing w:after="200" w:line="276" w:lineRule="auto"/>
        <w:rPr>
          <w:rFonts w:eastAsia="Calibri" w:cs="Times New Roman"/>
          <w:szCs w:val="24"/>
          <w:lang w:val="en-GB"/>
        </w:rPr>
      </w:pPr>
      <w:r w:rsidRPr="008C5263">
        <w:rPr>
          <w:rFonts w:eastAsia="Calibri" w:cs="Times New Roman"/>
          <w:szCs w:val="24"/>
          <w:lang w:val="en-GB"/>
        </w:rPr>
        <w:lastRenderedPageBreak/>
        <w:t>FX reserves are also expected to remain at an adequate level in the medium run. The coverage of average monthly imports of goods and services by FX reserves is estimated at around six months, with continued high coverage of short-term debt (at remaining maturity) by FX reserves.</w:t>
      </w:r>
    </w:p>
    <w:p w:rsidR="006C04C7" w:rsidRPr="008C5263" w:rsidRDefault="00553471" w:rsidP="00553471">
      <w:pPr>
        <w:spacing w:after="200" w:line="276" w:lineRule="auto"/>
        <w:rPr>
          <w:rFonts w:cs="Times New Roman"/>
          <w:color w:val="00B0F0"/>
          <w:szCs w:val="24"/>
          <w:lang w:val="sr-Cyrl-RS"/>
        </w:rPr>
      </w:pPr>
      <w:r w:rsidRPr="008C5263">
        <w:rPr>
          <w:rFonts w:eastAsia="Calibri" w:cs="Times New Roman"/>
          <w:szCs w:val="24"/>
          <w:lang w:val="en-GB"/>
        </w:rPr>
        <w:t>The external debt sustainability analysis shows that under all macroeconomic scenarios (assuming different GDP growth rates, interest rates and exchange rates), except for a scenario involving real depreciation of 30% in 2025, external debt would decline in the medium term. Under the baseline scenario, Serbia’s external debt would stand at around 53% of GDP at end-2027. One of the main factors contributing to this decline will be the increase in the openness of the Serbian economy (measured as the share of imports and exports of goods and services in GDP) to around 111% of GDP in 2027. Increased economic openness and greater integration into global trade flows are supported by high FDI inflows, which in the coming years are projected to average around EUR 4.2 bn. Given that for years the bulk of investment has been channelled into tradable sectors, the largest exporters in Serbia are predominantly foreign-owned companies. Continued EU integration, alongside bilateral free trade agreements and agreements with economic blocs (CEFTA, EFTA, Eurasian Economic Union) concluded by the Serbian Government, together with the maintenance of achieved macroeconomic stability, will support further improvement of the business environment, enabling greater international trade and sustained FDI growth.</w:t>
      </w:r>
    </w:p>
    <w:p w:rsidR="006C04C7" w:rsidRPr="00002D92" w:rsidRDefault="006C04C7" w:rsidP="006C04C7">
      <w:pPr>
        <w:pStyle w:val="Heading11"/>
        <w:spacing w:before="180" w:after="180"/>
        <w:rPr>
          <w:rFonts w:ascii="Times New Roman" w:hAnsi="Times New Roman" w:cs="Times New Roman"/>
          <w:color w:val="auto"/>
          <w:sz w:val="24"/>
          <w:szCs w:val="24"/>
          <w:lang w:val="sr-Latn-RS"/>
        </w:rPr>
      </w:pPr>
      <w:bookmarkStart w:id="21" w:name="_Toc185342331"/>
      <w:bookmarkStart w:id="22" w:name="_Toc221106871"/>
      <w:r w:rsidRPr="00002D92">
        <w:rPr>
          <w:rFonts w:ascii="Times New Roman" w:hAnsi="Times New Roman" w:cs="Times New Roman"/>
          <w:color w:val="auto"/>
          <w:sz w:val="24"/>
          <w:szCs w:val="24"/>
          <w:lang w:val="sr-Latn-RS"/>
        </w:rPr>
        <w:t xml:space="preserve">3.4. </w:t>
      </w:r>
      <w:bookmarkEnd w:id="21"/>
      <w:r w:rsidR="008C5263">
        <w:rPr>
          <w:rFonts w:ascii="Times New Roman" w:hAnsi="Times New Roman" w:cs="Times New Roman"/>
          <w:color w:val="auto"/>
          <w:sz w:val="24"/>
          <w:szCs w:val="24"/>
          <w:lang w:val="sr-Latn-RS"/>
        </w:rPr>
        <w:t>ALTERNATIVE SCENARIO AND RISKS</w:t>
      </w:r>
      <w:bookmarkEnd w:id="22"/>
    </w:p>
    <w:p w:rsidR="007F4BF4" w:rsidRPr="000C30B4" w:rsidRDefault="007F4BF4" w:rsidP="007F4BF4">
      <w:pPr>
        <w:autoSpaceDE w:val="0"/>
        <w:autoSpaceDN w:val="0"/>
        <w:adjustRightInd w:val="0"/>
        <w:spacing w:after="180"/>
        <w:rPr>
          <w:rFonts w:cs="Times New Roman"/>
          <w:bCs/>
          <w:szCs w:val="24"/>
          <w:lang w:val="sr-Cyrl-RS"/>
        </w:rPr>
      </w:pPr>
      <w:r w:rsidRPr="0026305E">
        <w:rPr>
          <w:rFonts w:cs="Times New Roman"/>
          <w:bCs/>
          <w:szCs w:val="24"/>
          <w:lang w:val="sr-Cyrl-RS"/>
        </w:rPr>
        <w:t>The medium-term scenario of economic activity developments in the Republic of Serbia continues to be under the influence of numerous and complex risks that come from the international environment, but also of internal risks related to socio-political tensions.</w:t>
      </w:r>
    </w:p>
    <w:p w:rsidR="007F4BF4" w:rsidRPr="000C30B4" w:rsidRDefault="007F4BF4" w:rsidP="007F4BF4">
      <w:pPr>
        <w:autoSpaceDE w:val="0"/>
        <w:autoSpaceDN w:val="0"/>
        <w:adjustRightInd w:val="0"/>
        <w:spacing w:after="180"/>
        <w:rPr>
          <w:rFonts w:cs="Times New Roman"/>
          <w:bCs/>
          <w:szCs w:val="24"/>
          <w:lang w:val="sr-Cyrl-RS"/>
        </w:rPr>
      </w:pPr>
      <w:r w:rsidRPr="0026305E">
        <w:rPr>
          <w:rFonts w:cs="Times New Roman"/>
          <w:bCs/>
          <w:szCs w:val="24"/>
          <w:lang w:val="sr-Cyrl-RS"/>
        </w:rPr>
        <w:t>he most pronounced risks from the international environment originate from unstable global economic and political relations. Although some trade agreements that mitigate the most extreme scenarios have already been reached, the risks of new restrictive measures—such as new tariffs, quotas, counter-tariffs or subsidies in strategic industries—are still present. These measures can disrupt global supply chains and weaken international trade and investments. In addition, the absence of clear coordination among the leading economies of the world regarding trade policy, as well as increasingly frequent examples of selective protectionism, leaves a high degree of uncertainty concerning the further development of trade relations and the possibility that the situation may deteriorate further if a new wave of restrictions and segmentation of the global market occurs. This makes forecasting and planning more difficult both for national institutions and for the private sector and foreign investors. Such measures, especially when coming from leading global economies, have the potential to redirect the flows of capital and goods, reduce the availability of key raw materials and components, and negatively affect the economies of export-oriented countries such as the Republic of Serbia.</w:t>
      </w:r>
      <w:r w:rsidRPr="000C30B4">
        <w:rPr>
          <w:rFonts w:cs="Times New Roman"/>
          <w:bCs/>
          <w:szCs w:val="24"/>
          <w:lang w:val="sr-Cyrl-RS"/>
        </w:rPr>
        <w:t xml:space="preserve"> </w:t>
      </w:r>
      <w:r w:rsidRPr="0026305E">
        <w:rPr>
          <w:rFonts w:cs="Times New Roman"/>
          <w:bCs/>
          <w:szCs w:val="24"/>
          <w:lang w:val="sr-Cyrl-RS"/>
        </w:rPr>
        <w:t>Although peace initiatives regarding the situations in Ukraine and the Middle East are ongoing, the risks to the global macroeconomic framework remain pronounced. Despite prospects for gradual de-escalation, instability in these regions can still affect energy and food markets, global logistics flows and inflationary pressures, which maintains an elevated level of uncertainty in the international economic environment. Possible surges in energy and food prices, as well as potential disruptions in logistics flows and the labo</w:t>
      </w:r>
      <w:r w:rsidR="00AB0237">
        <w:rPr>
          <w:rFonts w:cs="Times New Roman"/>
          <w:bCs/>
          <w:szCs w:val="24"/>
        </w:rPr>
        <w:t>u</w:t>
      </w:r>
      <w:r w:rsidRPr="0026305E">
        <w:rPr>
          <w:rFonts w:cs="Times New Roman"/>
          <w:bCs/>
          <w:szCs w:val="24"/>
          <w:lang w:val="sr-Cyrl-RS"/>
        </w:rPr>
        <w:t>r market, could lead to increased inflationary pressures, a decrease in the real purchasing power of the population, and a negative impact on investor confidence. Due to the interconnectedness of global financial and commodity markets, these effects would spill over very quickly to countries such as the Republic of Serbia, through the channels of exports, import prices, foreign direct investm</w:t>
      </w:r>
      <w:r>
        <w:rPr>
          <w:rFonts w:cs="Times New Roman"/>
          <w:bCs/>
          <w:szCs w:val="24"/>
          <w:lang w:val="sr-Cyrl-RS"/>
        </w:rPr>
        <w:t>ents and other financial flows.</w:t>
      </w:r>
      <w:r w:rsidRPr="0026305E">
        <w:rPr>
          <w:rFonts w:cs="Times New Roman"/>
          <w:bCs/>
          <w:szCs w:val="24"/>
          <w:lang w:val="sr-Cyrl-RS"/>
        </w:rPr>
        <w:t xml:space="preserve">On the other hand, a potential de-escalation of global tensions and the easing of trade barriers could have a strong positive effect on international </w:t>
      </w:r>
      <w:r w:rsidRPr="0026305E">
        <w:rPr>
          <w:rFonts w:cs="Times New Roman"/>
          <w:bCs/>
          <w:szCs w:val="24"/>
          <w:lang w:val="sr-Cyrl-RS"/>
        </w:rPr>
        <w:lastRenderedPageBreak/>
        <w:t>economic flows, which would synergistically spill over into the domestic economy through growth in exports, investments, and a more favorable access to technologies and capital.</w:t>
      </w:r>
    </w:p>
    <w:p w:rsidR="007F4BF4" w:rsidRPr="000C30B4" w:rsidRDefault="007F4BF4" w:rsidP="007F4BF4">
      <w:pPr>
        <w:autoSpaceDE w:val="0"/>
        <w:autoSpaceDN w:val="0"/>
        <w:adjustRightInd w:val="0"/>
        <w:spacing w:after="180"/>
        <w:rPr>
          <w:rFonts w:cs="Times New Roman"/>
          <w:bCs/>
          <w:szCs w:val="24"/>
          <w:lang w:val="sr-Cyrl-RS"/>
        </w:rPr>
      </w:pPr>
      <w:r w:rsidRPr="00DD2B5A">
        <w:rPr>
          <w:rFonts w:cs="Times New Roman"/>
          <w:bCs/>
          <w:szCs w:val="24"/>
          <w:lang w:val="sr-Cyrl-RS"/>
        </w:rPr>
        <w:t>Internal risks primarily arise from increased socio-political tensions. If these pressures were to become more pronounced, it is possible that they would be reflected to a greater extent in economic expectations, consumer and investor confidence, as well as in the willingness of economic entities to undertake new investments. In such a case, increased uncertainty could encourage a higher degree of caution in making economic decisions and lead to a more moderate pace of growth in consumption an</w:t>
      </w:r>
      <w:r>
        <w:rPr>
          <w:rFonts w:cs="Times New Roman"/>
          <w:bCs/>
          <w:szCs w:val="24"/>
          <w:lang w:val="sr-Cyrl-RS"/>
        </w:rPr>
        <w:t>d investments in the short term</w:t>
      </w:r>
      <w:r w:rsidRPr="000C30B4">
        <w:rPr>
          <w:rFonts w:cs="Times New Roman"/>
          <w:bCs/>
          <w:szCs w:val="24"/>
          <w:lang w:val="sr-Cyrl-RS"/>
        </w:rPr>
        <w:t xml:space="preserve">. </w:t>
      </w:r>
      <w:r w:rsidRPr="00DD2B5A">
        <w:rPr>
          <w:rFonts w:cs="Times New Roman"/>
          <w:bCs/>
          <w:szCs w:val="24"/>
          <w:lang w:val="sr-Cyrl-RS"/>
        </w:rPr>
        <w:t>On the other hand, the gradual resolution of socio-political tensions could have a positive impact on economic developments, through strengthening consumer and investor confidence and reducing the perception of risk. Such a development of events would contribute to greater predictability of the business environment and to stimulating investment activity, which would have a positive effect on overall economic growth.</w:t>
      </w:r>
      <w:r w:rsidRPr="000C30B4">
        <w:rPr>
          <w:rFonts w:cs="Times New Roman"/>
          <w:bCs/>
          <w:szCs w:val="24"/>
          <w:lang w:val="sr-Cyrl-RS"/>
        </w:rPr>
        <w:t xml:space="preserve"> </w:t>
      </w:r>
      <w:r w:rsidRPr="00851B15">
        <w:rPr>
          <w:rFonts w:cs="Times New Roman"/>
          <w:bCs/>
          <w:szCs w:val="24"/>
          <w:lang w:val="sr-Cyrl-RS"/>
        </w:rPr>
        <w:t>A high degree of uncertainty also exists regarding the dynamics of economic activity in certain branches of industry that are sensitive to changes in the international business environment. If the influence of these factors were stronger than currently estimated, this could negatively affect overall economic growth, while, on the other hand, a faster stabilization of business conditions would have the potential to significantly improve the medium-term outlook for economic activity.</w:t>
      </w:r>
    </w:p>
    <w:p w:rsidR="007F4BF4" w:rsidRDefault="007F4BF4" w:rsidP="007F4BF4">
      <w:pPr>
        <w:autoSpaceDE w:val="0"/>
        <w:autoSpaceDN w:val="0"/>
        <w:adjustRightInd w:val="0"/>
        <w:spacing w:after="180"/>
        <w:rPr>
          <w:rFonts w:cs="Times New Roman"/>
          <w:bCs/>
          <w:szCs w:val="24"/>
          <w:lang w:val="sr-Cyrl-RS"/>
        </w:rPr>
      </w:pPr>
      <w:r w:rsidRPr="00851B15">
        <w:rPr>
          <w:rFonts w:cs="Times New Roman"/>
          <w:bCs/>
          <w:szCs w:val="24"/>
          <w:lang w:val="sr-Cyrl-RS"/>
        </w:rPr>
        <w:t>The overall effect of external and domestic risks indicates the need for all scenarios and projections for the coming period to be analyzed with pronounced caution, including the regular updating of risks and the development of alternative policies that can mitigate the effects of possible external and domestic shocks.</w:t>
      </w:r>
    </w:p>
    <w:p w:rsidR="007D31BF" w:rsidRPr="00EE56EF" w:rsidRDefault="007F4BF4" w:rsidP="00EE56EF">
      <w:pPr>
        <w:autoSpaceDE w:val="0"/>
        <w:autoSpaceDN w:val="0"/>
        <w:adjustRightInd w:val="0"/>
        <w:spacing w:after="180"/>
        <w:rPr>
          <w:rFonts w:cs="Times New Roman"/>
          <w:bCs/>
          <w:szCs w:val="24"/>
          <w:lang w:val="sr-Cyrl-RS"/>
        </w:rPr>
      </w:pPr>
      <w:r w:rsidRPr="00851B15">
        <w:rPr>
          <w:rFonts w:cs="Times New Roman"/>
          <w:bCs/>
          <w:szCs w:val="24"/>
          <w:lang w:val="sr-Cyrl-RS"/>
        </w:rPr>
        <w:t>The pessimistic scenario is based on the assumption of the materialization of negative external risks, such as the implementation of tariffs in a scope greater than the current one, prolonged military conflicts and a decrease in demand in the EU. In that case, there would be weaker exports, greater inflationary pressures, a reduction in real disposable income and a slowed pace of private investments. As a consequence, the medium-term GDP growth rate in the period 2026–2028 would be lower by 1.5 percentage points compared to the baseline scenario and would amount to 2</w:t>
      </w:r>
      <w:r>
        <w:rPr>
          <w:rFonts w:cs="Times New Roman"/>
          <w:bCs/>
          <w:szCs w:val="24"/>
          <w:lang w:val="sr-Cyrl-RS"/>
        </w:rPr>
        <w:t>.3% on average annually.</w:t>
      </w:r>
      <w:r>
        <w:rPr>
          <w:rFonts w:cs="Times New Roman"/>
          <w:bCs/>
          <w:szCs w:val="24"/>
          <w:lang w:val="sr-Latn-RS"/>
        </w:rPr>
        <w:t xml:space="preserve"> </w:t>
      </w:r>
      <w:r w:rsidRPr="00851B15">
        <w:rPr>
          <w:rFonts w:cs="Times New Roman"/>
          <w:bCs/>
          <w:szCs w:val="24"/>
          <w:lang w:val="sr-Cyrl-RS"/>
        </w:rPr>
        <w:t>The prolonged validity of the sanctions relating to NIS, as well as the possible absence of the signing of a new gas arrangement with Russia, could call into question the achievement even of the growth rate envisaged in the pessimistic scenario.</w:t>
      </w:r>
      <w:r w:rsidR="00EE56EF">
        <w:rPr>
          <w:rFonts w:cs="Times New Roman"/>
          <w:bCs/>
          <w:szCs w:val="24"/>
          <w:lang w:val="sr-Cyrl-RS"/>
        </w:rPr>
        <w:t xml:space="preserve"> </w:t>
      </w:r>
    </w:p>
    <w:p w:rsidR="006C04C7" w:rsidRPr="00002D92" w:rsidRDefault="009207CB" w:rsidP="006C04C7">
      <w:pPr>
        <w:autoSpaceDE w:val="0"/>
        <w:autoSpaceDN w:val="0"/>
        <w:adjustRightInd w:val="0"/>
        <w:contextualSpacing/>
        <w:rPr>
          <w:rFonts w:eastAsia="Constantia" w:cs="Times New Roman"/>
          <w:i/>
          <w:szCs w:val="24"/>
          <w:lang w:val="sr-Cyrl-RS"/>
        </w:rPr>
      </w:pPr>
      <w:r>
        <w:rPr>
          <w:rFonts w:eastAsia="Constantia" w:cs="Times New Roman"/>
          <w:i/>
          <w:szCs w:val="24"/>
          <w:lang w:val="sr-Latn-RS"/>
        </w:rPr>
        <w:t>Chart</w:t>
      </w:r>
      <w:r w:rsidR="006C04C7" w:rsidRPr="00002D92">
        <w:rPr>
          <w:rFonts w:eastAsia="Constantia" w:cs="Times New Roman"/>
          <w:i/>
          <w:szCs w:val="24"/>
          <w:lang w:val="sr-Cyrl-RS"/>
        </w:rPr>
        <w:t xml:space="preserve"> </w:t>
      </w:r>
      <w:r w:rsidR="006C04C7" w:rsidRPr="00002D92">
        <w:rPr>
          <w:rFonts w:eastAsia="Constantia" w:cs="Times New Roman"/>
          <w:i/>
          <w:szCs w:val="24"/>
          <w:lang w:val="sr-Latn-RS"/>
        </w:rPr>
        <w:t>3</w:t>
      </w:r>
      <w:r w:rsidR="006C04C7" w:rsidRPr="00002D92">
        <w:rPr>
          <w:rFonts w:eastAsia="Constantia" w:cs="Times New Roman"/>
          <w:i/>
          <w:szCs w:val="24"/>
          <w:lang w:val="sr-Cyrl-RS"/>
        </w:rPr>
        <w:t xml:space="preserve">. </w:t>
      </w:r>
      <w:r w:rsidRPr="009207CB">
        <w:rPr>
          <w:rFonts w:eastAsia="Constantia" w:cs="Times New Roman"/>
          <w:i/>
          <w:szCs w:val="24"/>
          <w:lang w:val="sr-Cyrl-RS"/>
        </w:rPr>
        <w:t>Projection of GDP trends, annual growth rate, %</w:t>
      </w:r>
    </w:p>
    <w:p w:rsidR="006C04C7" w:rsidRPr="00002D92" w:rsidRDefault="006C04C7" w:rsidP="006C04C7">
      <w:pPr>
        <w:autoSpaceDE w:val="0"/>
        <w:autoSpaceDN w:val="0"/>
        <w:adjustRightInd w:val="0"/>
        <w:spacing w:after="240"/>
        <w:rPr>
          <w:rFonts w:cs="Times New Roman"/>
          <w:szCs w:val="24"/>
          <w:lang w:val="sr-Cyrl-RS"/>
        </w:rPr>
      </w:pPr>
      <w:r w:rsidRPr="00002D92">
        <w:rPr>
          <w:rFonts w:cs="Times New Roman"/>
          <w:noProof/>
        </w:rPr>
        <w:drawing>
          <wp:inline distT="0" distB="0" distL="0" distR="0" wp14:anchorId="57D33CD3" wp14:editId="5DD146BD">
            <wp:extent cx="5735955" cy="2567785"/>
            <wp:effectExtent l="0" t="0" r="0" b="4445"/>
            <wp:docPr id="1040916485" name="Chart 1040916485">
              <a:extLst xmlns:a="http://schemas.openxmlformats.org/drawingml/2006/main">
                <a:ext uri="{FF2B5EF4-FFF2-40B4-BE49-F238E27FC236}">
                  <a16:creationId xmlns:a16="http://schemas.microsoft.com/office/drawing/2014/main" id="{00000000-0008-0000-06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679F1" w:rsidRPr="00002D92" w:rsidRDefault="00B679F1" w:rsidP="006C04C7">
      <w:pPr>
        <w:autoSpaceDE w:val="0"/>
        <w:autoSpaceDN w:val="0"/>
        <w:adjustRightInd w:val="0"/>
        <w:rPr>
          <w:rFonts w:eastAsia="Constantia" w:cs="Times New Roman"/>
          <w:i/>
          <w:szCs w:val="24"/>
          <w:lang w:val="sr-Cyrl-RS"/>
        </w:rPr>
      </w:pPr>
    </w:p>
    <w:p w:rsidR="006C04C7" w:rsidRPr="00002D92" w:rsidRDefault="00EE56EF" w:rsidP="006C04C7">
      <w:pPr>
        <w:autoSpaceDE w:val="0"/>
        <w:autoSpaceDN w:val="0"/>
        <w:adjustRightInd w:val="0"/>
        <w:rPr>
          <w:rFonts w:eastAsia="Constantia" w:cs="Times New Roman"/>
          <w:i/>
          <w:szCs w:val="24"/>
          <w:lang w:val="sr-Cyrl-RS"/>
        </w:rPr>
      </w:pPr>
      <w:r>
        <w:rPr>
          <w:rFonts w:eastAsia="Constantia" w:cs="Times New Roman"/>
          <w:i/>
          <w:szCs w:val="24"/>
          <w:lang w:val="sr-Latn-RS"/>
        </w:rPr>
        <w:lastRenderedPageBreak/>
        <w:t>Table</w:t>
      </w:r>
      <w:r w:rsidR="006C04C7" w:rsidRPr="00002D92">
        <w:rPr>
          <w:rFonts w:eastAsia="Constantia" w:cs="Times New Roman"/>
          <w:i/>
          <w:szCs w:val="24"/>
          <w:lang w:val="sr-Cyrl-RS"/>
        </w:rPr>
        <w:t xml:space="preserve"> 3. </w:t>
      </w:r>
      <w:r w:rsidRPr="00EE56EF">
        <w:rPr>
          <w:rFonts w:eastAsia="Constantia" w:cs="Times New Roman"/>
          <w:i/>
          <w:szCs w:val="24"/>
          <w:lang w:val="sr-Latn-RS"/>
        </w:rPr>
        <w:t>Alternative macroeconomic scenario</w:t>
      </w:r>
    </w:p>
    <w:tbl>
      <w:tblPr>
        <w:tblStyle w:val="TableGrid1"/>
        <w:tblW w:w="5003" w:type="pct"/>
        <w:tblLayout w:type="fixed"/>
        <w:tblLook w:val="04A0" w:firstRow="1" w:lastRow="0" w:firstColumn="1" w:lastColumn="0" w:noHBand="0" w:noVBand="1"/>
      </w:tblPr>
      <w:tblGrid>
        <w:gridCol w:w="4644"/>
        <w:gridCol w:w="1274"/>
        <w:gridCol w:w="1274"/>
        <w:gridCol w:w="1274"/>
        <w:gridCol w:w="1276"/>
      </w:tblGrid>
      <w:tr w:rsidR="006C04C7" w:rsidRPr="00002D92" w:rsidTr="0098339B">
        <w:trPr>
          <w:trHeight w:val="237"/>
        </w:trPr>
        <w:tc>
          <w:tcPr>
            <w:tcW w:w="2383" w:type="pct"/>
            <w:vMerge w:val="restart"/>
            <w:noWrap/>
            <w:hideMark/>
          </w:tcPr>
          <w:p w:rsidR="006C04C7" w:rsidRPr="00002D92" w:rsidRDefault="006C04C7" w:rsidP="0098339B">
            <w:pPr>
              <w:spacing w:after="0"/>
              <w:rPr>
                <w:szCs w:val="24"/>
                <w:lang w:val="sr-Cyrl-RS"/>
              </w:rPr>
            </w:pPr>
          </w:p>
          <w:p w:rsidR="006C04C7" w:rsidRPr="00002D92" w:rsidRDefault="006C04C7" w:rsidP="0098339B">
            <w:pPr>
              <w:spacing w:after="0"/>
              <w:rPr>
                <w:szCs w:val="24"/>
                <w:lang w:val="sr-Cyrl-RS"/>
              </w:rPr>
            </w:pPr>
          </w:p>
        </w:tc>
        <w:tc>
          <w:tcPr>
            <w:tcW w:w="654" w:type="pct"/>
            <w:noWrap/>
            <w:hideMark/>
          </w:tcPr>
          <w:p w:rsidR="006C04C7" w:rsidRPr="00EE56EF" w:rsidRDefault="00EE56EF" w:rsidP="0098339B">
            <w:pPr>
              <w:spacing w:after="0"/>
              <w:jc w:val="center"/>
              <w:rPr>
                <w:szCs w:val="24"/>
                <w:lang w:val="sr-Latn-RS"/>
              </w:rPr>
            </w:pPr>
            <w:r>
              <w:rPr>
                <w:szCs w:val="24"/>
                <w:lang w:val="sr-Latn-RS"/>
              </w:rPr>
              <w:t>Estimate</w:t>
            </w:r>
          </w:p>
        </w:tc>
        <w:tc>
          <w:tcPr>
            <w:tcW w:w="1963" w:type="pct"/>
            <w:gridSpan w:val="3"/>
            <w:hideMark/>
          </w:tcPr>
          <w:p w:rsidR="006C04C7" w:rsidRPr="00EE56EF" w:rsidRDefault="00EE56EF" w:rsidP="0098339B">
            <w:pPr>
              <w:spacing w:after="0"/>
              <w:jc w:val="center"/>
              <w:rPr>
                <w:szCs w:val="24"/>
                <w:lang w:val="sr-Latn-RS"/>
              </w:rPr>
            </w:pPr>
            <w:r>
              <w:rPr>
                <w:szCs w:val="24"/>
                <w:lang w:val="sr-Latn-RS"/>
              </w:rPr>
              <w:t>Projections</w:t>
            </w:r>
          </w:p>
        </w:tc>
      </w:tr>
      <w:tr w:rsidR="006C04C7" w:rsidRPr="00002D92" w:rsidTr="0098339B">
        <w:trPr>
          <w:trHeight w:val="196"/>
        </w:trPr>
        <w:tc>
          <w:tcPr>
            <w:tcW w:w="2383" w:type="pct"/>
            <w:vMerge/>
            <w:hideMark/>
          </w:tcPr>
          <w:p w:rsidR="006C04C7" w:rsidRPr="00002D92" w:rsidRDefault="006C04C7" w:rsidP="0098339B">
            <w:pPr>
              <w:spacing w:after="0"/>
              <w:rPr>
                <w:szCs w:val="24"/>
                <w:lang w:val="sr-Cyrl-RS"/>
              </w:rPr>
            </w:pPr>
          </w:p>
        </w:tc>
        <w:tc>
          <w:tcPr>
            <w:tcW w:w="654" w:type="pct"/>
            <w:noWrap/>
          </w:tcPr>
          <w:p w:rsidR="006C04C7" w:rsidRPr="00002D92" w:rsidRDefault="006C04C7" w:rsidP="0098339B">
            <w:pPr>
              <w:spacing w:after="0"/>
              <w:jc w:val="center"/>
              <w:rPr>
                <w:b/>
                <w:bCs/>
                <w:szCs w:val="24"/>
                <w:lang w:val="en-US"/>
              </w:rPr>
            </w:pPr>
            <w:r w:rsidRPr="00002D92">
              <w:rPr>
                <w:b/>
                <w:bCs/>
                <w:szCs w:val="24"/>
                <w:lang w:val="sr-Cyrl-RS"/>
              </w:rPr>
              <w:t>202</w:t>
            </w:r>
            <w:r w:rsidRPr="00002D92">
              <w:rPr>
                <w:b/>
                <w:bCs/>
                <w:szCs w:val="24"/>
                <w:lang w:val="en-US"/>
              </w:rPr>
              <w:t>5</w:t>
            </w:r>
          </w:p>
        </w:tc>
        <w:tc>
          <w:tcPr>
            <w:tcW w:w="654" w:type="pct"/>
            <w:noWrap/>
          </w:tcPr>
          <w:p w:rsidR="006C04C7" w:rsidRPr="00002D92" w:rsidRDefault="006C04C7" w:rsidP="0098339B">
            <w:pPr>
              <w:spacing w:after="0"/>
              <w:jc w:val="center"/>
              <w:rPr>
                <w:b/>
                <w:bCs/>
                <w:szCs w:val="24"/>
                <w:lang w:val="en-US"/>
              </w:rPr>
            </w:pPr>
            <w:r w:rsidRPr="00002D92">
              <w:rPr>
                <w:b/>
                <w:bCs/>
                <w:szCs w:val="24"/>
                <w:lang w:val="sr-Cyrl-RS"/>
              </w:rPr>
              <w:t>202</w:t>
            </w:r>
            <w:r w:rsidRPr="00002D92">
              <w:rPr>
                <w:b/>
                <w:bCs/>
                <w:szCs w:val="24"/>
                <w:lang w:val="en-US"/>
              </w:rPr>
              <w:t>6</w:t>
            </w:r>
          </w:p>
        </w:tc>
        <w:tc>
          <w:tcPr>
            <w:tcW w:w="654" w:type="pct"/>
            <w:noWrap/>
          </w:tcPr>
          <w:p w:rsidR="006C04C7" w:rsidRPr="00002D92" w:rsidRDefault="006C04C7" w:rsidP="0098339B">
            <w:pPr>
              <w:spacing w:after="0"/>
              <w:jc w:val="center"/>
              <w:rPr>
                <w:b/>
                <w:bCs/>
                <w:szCs w:val="24"/>
                <w:lang w:val="en-US"/>
              </w:rPr>
            </w:pPr>
            <w:r w:rsidRPr="00002D92">
              <w:rPr>
                <w:b/>
                <w:bCs/>
                <w:szCs w:val="24"/>
                <w:lang w:val="sr-Cyrl-RS"/>
              </w:rPr>
              <w:t>202</w:t>
            </w:r>
            <w:r w:rsidRPr="00002D92">
              <w:rPr>
                <w:b/>
                <w:bCs/>
                <w:szCs w:val="24"/>
                <w:lang w:val="en-US"/>
              </w:rPr>
              <w:t>7</w:t>
            </w:r>
          </w:p>
        </w:tc>
        <w:tc>
          <w:tcPr>
            <w:tcW w:w="655" w:type="pct"/>
            <w:noWrap/>
          </w:tcPr>
          <w:p w:rsidR="006C04C7" w:rsidRPr="00002D92" w:rsidRDefault="006C04C7" w:rsidP="0098339B">
            <w:pPr>
              <w:spacing w:after="0"/>
              <w:jc w:val="center"/>
              <w:rPr>
                <w:b/>
                <w:bCs/>
                <w:szCs w:val="24"/>
                <w:lang w:val="en-US"/>
              </w:rPr>
            </w:pPr>
            <w:r w:rsidRPr="00002D92">
              <w:rPr>
                <w:b/>
                <w:bCs/>
                <w:szCs w:val="24"/>
                <w:lang w:val="sr-Cyrl-RS"/>
              </w:rPr>
              <w:t>202</w:t>
            </w:r>
            <w:r w:rsidRPr="00002D92">
              <w:rPr>
                <w:b/>
                <w:bCs/>
                <w:szCs w:val="24"/>
                <w:lang w:val="en-US"/>
              </w:rPr>
              <w:t>8</w:t>
            </w:r>
          </w:p>
        </w:tc>
      </w:tr>
      <w:tr w:rsidR="00EE56EF" w:rsidRPr="00002D92" w:rsidTr="003F6C09">
        <w:trPr>
          <w:trHeight w:val="237"/>
        </w:trPr>
        <w:tc>
          <w:tcPr>
            <w:tcW w:w="2383" w:type="pct"/>
            <w:noWrap/>
            <w:vAlign w:val="center"/>
            <w:hideMark/>
          </w:tcPr>
          <w:p w:rsidR="00EE56EF" w:rsidRPr="00B35062" w:rsidRDefault="00EE56EF" w:rsidP="00EE56EF">
            <w:pPr>
              <w:spacing w:after="0"/>
              <w:jc w:val="left"/>
              <w:rPr>
                <w:rFonts w:eastAsia="Calibri"/>
                <w:b/>
                <w:bCs/>
                <w:szCs w:val="24"/>
                <w:lang w:val="sr-Latn-RS"/>
              </w:rPr>
            </w:pPr>
            <w:r w:rsidRPr="00B35062">
              <w:rPr>
                <w:rFonts w:eastAsia="Calibri"/>
                <w:b/>
                <w:bCs/>
                <w:szCs w:val="24"/>
                <w:lang w:val="sr-Latn-RS"/>
              </w:rPr>
              <w:t>GDP, billion dinars (current prices)</w:t>
            </w:r>
          </w:p>
        </w:tc>
        <w:tc>
          <w:tcPr>
            <w:tcW w:w="654" w:type="pct"/>
            <w:tcBorders>
              <w:top w:val="single" w:sz="4" w:space="0" w:color="002060"/>
            </w:tcBorders>
            <w:noWrap/>
          </w:tcPr>
          <w:p w:rsidR="00EE56EF" w:rsidRPr="00002D92" w:rsidRDefault="00EE56EF" w:rsidP="00EE56EF">
            <w:pPr>
              <w:spacing w:after="0"/>
              <w:jc w:val="center"/>
              <w:rPr>
                <w:b/>
                <w:bCs/>
                <w:szCs w:val="24"/>
                <w:lang w:val="en-US"/>
              </w:rPr>
            </w:pPr>
            <w:r>
              <w:rPr>
                <w:b/>
                <w:bCs/>
                <w:szCs w:val="24"/>
                <w:lang w:val="en-US"/>
              </w:rPr>
              <w:t>10,377.</w:t>
            </w:r>
            <w:r w:rsidRPr="00002D92">
              <w:rPr>
                <w:b/>
                <w:bCs/>
                <w:szCs w:val="24"/>
                <w:lang w:val="en-US"/>
              </w:rPr>
              <w:t>9</w:t>
            </w:r>
          </w:p>
        </w:tc>
        <w:tc>
          <w:tcPr>
            <w:tcW w:w="654" w:type="pct"/>
            <w:tcBorders>
              <w:top w:val="single" w:sz="4" w:space="0" w:color="002060"/>
            </w:tcBorders>
            <w:noWrap/>
          </w:tcPr>
          <w:p w:rsidR="00EE56EF" w:rsidRPr="00002D92" w:rsidRDefault="00EE56EF" w:rsidP="00EE56EF">
            <w:pPr>
              <w:spacing w:after="0"/>
              <w:jc w:val="center"/>
              <w:rPr>
                <w:b/>
                <w:bCs/>
                <w:szCs w:val="24"/>
                <w:lang w:val="en-US"/>
              </w:rPr>
            </w:pPr>
            <w:r>
              <w:rPr>
                <w:b/>
                <w:bCs/>
                <w:szCs w:val="24"/>
                <w:lang w:val="en-US"/>
              </w:rPr>
              <w:t>10,996.</w:t>
            </w:r>
            <w:r w:rsidRPr="00002D92">
              <w:rPr>
                <w:b/>
                <w:bCs/>
                <w:szCs w:val="24"/>
                <w:lang w:val="en-US"/>
              </w:rPr>
              <w:t>1</w:t>
            </w:r>
          </w:p>
        </w:tc>
        <w:tc>
          <w:tcPr>
            <w:tcW w:w="654" w:type="pct"/>
            <w:tcBorders>
              <w:top w:val="single" w:sz="4" w:space="0" w:color="002060"/>
            </w:tcBorders>
            <w:noWrap/>
          </w:tcPr>
          <w:p w:rsidR="00EE56EF" w:rsidRPr="00002D92" w:rsidRDefault="00EE56EF" w:rsidP="00EE56EF">
            <w:pPr>
              <w:spacing w:after="0"/>
              <w:jc w:val="center"/>
              <w:rPr>
                <w:b/>
                <w:bCs/>
                <w:szCs w:val="24"/>
                <w:lang w:val="en-US"/>
              </w:rPr>
            </w:pPr>
            <w:r>
              <w:rPr>
                <w:b/>
                <w:bCs/>
                <w:szCs w:val="24"/>
                <w:lang w:val="en-US"/>
              </w:rPr>
              <w:t>11,740.</w:t>
            </w:r>
            <w:r w:rsidRPr="00002D92">
              <w:rPr>
                <w:b/>
                <w:bCs/>
                <w:szCs w:val="24"/>
                <w:lang w:val="en-US"/>
              </w:rPr>
              <w:t>6</w:t>
            </w:r>
          </w:p>
        </w:tc>
        <w:tc>
          <w:tcPr>
            <w:tcW w:w="655" w:type="pct"/>
            <w:tcBorders>
              <w:top w:val="single" w:sz="4" w:space="0" w:color="002060"/>
            </w:tcBorders>
            <w:noWrap/>
          </w:tcPr>
          <w:p w:rsidR="00EE56EF" w:rsidRPr="00002D92" w:rsidRDefault="00EE56EF" w:rsidP="00EE56EF">
            <w:pPr>
              <w:spacing w:after="0"/>
              <w:jc w:val="center"/>
              <w:rPr>
                <w:b/>
                <w:bCs/>
                <w:szCs w:val="24"/>
                <w:lang w:val="en-US"/>
              </w:rPr>
            </w:pPr>
            <w:r>
              <w:rPr>
                <w:b/>
                <w:bCs/>
                <w:szCs w:val="24"/>
                <w:lang w:val="en-US"/>
              </w:rPr>
              <w:t>12,378.</w:t>
            </w:r>
            <w:r w:rsidRPr="00002D92">
              <w:rPr>
                <w:b/>
                <w:bCs/>
                <w:szCs w:val="24"/>
                <w:lang w:val="en-US"/>
              </w:rPr>
              <w:t>2</w:t>
            </w:r>
          </w:p>
        </w:tc>
      </w:tr>
      <w:tr w:rsidR="00EE56EF" w:rsidRPr="00002D92" w:rsidTr="003F6C09">
        <w:trPr>
          <w:trHeight w:val="162"/>
        </w:trPr>
        <w:tc>
          <w:tcPr>
            <w:tcW w:w="2383" w:type="pct"/>
            <w:noWrap/>
            <w:vAlign w:val="center"/>
            <w:hideMark/>
          </w:tcPr>
          <w:p w:rsidR="00EE56EF" w:rsidRPr="00B35062" w:rsidRDefault="00EE56EF" w:rsidP="00EE56EF">
            <w:pPr>
              <w:spacing w:after="0"/>
              <w:jc w:val="left"/>
              <w:rPr>
                <w:rFonts w:eastAsia="Calibri"/>
                <w:bCs/>
                <w:szCs w:val="24"/>
                <w:lang w:val="sr-Latn-RS"/>
              </w:rPr>
            </w:pPr>
            <w:r w:rsidRPr="00B35062">
              <w:rPr>
                <w:rFonts w:eastAsia="Calibri"/>
                <w:bCs/>
                <w:szCs w:val="24"/>
                <w:lang w:val="sr-Latn-RS"/>
              </w:rPr>
              <w:t>Real GDP growth, %</w:t>
            </w:r>
          </w:p>
        </w:tc>
        <w:tc>
          <w:tcPr>
            <w:tcW w:w="654" w:type="pct"/>
            <w:tcBorders>
              <w:top w:val="single" w:sz="4" w:space="0" w:color="002060"/>
            </w:tcBorders>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3</w:t>
            </w:r>
          </w:p>
        </w:tc>
        <w:tc>
          <w:tcPr>
            <w:tcW w:w="654" w:type="pct"/>
            <w:tcBorders>
              <w:top w:val="single" w:sz="4" w:space="0" w:color="002060"/>
            </w:tcBorders>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0</w:t>
            </w:r>
          </w:p>
        </w:tc>
        <w:tc>
          <w:tcPr>
            <w:tcW w:w="654" w:type="pct"/>
            <w:tcBorders>
              <w:top w:val="single" w:sz="4" w:space="0" w:color="002060"/>
            </w:tcBorders>
            <w:noWrap/>
          </w:tcPr>
          <w:p w:rsidR="00EE56EF" w:rsidRPr="00002D92" w:rsidRDefault="00EE56EF" w:rsidP="00EE56EF">
            <w:pPr>
              <w:spacing w:after="0"/>
              <w:jc w:val="center"/>
              <w:rPr>
                <w:bCs/>
                <w:szCs w:val="24"/>
                <w:lang w:val="en-US"/>
              </w:rPr>
            </w:pPr>
            <w:r>
              <w:rPr>
                <w:bCs/>
                <w:szCs w:val="24"/>
                <w:lang w:val="en-US"/>
              </w:rPr>
              <w:t>3.</w:t>
            </w:r>
            <w:r w:rsidRPr="00002D92">
              <w:rPr>
                <w:bCs/>
                <w:szCs w:val="24"/>
                <w:lang w:val="en-US"/>
              </w:rPr>
              <w:t>0</w:t>
            </w:r>
          </w:p>
        </w:tc>
        <w:tc>
          <w:tcPr>
            <w:tcW w:w="655" w:type="pct"/>
            <w:tcBorders>
              <w:top w:val="single" w:sz="4" w:space="0" w:color="002060"/>
            </w:tcBorders>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0</w:t>
            </w:r>
          </w:p>
        </w:tc>
      </w:tr>
      <w:tr w:rsidR="00EE56EF" w:rsidRPr="00002D92" w:rsidTr="003F6C09">
        <w:trPr>
          <w:trHeight w:val="126"/>
        </w:trPr>
        <w:tc>
          <w:tcPr>
            <w:tcW w:w="2383" w:type="pct"/>
            <w:tcBorders>
              <w:bottom w:val="single" w:sz="4" w:space="0" w:color="000000"/>
            </w:tcBorders>
            <w:noWrap/>
            <w:vAlign w:val="center"/>
            <w:hideMark/>
          </w:tcPr>
          <w:p w:rsidR="00EE56EF" w:rsidRPr="00B35062" w:rsidRDefault="00EE56EF" w:rsidP="00EE56EF">
            <w:pPr>
              <w:spacing w:after="0"/>
              <w:jc w:val="left"/>
              <w:rPr>
                <w:rFonts w:eastAsia="Calibri"/>
                <w:bCs/>
                <w:szCs w:val="24"/>
                <w:lang w:val="sr-Latn-RS"/>
              </w:rPr>
            </w:pPr>
            <w:r w:rsidRPr="00B35062">
              <w:rPr>
                <w:rFonts w:eastAsia="Calibri"/>
                <w:bCs/>
                <w:szCs w:val="24"/>
                <w:lang w:val="sr-Latn-RS"/>
              </w:rPr>
              <w:t>GDP deflator, %</w:t>
            </w:r>
          </w:p>
        </w:tc>
        <w:tc>
          <w:tcPr>
            <w:tcW w:w="654" w:type="pct"/>
            <w:tcBorders>
              <w:bottom w:val="single" w:sz="4" w:space="0" w:color="000000"/>
            </w:tcBorders>
            <w:noWrap/>
          </w:tcPr>
          <w:p w:rsidR="00EE56EF" w:rsidRPr="00002D92" w:rsidRDefault="00EE56EF" w:rsidP="00EE56EF">
            <w:pPr>
              <w:spacing w:after="0"/>
              <w:jc w:val="center"/>
              <w:rPr>
                <w:bCs/>
                <w:szCs w:val="24"/>
                <w:lang w:val="en-US"/>
              </w:rPr>
            </w:pPr>
            <w:r>
              <w:rPr>
                <w:bCs/>
                <w:szCs w:val="24"/>
                <w:lang w:val="en-US"/>
              </w:rPr>
              <w:t>4.</w:t>
            </w:r>
            <w:r w:rsidRPr="00002D92">
              <w:rPr>
                <w:bCs/>
                <w:szCs w:val="24"/>
                <w:lang w:val="en-US"/>
              </w:rPr>
              <w:t>1</w:t>
            </w:r>
          </w:p>
        </w:tc>
        <w:tc>
          <w:tcPr>
            <w:tcW w:w="654" w:type="pct"/>
            <w:tcBorders>
              <w:bottom w:val="single" w:sz="4" w:space="0" w:color="000000"/>
            </w:tcBorders>
            <w:noWrap/>
          </w:tcPr>
          <w:p w:rsidR="00EE56EF" w:rsidRPr="00002D92" w:rsidRDefault="00EE56EF" w:rsidP="00EE56EF">
            <w:pPr>
              <w:spacing w:after="0"/>
              <w:jc w:val="center"/>
              <w:rPr>
                <w:bCs/>
                <w:szCs w:val="24"/>
                <w:lang w:val="en-US"/>
              </w:rPr>
            </w:pPr>
            <w:r>
              <w:rPr>
                <w:bCs/>
                <w:szCs w:val="24"/>
                <w:lang w:val="en-US"/>
              </w:rPr>
              <w:t>3.</w:t>
            </w:r>
            <w:r w:rsidRPr="00002D92">
              <w:rPr>
                <w:bCs/>
                <w:szCs w:val="24"/>
                <w:lang w:val="en-US"/>
              </w:rPr>
              <w:t>9</w:t>
            </w:r>
          </w:p>
        </w:tc>
        <w:tc>
          <w:tcPr>
            <w:tcW w:w="654" w:type="pct"/>
            <w:tcBorders>
              <w:bottom w:val="single" w:sz="4" w:space="0" w:color="000000"/>
            </w:tcBorders>
            <w:noWrap/>
          </w:tcPr>
          <w:p w:rsidR="00EE56EF" w:rsidRPr="00002D92" w:rsidRDefault="00EE56EF" w:rsidP="00EE56EF">
            <w:pPr>
              <w:spacing w:after="0"/>
              <w:jc w:val="center"/>
              <w:rPr>
                <w:bCs/>
                <w:szCs w:val="24"/>
                <w:lang w:val="en-US"/>
              </w:rPr>
            </w:pPr>
            <w:r>
              <w:rPr>
                <w:bCs/>
                <w:szCs w:val="24"/>
                <w:lang w:val="en-US"/>
              </w:rPr>
              <w:t>3.</w:t>
            </w:r>
            <w:r w:rsidRPr="00002D92">
              <w:rPr>
                <w:bCs/>
                <w:szCs w:val="24"/>
                <w:lang w:val="en-US"/>
              </w:rPr>
              <w:t>7</w:t>
            </w:r>
          </w:p>
        </w:tc>
        <w:tc>
          <w:tcPr>
            <w:tcW w:w="655" w:type="pct"/>
            <w:tcBorders>
              <w:bottom w:val="single" w:sz="4" w:space="0" w:color="000000"/>
            </w:tcBorders>
            <w:noWrap/>
          </w:tcPr>
          <w:p w:rsidR="00EE56EF" w:rsidRPr="00002D92" w:rsidRDefault="00EE56EF" w:rsidP="00EE56EF">
            <w:pPr>
              <w:spacing w:after="0"/>
              <w:jc w:val="center"/>
              <w:rPr>
                <w:bCs/>
                <w:szCs w:val="24"/>
                <w:lang w:val="en-US"/>
              </w:rPr>
            </w:pPr>
            <w:r>
              <w:rPr>
                <w:bCs/>
                <w:szCs w:val="24"/>
                <w:lang w:val="en-US"/>
              </w:rPr>
              <w:t>3.</w:t>
            </w:r>
            <w:r w:rsidRPr="00002D92">
              <w:rPr>
                <w:bCs/>
                <w:szCs w:val="24"/>
                <w:lang w:val="en-US"/>
              </w:rPr>
              <w:t>4</w:t>
            </w:r>
          </w:p>
        </w:tc>
      </w:tr>
      <w:tr w:rsidR="00EE56EF" w:rsidRPr="00002D92" w:rsidTr="0098339B">
        <w:trPr>
          <w:trHeight w:val="198"/>
        </w:trPr>
        <w:tc>
          <w:tcPr>
            <w:tcW w:w="2383" w:type="pct"/>
            <w:tcBorders>
              <w:right w:val="nil"/>
            </w:tcBorders>
            <w:noWrap/>
            <w:hideMark/>
          </w:tcPr>
          <w:p w:rsidR="00EE56EF" w:rsidRPr="00B35062" w:rsidRDefault="00EE56EF" w:rsidP="00EE56EF">
            <w:pPr>
              <w:spacing w:after="0"/>
              <w:rPr>
                <w:i/>
                <w:iCs/>
                <w:szCs w:val="24"/>
                <w:lang w:val="sr-Cyrl-RS"/>
              </w:rPr>
            </w:pPr>
            <w:r w:rsidRPr="00B35062">
              <w:rPr>
                <w:i/>
                <w:iCs/>
                <w:szCs w:val="24"/>
                <w:lang w:val="sr-Latn-RS"/>
              </w:rPr>
              <w:t>Real growth of GDP components,</w:t>
            </w:r>
            <w:r w:rsidRPr="00B35062">
              <w:rPr>
                <w:i/>
                <w:iCs/>
                <w:szCs w:val="24"/>
                <w:lang w:val="sr-Cyrl-RS"/>
              </w:rPr>
              <w:t xml:space="preserve"> %</w:t>
            </w:r>
          </w:p>
        </w:tc>
        <w:tc>
          <w:tcPr>
            <w:tcW w:w="654" w:type="pct"/>
            <w:tcBorders>
              <w:left w:val="nil"/>
              <w:right w:val="nil"/>
            </w:tcBorders>
          </w:tcPr>
          <w:p w:rsidR="00EE56EF" w:rsidRPr="00002D92" w:rsidRDefault="00EE56EF" w:rsidP="00EE56EF">
            <w:pPr>
              <w:spacing w:after="0"/>
              <w:jc w:val="center"/>
              <w:rPr>
                <w:i/>
                <w:iCs/>
                <w:szCs w:val="24"/>
                <w:lang w:val="sr-Cyrl-RS"/>
              </w:rPr>
            </w:pPr>
          </w:p>
        </w:tc>
        <w:tc>
          <w:tcPr>
            <w:tcW w:w="654" w:type="pct"/>
            <w:tcBorders>
              <w:left w:val="nil"/>
              <w:right w:val="nil"/>
            </w:tcBorders>
          </w:tcPr>
          <w:p w:rsidR="00EE56EF" w:rsidRPr="00002D92" w:rsidRDefault="00EE56EF" w:rsidP="00EE56EF">
            <w:pPr>
              <w:spacing w:after="0"/>
              <w:jc w:val="center"/>
              <w:rPr>
                <w:i/>
                <w:iCs/>
                <w:szCs w:val="24"/>
                <w:lang w:val="sr-Cyrl-RS"/>
              </w:rPr>
            </w:pPr>
          </w:p>
        </w:tc>
        <w:tc>
          <w:tcPr>
            <w:tcW w:w="654" w:type="pct"/>
            <w:tcBorders>
              <w:left w:val="nil"/>
              <w:right w:val="nil"/>
            </w:tcBorders>
          </w:tcPr>
          <w:p w:rsidR="00EE56EF" w:rsidRPr="00002D92" w:rsidRDefault="00EE56EF" w:rsidP="00EE56EF">
            <w:pPr>
              <w:spacing w:after="0"/>
              <w:jc w:val="center"/>
              <w:rPr>
                <w:i/>
                <w:iCs/>
                <w:szCs w:val="24"/>
                <w:lang w:val="sr-Cyrl-RS"/>
              </w:rPr>
            </w:pPr>
          </w:p>
        </w:tc>
        <w:tc>
          <w:tcPr>
            <w:tcW w:w="655" w:type="pct"/>
            <w:tcBorders>
              <w:left w:val="nil"/>
            </w:tcBorders>
          </w:tcPr>
          <w:p w:rsidR="00EE56EF" w:rsidRPr="00002D92" w:rsidRDefault="00EE56EF" w:rsidP="00EE56EF">
            <w:pPr>
              <w:spacing w:after="0"/>
              <w:rPr>
                <w:i/>
                <w:iCs/>
                <w:szCs w:val="24"/>
                <w:lang w:val="sr-Cyrl-RS"/>
              </w:rPr>
            </w:pPr>
          </w:p>
        </w:tc>
      </w:tr>
      <w:tr w:rsidR="00EE56EF" w:rsidRPr="00002D92" w:rsidTr="003F6C09">
        <w:trPr>
          <w:trHeight w:val="162"/>
        </w:trPr>
        <w:tc>
          <w:tcPr>
            <w:tcW w:w="2383" w:type="pct"/>
            <w:noWrap/>
            <w:vAlign w:val="center"/>
            <w:hideMark/>
          </w:tcPr>
          <w:p w:rsidR="00EE56EF" w:rsidRPr="00B35062" w:rsidRDefault="00EE56EF" w:rsidP="00EE56EF">
            <w:pPr>
              <w:spacing w:after="0"/>
              <w:jc w:val="left"/>
              <w:rPr>
                <w:rFonts w:eastAsia="Calibri"/>
                <w:bCs/>
                <w:szCs w:val="24"/>
                <w:lang w:val="sr-Latn-RS"/>
              </w:rPr>
            </w:pPr>
            <w:r w:rsidRPr="00B35062">
              <w:rPr>
                <w:rFonts w:eastAsia="Calibri"/>
                <w:bCs/>
                <w:szCs w:val="24"/>
                <w:lang w:val="sr-Latn-RS"/>
              </w:rPr>
              <w:t>Private consumption</w:t>
            </w:r>
          </w:p>
        </w:tc>
        <w:tc>
          <w:tcPr>
            <w:tcW w:w="654" w:type="pct"/>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8</w:t>
            </w:r>
          </w:p>
        </w:tc>
        <w:tc>
          <w:tcPr>
            <w:tcW w:w="654" w:type="pct"/>
            <w:noWrap/>
          </w:tcPr>
          <w:p w:rsidR="00EE56EF" w:rsidRPr="00002D92" w:rsidRDefault="00EE56EF" w:rsidP="00EE56EF">
            <w:pPr>
              <w:spacing w:after="0"/>
              <w:jc w:val="center"/>
              <w:rPr>
                <w:bCs/>
                <w:szCs w:val="24"/>
                <w:lang w:val="en-US"/>
              </w:rPr>
            </w:pPr>
            <w:r>
              <w:rPr>
                <w:bCs/>
                <w:szCs w:val="24"/>
                <w:lang w:val="en-US"/>
              </w:rPr>
              <w:t>3.</w:t>
            </w:r>
            <w:r w:rsidRPr="00002D92">
              <w:rPr>
                <w:bCs/>
                <w:szCs w:val="24"/>
                <w:lang w:val="en-US"/>
              </w:rPr>
              <w:t>8</w:t>
            </w:r>
          </w:p>
        </w:tc>
        <w:tc>
          <w:tcPr>
            <w:tcW w:w="654" w:type="pct"/>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5</w:t>
            </w:r>
          </w:p>
        </w:tc>
        <w:tc>
          <w:tcPr>
            <w:tcW w:w="655" w:type="pct"/>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7</w:t>
            </w:r>
          </w:p>
        </w:tc>
      </w:tr>
      <w:tr w:rsidR="00EE56EF" w:rsidRPr="00002D92" w:rsidTr="003F6C09">
        <w:trPr>
          <w:trHeight w:val="135"/>
        </w:trPr>
        <w:tc>
          <w:tcPr>
            <w:tcW w:w="2383" w:type="pct"/>
            <w:noWrap/>
            <w:vAlign w:val="center"/>
            <w:hideMark/>
          </w:tcPr>
          <w:p w:rsidR="00EE56EF" w:rsidRPr="00B35062" w:rsidRDefault="00EE56EF" w:rsidP="00EE56EF">
            <w:pPr>
              <w:spacing w:after="0"/>
              <w:jc w:val="left"/>
              <w:rPr>
                <w:rFonts w:eastAsia="Calibri"/>
                <w:bCs/>
                <w:szCs w:val="24"/>
                <w:lang w:val="sr-Latn-RS"/>
              </w:rPr>
            </w:pPr>
            <w:r w:rsidRPr="00B35062">
              <w:rPr>
                <w:rFonts w:eastAsia="Calibri"/>
                <w:bCs/>
                <w:szCs w:val="24"/>
                <w:lang w:val="sr-Latn-RS"/>
              </w:rPr>
              <w:t>Government consumption</w:t>
            </w:r>
          </w:p>
        </w:tc>
        <w:tc>
          <w:tcPr>
            <w:tcW w:w="654" w:type="pct"/>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6</w:t>
            </w:r>
          </w:p>
        </w:tc>
        <w:tc>
          <w:tcPr>
            <w:tcW w:w="654" w:type="pct"/>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0</w:t>
            </w:r>
          </w:p>
        </w:tc>
        <w:tc>
          <w:tcPr>
            <w:tcW w:w="654" w:type="pct"/>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0</w:t>
            </w:r>
          </w:p>
        </w:tc>
        <w:tc>
          <w:tcPr>
            <w:tcW w:w="655" w:type="pct"/>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0</w:t>
            </w:r>
          </w:p>
        </w:tc>
      </w:tr>
      <w:tr w:rsidR="00EE56EF" w:rsidRPr="00002D92" w:rsidTr="003F6C09">
        <w:trPr>
          <w:trHeight w:val="237"/>
        </w:trPr>
        <w:tc>
          <w:tcPr>
            <w:tcW w:w="2383" w:type="pct"/>
            <w:noWrap/>
            <w:vAlign w:val="center"/>
            <w:hideMark/>
          </w:tcPr>
          <w:p w:rsidR="00EE56EF" w:rsidRPr="00B35062" w:rsidRDefault="00EE56EF" w:rsidP="00EE56EF">
            <w:pPr>
              <w:spacing w:after="0"/>
              <w:jc w:val="left"/>
              <w:rPr>
                <w:rFonts w:eastAsia="Calibri"/>
                <w:bCs/>
                <w:szCs w:val="24"/>
                <w:lang w:val="sr-Latn-RS"/>
              </w:rPr>
            </w:pPr>
            <w:r w:rsidRPr="00B35062">
              <w:rPr>
                <w:rFonts w:eastAsia="Calibri"/>
                <w:bCs/>
                <w:szCs w:val="24"/>
                <w:lang w:val="sr-Latn-RS"/>
              </w:rPr>
              <w:t>Gross fixed capital formation</w:t>
            </w:r>
          </w:p>
        </w:tc>
        <w:tc>
          <w:tcPr>
            <w:tcW w:w="654" w:type="pct"/>
            <w:noWrap/>
          </w:tcPr>
          <w:p w:rsidR="00EE56EF" w:rsidRPr="00002D92" w:rsidRDefault="00EE56EF" w:rsidP="00EE56EF">
            <w:pPr>
              <w:spacing w:after="0"/>
              <w:jc w:val="center"/>
              <w:rPr>
                <w:bCs/>
                <w:szCs w:val="24"/>
                <w:lang w:val="en-US"/>
              </w:rPr>
            </w:pPr>
            <w:r>
              <w:rPr>
                <w:bCs/>
                <w:szCs w:val="24"/>
                <w:lang w:val="en-US"/>
              </w:rPr>
              <w:t>1.</w:t>
            </w:r>
            <w:r w:rsidRPr="00002D92">
              <w:rPr>
                <w:bCs/>
                <w:szCs w:val="24"/>
                <w:lang w:val="en-US"/>
              </w:rPr>
              <w:t>6</w:t>
            </w:r>
          </w:p>
        </w:tc>
        <w:tc>
          <w:tcPr>
            <w:tcW w:w="654" w:type="pct"/>
            <w:noWrap/>
          </w:tcPr>
          <w:p w:rsidR="00EE56EF" w:rsidRPr="00002D92" w:rsidRDefault="00EE56EF" w:rsidP="00EE56EF">
            <w:pPr>
              <w:spacing w:after="0"/>
              <w:jc w:val="center"/>
              <w:rPr>
                <w:bCs/>
                <w:szCs w:val="24"/>
                <w:lang w:val="en-US"/>
              </w:rPr>
            </w:pPr>
            <w:r>
              <w:rPr>
                <w:bCs/>
                <w:szCs w:val="24"/>
                <w:lang w:val="en-US"/>
              </w:rPr>
              <w:t>5.</w:t>
            </w:r>
            <w:r w:rsidRPr="00002D92">
              <w:rPr>
                <w:bCs/>
                <w:szCs w:val="24"/>
                <w:lang w:val="en-US"/>
              </w:rPr>
              <w:t>0</w:t>
            </w:r>
          </w:p>
        </w:tc>
        <w:tc>
          <w:tcPr>
            <w:tcW w:w="654" w:type="pct"/>
            <w:noWrap/>
          </w:tcPr>
          <w:p w:rsidR="00EE56EF" w:rsidRPr="00002D92" w:rsidRDefault="00EE56EF" w:rsidP="00EE56EF">
            <w:pPr>
              <w:spacing w:after="0"/>
              <w:jc w:val="center"/>
              <w:rPr>
                <w:bCs/>
                <w:szCs w:val="24"/>
                <w:lang w:val="en-US"/>
              </w:rPr>
            </w:pPr>
            <w:r>
              <w:rPr>
                <w:bCs/>
                <w:szCs w:val="24"/>
                <w:lang w:val="en-US"/>
              </w:rPr>
              <w:t>2.</w:t>
            </w:r>
            <w:r w:rsidRPr="00002D92">
              <w:rPr>
                <w:bCs/>
                <w:szCs w:val="24"/>
                <w:lang w:val="en-US"/>
              </w:rPr>
              <w:t>5</w:t>
            </w:r>
          </w:p>
        </w:tc>
        <w:tc>
          <w:tcPr>
            <w:tcW w:w="655" w:type="pct"/>
            <w:noWrap/>
          </w:tcPr>
          <w:p w:rsidR="00EE56EF" w:rsidRPr="00002D92" w:rsidRDefault="00EE56EF" w:rsidP="00EE56EF">
            <w:pPr>
              <w:spacing w:after="0"/>
              <w:jc w:val="center"/>
              <w:rPr>
                <w:bCs/>
                <w:szCs w:val="24"/>
                <w:lang w:val="en-US"/>
              </w:rPr>
            </w:pPr>
            <w:r>
              <w:rPr>
                <w:bCs/>
                <w:szCs w:val="24"/>
                <w:lang w:val="en-US"/>
              </w:rPr>
              <w:t>3.</w:t>
            </w:r>
            <w:r w:rsidRPr="00002D92">
              <w:rPr>
                <w:bCs/>
                <w:szCs w:val="24"/>
                <w:lang w:val="en-US"/>
              </w:rPr>
              <w:t>8</w:t>
            </w:r>
          </w:p>
        </w:tc>
      </w:tr>
      <w:tr w:rsidR="00EE56EF" w:rsidRPr="00002D92" w:rsidTr="003F6C09">
        <w:trPr>
          <w:trHeight w:val="135"/>
        </w:trPr>
        <w:tc>
          <w:tcPr>
            <w:tcW w:w="2383" w:type="pct"/>
            <w:noWrap/>
            <w:vAlign w:val="center"/>
            <w:hideMark/>
          </w:tcPr>
          <w:p w:rsidR="00EE56EF" w:rsidRPr="00B35062" w:rsidRDefault="00EE56EF" w:rsidP="00EE56EF">
            <w:pPr>
              <w:spacing w:after="0"/>
              <w:jc w:val="left"/>
              <w:rPr>
                <w:rFonts w:eastAsia="Calibri"/>
                <w:bCs/>
                <w:szCs w:val="24"/>
                <w:lang w:val="sr-Latn-RS"/>
              </w:rPr>
            </w:pPr>
            <w:r w:rsidRPr="00B35062">
              <w:rPr>
                <w:rFonts w:eastAsia="Calibri"/>
                <w:bCs/>
                <w:szCs w:val="24"/>
                <w:lang w:val="sr-Latn-RS"/>
              </w:rPr>
              <w:t>Exports of goods and services</w:t>
            </w:r>
          </w:p>
        </w:tc>
        <w:tc>
          <w:tcPr>
            <w:tcW w:w="654" w:type="pct"/>
            <w:noWrap/>
          </w:tcPr>
          <w:p w:rsidR="00EE56EF" w:rsidRPr="00002D92" w:rsidRDefault="00EE56EF" w:rsidP="00EE56EF">
            <w:pPr>
              <w:spacing w:after="0"/>
              <w:jc w:val="center"/>
              <w:rPr>
                <w:bCs/>
                <w:szCs w:val="24"/>
                <w:lang w:val="en-US"/>
              </w:rPr>
            </w:pPr>
            <w:r>
              <w:rPr>
                <w:bCs/>
                <w:szCs w:val="24"/>
                <w:lang w:val="en-US"/>
              </w:rPr>
              <w:t>4.</w:t>
            </w:r>
            <w:r w:rsidRPr="00002D92">
              <w:rPr>
                <w:bCs/>
                <w:szCs w:val="24"/>
                <w:lang w:val="en-US"/>
              </w:rPr>
              <w:t>3</w:t>
            </w:r>
          </w:p>
        </w:tc>
        <w:tc>
          <w:tcPr>
            <w:tcW w:w="654" w:type="pct"/>
            <w:noWrap/>
          </w:tcPr>
          <w:p w:rsidR="00EE56EF" w:rsidRPr="00002D92" w:rsidRDefault="00EE56EF" w:rsidP="00EE56EF">
            <w:pPr>
              <w:spacing w:after="0"/>
              <w:jc w:val="center"/>
              <w:rPr>
                <w:bCs/>
                <w:szCs w:val="24"/>
                <w:lang w:val="en-US"/>
              </w:rPr>
            </w:pPr>
            <w:r>
              <w:rPr>
                <w:bCs/>
                <w:szCs w:val="24"/>
                <w:lang w:val="en-US"/>
              </w:rPr>
              <w:t>3.</w:t>
            </w:r>
            <w:r w:rsidRPr="00002D92">
              <w:rPr>
                <w:bCs/>
                <w:szCs w:val="24"/>
                <w:lang w:val="en-US"/>
              </w:rPr>
              <w:t>6</w:t>
            </w:r>
          </w:p>
        </w:tc>
        <w:tc>
          <w:tcPr>
            <w:tcW w:w="654" w:type="pct"/>
            <w:noWrap/>
          </w:tcPr>
          <w:p w:rsidR="00EE56EF" w:rsidRPr="00002D92" w:rsidRDefault="00EE56EF" w:rsidP="00EE56EF">
            <w:pPr>
              <w:spacing w:after="0"/>
              <w:jc w:val="center"/>
              <w:rPr>
                <w:bCs/>
                <w:szCs w:val="24"/>
                <w:lang w:val="en-US"/>
              </w:rPr>
            </w:pPr>
            <w:r>
              <w:rPr>
                <w:bCs/>
                <w:szCs w:val="24"/>
                <w:lang w:val="en-US"/>
              </w:rPr>
              <w:t>6.</w:t>
            </w:r>
            <w:r w:rsidRPr="00002D92">
              <w:rPr>
                <w:bCs/>
                <w:szCs w:val="24"/>
                <w:lang w:val="en-US"/>
              </w:rPr>
              <w:t>4</w:t>
            </w:r>
          </w:p>
        </w:tc>
        <w:tc>
          <w:tcPr>
            <w:tcW w:w="655" w:type="pct"/>
            <w:noWrap/>
          </w:tcPr>
          <w:p w:rsidR="00EE56EF" w:rsidRPr="00002D92" w:rsidRDefault="00EE56EF" w:rsidP="00EE56EF">
            <w:pPr>
              <w:spacing w:after="0"/>
              <w:jc w:val="center"/>
              <w:rPr>
                <w:bCs/>
                <w:szCs w:val="24"/>
                <w:lang w:val="en-US"/>
              </w:rPr>
            </w:pPr>
            <w:r>
              <w:rPr>
                <w:bCs/>
                <w:szCs w:val="24"/>
                <w:lang w:val="en-US"/>
              </w:rPr>
              <w:t>4.</w:t>
            </w:r>
            <w:r w:rsidRPr="00002D92">
              <w:rPr>
                <w:bCs/>
                <w:szCs w:val="24"/>
                <w:lang w:val="en-US"/>
              </w:rPr>
              <w:t>0</w:t>
            </w:r>
          </w:p>
        </w:tc>
      </w:tr>
      <w:tr w:rsidR="00EE56EF" w:rsidRPr="00002D92" w:rsidTr="003F6C09">
        <w:trPr>
          <w:trHeight w:val="99"/>
        </w:trPr>
        <w:tc>
          <w:tcPr>
            <w:tcW w:w="2383" w:type="pct"/>
            <w:noWrap/>
            <w:vAlign w:val="center"/>
            <w:hideMark/>
          </w:tcPr>
          <w:p w:rsidR="00EE56EF" w:rsidRPr="00B35062" w:rsidRDefault="00EE56EF" w:rsidP="00EE56EF">
            <w:pPr>
              <w:spacing w:after="0"/>
              <w:jc w:val="left"/>
              <w:rPr>
                <w:rFonts w:eastAsia="Calibri"/>
                <w:bCs/>
                <w:szCs w:val="24"/>
                <w:lang w:val="sr-Latn-RS"/>
              </w:rPr>
            </w:pPr>
            <w:r w:rsidRPr="00B35062">
              <w:rPr>
                <w:rFonts w:eastAsia="Calibri"/>
                <w:bCs/>
                <w:szCs w:val="24"/>
                <w:lang w:val="sr-Latn-RS"/>
              </w:rPr>
              <w:t>Imports of goods and services</w:t>
            </w:r>
          </w:p>
        </w:tc>
        <w:tc>
          <w:tcPr>
            <w:tcW w:w="654" w:type="pct"/>
            <w:noWrap/>
          </w:tcPr>
          <w:p w:rsidR="00EE56EF" w:rsidRPr="00002D92" w:rsidRDefault="00EE56EF" w:rsidP="00EE56EF">
            <w:pPr>
              <w:spacing w:after="0"/>
              <w:jc w:val="center"/>
              <w:rPr>
                <w:bCs/>
                <w:szCs w:val="24"/>
                <w:lang w:val="en-US"/>
              </w:rPr>
            </w:pPr>
            <w:r>
              <w:rPr>
                <w:bCs/>
                <w:szCs w:val="24"/>
                <w:lang w:val="en-US"/>
              </w:rPr>
              <w:t>5.</w:t>
            </w:r>
            <w:r w:rsidRPr="00002D92">
              <w:rPr>
                <w:bCs/>
                <w:szCs w:val="24"/>
                <w:lang w:val="en-US"/>
              </w:rPr>
              <w:t>5</w:t>
            </w:r>
          </w:p>
        </w:tc>
        <w:tc>
          <w:tcPr>
            <w:tcW w:w="654" w:type="pct"/>
            <w:noWrap/>
          </w:tcPr>
          <w:p w:rsidR="00EE56EF" w:rsidRPr="00002D92" w:rsidRDefault="00EE56EF" w:rsidP="00EE56EF">
            <w:pPr>
              <w:spacing w:after="0"/>
              <w:jc w:val="center"/>
              <w:rPr>
                <w:bCs/>
                <w:szCs w:val="24"/>
                <w:lang w:val="en-US"/>
              </w:rPr>
            </w:pPr>
            <w:r>
              <w:rPr>
                <w:bCs/>
                <w:szCs w:val="24"/>
                <w:lang w:val="en-US"/>
              </w:rPr>
              <w:t>5.</w:t>
            </w:r>
            <w:r w:rsidRPr="00002D92">
              <w:rPr>
                <w:bCs/>
                <w:szCs w:val="24"/>
                <w:lang w:val="en-US"/>
              </w:rPr>
              <w:t>0</w:t>
            </w:r>
          </w:p>
        </w:tc>
        <w:tc>
          <w:tcPr>
            <w:tcW w:w="654" w:type="pct"/>
            <w:noWrap/>
          </w:tcPr>
          <w:p w:rsidR="00EE56EF" w:rsidRPr="00002D92" w:rsidRDefault="00EE56EF" w:rsidP="00EE56EF">
            <w:pPr>
              <w:spacing w:after="0"/>
              <w:jc w:val="center"/>
              <w:rPr>
                <w:bCs/>
                <w:szCs w:val="24"/>
                <w:lang w:val="en-US"/>
              </w:rPr>
            </w:pPr>
            <w:r>
              <w:rPr>
                <w:bCs/>
                <w:szCs w:val="24"/>
                <w:lang w:val="en-US"/>
              </w:rPr>
              <w:t>4.</w:t>
            </w:r>
            <w:r w:rsidRPr="00002D92">
              <w:rPr>
                <w:bCs/>
                <w:szCs w:val="24"/>
                <w:lang w:val="en-US"/>
              </w:rPr>
              <w:t>9</w:t>
            </w:r>
          </w:p>
        </w:tc>
        <w:tc>
          <w:tcPr>
            <w:tcW w:w="655" w:type="pct"/>
            <w:noWrap/>
          </w:tcPr>
          <w:p w:rsidR="00EE56EF" w:rsidRPr="00002D92" w:rsidRDefault="00EE56EF" w:rsidP="00EE56EF">
            <w:pPr>
              <w:spacing w:after="0"/>
              <w:jc w:val="center"/>
              <w:rPr>
                <w:bCs/>
                <w:szCs w:val="24"/>
                <w:lang w:val="en-US"/>
              </w:rPr>
            </w:pPr>
            <w:r>
              <w:rPr>
                <w:bCs/>
                <w:szCs w:val="24"/>
                <w:lang w:val="en-US"/>
              </w:rPr>
              <w:t>5.</w:t>
            </w:r>
            <w:r w:rsidRPr="00002D92">
              <w:rPr>
                <w:bCs/>
                <w:szCs w:val="24"/>
                <w:lang w:val="en-US"/>
              </w:rPr>
              <w:t>1</w:t>
            </w:r>
          </w:p>
        </w:tc>
      </w:tr>
    </w:tbl>
    <w:p w:rsidR="00B679F1" w:rsidRPr="00002D92" w:rsidRDefault="00B679F1" w:rsidP="00B679F1">
      <w:pPr>
        <w:rPr>
          <w:rFonts w:cs="Times New Roman"/>
          <w:lang w:val="sr-Latn-RS"/>
        </w:rPr>
      </w:pPr>
    </w:p>
    <w:p w:rsidR="00F82D20" w:rsidRDefault="00F82D20">
      <w:pPr>
        <w:spacing w:after="160" w:line="259" w:lineRule="auto"/>
        <w:jc w:val="left"/>
        <w:rPr>
          <w:rFonts w:cs="Times New Roman"/>
          <w:b/>
          <w:szCs w:val="24"/>
          <w:lang w:val="sr-Latn-RS"/>
        </w:rPr>
      </w:pPr>
      <w:r>
        <w:rPr>
          <w:rFonts w:cs="Times New Roman"/>
          <w:b/>
          <w:szCs w:val="24"/>
          <w:lang w:val="sr-Latn-RS"/>
        </w:rPr>
        <w:br w:type="page"/>
      </w:r>
    </w:p>
    <w:p w:rsidR="005918D2" w:rsidRPr="00002D92" w:rsidRDefault="005918D2" w:rsidP="005918D2">
      <w:pPr>
        <w:pStyle w:val="Heading1"/>
        <w:spacing w:before="0" w:after="240"/>
        <w:rPr>
          <w:rFonts w:ascii="Times New Roman" w:eastAsiaTheme="minorHAnsi" w:hAnsi="Times New Roman" w:cs="Times New Roman"/>
          <w:b/>
          <w:color w:val="auto"/>
          <w:sz w:val="24"/>
          <w:szCs w:val="24"/>
          <w:lang w:val="sr-Latn-RS"/>
        </w:rPr>
      </w:pPr>
      <w:bookmarkStart w:id="23" w:name="_Toc221106872"/>
      <w:r w:rsidRPr="00002D92">
        <w:rPr>
          <w:rFonts w:ascii="Times New Roman" w:eastAsiaTheme="minorHAnsi" w:hAnsi="Times New Roman" w:cs="Times New Roman"/>
          <w:b/>
          <w:color w:val="auto"/>
          <w:sz w:val="24"/>
          <w:szCs w:val="24"/>
          <w:lang w:val="sr-Latn-RS"/>
        </w:rPr>
        <w:lastRenderedPageBreak/>
        <w:t xml:space="preserve">4. </w:t>
      </w:r>
      <w:r w:rsidR="00492CF2" w:rsidRPr="00492CF2">
        <w:rPr>
          <w:rFonts w:ascii="Times New Roman" w:eastAsiaTheme="minorHAnsi" w:hAnsi="Times New Roman" w:cs="Times New Roman"/>
          <w:b/>
          <w:color w:val="auto"/>
          <w:sz w:val="24"/>
          <w:szCs w:val="24"/>
          <w:lang w:val="sr-Latn-RS"/>
        </w:rPr>
        <w:t>FISCAL FRAMEWORK FOR THE PERIOD 2026–2028</w:t>
      </w:r>
      <w:bookmarkEnd w:id="23"/>
    </w:p>
    <w:p w:rsidR="005918D2" w:rsidRPr="00002D92" w:rsidRDefault="005918D2" w:rsidP="005918D2">
      <w:pPr>
        <w:pStyle w:val="Heading11"/>
        <w:spacing w:before="180" w:after="180"/>
        <w:rPr>
          <w:rFonts w:ascii="Times New Roman" w:hAnsi="Times New Roman" w:cs="Times New Roman"/>
          <w:color w:val="auto"/>
          <w:sz w:val="24"/>
          <w:szCs w:val="24"/>
          <w:lang w:val="sr-Latn-RS"/>
        </w:rPr>
      </w:pPr>
      <w:bookmarkStart w:id="24" w:name="_Toc185342333"/>
      <w:bookmarkStart w:id="25" w:name="_Toc221106873"/>
      <w:r w:rsidRPr="00002D92">
        <w:rPr>
          <w:rFonts w:ascii="Times New Roman" w:hAnsi="Times New Roman" w:cs="Times New Roman"/>
          <w:color w:val="auto"/>
          <w:sz w:val="24"/>
          <w:szCs w:val="24"/>
          <w:lang w:val="sr-Latn-RS"/>
        </w:rPr>
        <w:t>4.1.</w:t>
      </w:r>
      <w:r w:rsidR="00160E4E" w:rsidRPr="00002D92">
        <w:rPr>
          <w:rFonts w:ascii="Times New Roman" w:hAnsi="Times New Roman" w:cs="Times New Roman"/>
          <w:color w:val="auto"/>
          <w:sz w:val="24"/>
          <w:szCs w:val="24"/>
          <w:lang w:val="sr-Cyrl-RS"/>
        </w:rPr>
        <w:t xml:space="preserve"> </w:t>
      </w:r>
      <w:bookmarkEnd w:id="24"/>
      <w:r w:rsidR="00A26D9F">
        <w:rPr>
          <w:rFonts w:ascii="Times New Roman" w:hAnsi="Times New Roman" w:cs="Times New Roman"/>
          <w:color w:val="auto"/>
          <w:sz w:val="24"/>
          <w:szCs w:val="24"/>
          <w:lang w:val="sr-Latn-RS"/>
        </w:rPr>
        <w:t>MEDIUM-TERM FISCAL POLICY OBJECTIVES</w:t>
      </w:r>
      <w:bookmarkEnd w:id="25"/>
    </w:p>
    <w:p w:rsidR="00492CF2" w:rsidRDefault="00492CF2" w:rsidP="005918D2">
      <w:pPr>
        <w:rPr>
          <w:rFonts w:cs="Times New Roman"/>
          <w:lang w:val="sr-Cyrl-CS"/>
        </w:rPr>
      </w:pPr>
      <w:bookmarkStart w:id="26" w:name="_Toc530635106"/>
      <w:r w:rsidRPr="00492CF2">
        <w:rPr>
          <w:rFonts w:cs="Times New Roman"/>
          <w:lang w:val="sr-Cyrl-CS"/>
        </w:rPr>
        <w:t>The revised Fiscal Strategy for the period 2026–2028 is based on preserving stability and gradually reducing the share of public debt, while maintaining room for investments that enhance potential growth. The medium-term deficit remains moderately expansionary to support the investment cycle and preparations for EXPO 2027, with a consolidated deficit of 3% of GDP by 2027 and 2.5% of GDP in 2028. This trajectory aligns with a further decline in the share of public debt from around 45% of GDP in 2025 to approximately 44% of GDP in 2028, supported by a low primary deficit (around 0.7% of GDP) and maintained credibility of fiscal rules. Fiscal sustainability indicators show no short-term risks, while the positive primary stabilization gap confirms a stable downward debt trajectory.</w:t>
      </w:r>
    </w:p>
    <w:p w:rsidR="00492CF2" w:rsidRDefault="00492CF2" w:rsidP="005918D2">
      <w:pPr>
        <w:rPr>
          <w:rFonts w:cs="Times New Roman"/>
          <w:lang w:val="sr-Cyrl-CS"/>
        </w:rPr>
      </w:pPr>
      <w:r w:rsidRPr="00492CF2">
        <w:rPr>
          <w:rFonts w:cs="Times New Roman"/>
          <w:lang w:val="sr-Cyrl-CS"/>
        </w:rPr>
        <w:t>On the expenditure side, priority remains on investments with the highest multipliers — in transport, energy, digital, and green transition — with strict control of current spending. The public sector wage policy remains constrained within the fiscal rule framework, while pensions are adjusted according to the established formula, ensuring predictability and long-term sustainability of the pension system. Subsidies, temporarily increased due to support for agriculture and energy, are gradually returning to around 2% of GDP, while capital expenditures remain stable at a high level (about 6.4% of GDP on average annually).</w:t>
      </w:r>
    </w:p>
    <w:p w:rsidR="005918D2" w:rsidRPr="00002D92" w:rsidRDefault="00492CF2" w:rsidP="005918D2">
      <w:pPr>
        <w:rPr>
          <w:rFonts w:cs="Times New Roman"/>
          <w:lang w:val="sr-Cyrl-CS"/>
        </w:rPr>
      </w:pPr>
      <w:r w:rsidRPr="00492CF2">
        <w:rPr>
          <w:rFonts w:cs="Times New Roman"/>
          <w:lang w:val="sr-Cyrl-CS"/>
        </w:rPr>
        <w:t>On the revenue side, policy is directed toward reducing labor taxation, broadening the tax base, and improving collection through digitalization and modernization of the Tax Administration. VAT revenues are stabilizing after a short-term decline, excise duties follow standard indexation, while non-tax revenues normalize after one-off inflows such as those from 5G licenses.</w:t>
      </w:r>
      <w:r w:rsidR="005918D2" w:rsidRPr="00002D92">
        <w:rPr>
          <w:rFonts w:cs="Times New Roman"/>
          <w:lang w:val="sr-Cyrl-CS"/>
        </w:rPr>
        <w:t xml:space="preserve"> </w:t>
      </w:r>
    </w:p>
    <w:p w:rsidR="00492CF2" w:rsidRDefault="00492CF2" w:rsidP="005918D2">
      <w:pPr>
        <w:rPr>
          <w:rFonts w:cs="Times New Roman"/>
          <w:lang w:val="sr-Cyrl-CS"/>
        </w:rPr>
      </w:pPr>
      <w:r w:rsidRPr="00492CF2">
        <w:rPr>
          <w:rFonts w:cs="Times New Roman"/>
          <w:lang w:val="sr-Cyrl-CS"/>
        </w:rPr>
        <w:t>Fiscal risks are mitigated through conservative budgeting, maintaining fiscal reserves, and active debt management. The main risks include deepening global fragmentation, trade barriers, energy price volatility, and climate policies. The fiscal policy response is based on sustainable public finances and the acceleration of structural reforms to preserve stability and investment credibility.</w:t>
      </w:r>
    </w:p>
    <w:p w:rsidR="005918D2" w:rsidRPr="00002D92" w:rsidRDefault="00492CF2" w:rsidP="005918D2">
      <w:pPr>
        <w:rPr>
          <w:rFonts w:cs="Times New Roman"/>
          <w:bCs/>
          <w:szCs w:val="24"/>
          <w:lang w:val="sr-Cyrl-RS" w:eastAsia="ja-JP"/>
        </w:rPr>
      </w:pPr>
      <w:r w:rsidRPr="00492CF2">
        <w:rPr>
          <w:rFonts w:cs="Times New Roman"/>
          <w:lang w:val="sr-Cyrl-CS"/>
        </w:rPr>
        <w:t>Overall, the medium-term fiscal framework combines stability and development: controlled deficits, a declining debt-to-GDP ratio, high capital investments, and a predictable social policy enable the maintenance of macro-fiscal stability, support average annual growth of around 3.8%, and preserve room for response in case of external shocks — positioning the country as a stable, resilient, and development-oriented economy.</w:t>
      </w:r>
      <w:r w:rsidR="005918D2" w:rsidRPr="00002D92">
        <w:rPr>
          <w:rFonts w:cs="Times New Roman"/>
          <w:bCs/>
          <w:szCs w:val="24"/>
          <w:lang w:val="sr-Cyrl-RS" w:eastAsia="ja-JP"/>
        </w:rPr>
        <w:t xml:space="preserve"> </w:t>
      </w:r>
    </w:p>
    <w:p w:rsidR="005918D2" w:rsidRPr="00002D92" w:rsidRDefault="005918D2" w:rsidP="005918D2">
      <w:pPr>
        <w:pStyle w:val="Heading11"/>
        <w:spacing w:before="0" w:after="180"/>
        <w:rPr>
          <w:rFonts w:ascii="Times New Roman" w:hAnsi="Times New Roman" w:cs="Times New Roman"/>
          <w:color w:val="auto"/>
          <w:sz w:val="24"/>
          <w:szCs w:val="24"/>
          <w:lang w:val="sr-Latn-RS"/>
        </w:rPr>
      </w:pPr>
      <w:bookmarkStart w:id="27" w:name="_Toc185342334"/>
      <w:bookmarkStart w:id="28" w:name="_Toc221106874"/>
      <w:r w:rsidRPr="00002D92">
        <w:rPr>
          <w:rFonts w:ascii="Times New Roman" w:hAnsi="Times New Roman" w:cs="Times New Roman"/>
          <w:color w:val="auto"/>
          <w:sz w:val="24"/>
          <w:szCs w:val="24"/>
          <w:lang w:val="sr-Latn-RS"/>
        </w:rPr>
        <w:lastRenderedPageBreak/>
        <w:t xml:space="preserve">4.2. </w:t>
      </w:r>
      <w:bookmarkEnd w:id="26"/>
      <w:r w:rsidR="00A26D9F">
        <w:rPr>
          <w:rFonts w:ascii="Times New Roman" w:hAnsi="Times New Roman" w:cs="Times New Roman"/>
          <w:color w:val="auto"/>
          <w:sz w:val="24"/>
          <w:szCs w:val="24"/>
          <w:lang w:val="sr-Latn-RS"/>
        </w:rPr>
        <w:t>BUDGET EXECUTION IN 2025</w:t>
      </w:r>
      <w:bookmarkEnd w:id="27"/>
      <w:bookmarkEnd w:id="28"/>
    </w:p>
    <w:p w:rsidR="00D205B6" w:rsidRDefault="00D205B6" w:rsidP="005918D2">
      <w:pPr>
        <w:keepNext/>
        <w:keepLines/>
        <w:rPr>
          <w:rFonts w:cs="Times New Roman"/>
          <w:bCs/>
          <w:szCs w:val="24"/>
          <w:lang w:val="sr-Cyrl-RS" w:eastAsia="ja-JP"/>
        </w:rPr>
      </w:pPr>
      <w:r w:rsidRPr="00D205B6">
        <w:rPr>
          <w:rFonts w:cs="Times New Roman"/>
          <w:bCs/>
          <w:szCs w:val="24"/>
          <w:lang w:val="sr-Cyrl-RS" w:eastAsia="ja-JP"/>
        </w:rPr>
        <w:t>The fiscal framework for 2025 was designed cautiously, taking into account ongoing uncertainty both domestically and internationally. This approach ensured that the budget retained adequate space for interventions in the event of unfavorable developments. Macroeconomic projections anticipated a moderate acceleration of economic activity compared to 2024, as well as a continued gradual decline in inflation, which was expected, among other factors, to stimulate growth in real personal consumption.</w:t>
      </w:r>
    </w:p>
    <w:p w:rsidR="00D205B6" w:rsidRDefault="00D205B6" w:rsidP="005918D2">
      <w:pPr>
        <w:keepNext/>
        <w:keepLines/>
        <w:rPr>
          <w:rFonts w:cs="Times New Roman"/>
          <w:bCs/>
          <w:szCs w:val="24"/>
          <w:lang w:val="sr-Cyrl-RS" w:eastAsia="ja-JP"/>
        </w:rPr>
      </w:pPr>
      <w:r w:rsidRPr="00D205B6">
        <w:rPr>
          <w:rFonts w:cs="Times New Roman"/>
          <w:bCs/>
          <w:szCs w:val="24"/>
          <w:lang w:val="sr-Cyrl-RS" w:eastAsia="ja-JP"/>
        </w:rPr>
        <w:t>Measures adopted at the end of 2024 significantly influenced the 2025 budget plan. Pensions were adjusted by 10.9% in accordance with the statutory formula. To preserve the real purchasing power of the population, the minimum hourly wage was increased by 13.7%, public sector wages by 8%, and the non-taxable portion of income by 13.7%. This set of measures was expected to strengthen personal consumption and, indirectly, boost consumption-based tax revenues. An increase in labor taxation revenues was also anticipated, since, despite a lower tax burden, employment and wages in the private sector were expected to rise. Substantially increased public investment funds were directed toward further infrastructure improvements, expected to expand the foundation for future economic growth.</w:t>
      </w:r>
    </w:p>
    <w:p w:rsidR="00D205B6" w:rsidRDefault="00D205B6" w:rsidP="005918D2">
      <w:pPr>
        <w:keepNext/>
        <w:keepLines/>
        <w:rPr>
          <w:rFonts w:cs="Times New Roman"/>
          <w:bCs/>
          <w:szCs w:val="24"/>
          <w:lang w:val="sr-Cyrl-RS" w:eastAsia="ja-JP"/>
        </w:rPr>
      </w:pPr>
      <w:r w:rsidRPr="00D205B6">
        <w:rPr>
          <w:rFonts w:cs="Times New Roman"/>
          <w:bCs/>
          <w:szCs w:val="24"/>
          <w:lang w:val="sr-Cyrl-RS" w:eastAsia="ja-JP"/>
        </w:rPr>
        <w:t>Apart from the increase in the non-taxable income threshold, no major changes in tax policy were planned for 2025. Following the temporary reduction of excise duties during 2022 and 2023, the excise policy returned to regular parameters in 2024, and standard excise adjustments were implemented at the beginning of 2025. Although these adjustments partially offset the erosion of the real value of excises, their level remains about 13% lower than it would have been under regular indexation during the previous period. It is estimated that the absence of indexation in 2022 and 2023 resulted in the loss of over RSD 100 billion in revenues (around 1.3% of GDP). In 2024, a refund mechanism for a portion of excise duties on motor fuels used in agriculture was introduced and continues in 2025.</w:t>
      </w:r>
    </w:p>
    <w:p w:rsidR="00777285" w:rsidRPr="00002D92" w:rsidRDefault="00D205B6" w:rsidP="005918D2">
      <w:pPr>
        <w:keepNext/>
        <w:keepLines/>
        <w:rPr>
          <w:rFonts w:cs="Times New Roman"/>
          <w:bCs/>
          <w:szCs w:val="24"/>
          <w:lang w:val="sr-Cyrl-RS" w:eastAsia="ja-JP"/>
        </w:rPr>
      </w:pPr>
      <w:r w:rsidRPr="00D205B6">
        <w:rPr>
          <w:rFonts w:cs="Times New Roman"/>
          <w:bCs/>
          <w:szCs w:val="24"/>
          <w:lang w:val="sr-Cyrl-RS" w:eastAsia="ja-JP"/>
        </w:rPr>
        <w:t>Amid heightened uncertainty, some of the risks anticipated when drafting the 2025 fiscal framework materialized primarily on the side of economic growth. Pronounced socio-political tensions at the end of 2024 and in the first months of 2025 raised the perceived risk among businesses and households, which, through increased precaution, led to deferred consumption. Accordingly, in the first half of 2025, realized real GDP growth was noticeably below expectations due to weaker activity in trade, transport, and tourism, as well as a decline in the value of completed construction works. Although real wages and pensions — and therefore disposable income — recorded solid growth thanks to favorable labor market trends, the dynamics of private consumption remained noticeably more moderate. This divergence is most reliably explained by increased precautionary savings and delayed purchases amid heightened economic and social uncertainty, which indirectly constrained short-term aggregate demand growth.</w:t>
      </w:r>
    </w:p>
    <w:p w:rsidR="00D205B6" w:rsidRDefault="00D205B6" w:rsidP="005918D2">
      <w:pPr>
        <w:keepNext/>
        <w:keepLines/>
        <w:rPr>
          <w:rFonts w:cs="Times New Roman"/>
          <w:bCs/>
          <w:szCs w:val="24"/>
          <w:lang w:val="sr-Cyrl-RS" w:eastAsia="ja-JP"/>
        </w:rPr>
      </w:pPr>
      <w:r w:rsidRPr="00D205B6">
        <w:rPr>
          <w:rFonts w:cs="Times New Roman"/>
          <w:bCs/>
          <w:szCs w:val="24"/>
          <w:lang w:val="sr-Cyrl-RS" w:eastAsia="ja-JP"/>
        </w:rPr>
        <w:t>These developments primarily affected value-added tax (VAT) revenues. The shortfall relative to the plan was evident as early as the last quarter of 2024, and the same trend continued throughout 2025. Apart from VAT, other tax revenues were achieved at or above planned levels, both at the end of 2024 and during 2025. Accordingly, the 2025 tax revenue projection was revised to reduce VAT and customs revenue estimates, while estimates for other tax categories were adjusted upward to varying degrees. Unlike previous revisions, this time excise revenue was also revised upward, due to a more objective assessment of collection dynamics compared to the previous year. The realized profitability of companies in 2024, as well as collection performance during the first part of 2025, led to only a minimal adjustment in corporate income tax revenue projections.</w:t>
      </w:r>
    </w:p>
    <w:p w:rsidR="00C5175A" w:rsidRDefault="00C5175A" w:rsidP="005918D2">
      <w:pPr>
        <w:keepNext/>
        <w:keepLines/>
        <w:rPr>
          <w:rFonts w:cs="Times New Roman"/>
          <w:bCs/>
          <w:szCs w:val="24"/>
          <w:lang w:val="sr-Cyrl-RS" w:eastAsia="ja-JP"/>
        </w:rPr>
      </w:pPr>
      <w:r w:rsidRPr="00C5175A">
        <w:rPr>
          <w:rFonts w:cs="Times New Roman"/>
          <w:bCs/>
          <w:szCs w:val="24"/>
          <w:lang w:val="sr-Cyrl-RS" w:eastAsia="ja-JP"/>
        </w:rPr>
        <w:t>The revised estimate also includes extraordinary non-tax revenues realized in the previous period, as well as those expected by the end of the current year. Despite weaker VAT and customs revenue performance, total public revenues were minimally revised upward, reflecting prudence amid still unstable domestic and uncertain international economic conditions.</w:t>
      </w:r>
    </w:p>
    <w:p w:rsidR="00C5175A" w:rsidRDefault="00C5175A" w:rsidP="005918D2">
      <w:pPr>
        <w:keepNext/>
        <w:keepLines/>
        <w:rPr>
          <w:rFonts w:cs="Times New Roman"/>
          <w:bCs/>
          <w:szCs w:val="24"/>
          <w:lang w:val="sr-Cyrl-RS" w:eastAsia="ja-JP"/>
        </w:rPr>
      </w:pPr>
      <w:r w:rsidRPr="00C5175A">
        <w:rPr>
          <w:rFonts w:cs="Times New Roman"/>
          <w:bCs/>
          <w:szCs w:val="24"/>
          <w:lang w:val="sr-Cyrl-RS" w:eastAsia="ja-JP"/>
        </w:rPr>
        <w:lastRenderedPageBreak/>
        <w:t>On the expenditure side, the projection incorporates changes in public sector wage policy, primarily in education and healthcare, while, on the other hand, some spending categories were revised downward based on the observed pace of budget execution.</w:t>
      </w:r>
    </w:p>
    <w:p w:rsidR="00C5175A" w:rsidRDefault="00C5175A" w:rsidP="005918D2">
      <w:pPr>
        <w:keepNext/>
        <w:keepLines/>
        <w:rPr>
          <w:rFonts w:cs="Times New Roman"/>
          <w:bCs/>
          <w:szCs w:val="24"/>
          <w:lang w:val="sr-Cyrl-RS" w:eastAsia="ja-JP"/>
        </w:rPr>
      </w:pPr>
      <w:r w:rsidRPr="00C5175A">
        <w:rPr>
          <w:rFonts w:cs="Times New Roman"/>
          <w:bCs/>
          <w:szCs w:val="24"/>
          <w:lang w:val="sr-Cyrl-RS" w:eastAsia="ja-JP"/>
        </w:rPr>
        <w:t>The revised fiscal framework for 2025 foresees an unchanged fiscal deficit of RSD 314 billion, or 3% of GDP. The share of public debt in GDP is projected at 45% by year-end.</w:t>
      </w:r>
    </w:p>
    <w:p w:rsidR="00BD5AEF" w:rsidRDefault="00C5175A" w:rsidP="00BD5AEF">
      <w:pPr>
        <w:keepNext/>
        <w:keepLines/>
        <w:spacing w:after="0"/>
        <w:rPr>
          <w:rFonts w:cs="Times New Roman"/>
          <w:bCs/>
          <w:szCs w:val="24"/>
          <w:lang w:val="sr-Cyrl-RS" w:eastAsia="ja-JP"/>
        </w:rPr>
      </w:pPr>
      <w:r w:rsidRPr="00C5175A">
        <w:rPr>
          <w:rFonts w:cs="Times New Roman"/>
          <w:bCs/>
          <w:szCs w:val="24"/>
          <w:lang w:val="sr-Cyrl-RS" w:eastAsia="ja-JP"/>
        </w:rPr>
        <w:t>An analysis of the structural fiscal result shows that about 0.6% of GDP in 2025 relates to one-off and temporary effects on both the revenue and expenditure sides of the budget, further confirming the temporary nature of deviations from long-term fiscal paths.</w:t>
      </w:r>
    </w:p>
    <w:p w:rsidR="00C5175A" w:rsidRPr="00002D92" w:rsidRDefault="00C5175A" w:rsidP="00BD5AEF">
      <w:pPr>
        <w:keepNext/>
        <w:keepLines/>
        <w:spacing w:after="0"/>
        <w:rPr>
          <w:rFonts w:cs="Times New Roman"/>
          <w:bCs/>
          <w:szCs w:val="24"/>
          <w:lang w:val="sr-Cyrl-RS" w:eastAsia="ja-JP"/>
        </w:rPr>
      </w:pPr>
    </w:p>
    <w:p w:rsidR="005918D2" w:rsidRPr="00002D92" w:rsidRDefault="00B40C4A" w:rsidP="005918D2">
      <w:pPr>
        <w:keepNext/>
        <w:keepLines/>
        <w:rPr>
          <w:rFonts w:cs="Times New Roman"/>
          <w:noProof/>
          <w:szCs w:val="24"/>
          <w:lang w:val="sr-Cyrl-RS"/>
        </w:rPr>
      </w:pPr>
      <w:r>
        <w:rPr>
          <w:rFonts w:eastAsia="Calibri" w:cs="Times New Roman"/>
          <w:i/>
          <w:spacing w:val="-4"/>
          <w:szCs w:val="24"/>
        </w:rPr>
        <w:t>Graph</w:t>
      </w:r>
      <w:r w:rsidR="005918D2" w:rsidRPr="00002D92">
        <w:rPr>
          <w:rFonts w:eastAsia="Calibri" w:cs="Times New Roman"/>
          <w:i/>
          <w:spacing w:val="-4"/>
          <w:szCs w:val="24"/>
          <w:lang w:val="sr-Cyrl-RS"/>
        </w:rPr>
        <w:t xml:space="preserve"> </w:t>
      </w:r>
      <w:r w:rsidR="005918D2" w:rsidRPr="00002D92">
        <w:rPr>
          <w:rFonts w:eastAsia="Calibri" w:cs="Times New Roman"/>
          <w:i/>
          <w:spacing w:val="-4"/>
          <w:szCs w:val="24"/>
          <w:lang w:val="sr-Latn-RS"/>
        </w:rPr>
        <w:t>4</w:t>
      </w:r>
      <w:r w:rsidR="005918D2" w:rsidRPr="00002D92">
        <w:rPr>
          <w:rFonts w:eastAsia="Calibri" w:cs="Times New Roman"/>
          <w:i/>
          <w:spacing w:val="-4"/>
          <w:szCs w:val="24"/>
          <w:lang w:val="sr-Cyrl-RS"/>
        </w:rPr>
        <w:t>.</w:t>
      </w:r>
      <w:r w:rsidRPr="00B40C4A">
        <w:t xml:space="preserve"> </w:t>
      </w:r>
      <w:r>
        <w:t>G</w:t>
      </w:r>
      <w:r w:rsidRPr="00B40C4A">
        <w:rPr>
          <w:rFonts w:eastAsia="Calibri" w:cs="Times New Roman"/>
          <w:i/>
          <w:spacing w:val="-4"/>
          <w:szCs w:val="24"/>
          <w:lang w:val="sr-Cyrl-RS"/>
        </w:rPr>
        <w:t>eneral government fiscal result for the period 2015-2025, % of GDP</w:t>
      </w:r>
    </w:p>
    <w:p w:rsidR="005918D2" w:rsidRPr="00002D92" w:rsidRDefault="00B40C4A" w:rsidP="005918D2">
      <w:pPr>
        <w:keepNext/>
        <w:keepLines/>
        <w:rPr>
          <w:rFonts w:eastAsia="Calibri" w:cs="Times New Roman"/>
          <w:szCs w:val="24"/>
          <w:lang w:val="sr-Cyrl-RS"/>
        </w:rPr>
      </w:pPr>
      <w:r w:rsidRPr="001B41AD">
        <w:rPr>
          <w:noProof/>
        </w:rPr>
        <w:drawing>
          <wp:anchor distT="0" distB="0" distL="114300" distR="114300" simplePos="0" relativeHeight="251662336" behindDoc="0" locked="0" layoutInCell="1" allowOverlap="1" wp14:anchorId="2191EAD4" wp14:editId="75EA8594">
            <wp:simplePos x="0" y="0"/>
            <wp:positionH relativeFrom="margin">
              <wp:align>center</wp:align>
            </wp:positionH>
            <wp:positionV relativeFrom="paragraph">
              <wp:posOffset>46355</wp:posOffset>
            </wp:positionV>
            <wp:extent cx="4133850" cy="2790825"/>
            <wp:effectExtent l="0" t="0" r="0" b="0"/>
            <wp:wrapThrough wrapText="bothSides">
              <wp:wrapPolygon edited="0">
                <wp:start x="2887" y="147"/>
                <wp:lineTo x="2488" y="1180"/>
                <wp:lineTo x="1692" y="2801"/>
                <wp:lineTo x="1692" y="7814"/>
                <wp:lineTo x="2389" y="9436"/>
                <wp:lineTo x="2787" y="9878"/>
                <wp:lineTo x="299" y="10468"/>
                <wp:lineTo x="398" y="13270"/>
                <wp:lineTo x="11248" y="14597"/>
                <wp:lineTo x="1593" y="15186"/>
                <wp:lineTo x="1593" y="15924"/>
                <wp:lineTo x="11248" y="16956"/>
                <wp:lineTo x="1692" y="17840"/>
                <wp:lineTo x="1593" y="18430"/>
                <wp:lineTo x="4081" y="19315"/>
                <wp:lineTo x="1294" y="20642"/>
                <wp:lineTo x="1294" y="21084"/>
                <wp:lineTo x="4778" y="21379"/>
                <wp:lineTo x="10452" y="21379"/>
                <wp:lineTo x="11447" y="21084"/>
                <wp:lineTo x="11248" y="20642"/>
                <wp:lineTo x="8959" y="19315"/>
                <wp:lineTo x="11447" y="19315"/>
                <wp:lineTo x="12243" y="18725"/>
                <wp:lineTo x="12044" y="16956"/>
                <wp:lineTo x="12442" y="16956"/>
                <wp:lineTo x="12641" y="15776"/>
                <wp:lineTo x="12442" y="14597"/>
                <wp:lineTo x="20406" y="12680"/>
                <wp:lineTo x="20406" y="12238"/>
                <wp:lineTo x="18813" y="12238"/>
                <wp:lineTo x="21301" y="11500"/>
                <wp:lineTo x="21500" y="7814"/>
                <wp:lineTo x="20903" y="7667"/>
                <wp:lineTo x="10750" y="7519"/>
                <wp:lineTo x="10949" y="3981"/>
                <wp:lineTo x="8759" y="3391"/>
                <wp:lineTo x="2289" y="2801"/>
                <wp:lineTo x="5475" y="2801"/>
                <wp:lineTo x="20903" y="885"/>
                <wp:lineTo x="20903" y="147"/>
                <wp:lineTo x="2887" y="147"/>
              </wp:wrapPolygon>
            </wp:wrapThrough>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5918D2" w:rsidRPr="00002D92" w:rsidRDefault="005918D2" w:rsidP="005918D2">
      <w:pPr>
        <w:spacing w:after="0"/>
        <w:rPr>
          <w:rFonts w:eastAsia="Calibri" w:cs="Times New Roman"/>
          <w:bCs/>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5918D2" w:rsidRPr="00002D92" w:rsidRDefault="005918D2" w:rsidP="005918D2">
      <w:pPr>
        <w:spacing w:after="0"/>
        <w:rPr>
          <w:rFonts w:eastAsia="Calibri" w:cs="Times New Roman"/>
          <w:bCs/>
          <w:sz w:val="22"/>
          <w:szCs w:val="24"/>
          <w:lang w:val="sr-Cyrl-RS"/>
        </w:rPr>
      </w:pPr>
    </w:p>
    <w:p w:rsidR="00EA7C4B" w:rsidRDefault="00EA7C4B" w:rsidP="00EA7C4B">
      <w:pPr>
        <w:spacing w:after="0"/>
        <w:rPr>
          <w:rFonts w:eastAsia="Calibri" w:cs="Times New Roman"/>
          <w:bCs/>
          <w:sz w:val="22"/>
          <w:szCs w:val="24"/>
          <w:lang w:val="sr-Cyrl-RS"/>
        </w:rPr>
      </w:pPr>
    </w:p>
    <w:p w:rsidR="00B40C4A" w:rsidRDefault="00B40C4A" w:rsidP="00EA7C4B">
      <w:pPr>
        <w:spacing w:after="0"/>
        <w:rPr>
          <w:rFonts w:eastAsia="Calibri" w:cs="Times New Roman"/>
          <w:bCs/>
          <w:sz w:val="22"/>
          <w:szCs w:val="24"/>
          <w:lang w:val="sr-Cyrl-RS"/>
        </w:rPr>
      </w:pPr>
    </w:p>
    <w:p w:rsidR="00B40C4A" w:rsidRDefault="00B40C4A" w:rsidP="00EA7C4B">
      <w:pPr>
        <w:spacing w:after="0"/>
        <w:rPr>
          <w:rFonts w:eastAsia="Calibri" w:cs="Times New Roman"/>
          <w:bCs/>
          <w:sz w:val="22"/>
          <w:szCs w:val="24"/>
          <w:lang w:val="sr-Cyrl-RS"/>
        </w:rPr>
      </w:pPr>
      <w:r w:rsidRPr="00793574">
        <w:rPr>
          <w:rFonts w:eastAsia="MS PGothic" w:cstheme="minorHAnsi"/>
          <w:b/>
          <w:noProof/>
          <w:color w:val="002060"/>
          <w:szCs w:val="20"/>
        </w:rPr>
        <mc:AlternateContent>
          <mc:Choice Requires="wps">
            <w:drawing>
              <wp:anchor distT="45720" distB="45720" distL="114300" distR="114300" simplePos="0" relativeHeight="251664384" behindDoc="0" locked="0" layoutInCell="1" allowOverlap="1" wp14:anchorId="4657BE93" wp14:editId="2F36EE70">
                <wp:simplePos x="0" y="0"/>
                <wp:positionH relativeFrom="column">
                  <wp:posOffset>1692910</wp:posOffset>
                </wp:positionH>
                <wp:positionV relativeFrom="paragraph">
                  <wp:posOffset>103505</wp:posOffset>
                </wp:positionV>
                <wp:extent cx="998220" cy="212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12725"/>
                        </a:xfrm>
                        <a:prstGeom prst="rect">
                          <a:avLst/>
                        </a:prstGeom>
                        <a:solidFill>
                          <a:srgbClr val="FFFFFF"/>
                        </a:solidFill>
                        <a:ln w="9525">
                          <a:noFill/>
                          <a:miter lim="800000"/>
                          <a:headEnd/>
                          <a:tailEnd/>
                        </a:ln>
                      </wps:spPr>
                      <wps:txbx>
                        <w:txbxContent>
                          <w:p w:rsidR="008F0F2C" w:rsidRPr="00793574" w:rsidRDefault="008F0F2C" w:rsidP="00B40C4A">
                            <w:pPr>
                              <w:contextualSpacing/>
                              <w:rPr>
                                <w:sz w:val="16"/>
                              </w:rPr>
                            </w:pPr>
                            <w:r w:rsidRPr="00793574">
                              <w:rPr>
                                <w:sz w:val="16"/>
                              </w:rPr>
                              <w:t>Fiscal result</w:t>
                            </w:r>
                          </w:p>
                          <w:p w:rsidR="008F0F2C" w:rsidRPr="00793574" w:rsidRDefault="008F0F2C" w:rsidP="00B40C4A">
                            <w:pPr>
                              <w:contextualSpacing/>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7BE93" id="_x0000_t202" coordsize="21600,21600" o:spt="202" path="m,l,21600r21600,l21600,xe">
                <v:stroke joinstyle="miter"/>
                <v:path gradientshapeok="t" o:connecttype="rect"/>
              </v:shapetype>
              <v:shape id="Text Box 2" o:spid="_x0000_s1026" type="#_x0000_t202" style="position:absolute;left:0;text-align:left;margin-left:133.3pt;margin-top:8.15pt;width:78.6pt;height:16.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" stroked="f">
                <v:textbox>
                  <w:txbxContent>
                    <w:p w:rsidR="008F0F2C" w:rsidRPr="00793574" w:rsidRDefault="008F0F2C" w:rsidP="00B40C4A">
                      <w:pPr>
                        <w:contextualSpacing/>
                        <w:rPr>
                          <w:sz w:val="16"/>
                        </w:rPr>
                      </w:pPr>
                      <w:r w:rsidRPr="00793574">
                        <w:rPr>
                          <w:sz w:val="16"/>
                        </w:rPr>
                        <w:t>Fiscal result</w:t>
                      </w:r>
                    </w:p>
                    <w:p w:rsidR="008F0F2C" w:rsidRPr="00793574" w:rsidRDefault="008F0F2C" w:rsidP="00B40C4A">
                      <w:pPr>
                        <w:contextualSpacing/>
                        <w:rPr>
                          <w:sz w:val="16"/>
                        </w:rPr>
                      </w:pPr>
                    </w:p>
                  </w:txbxContent>
                </v:textbox>
                <w10:wrap type="square"/>
              </v:shape>
            </w:pict>
          </mc:Fallback>
        </mc:AlternateContent>
      </w:r>
    </w:p>
    <w:p w:rsidR="00B40C4A" w:rsidRPr="00002D92" w:rsidRDefault="00B40C4A" w:rsidP="00EA7C4B">
      <w:pPr>
        <w:spacing w:after="0"/>
        <w:rPr>
          <w:rFonts w:eastAsia="MS PGothic" w:cs="Times New Roman"/>
          <w:i/>
          <w:szCs w:val="24"/>
          <w:lang w:val="sr-Cyrl-RS" w:eastAsia="ja-JP"/>
        </w:rPr>
      </w:pPr>
      <w:r w:rsidRPr="00793574">
        <w:rPr>
          <w:rFonts w:eastAsia="MS PGothic" w:cstheme="minorHAnsi"/>
          <w:b/>
          <w:noProof/>
          <w:color w:val="002060"/>
          <w:szCs w:val="20"/>
        </w:rPr>
        <mc:AlternateContent>
          <mc:Choice Requires="wps">
            <w:drawing>
              <wp:anchor distT="45720" distB="45720" distL="114300" distR="114300" simplePos="0" relativeHeight="251666432" behindDoc="0" locked="0" layoutInCell="1" allowOverlap="1" wp14:anchorId="38E3C186" wp14:editId="1483F472">
                <wp:simplePos x="0" y="0"/>
                <wp:positionH relativeFrom="column">
                  <wp:posOffset>1692275</wp:posOffset>
                </wp:positionH>
                <wp:positionV relativeFrom="paragraph">
                  <wp:posOffset>99060</wp:posOffset>
                </wp:positionV>
                <wp:extent cx="1407795" cy="269875"/>
                <wp:effectExtent l="0" t="0" r="190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69875"/>
                        </a:xfrm>
                        <a:prstGeom prst="rect">
                          <a:avLst/>
                        </a:prstGeom>
                        <a:solidFill>
                          <a:srgbClr val="FFFFFF"/>
                        </a:solidFill>
                        <a:ln w="9525">
                          <a:noFill/>
                          <a:miter lim="800000"/>
                          <a:headEnd/>
                          <a:tailEnd/>
                        </a:ln>
                      </wps:spPr>
                      <wps:txbx>
                        <w:txbxContent>
                          <w:p w:rsidR="008F0F2C" w:rsidRPr="00793574" w:rsidRDefault="008F0F2C" w:rsidP="00B40C4A">
                            <w:pPr>
                              <w:contextualSpacing/>
                              <w:rPr>
                                <w:sz w:val="16"/>
                              </w:rPr>
                            </w:pPr>
                            <w:r>
                              <w:rPr>
                                <w:sz w:val="16"/>
                              </w:rPr>
                              <w:t>Primary f</w:t>
                            </w:r>
                            <w:r w:rsidRPr="00793574">
                              <w:rPr>
                                <w:sz w:val="16"/>
                              </w:rPr>
                              <w:t>iscal result</w:t>
                            </w:r>
                          </w:p>
                          <w:p w:rsidR="008F0F2C" w:rsidRPr="00793574" w:rsidRDefault="008F0F2C" w:rsidP="00B40C4A">
                            <w:pPr>
                              <w:contextualSpacing/>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3C186" id="_x0000_s1027" type="#_x0000_t202" style="position:absolute;left:0;text-align:left;margin-left:133.25pt;margin-top:7.8pt;width:110.85pt;height:2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" stroked="f">
                <v:textbox>
                  <w:txbxContent>
                    <w:p w:rsidR="008F0F2C" w:rsidRPr="00793574" w:rsidRDefault="008F0F2C" w:rsidP="00B40C4A">
                      <w:pPr>
                        <w:contextualSpacing/>
                        <w:rPr>
                          <w:sz w:val="16"/>
                        </w:rPr>
                      </w:pPr>
                      <w:r>
                        <w:rPr>
                          <w:sz w:val="16"/>
                        </w:rPr>
                        <w:t>Primary f</w:t>
                      </w:r>
                      <w:r w:rsidRPr="00793574">
                        <w:rPr>
                          <w:sz w:val="16"/>
                        </w:rPr>
                        <w:t>iscal result</w:t>
                      </w:r>
                    </w:p>
                    <w:p w:rsidR="008F0F2C" w:rsidRPr="00793574" w:rsidRDefault="008F0F2C" w:rsidP="00B40C4A">
                      <w:pPr>
                        <w:contextualSpacing/>
                        <w:rPr>
                          <w:sz w:val="16"/>
                        </w:rPr>
                      </w:pPr>
                    </w:p>
                  </w:txbxContent>
                </v:textbox>
                <w10:wrap type="square"/>
              </v:shape>
            </w:pict>
          </mc:Fallback>
        </mc:AlternateContent>
      </w:r>
    </w:p>
    <w:p w:rsidR="00B679F1" w:rsidRPr="00002D92" w:rsidRDefault="00B679F1" w:rsidP="00EA7C4B">
      <w:pPr>
        <w:spacing w:after="0"/>
        <w:rPr>
          <w:rFonts w:eastAsia="MS PGothic" w:cs="Times New Roman"/>
          <w:i/>
          <w:szCs w:val="24"/>
          <w:lang w:val="sr-Cyrl-RS" w:eastAsia="ja-JP"/>
        </w:rPr>
      </w:pPr>
    </w:p>
    <w:p w:rsidR="00585D95" w:rsidRDefault="00585D95" w:rsidP="00585D95">
      <w:pPr>
        <w:spacing w:after="0"/>
        <w:jc w:val="left"/>
        <w:rPr>
          <w:rFonts w:eastAsia="MS PGothic" w:cs="Times New Roman"/>
          <w:i/>
          <w:szCs w:val="24"/>
          <w:lang w:eastAsia="ja-JP"/>
        </w:rPr>
      </w:pPr>
    </w:p>
    <w:p w:rsidR="00B679F1" w:rsidRPr="00BE5096" w:rsidRDefault="00585D95" w:rsidP="00585D95">
      <w:pPr>
        <w:spacing w:after="0"/>
        <w:jc w:val="left"/>
        <w:rPr>
          <w:rFonts w:eastAsia="MS PGothic" w:cs="Times New Roman"/>
          <w:sz w:val="20"/>
          <w:szCs w:val="24"/>
          <w:lang w:eastAsia="ja-JP"/>
        </w:rPr>
      </w:pPr>
      <w:r w:rsidRPr="00BE5096">
        <w:rPr>
          <w:rFonts w:eastAsia="MS PGothic" w:cs="Times New Roman"/>
          <w:sz w:val="20"/>
          <w:szCs w:val="24"/>
          <w:lang w:eastAsia="ja-JP"/>
        </w:rPr>
        <w:t xml:space="preserve">                                 Source: Ministry of Finance</w:t>
      </w:r>
    </w:p>
    <w:p w:rsidR="004F6F97" w:rsidRPr="00002D92" w:rsidRDefault="004F6F97" w:rsidP="00EA7C4B">
      <w:pPr>
        <w:spacing w:after="0"/>
        <w:rPr>
          <w:rFonts w:eastAsia="MS PGothic" w:cs="Times New Roman"/>
          <w:i/>
          <w:szCs w:val="24"/>
          <w:lang w:val="sr-Cyrl-RS" w:eastAsia="ja-JP"/>
        </w:rPr>
      </w:pPr>
    </w:p>
    <w:p w:rsidR="005918D2" w:rsidRPr="00002D92" w:rsidRDefault="00585D95" w:rsidP="00EA7C4B">
      <w:pPr>
        <w:spacing w:after="0"/>
        <w:rPr>
          <w:rFonts w:eastAsia="Calibri" w:cs="Times New Roman"/>
          <w:bCs/>
          <w:sz w:val="22"/>
          <w:szCs w:val="24"/>
          <w:lang w:val="sr-Cyrl-RS"/>
        </w:rPr>
      </w:pPr>
      <w:r>
        <w:rPr>
          <w:rFonts w:eastAsia="MS PGothic" w:cs="Times New Roman"/>
          <w:i/>
          <w:szCs w:val="24"/>
          <w:lang w:val="sr-Cyrl-RS" w:eastAsia="ja-JP"/>
        </w:rPr>
        <w:t>Т</w:t>
      </w:r>
      <w:r>
        <w:rPr>
          <w:rFonts w:eastAsia="MS PGothic" w:cs="Times New Roman"/>
          <w:i/>
          <w:szCs w:val="24"/>
          <w:lang w:eastAsia="ja-JP"/>
        </w:rPr>
        <w:t>able</w:t>
      </w:r>
      <w:r w:rsidR="005918D2" w:rsidRPr="00002D92">
        <w:rPr>
          <w:rFonts w:eastAsia="MS PGothic" w:cs="Times New Roman"/>
          <w:i/>
          <w:szCs w:val="24"/>
          <w:lang w:val="sr-Cyrl-RS" w:eastAsia="ja-JP"/>
        </w:rPr>
        <w:t xml:space="preserve"> 4. </w:t>
      </w:r>
      <w:r w:rsidRPr="00585D95">
        <w:rPr>
          <w:rFonts w:eastAsia="MS PGothic" w:cs="Times New Roman"/>
          <w:i/>
          <w:szCs w:val="24"/>
          <w:lang w:val="sr-Cyrl-RS" w:eastAsia="ja-JP"/>
        </w:rPr>
        <w:t>General government revenues, expenditures and fiscal result in 2025, in RSD bln</w:t>
      </w:r>
    </w:p>
    <w:tbl>
      <w:tblPr>
        <w:tblW w:w="5279" w:type="pct"/>
        <w:jc w:val="center"/>
        <w:tblLook w:val="04A0" w:firstRow="1" w:lastRow="0" w:firstColumn="1" w:lastColumn="0" w:noHBand="0" w:noVBand="1"/>
      </w:tblPr>
      <w:tblGrid>
        <w:gridCol w:w="3232"/>
        <w:gridCol w:w="210"/>
        <w:gridCol w:w="978"/>
        <w:gridCol w:w="1099"/>
        <w:gridCol w:w="1099"/>
        <w:gridCol w:w="1807"/>
        <w:gridCol w:w="807"/>
        <w:gridCol w:w="1058"/>
      </w:tblGrid>
      <w:tr w:rsidR="005E55FA" w:rsidRPr="00002D92" w:rsidTr="00F82D20">
        <w:trPr>
          <w:trHeight w:val="1098"/>
          <w:tblHeader/>
          <w:jc w:val="center"/>
        </w:trPr>
        <w:tc>
          <w:tcPr>
            <w:tcW w:w="1673" w:type="pct"/>
            <w:gridSpan w:val="2"/>
            <w:tcBorders>
              <w:top w:val="single" w:sz="4" w:space="0" w:color="002060"/>
            </w:tcBorders>
            <w:shd w:val="clear" w:color="auto" w:fill="auto"/>
            <w:noWrap/>
            <w:hideMark/>
          </w:tcPr>
          <w:p w:rsidR="002311BC" w:rsidRPr="005E55FA" w:rsidRDefault="002311BC" w:rsidP="002311BC">
            <w:pPr>
              <w:spacing w:after="0"/>
              <w:jc w:val="center"/>
              <w:rPr>
                <w:rFonts w:eastAsia="Times New Roman" w:cs="Times New Roman"/>
                <w:bCs/>
                <w:sz w:val="22"/>
                <w:szCs w:val="24"/>
                <w:lang w:val="sr-Cyrl-RS" w:eastAsia="sr-Cyrl-RS"/>
              </w:rPr>
            </w:pPr>
            <w:r w:rsidRPr="005E55FA">
              <w:rPr>
                <w:rFonts w:cs="Times New Roman"/>
                <w:sz w:val="22"/>
                <w:lang w:val="sr-Cyrl-RS"/>
              </w:rPr>
              <w:t xml:space="preserve"> </w:t>
            </w:r>
          </w:p>
        </w:tc>
        <w:tc>
          <w:tcPr>
            <w:tcW w:w="474" w:type="pct"/>
            <w:tcBorders>
              <w:top w:val="single" w:sz="4" w:space="0" w:color="002060"/>
              <w:bottom w:val="single" w:sz="4" w:space="0" w:color="002060"/>
            </w:tcBorders>
            <w:shd w:val="clear" w:color="auto" w:fill="auto"/>
            <w:vAlign w:val="center"/>
            <w:hideMark/>
          </w:tcPr>
          <w:p w:rsidR="002311BC" w:rsidRPr="005E55FA" w:rsidRDefault="002311BC" w:rsidP="002311BC">
            <w:pPr>
              <w:spacing w:after="0"/>
              <w:jc w:val="center"/>
              <w:rPr>
                <w:rFonts w:eastAsia="MS PGothic" w:cs="Times New Roman"/>
                <w:sz w:val="22"/>
                <w:lang w:eastAsia="ja-JP"/>
              </w:rPr>
            </w:pPr>
            <w:r w:rsidRPr="005E55FA">
              <w:rPr>
                <w:rFonts w:cs="Times New Roman"/>
                <w:sz w:val="22"/>
              </w:rPr>
              <w:t>Budget 2025*</w:t>
            </w:r>
          </w:p>
        </w:tc>
        <w:tc>
          <w:tcPr>
            <w:tcW w:w="534" w:type="pct"/>
            <w:tcBorders>
              <w:top w:val="single" w:sz="4" w:space="0" w:color="002060"/>
              <w:bottom w:val="single" w:sz="4" w:space="0" w:color="002060"/>
            </w:tcBorders>
            <w:vAlign w:val="center"/>
          </w:tcPr>
          <w:p w:rsidR="002311BC" w:rsidRPr="005E55FA" w:rsidRDefault="002311BC" w:rsidP="005E55FA">
            <w:pPr>
              <w:jc w:val="center"/>
              <w:rPr>
                <w:sz w:val="22"/>
              </w:rPr>
            </w:pPr>
            <w:r w:rsidRPr="005E55FA">
              <w:rPr>
                <w:sz w:val="22"/>
              </w:rPr>
              <w:t>Estimate May 2025</w:t>
            </w:r>
          </w:p>
        </w:tc>
        <w:tc>
          <w:tcPr>
            <w:tcW w:w="534" w:type="pct"/>
            <w:tcBorders>
              <w:top w:val="single" w:sz="4" w:space="0" w:color="002060"/>
              <w:bottom w:val="single" w:sz="4" w:space="0" w:color="002060"/>
            </w:tcBorders>
            <w:vAlign w:val="center"/>
          </w:tcPr>
          <w:p w:rsidR="002311BC" w:rsidRPr="005E55FA" w:rsidRDefault="002311BC" w:rsidP="005E55FA">
            <w:pPr>
              <w:jc w:val="center"/>
              <w:rPr>
                <w:sz w:val="22"/>
              </w:rPr>
            </w:pPr>
            <w:r w:rsidRPr="005E55FA">
              <w:rPr>
                <w:sz w:val="22"/>
              </w:rPr>
              <w:t>Estimate October 2025</w:t>
            </w:r>
          </w:p>
        </w:tc>
        <w:tc>
          <w:tcPr>
            <w:tcW w:w="878" w:type="pct"/>
            <w:tcBorders>
              <w:top w:val="single" w:sz="4" w:space="0" w:color="002060"/>
              <w:bottom w:val="single" w:sz="4" w:space="0" w:color="002060"/>
            </w:tcBorders>
            <w:shd w:val="clear" w:color="auto" w:fill="auto"/>
            <w:vAlign w:val="center"/>
            <w:hideMark/>
          </w:tcPr>
          <w:p w:rsidR="002311BC" w:rsidRPr="005E55FA" w:rsidRDefault="002311BC" w:rsidP="002311BC">
            <w:pPr>
              <w:tabs>
                <w:tab w:val="left" w:pos="1457"/>
              </w:tabs>
              <w:jc w:val="center"/>
              <w:rPr>
                <w:sz w:val="22"/>
              </w:rPr>
            </w:pPr>
            <w:r w:rsidRPr="005E55FA">
              <w:rPr>
                <w:sz w:val="22"/>
              </w:rPr>
              <w:t>Diff new estimate/budget</w:t>
            </w:r>
          </w:p>
        </w:tc>
        <w:tc>
          <w:tcPr>
            <w:tcW w:w="392" w:type="pct"/>
            <w:tcBorders>
              <w:top w:val="single" w:sz="4" w:space="0" w:color="002060"/>
              <w:bottom w:val="single" w:sz="4" w:space="0" w:color="002060"/>
            </w:tcBorders>
            <w:shd w:val="clear" w:color="auto" w:fill="auto"/>
            <w:vAlign w:val="center"/>
            <w:hideMark/>
          </w:tcPr>
          <w:p w:rsidR="002311BC" w:rsidRPr="005E55FA" w:rsidRDefault="002311BC" w:rsidP="003276C9">
            <w:pPr>
              <w:jc w:val="center"/>
              <w:rPr>
                <w:sz w:val="22"/>
              </w:rPr>
            </w:pPr>
            <w:r w:rsidRPr="005E55FA">
              <w:rPr>
                <w:sz w:val="22"/>
              </w:rPr>
              <w:t>% diff</w:t>
            </w:r>
          </w:p>
        </w:tc>
        <w:tc>
          <w:tcPr>
            <w:tcW w:w="514" w:type="pct"/>
            <w:tcBorders>
              <w:top w:val="single" w:sz="4" w:space="0" w:color="002060"/>
              <w:bottom w:val="single" w:sz="4" w:space="0" w:color="002060"/>
            </w:tcBorders>
            <w:shd w:val="clear" w:color="auto" w:fill="auto"/>
            <w:vAlign w:val="center"/>
            <w:hideMark/>
          </w:tcPr>
          <w:p w:rsidR="002311BC" w:rsidRPr="005E55FA" w:rsidRDefault="002311BC" w:rsidP="005E55FA">
            <w:pPr>
              <w:jc w:val="center"/>
              <w:rPr>
                <w:sz w:val="22"/>
              </w:rPr>
            </w:pPr>
            <w:r w:rsidRPr="005E55FA">
              <w:rPr>
                <w:sz w:val="22"/>
              </w:rPr>
              <w:t>2025 new estimate % GDP</w:t>
            </w:r>
          </w:p>
        </w:tc>
      </w:tr>
      <w:tr w:rsidR="002311BC" w:rsidRPr="00002D92" w:rsidTr="00437061">
        <w:trPr>
          <w:trHeight w:val="204"/>
          <w:jc w:val="center"/>
        </w:trPr>
        <w:tc>
          <w:tcPr>
            <w:tcW w:w="1571" w:type="pct"/>
            <w:shd w:val="clear" w:color="auto" w:fill="E7E6E6" w:themeFill="background2"/>
            <w:noWrap/>
            <w:hideMark/>
          </w:tcPr>
          <w:p w:rsidR="005918D2" w:rsidRPr="005E55FA" w:rsidRDefault="005E55FA" w:rsidP="00EA7C4B">
            <w:pPr>
              <w:spacing w:after="0"/>
              <w:jc w:val="left"/>
              <w:rPr>
                <w:rFonts w:cs="Times New Roman"/>
                <w:sz w:val="22"/>
                <w:szCs w:val="24"/>
              </w:rPr>
            </w:pPr>
            <w:r w:rsidRPr="005E55FA">
              <w:rPr>
                <w:rFonts w:cs="Times New Roman"/>
                <w:sz w:val="22"/>
              </w:rPr>
              <w:t>PUBLIC REVENUES</w:t>
            </w:r>
          </w:p>
        </w:tc>
        <w:tc>
          <w:tcPr>
            <w:tcW w:w="577" w:type="pct"/>
            <w:gridSpan w:val="2"/>
            <w:tcBorders>
              <w:top w:val="single" w:sz="4" w:space="0" w:color="002060"/>
            </w:tcBorders>
            <w:shd w:val="clear" w:color="auto" w:fill="E7E6E6" w:themeFill="background2"/>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4.233,4</w:t>
            </w:r>
          </w:p>
        </w:tc>
        <w:tc>
          <w:tcPr>
            <w:tcW w:w="534" w:type="pct"/>
            <w:tcBorders>
              <w:top w:val="single" w:sz="4" w:space="0" w:color="002060"/>
            </w:tcBorders>
            <w:shd w:val="clear" w:color="auto" w:fill="E7E6E6" w:themeFill="background2"/>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4.227,3</w:t>
            </w:r>
          </w:p>
        </w:tc>
        <w:tc>
          <w:tcPr>
            <w:tcW w:w="534" w:type="pct"/>
            <w:tcBorders>
              <w:top w:val="single" w:sz="4" w:space="0" w:color="002060"/>
            </w:tcBorders>
            <w:shd w:val="clear" w:color="auto" w:fill="E7E6E6" w:themeFill="background2"/>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4.244,2</w:t>
            </w:r>
          </w:p>
        </w:tc>
        <w:tc>
          <w:tcPr>
            <w:tcW w:w="878" w:type="pct"/>
            <w:tcBorders>
              <w:top w:val="single" w:sz="4" w:space="0" w:color="002060"/>
            </w:tcBorders>
            <w:shd w:val="clear" w:color="auto" w:fill="E7E6E6" w:themeFill="background2"/>
            <w:hideMark/>
          </w:tcPr>
          <w:p w:rsidR="005918D2" w:rsidRPr="005E55FA" w:rsidRDefault="005918D2" w:rsidP="002311BC">
            <w:pPr>
              <w:spacing w:after="0"/>
              <w:jc w:val="center"/>
              <w:rPr>
                <w:rFonts w:eastAsia="MS PGothic" w:cs="Times New Roman"/>
                <w:sz w:val="22"/>
                <w:szCs w:val="24"/>
                <w:lang w:eastAsia="ja-JP"/>
              </w:rPr>
            </w:pPr>
            <w:r w:rsidRPr="005E55FA">
              <w:rPr>
                <w:rFonts w:cs="Times New Roman"/>
                <w:sz w:val="22"/>
              </w:rPr>
              <w:t>10,7</w:t>
            </w:r>
          </w:p>
        </w:tc>
        <w:tc>
          <w:tcPr>
            <w:tcW w:w="392" w:type="pct"/>
            <w:tcBorders>
              <w:top w:val="single" w:sz="4" w:space="0" w:color="002060"/>
            </w:tcBorders>
            <w:shd w:val="clear" w:color="auto" w:fill="E7E6E6" w:themeFill="background2"/>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0,3</w:t>
            </w:r>
          </w:p>
        </w:tc>
        <w:tc>
          <w:tcPr>
            <w:tcW w:w="514" w:type="pct"/>
            <w:tcBorders>
              <w:top w:val="single" w:sz="4" w:space="0" w:color="002060"/>
            </w:tcBorders>
            <w:shd w:val="clear" w:color="auto" w:fill="E7E6E6" w:themeFill="background2"/>
            <w:noWrap/>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40,9</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Current revenues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4.195,1</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4.189,0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4.205,9</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10,7</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0,3</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40,5</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Tax revenues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3.750,0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3.745,8</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3.750,6</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0,6</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0,0</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36,1</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Personal income tax</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427,0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436,8</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434,3</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7,3</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1,7</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4,2</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Corporate income tax</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287,4</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285,4</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288,8</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1,3</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0,5</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2,8</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VAT</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1.056,0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1.018,0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1.002,0</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-54,0</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-5,1</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9,7</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Excises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420,0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426,0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435,3</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15,3</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3,6</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4,2</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Customs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95,3</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95,3</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93,4</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-1,9</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-2,0</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0,9</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Other tax revenues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119,7</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119,7</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124,7</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5,0</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4,2</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1,2</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Contributions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1.344,6</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1.364,6</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1.372,2</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27,6</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2,1</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13,2</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Non-tax revenues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445,1</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443,2</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455,2</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10,1</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2,3</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4,4</w:t>
            </w:r>
          </w:p>
        </w:tc>
      </w:tr>
      <w:tr w:rsidR="005E55FA" w:rsidRPr="00002D92" w:rsidTr="00461A45">
        <w:trPr>
          <w:trHeight w:val="204"/>
          <w:jc w:val="center"/>
        </w:trPr>
        <w:tc>
          <w:tcPr>
            <w:tcW w:w="1673" w:type="pct"/>
            <w:gridSpan w:val="2"/>
            <w:shd w:val="clear" w:color="auto" w:fill="auto"/>
            <w:noWrap/>
            <w:vAlign w:val="center"/>
            <w:hideMark/>
          </w:tcPr>
          <w:p w:rsidR="005918D2" w:rsidRPr="005E55FA" w:rsidRDefault="005E55FA" w:rsidP="00EA7C4B">
            <w:pPr>
              <w:spacing w:after="0"/>
              <w:jc w:val="left"/>
              <w:rPr>
                <w:rFonts w:eastAsia="MS PGothic" w:cs="Times New Roman"/>
                <w:sz w:val="22"/>
                <w:szCs w:val="24"/>
                <w:lang w:eastAsia="ja-JP"/>
              </w:rPr>
            </w:pPr>
            <w:r w:rsidRPr="005E55FA">
              <w:rPr>
                <w:rFonts w:cs="Times New Roman"/>
                <w:sz w:val="22"/>
              </w:rPr>
              <w:lastRenderedPageBreak/>
              <w:t>Grants</w:t>
            </w:r>
          </w:p>
        </w:tc>
        <w:tc>
          <w:tcPr>
            <w:tcW w:w="474" w:type="pct"/>
            <w:shd w:val="clear" w:color="auto" w:fill="auto"/>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38,3</w:t>
            </w:r>
          </w:p>
        </w:tc>
        <w:tc>
          <w:tcPr>
            <w:tcW w:w="534" w:type="pct"/>
            <w:vAlign w:val="center"/>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38,3</w:t>
            </w:r>
          </w:p>
        </w:tc>
        <w:tc>
          <w:tcPr>
            <w:tcW w:w="534" w:type="pct"/>
            <w:vAlign w:val="center"/>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38,3</w:t>
            </w:r>
          </w:p>
        </w:tc>
        <w:tc>
          <w:tcPr>
            <w:tcW w:w="878" w:type="pct"/>
            <w:shd w:val="clear" w:color="auto" w:fill="auto"/>
            <w:vAlign w:val="center"/>
            <w:hideMark/>
          </w:tcPr>
          <w:p w:rsidR="005918D2" w:rsidRPr="005E55FA" w:rsidRDefault="005918D2" w:rsidP="005E55FA">
            <w:pPr>
              <w:spacing w:after="0"/>
              <w:jc w:val="center"/>
              <w:rPr>
                <w:rFonts w:eastAsia="MS PGothic" w:cs="Times New Roman"/>
                <w:sz w:val="22"/>
                <w:szCs w:val="24"/>
                <w:lang w:eastAsia="ja-JP"/>
              </w:rPr>
            </w:pPr>
            <w:r w:rsidRPr="005E55FA">
              <w:rPr>
                <w:rFonts w:cs="Times New Roman"/>
                <w:sz w:val="22"/>
              </w:rPr>
              <w:t>0,0</w:t>
            </w:r>
          </w:p>
        </w:tc>
        <w:tc>
          <w:tcPr>
            <w:tcW w:w="392" w:type="pct"/>
            <w:shd w:val="clear" w:color="auto" w:fill="auto"/>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0,0</w:t>
            </w:r>
          </w:p>
        </w:tc>
        <w:tc>
          <w:tcPr>
            <w:tcW w:w="514" w:type="pct"/>
            <w:shd w:val="clear" w:color="auto" w:fill="auto"/>
            <w:noWrap/>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0,4</w:t>
            </w:r>
          </w:p>
        </w:tc>
      </w:tr>
      <w:tr w:rsidR="002311BC" w:rsidRPr="00002D92" w:rsidTr="00461A45">
        <w:trPr>
          <w:trHeight w:val="157"/>
          <w:jc w:val="center"/>
        </w:trPr>
        <w:tc>
          <w:tcPr>
            <w:tcW w:w="1673" w:type="pct"/>
            <w:gridSpan w:val="2"/>
            <w:shd w:val="clear" w:color="auto" w:fill="E7E6E6" w:themeFill="background2"/>
            <w:noWrap/>
            <w:vAlign w:val="center"/>
            <w:hideMark/>
          </w:tcPr>
          <w:p w:rsidR="005918D2" w:rsidRPr="005E55FA" w:rsidRDefault="005E55FA" w:rsidP="00EA7C4B">
            <w:pPr>
              <w:spacing w:after="0"/>
              <w:jc w:val="left"/>
              <w:rPr>
                <w:rFonts w:cs="Times New Roman"/>
                <w:sz w:val="22"/>
                <w:szCs w:val="24"/>
              </w:rPr>
            </w:pPr>
            <w:r w:rsidRPr="005E55FA">
              <w:rPr>
                <w:rFonts w:cs="Times New Roman"/>
                <w:sz w:val="22"/>
              </w:rPr>
              <w:t>PUBLIC EXPENDITURE</w:t>
            </w:r>
            <w:r w:rsidR="00112855">
              <w:rPr>
                <w:rFonts w:cs="Times New Roman"/>
                <w:sz w:val="22"/>
              </w:rPr>
              <w:t>S</w:t>
            </w:r>
          </w:p>
        </w:tc>
        <w:tc>
          <w:tcPr>
            <w:tcW w:w="474" w:type="pct"/>
            <w:shd w:val="clear" w:color="auto" w:fill="E7E6E6" w:themeFill="background2"/>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4.547,4</w:t>
            </w:r>
          </w:p>
        </w:tc>
        <w:tc>
          <w:tcPr>
            <w:tcW w:w="534" w:type="pct"/>
            <w:shd w:val="clear" w:color="auto" w:fill="E7E6E6" w:themeFill="background2"/>
            <w:vAlign w:val="center"/>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4.541,3</w:t>
            </w:r>
          </w:p>
        </w:tc>
        <w:tc>
          <w:tcPr>
            <w:tcW w:w="534" w:type="pct"/>
            <w:shd w:val="clear" w:color="auto" w:fill="E7E6E6" w:themeFill="background2"/>
            <w:vAlign w:val="center"/>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4.558,1</w:t>
            </w:r>
          </w:p>
        </w:tc>
        <w:tc>
          <w:tcPr>
            <w:tcW w:w="878" w:type="pct"/>
            <w:shd w:val="clear" w:color="auto" w:fill="E7E6E6" w:themeFill="background2"/>
            <w:vAlign w:val="center"/>
            <w:hideMark/>
          </w:tcPr>
          <w:p w:rsidR="005918D2" w:rsidRPr="005E55FA" w:rsidRDefault="005918D2" w:rsidP="005E55FA">
            <w:pPr>
              <w:spacing w:after="0"/>
              <w:jc w:val="center"/>
              <w:rPr>
                <w:rFonts w:eastAsia="MS PGothic" w:cs="Times New Roman"/>
                <w:sz w:val="22"/>
                <w:szCs w:val="24"/>
                <w:lang w:eastAsia="ja-JP"/>
              </w:rPr>
            </w:pPr>
            <w:r w:rsidRPr="005E55FA">
              <w:rPr>
                <w:rFonts w:cs="Times New Roman"/>
                <w:sz w:val="22"/>
              </w:rPr>
              <w:t>10,7</w:t>
            </w:r>
          </w:p>
        </w:tc>
        <w:tc>
          <w:tcPr>
            <w:tcW w:w="392" w:type="pct"/>
            <w:shd w:val="clear" w:color="auto" w:fill="E7E6E6" w:themeFill="background2"/>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0,2</w:t>
            </w:r>
          </w:p>
        </w:tc>
        <w:tc>
          <w:tcPr>
            <w:tcW w:w="514" w:type="pct"/>
            <w:shd w:val="clear" w:color="auto" w:fill="E7E6E6" w:themeFill="background2"/>
            <w:noWrap/>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43,9</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Current expenditures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3.743,6</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3.745,8</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3.771,4</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27,8</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0,7</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36,3</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Expenditures for employees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1.006,3</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1.023,3</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1.030,0</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23,7</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2,4</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9,9</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Purchase of goods and services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801,3</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787,3</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773,4</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-27,9</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-3,5</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7,5</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Repayment of interest</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222,7</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222,6</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197,8</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-24,9</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w:t>
            </w:r>
            <w:r>
              <w:rPr>
                <w:rFonts w:cs="Times New Roman"/>
                <w:sz w:val="22"/>
              </w:rPr>
              <w:t>11,2</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1,9</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Subsidies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245,6</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240,7</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245,4</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-0,2</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-0,1</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2,4</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Social assistance and transfers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1.345,7</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1.350,5</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1.390,4</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44,8</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3,3</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13,4</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Of which: pensions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1.042,0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1.042,0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1.044,9</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2,9</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0,3</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10,1</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Other current expenditures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122,0</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121,4</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134,4</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12,4</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10,1</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1,3</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Capital expenditures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758,1</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745,7</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739,8</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-18,3</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-2,4</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7,1</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Net lending</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23,6</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27,7</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24,8</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1,2</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5,0</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0,2</w:t>
            </w:r>
          </w:p>
        </w:tc>
      </w:tr>
      <w:tr w:rsidR="005E55FA" w:rsidRPr="00002D92" w:rsidTr="00461A45">
        <w:trPr>
          <w:trHeight w:val="204"/>
          <w:jc w:val="center"/>
        </w:trPr>
        <w:tc>
          <w:tcPr>
            <w:tcW w:w="1673" w:type="pct"/>
            <w:gridSpan w:val="2"/>
            <w:shd w:val="clear" w:color="auto" w:fill="auto"/>
            <w:noWrap/>
            <w:vAlign w:val="center"/>
            <w:hideMark/>
          </w:tcPr>
          <w:p w:rsidR="005E55FA" w:rsidRPr="005E55FA" w:rsidRDefault="005E55FA" w:rsidP="005E55FA">
            <w:pPr>
              <w:rPr>
                <w:sz w:val="22"/>
              </w:rPr>
            </w:pPr>
            <w:r w:rsidRPr="005E55FA">
              <w:rPr>
                <w:sz w:val="22"/>
              </w:rPr>
              <w:t>Activated guarantees</w:t>
            </w:r>
          </w:p>
        </w:tc>
        <w:tc>
          <w:tcPr>
            <w:tcW w:w="474"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22,1</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22,1</w:t>
            </w:r>
          </w:p>
        </w:tc>
        <w:tc>
          <w:tcPr>
            <w:tcW w:w="534" w:type="pct"/>
            <w:vAlign w:val="center"/>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22,1</w:t>
            </w:r>
          </w:p>
        </w:tc>
        <w:tc>
          <w:tcPr>
            <w:tcW w:w="878" w:type="pct"/>
            <w:shd w:val="clear" w:color="auto" w:fill="auto"/>
            <w:vAlign w:val="center"/>
            <w:hideMark/>
          </w:tcPr>
          <w:p w:rsidR="005E55FA" w:rsidRPr="005E55FA" w:rsidRDefault="005E55FA" w:rsidP="005E55FA">
            <w:pPr>
              <w:spacing w:after="0"/>
              <w:jc w:val="center"/>
              <w:rPr>
                <w:rFonts w:eastAsia="MS PGothic" w:cs="Times New Roman"/>
                <w:sz w:val="22"/>
                <w:szCs w:val="24"/>
                <w:lang w:eastAsia="ja-JP"/>
              </w:rPr>
            </w:pPr>
            <w:r w:rsidRPr="005E55FA">
              <w:rPr>
                <w:rFonts w:cs="Times New Roman"/>
                <w:sz w:val="22"/>
              </w:rPr>
              <w:t>0,0</w:t>
            </w:r>
          </w:p>
        </w:tc>
        <w:tc>
          <w:tcPr>
            <w:tcW w:w="392" w:type="pct"/>
            <w:shd w:val="clear" w:color="auto" w:fill="auto"/>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0,0</w:t>
            </w:r>
          </w:p>
        </w:tc>
        <w:tc>
          <w:tcPr>
            <w:tcW w:w="514" w:type="pct"/>
            <w:shd w:val="clear" w:color="auto" w:fill="auto"/>
            <w:noWrap/>
            <w:vAlign w:val="center"/>
            <w:hideMark/>
          </w:tcPr>
          <w:p w:rsidR="005E55FA" w:rsidRPr="005E55FA" w:rsidRDefault="005E55FA" w:rsidP="005E55FA">
            <w:pPr>
              <w:spacing w:after="0"/>
              <w:jc w:val="right"/>
              <w:rPr>
                <w:rFonts w:eastAsia="MS PGothic" w:cs="Times New Roman"/>
                <w:sz w:val="22"/>
                <w:szCs w:val="24"/>
                <w:lang w:eastAsia="ja-JP"/>
              </w:rPr>
            </w:pPr>
            <w:r w:rsidRPr="005E55FA">
              <w:rPr>
                <w:rFonts w:cs="Times New Roman"/>
                <w:sz w:val="22"/>
              </w:rPr>
              <w:t>0,2</w:t>
            </w:r>
          </w:p>
        </w:tc>
      </w:tr>
      <w:tr w:rsidR="002311BC" w:rsidRPr="00002D92" w:rsidTr="00461A45">
        <w:trPr>
          <w:trHeight w:val="204"/>
          <w:jc w:val="center"/>
        </w:trPr>
        <w:tc>
          <w:tcPr>
            <w:tcW w:w="1673" w:type="pct"/>
            <w:gridSpan w:val="2"/>
            <w:shd w:val="clear" w:color="auto" w:fill="E7E6E6" w:themeFill="background2"/>
            <w:noWrap/>
            <w:vAlign w:val="center"/>
            <w:hideMark/>
          </w:tcPr>
          <w:p w:rsidR="005918D2" w:rsidRPr="005E55FA" w:rsidRDefault="005E55FA" w:rsidP="005E55FA">
            <w:pPr>
              <w:spacing w:after="0"/>
              <w:jc w:val="left"/>
              <w:rPr>
                <w:rFonts w:cs="Times New Roman"/>
                <w:sz w:val="22"/>
                <w:szCs w:val="24"/>
              </w:rPr>
            </w:pPr>
            <w:r w:rsidRPr="005E55FA">
              <w:rPr>
                <w:rFonts w:cs="Times New Roman"/>
                <w:sz w:val="22"/>
              </w:rPr>
              <w:t>Fiscal result</w:t>
            </w:r>
          </w:p>
        </w:tc>
        <w:tc>
          <w:tcPr>
            <w:tcW w:w="474" w:type="pct"/>
            <w:shd w:val="clear" w:color="auto" w:fill="E7E6E6" w:themeFill="background2"/>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-314,0</w:t>
            </w:r>
          </w:p>
        </w:tc>
        <w:tc>
          <w:tcPr>
            <w:tcW w:w="534" w:type="pct"/>
            <w:shd w:val="clear" w:color="auto" w:fill="E7E6E6" w:themeFill="background2"/>
            <w:vAlign w:val="center"/>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-314,0</w:t>
            </w:r>
          </w:p>
        </w:tc>
        <w:tc>
          <w:tcPr>
            <w:tcW w:w="534" w:type="pct"/>
            <w:shd w:val="clear" w:color="auto" w:fill="E7E6E6" w:themeFill="background2"/>
            <w:vAlign w:val="center"/>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-314,0</w:t>
            </w:r>
          </w:p>
        </w:tc>
        <w:tc>
          <w:tcPr>
            <w:tcW w:w="878" w:type="pct"/>
            <w:shd w:val="clear" w:color="auto" w:fill="E7E6E6" w:themeFill="background2"/>
            <w:vAlign w:val="center"/>
            <w:hideMark/>
          </w:tcPr>
          <w:p w:rsidR="005918D2" w:rsidRPr="005E55FA" w:rsidRDefault="005918D2" w:rsidP="005E55FA">
            <w:pPr>
              <w:spacing w:after="0"/>
              <w:jc w:val="center"/>
              <w:rPr>
                <w:rFonts w:eastAsia="MS PGothic" w:cs="Times New Roman"/>
                <w:sz w:val="22"/>
                <w:szCs w:val="24"/>
                <w:lang w:eastAsia="ja-JP"/>
              </w:rPr>
            </w:pPr>
            <w:r w:rsidRPr="005E55FA">
              <w:rPr>
                <w:rFonts w:cs="Times New Roman"/>
                <w:sz w:val="22"/>
              </w:rPr>
              <w:t>0,0</w:t>
            </w:r>
          </w:p>
        </w:tc>
        <w:tc>
          <w:tcPr>
            <w:tcW w:w="392" w:type="pct"/>
            <w:shd w:val="clear" w:color="auto" w:fill="E7E6E6" w:themeFill="background2"/>
            <w:vAlign w:val="center"/>
            <w:hideMark/>
          </w:tcPr>
          <w:p w:rsidR="005918D2" w:rsidRPr="005E55FA" w:rsidRDefault="005918D2" w:rsidP="00EA7C4B">
            <w:pPr>
              <w:spacing w:after="0"/>
              <w:jc w:val="right"/>
              <w:rPr>
                <w:rFonts w:eastAsia="MS PGothic" w:cs="Times New Roman"/>
                <w:sz w:val="22"/>
                <w:szCs w:val="24"/>
                <w:lang w:eastAsia="ja-JP"/>
              </w:rPr>
            </w:pPr>
          </w:p>
        </w:tc>
        <w:tc>
          <w:tcPr>
            <w:tcW w:w="514" w:type="pct"/>
            <w:shd w:val="clear" w:color="auto" w:fill="E7E6E6" w:themeFill="background2"/>
            <w:noWrap/>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-3,0</w:t>
            </w:r>
          </w:p>
        </w:tc>
      </w:tr>
      <w:tr w:rsidR="005E55FA" w:rsidRPr="00002D92" w:rsidTr="00461A45">
        <w:trPr>
          <w:trHeight w:val="204"/>
          <w:jc w:val="center"/>
        </w:trPr>
        <w:tc>
          <w:tcPr>
            <w:tcW w:w="1673" w:type="pct"/>
            <w:gridSpan w:val="2"/>
            <w:tcBorders>
              <w:bottom w:val="single" w:sz="4" w:space="0" w:color="002060"/>
            </w:tcBorders>
            <w:shd w:val="clear" w:color="auto" w:fill="auto"/>
            <w:noWrap/>
            <w:vAlign w:val="center"/>
            <w:hideMark/>
          </w:tcPr>
          <w:p w:rsidR="005918D2" w:rsidRPr="005E55FA" w:rsidRDefault="005E55FA" w:rsidP="00EA7C4B">
            <w:pPr>
              <w:spacing w:after="0"/>
              <w:jc w:val="left"/>
              <w:rPr>
                <w:rFonts w:cs="Times New Roman"/>
                <w:sz w:val="22"/>
                <w:szCs w:val="24"/>
              </w:rPr>
            </w:pPr>
            <w:r w:rsidRPr="005E55FA">
              <w:rPr>
                <w:rFonts w:cs="Times New Roman"/>
                <w:sz w:val="22"/>
              </w:rPr>
              <w:t>Fiscal result, % GDP</w:t>
            </w:r>
            <w:r w:rsidR="005918D2" w:rsidRPr="005E55FA">
              <w:rPr>
                <w:rFonts w:cs="Times New Roman"/>
                <w:sz w:val="22"/>
              </w:rPr>
              <w:t>*</w:t>
            </w:r>
          </w:p>
        </w:tc>
        <w:tc>
          <w:tcPr>
            <w:tcW w:w="474" w:type="pct"/>
            <w:tcBorders>
              <w:bottom w:val="single" w:sz="4" w:space="0" w:color="002060"/>
            </w:tcBorders>
            <w:shd w:val="clear" w:color="auto" w:fill="auto"/>
            <w:vAlign w:val="center"/>
            <w:hideMark/>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-3,0</w:t>
            </w:r>
          </w:p>
        </w:tc>
        <w:tc>
          <w:tcPr>
            <w:tcW w:w="534" w:type="pct"/>
            <w:tcBorders>
              <w:bottom w:val="single" w:sz="4" w:space="0" w:color="002060"/>
            </w:tcBorders>
            <w:vAlign w:val="center"/>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-3,0</w:t>
            </w:r>
          </w:p>
        </w:tc>
        <w:tc>
          <w:tcPr>
            <w:tcW w:w="534" w:type="pct"/>
            <w:tcBorders>
              <w:bottom w:val="single" w:sz="4" w:space="0" w:color="002060"/>
            </w:tcBorders>
            <w:vAlign w:val="center"/>
          </w:tcPr>
          <w:p w:rsidR="005918D2" w:rsidRPr="005E55FA" w:rsidRDefault="005918D2" w:rsidP="00EA7C4B">
            <w:pPr>
              <w:spacing w:after="0"/>
              <w:jc w:val="right"/>
              <w:rPr>
                <w:rFonts w:eastAsia="MS PGothic" w:cs="Times New Roman"/>
                <w:sz w:val="22"/>
                <w:szCs w:val="24"/>
                <w:lang w:eastAsia="ja-JP"/>
              </w:rPr>
            </w:pPr>
            <w:r w:rsidRPr="005E55FA">
              <w:rPr>
                <w:rFonts w:cs="Times New Roman"/>
                <w:sz w:val="22"/>
              </w:rPr>
              <w:t>-3,0</w:t>
            </w:r>
          </w:p>
        </w:tc>
        <w:tc>
          <w:tcPr>
            <w:tcW w:w="878" w:type="pct"/>
            <w:tcBorders>
              <w:bottom w:val="single" w:sz="4" w:space="0" w:color="002060"/>
            </w:tcBorders>
            <w:shd w:val="clear" w:color="auto" w:fill="auto"/>
            <w:vAlign w:val="center"/>
            <w:hideMark/>
          </w:tcPr>
          <w:p w:rsidR="005918D2" w:rsidRPr="005E55FA" w:rsidRDefault="005918D2" w:rsidP="005E55FA">
            <w:pPr>
              <w:spacing w:after="0"/>
              <w:jc w:val="center"/>
              <w:rPr>
                <w:rFonts w:eastAsia="MS PGothic" w:cs="Times New Roman"/>
                <w:sz w:val="22"/>
                <w:szCs w:val="24"/>
                <w:lang w:eastAsia="ja-JP"/>
              </w:rPr>
            </w:pPr>
            <w:r w:rsidRPr="005E55FA">
              <w:rPr>
                <w:rFonts w:cs="Times New Roman"/>
                <w:sz w:val="22"/>
              </w:rPr>
              <w:t>0,0</w:t>
            </w:r>
          </w:p>
        </w:tc>
        <w:tc>
          <w:tcPr>
            <w:tcW w:w="392" w:type="pct"/>
            <w:tcBorders>
              <w:bottom w:val="single" w:sz="4" w:space="0" w:color="002060"/>
            </w:tcBorders>
            <w:shd w:val="clear" w:color="auto" w:fill="auto"/>
            <w:vAlign w:val="center"/>
            <w:hideMark/>
          </w:tcPr>
          <w:p w:rsidR="005918D2" w:rsidRPr="005E55FA" w:rsidRDefault="005918D2" w:rsidP="00EA7C4B">
            <w:pPr>
              <w:spacing w:after="0"/>
              <w:ind w:right="284"/>
              <w:jc w:val="right"/>
              <w:rPr>
                <w:rFonts w:eastAsia="MS PGothic" w:cs="Times New Roman"/>
                <w:sz w:val="22"/>
                <w:szCs w:val="24"/>
                <w:lang w:eastAsia="ja-JP"/>
              </w:rPr>
            </w:pPr>
          </w:p>
        </w:tc>
        <w:tc>
          <w:tcPr>
            <w:tcW w:w="514" w:type="pct"/>
            <w:tcBorders>
              <w:bottom w:val="single" w:sz="4" w:space="0" w:color="002060"/>
            </w:tcBorders>
            <w:shd w:val="clear" w:color="auto" w:fill="auto"/>
            <w:vAlign w:val="center"/>
            <w:hideMark/>
          </w:tcPr>
          <w:p w:rsidR="005918D2" w:rsidRPr="005E55FA" w:rsidRDefault="005918D2" w:rsidP="00EA7C4B">
            <w:pPr>
              <w:spacing w:after="0"/>
              <w:ind w:right="284"/>
              <w:jc w:val="right"/>
              <w:rPr>
                <w:rFonts w:eastAsia="MS PGothic" w:cs="Times New Roman"/>
                <w:sz w:val="22"/>
                <w:szCs w:val="24"/>
                <w:lang w:eastAsia="ja-JP"/>
              </w:rPr>
            </w:pPr>
          </w:p>
        </w:tc>
      </w:tr>
    </w:tbl>
    <w:p w:rsidR="005E55FA" w:rsidRPr="00BE5096" w:rsidRDefault="005E55FA" w:rsidP="005E55FA">
      <w:pPr>
        <w:spacing w:before="40" w:after="0"/>
        <w:rPr>
          <w:rFonts w:eastAsia="Calibri" w:cs="Times New Roman"/>
          <w:bCs/>
          <w:sz w:val="22"/>
          <w:szCs w:val="24"/>
          <w:lang w:val="sr-Cyrl-RS" w:eastAsia="ja-JP"/>
        </w:rPr>
      </w:pPr>
      <w:r w:rsidRPr="00BE5096">
        <w:rPr>
          <w:rFonts w:eastAsia="Calibri" w:cs="Times New Roman"/>
          <w:bCs/>
          <w:sz w:val="22"/>
          <w:szCs w:val="24"/>
          <w:lang w:val="sr-Cyrl-RS" w:eastAsia="ja-JP"/>
        </w:rPr>
        <w:t>Source: Ministry of Finance</w:t>
      </w:r>
    </w:p>
    <w:p w:rsidR="005E55FA" w:rsidRPr="00BE5096" w:rsidRDefault="005918D2" w:rsidP="005E55FA">
      <w:pPr>
        <w:spacing w:before="40" w:after="0"/>
        <w:rPr>
          <w:rFonts w:cs="Times New Roman"/>
          <w:sz w:val="22"/>
          <w:szCs w:val="24"/>
          <w:lang w:val="sr-Cyrl-RS"/>
        </w:rPr>
      </w:pPr>
      <w:r w:rsidRPr="003276C9">
        <w:rPr>
          <w:rFonts w:cs="Times New Roman"/>
          <w:i/>
          <w:sz w:val="22"/>
          <w:szCs w:val="24"/>
          <w:lang w:val="sr-Cyrl-RS"/>
        </w:rPr>
        <w:t xml:space="preserve">* </w:t>
      </w:r>
      <w:r w:rsidR="005E55FA" w:rsidRPr="00BE5096">
        <w:rPr>
          <w:rFonts w:cs="Times New Roman"/>
          <w:sz w:val="22"/>
          <w:szCs w:val="24"/>
          <w:lang w:val="sr-Cyrl-RS"/>
        </w:rPr>
        <w:t xml:space="preserve">The original budget for 2025 has been adjusted for the purposes of comparability with the new estimate for the current year, by including </w:t>
      </w:r>
    </w:p>
    <w:p w:rsidR="005E55FA" w:rsidRPr="00BE5096" w:rsidRDefault="005E55FA" w:rsidP="005E55FA">
      <w:pPr>
        <w:spacing w:before="40" w:after="0"/>
        <w:rPr>
          <w:rFonts w:cs="Times New Roman"/>
          <w:sz w:val="22"/>
          <w:szCs w:val="24"/>
          <w:lang w:val="sr-Cyrl-RS"/>
        </w:rPr>
      </w:pPr>
      <w:r w:rsidRPr="00BE5096">
        <w:rPr>
          <w:rFonts w:cs="Times New Roman"/>
          <w:sz w:val="22"/>
          <w:szCs w:val="24"/>
          <w:lang w:val="sr-Cyrl-RS"/>
        </w:rPr>
        <w:t xml:space="preserve">amounts resulting from the expanded scope of the general government sector, which pertains to the inclusion and reporting of own resources </w:t>
      </w:r>
    </w:p>
    <w:p w:rsidR="005918D2" w:rsidRPr="00BE5096" w:rsidRDefault="005E55FA" w:rsidP="005E55FA">
      <w:pPr>
        <w:spacing w:before="40" w:after="0"/>
        <w:rPr>
          <w:rFonts w:eastAsia="Calibri" w:cs="Times New Roman"/>
          <w:sz w:val="22"/>
          <w:szCs w:val="24"/>
          <w:lang w:val="sr-Cyrl-RS"/>
        </w:rPr>
      </w:pPr>
      <w:r w:rsidRPr="00BE5096">
        <w:rPr>
          <w:rFonts w:cs="Times New Roman"/>
          <w:sz w:val="22"/>
          <w:szCs w:val="24"/>
          <w:lang w:val="sr-Cyrl-RS"/>
        </w:rPr>
        <w:t>(revenues and expenditures) of extrabudgetary users (public agencies and institutes). The total amount of these funds is 32.3 billion dinars on both the revenue and expenditure sides.</w:t>
      </w:r>
    </w:p>
    <w:p w:rsidR="006175F9" w:rsidRPr="00002D92" w:rsidRDefault="006175F9" w:rsidP="00BD5AEF">
      <w:pPr>
        <w:keepLines/>
        <w:widowControl w:val="0"/>
        <w:spacing w:after="0"/>
        <w:rPr>
          <w:rFonts w:eastAsia="MS PGothic" w:cs="Times New Roman"/>
          <w:szCs w:val="24"/>
          <w:lang w:val="sr-Cyrl-RS" w:eastAsia="ja-JP"/>
        </w:rPr>
      </w:pPr>
    </w:p>
    <w:p w:rsidR="003E6BD7" w:rsidRDefault="003E6BD7" w:rsidP="00796BB7">
      <w:pPr>
        <w:keepNext/>
        <w:keepLines/>
        <w:rPr>
          <w:rFonts w:cs="Times New Roman"/>
          <w:bCs/>
          <w:szCs w:val="24"/>
          <w:lang w:val="sr-Cyrl-RS" w:eastAsia="ja-JP"/>
        </w:rPr>
      </w:pPr>
      <w:r w:rsidRPr="003E6BD7">
        <w:rPr>
          <w:rFonts w:cs="Times New Roman"/>
          <w:bCs/>
          <w:szCs w:val="24"/>
          <w:lang w:val="sr-Cyrl-RS" w:eastAsia="ja-JP"/>
        </w:rPr>
        <w:t>In line with fiscal developments observed so far in the year, the projection of total general government revenues for 2025 has been increased by RSD 10.7 billion, representing a 0.3% rise compared to the previously adopted fiscal framework. Although the overall amount has been adjusted only slightly, significant changes have been made in the revenue structure.</w:t>
      </w:r>
    </w:p>
    <w:p w:rsidR="009E1258" w:rsidRDefault="009E1258" w:rsidP="005918D2">
      <w:pPr>
        <w:keepLines/>
        <w:widowControl w:val="0"/>
        <w:rPr>
          <w:rFonts w:cs="Times New Roman"/>
          <w:bCs/>
          <w:szCs w:val="24"/>
          <w:lang w:val="sr-Cyrl-RS" w:eastAsia="ja-JP"/>
        </w:rPr>
      </w:pPr>
      <w:r w:rsidRPr="009E1258">
        <w:rPr>
          <w:rFonts w:cs="Times New Roman"/>
          <w:bCs/>
          <w:szCs w:val="24"/>
          <w:lang w:val="sr-Cyrl-RS" w:eastAsia="ja-JP"/>
        </w:rPr>
        <w:t>Taxes on income, including social security contributions, have been revised upward, as have excises, while the largest negative deviation was recorded in VAT revenues — representing both the most significant absolute and relative downward correction among all revenue categories.</w:t>
      </w:r>
    </w:p>
    <w:p w:rsidR="009E1258" w:rsidRPr="009E1258" w:rsidRDefault="009E1258" w:rsidP="009E1258">
      <w:pPr>
        <w:keepLines/>
        <w:widowControl w:val="0"/>
        <w:rPr>
          <w:rFonts w:eastAsia="MS PGothic" w:cs="Times New Roman"/>
          <w:szCs w:val="24"/>
          <w:lang w:val="sr-Cyrl-RS" w:eastAsia="ja-JP"/>
        </w:rPr>
      </w:pPr>
      <w:r w:rsidRPr="009E1258">
        <w:rPr>
          <w:rFonts w:eastAsia="MS PGothic" w:cs="Times New Roman"/>
          <w:szCs w:val="24"/>
          <w:lang w:val="sr-Cyrl-RS" w:eastAsia="ja-JP"/>
        </w:rPr>
        <w:t>Non-tax revenues have been increased compared to the previous projection, mainly due to changes in the timing and expectations regarding certain extraordinary non-tax inflows.</w:t>
      </w:r>
    </w:p>
    <w:p w:rsidR="009E1258" w:rsidRPr="009E1258" w:rsidRDefault="009E1258" w:rsidP="009E1258">
      <w:pPr>
        <w:keepLines/>
        <w:widowControl w:val="0"/>
        <w:rPr>
          <w:rFonts w:eastAsia="MS PGothic" w:cs="Times New Roman"/>
          <w:szCs w:val="24"/>
          <w:lang w:val="sr-Cyrl-RS" w:eastAsia="ja-JP"/>
        </w:rPr>
      </w:pPr>
      <w:r w:rsidRPr="009E1258">
        <w:rPr>
          <w:rFonts w:eastAsia="MS PGothic" w:cs="Times New Roman"/>
          <w:szCs w:val="24"/>
          <w:lang w:val="sr-Cyrl-RS" w:eastAsia="ja-JP"/>
        </w:rPr>
        <w:t>The key factors influencing the revision of the revenue levels and structure include:</w:t>
      </w:r>
    </w:p>
    <w:p w:rsidR="009E1258" w:rsidRPr="009E1258" w:rsidRDefault="009E1258" w:rsidP="009E1258">
      <w:pPr>
        <w:keepLines/>
        <w:widowControl w:val="0"/>
        <w:rPr>
          <w:rFonts w:eastAsia="MS PGothic" w:cs="Times New Roman"/>
          <w:szCs w:val="24"/>
          <w:lang w:val="sr-Cyrl-RS" w:eastAsia="ja-JP"/>
        </w:rPr>
      </w:pPr>
      <w:r w:rsidRPr="009E1258">
        <w:rPr>
          <w:rFonts w:eastAsia="MS PGothic" w:cs="Times New Roman"/>
          <w:szCs w:val="24"/>
          <w:lang w:val="sr-Cyrl-RS" w:eastAsia="ja-JP"/>
        </w:rPr>
        <w:t>• realization of revenues at the end of 2024 (base effect) and during the period January–September 2025;</w:t>
      </w:r>
    </w:p>
    <w:p w:rsidR="009E1258" w:rsidRPr="009E1258" w:rsidRDefault="009E1258" w:rsidP="009E1258">
      <w:pPr>
        <w:keepLines/>
        <w:widowControl w:val="0"/>
        <w:rPr>
          <w:rFonts w:eastAsia="MS PGothic" w:cs="Times New Roman"/>
          <w:szCs w:val="24"/>
          <w:lang w:val="sr-Cyrl-RS" w:eastAsia="ja-JP"/>
        </w:rPr>
      </w:pPr>
      <w:r w:rsidRPr="009E1258">
        <w:rPr>
          <w:rFonts w:eastAsia="MS PGothic" w:cs="Times New Roman"/>
          <w:szCs w:val="24"/>
          <w:lang w:val="sr-Cyrl-RS" w:eastAsia="ja-JP"/>
        </w:rPr>
        <w:t>• slower growth of private consumption compared to expectations;</w:t>
      </w:r>
    </w:p>
    <w:p w:rsidR="009E1258" w:rsidRPr="009E1258" w:rsidRDefault="009E1258" w:rsidP="009E1258">
      <w:pPr>
        <w:keepLines/>
        <w:widowControl w:val="0"/>
        <w:rPr>
          <w:rFonts w:eastAsia="MS PGothic" w:cs="Times New Roman"/>
          <w:szCs w:val="24"/>
          <w:lang w:val="sr-Cyrl-RS" w:eastAsia="ja-JP"/>
        </w:rPr>
      </w:pPr>
      <w:r w:rsidRPr="009E1258">
        <w:rPr>
          <w:rFonts w:eastAsia="MS PGothic" w:cs="Times New Roman"/>
          <w:szCs w:val="24"/>
          <w:lang w:val="sr-Cyrl-RS" w:eastAsia="ja-JP"/>
        </w:rPr>
        <w:t>• more favorable developments in the labor market;</w:t>
      </w:r>
    </w:p>
    <w:p w:rsidR="009E1258" w:rsidRDefault="009E1258" w:rsidP="009E1258">
      <w:pPr>
        <w:keepLines/>
        <w:widowControl w:val="0"/>
        <w:rPr>
          <w:rFonts w:eastAsia="MS PGothic" w:cs="Times New Roman"/>
          <w:szCs w:val="24"/>
          <w:lang w:val="sr-Cyrl-RS" w:eastAsia="ja-JP"/>
        </w:rPr>
      </w:pPr>
      <w:r w:rsidRPr="009E1258">
        <w:rPr>
          <w:rFonts w:eastAsia="MS PGothic" w:cs="Times New Roman"/>
          <w:szCs w:val="24"/>
          <w:lang w:val="sr-Cyrl-RS" w:eastAsia="ja-JP"/>
        </w:rPr>
        <w:t>• changes in the level and structure of extraordinary non-tax revenues.</w:t>
      </w:r>
    </w:p>
    <w:p w:rsidR="009E1258" w:rsidRDefault="009E1258" w:rsidP="00C26E81">
      <w:pPr>
        <w:keepLines/>
        <w:widowControl w:val="0"/>
        <w:rPr>
          <w:rFonts w:eastAsia="MS PGothic" w:cs="Times New Roman"/>
          <w:szCs w:val="24"/>
          <w:lang w:val="sr-Cyrl-RS" w:eastAsia="ja-JP"/>
        </w:rPr>
      </w:pPr>
      <w:r w:rsidRPr="009E1258">
        <w:rPr>
          <w:rFonts w:eastAsia="MS PGothic" w:cs="Times New Roman"/>
          <w:szCs w:val="24"/>
          <w:lang w:val="sr-Cyrl-RS" w:eastAsia="ja-JP"/>
        </w:rPr>
        <w:lastRenderedPageBreak/>
        <w:t>The projection of personal income tax revenues has been increased by RSD 7.3 billion compared to the plan, and revenues from social security contributions have been raised by RSD 27.6 billion. These estimates result from more favorable wage and employment dynamics than initially assumed. The original projections were based on more conservative assumptions, particularly regarding average wage growth in the first months of 2025, which exceeded expectations. The revision also takes into account the estimated effects of reduced labor taxation applied in 2025. The main factors contributing to the upward revision of wage tax and social contribution projections are a positive base effect and favorable labor market trends observed so far during the year. Higher social contribution collection was also supported by government payments related to tax relief measures for employment. Other revenues within the personal income tax category (such as taxes on dividends, capital income, rental income, and the annual income tax) have also been revised upward, primarily due to base effects and slightly better-than-expected performance in the first months of the current year.</w:t>
      </w:r>
    </w:p>
    <w:p w:rsidR="00C26E81" w:rsidRPr="00002D92" w:rsidRDefault="009E1258" w:rsidP="00C26E81">
      <w:pPr>
        <w:keepLines/>
        <w:widowControl w:val="0"/>
        <w:rPr>
          <w:rFonts w:eastAsia="MS PGothic" w:cs="Times New Roman"/>
          <w:szCs w:val="24"/>
          <w:lang w:val="sr-Cyrl-RS" w:eastAsia="ja-JP"/>
        </w:rPr>
      </w:pPr>
      <w:r w:rsidRPr="009E1258">
        <w:rPr>
          <w:rFonts w:eastAsia="MS PGothic" w:cs="Times New Roman"/>
          <w:szCs w:val="24"/>
          <w:lang w:val="sr-Cyrl-RS" w:eastAsia="ja-JP"/>
        </w:rPr>
        <w:t>Corporate income tax revenues have been slightly increased despite significant refunds made to certain companies due to overpayments from the previous year. As final data on corporate profitability were not available at the time the budget was drafted, the revenue plan for corporate income tax was conservative. Payments based on the final tax assessment were made mid-year, and based on these, as well as initial payments of new advance installments, a slight upward revision</w:t>
      </w:r>
      <w:r>
        <w:rPr>
          <w:rFonts w:eastAsia="MS PGothic" w:cs="Times New Roman"/>
          <w:szCs w:val="24"/>
          <w:lang w:val="sr-Cyrl-RS" w:eastAsia="ja-JP"/>
        </w:rPr>
        <w:t xml:space="preserve"> was made for this tax category</w:t>
      </w:r>
      <w:r w:rsidR="005918D2" w:rsidRPr="00002D92">
        <w:rPr>
          <w:rFonts w:eastAsia="MS PGothic" w:cs="Times New Roman"/>
          <w:szCs w:val="24"/>
          <w:lang w:val="sr-Cyrl-RS" w:eastAsia="ja-JP"/>
        </w:rPr>
        <w:t xml:space="preserve">. </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t>The most significant downward adjustment in absolute terms relates to VAT revenues, revised down by RSD 54 billion, or 5.1% compared to the originally planned amount. The main reasons for this correction are weaker VAT collection in the last quarter of 2024 and the continuation of this trend throughout 2025. Unlike in previous years, when certain specific factors — such as “panic buying,” increased non-resident consumption, and other one-off effects — drove private consumption growth above income growth, an opposite trend is now evident. Consumption is lagging behind income growth, indicating heightened household caution and deferred spending amid increased uncertainty. Supporting this interpretation are data on the strong increase in household deposits (both transaction and term) in commercial banks. This suggests postponed, rather than permanently reduced, consumption, with the potential for part of the accumulated savings to spill over into demand once uncertainty subsides. At the same time, limits on retail margins may temporarily reduce nominal turnover but help preserve purchasing power, support disinflation, and thereby create a stronger foundation for sustainable real consumption growth and more stable medium-term VAT revenues. It is expected that these developments will gradually stabilize and reverse in the coming period, while fiscal credibility and predictability remain preserved despite persistent uncertainty in the environment.</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t>Customs revenues were revised downward by RSD 1.9 billion compared to the amount planned in the budget. Although they largely mirror movements in import-based VAT, changes in the structure of imports (by type of goods and geographic origin) over the past three years have resulted in somewhat higher elasticity of customs revenues relative to the import base.</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t>The projection of excise revenues has been revised upward by RSD 15.3 billion compared to the original 2025 fiscal framework. Of this, the estimate for excises on petroleum derivatives was increased by RSD 9 billion, and for tobacco products by RSD 6 billion. The projection of revenues from other excisable goods (electricity, alcohol, coffee) was slightly adjusted upward.</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t>The growth in revenues from petroleum excises is primarily attributed to better collection toward the end of 2024. Part of this improvement stems from lower-than-planned implementation of excise refunds to agricultural producers. For 2025, it is projected that refunds will remain below the initially planned level, with aggregate consumption remaining within expected ranges.</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lastRenderedPageBreak/>
        <w:t>In the area of tobacco excises, the upward revision of RSD 6 billion is mainly driven by higher-than-expected collections in the last quarter of 2024. When the 2025 budget was drafted, it was based on the assumption of a continued downward trend in tobacco consumption. Data for the first half of the year confirm that consumption is still declining, but at a slower pace than originally projected. Consequently, the upward revision of this tax revenue mostly reflects a base effect from the end of the previous year rather than a structural shift in consumption.</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t>Following a period in which excise policy served as an instrument to mitigate inflationary pressures, regular indexation in line with the applicable regulatory framework has resumed since 2024.</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t>Other tax revenues form a highly heterogeneous category, with property tax — a key source of revenue for local governments — accounting for the dominant share. Property tax revenues contributed the most to the positive revision of this group, increasing by RSD 5 billion.</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t>The projection of non-tax revenues for 2025 has been raised by RSD 10.1 billion compared to the original plan. The planned payment from 5G license fees has been divided into two equal parts, to be realized in 2025 and 2026. Estimates of other non-tax revenues have been updated in line with current realization trends. Non-tax revenue projections at the local government level have been revised downward, consistent with observed collection performance.</w:t>
      </w:r>
    </w:p>
    <w:p w:rsidR="009E1258" w:rsidRDefault="009E1258" w:rsidP="005918D2">
      <w:pPr>
        <w:keepLines/>
        <w:widowControl w:val="0"/>
        <w:rPr>
          <w:rFonts w:eastAsia="MS PGothic" w:cs="Times New Roman"/>
          <w:szCs w:val="24"/>
          <w:lang w:val="sr-Cyrl-RS" w:eastAsia="ja-JP"/>
        </w:rPr>
      </w:pPr>
      <w:r w:rsidRPr="009E1258">
        <w:rPr>
          <w:rFonts w:eastAsia="MS PGothic" w:cs="Times New Roman"/>
          <w:szCs w:val="24"/>
          <w:lang w:val="sr-Cyrl-RS" w:eastAsia="ja-JP"/>
        </w:rPr>
        <w:t>Regular non-tax revenues include various types of fees, charges (including road tolls), fines, revenues of government bodies and organizations, and other stable sources with established collection dynamics throughout the year, subject to normal seasonal fluctuations. The upward revision in this segment mainly results from higher revenues from interest on term deposits of budget funds and fees for the use of public goods.</w:t>
      </w:r>
    </w:p>
    <w:p w:rsidR="00AE0EEA" w:rsidRDefault="00AE0EEA" w:rsidP="005918D2">
      <w:pPr>
        <w:keepLines/>
        <w:widowControl w:val="0"/>
        <w:rPr>
          <w:rFonts w:eastAsia="MS PGothic" w:cs="Times New Roman"/>
          <w:szCs w:val="24"/>
          <w:lang w:val="sr-Cyrl-RS" w:eastAsia="ja-JP"/>
        </w:rPr>
      </w:pPr>
      <w:r w:rsidRPr="00AE0EEA">
        <w:rPr>
          <w:rFonts w:eastAsia="MS PGothic" w:cs="Times New Roman"/>
          <w:szCs w:val="24"/>
          <w:lang w:val="sr-Cyrl-RS" w:eastAsia="ja-JP"/>
        </w:rPr>
        <w:t>Extraordinary non-tax revenues, on the other hand, include profit transfers from public enterprises and agencies, budget dividends, revenues from the Deposit Insurance Agency’s receivable recoveries, premiums from government securities issuance, and other one-off revenues.</w:t>
      </w:r>
    </w:p>
    <w:p w:rsidR="00AE0EEA" w:rsidRDefault="00AE0EEA" w:rsidP="005918D2">
      <w:pPr>
        <w:keepLines/>
        <w:widowControl w:val="0"/>
        <w:rPr>
          <w:rFonts w:eastAsia="MS PGothic" w:cs="Times New Roman"/>
          <w:szCs w:val="24"/>
          <w:lang w:val="sr-Cyrl-RS" w:eastAsia="ja-JP"/>
        </w:rPr>
      </w:pPr>
      <w:r w:rsidRPr="00AE0EEA">
        <w:rPr>
          <w:rFonts w:eastAsia="MS PGothic" w:cs="Times New Roman"/>
          <w:szCs w:val="24"/>
          <w:lang w:val="sr-Cyrl-RS" w:eastAsia="ja-JP"/>
        </w:rPr>
        <w:t>In the context of continuous efforts to improve the quality and transparency of public finance statistics, 2025 saw further expansion of the general government statistical coverage by including all primary schools, with all sources of financing, in the reporting system. This process builds upon previous phases that incorporated healthcare institutions and secondary schools, as well as a number of extra-budgetary users (public agencies, scientific institutes, etc.), completed in 2024.</w:t>
      </w:r>
    </w:p>
    <w:p w:rsidR="00BB742E" w:rsidRDefault="00BB742E" w:rsidP="005918D2">
      <w:pPr>
        <w:keepLines/>
        <w:widowControl w:val="0"/>
        <w:rPr>
          <w:rFonts w:eastAsia="MS PGothic" w:cs="Times New Roman"/>
          <w:szCs w:val="24"/>
          <w:lang w:val="sr-Cyrl-RS" w:eastAsia="ja-JP"/>
        </w:rPr>
      </w:pPr>
      <w:r w:rsidRPr="00BB742E">
        <w:rPr>
          <w:rFonts w:eastAsia="MS PGothic" w:cs="Times New Roman"/>
          <w:szCs w:val="24"/>
          <w:lang w:val="sr-Cyrl-RS" w:eastAsia="ja-JP"/>
        </w:rPr>
        <w:t>Such gradual expansion, consistent with international statistical standards, not only increases the volume of data monitored within the general government sector but also enables a more accurate allocation of expenditures by relevant economic classifications. As a result, certain categories of expenditures are now recorded under the exact economic positions where they were realized, contributing to greater transparency and accuracy in the presentation of public spending.</w:t>
      </w:r>
    </w:p>
    <w:p w:rsidR="00FC570B" w:rsidRDefault="00BB742E" w:rsidP="00BD5AEF">
      <w:pPr>
        <w:keepLines/>
        <w:widowControl w:val="0"/>
        <w:spacing w:after="0"/>
        <w:rPr>
          <w:rFonts w:eastAsia="MS PGothic" w:cs="Times New Roman"/>
          <w:szCs w:val="24"/>
          <w:lang w:val="sr-Cyrl-RS" w:eastAsia="ja-JP"/>
        </w:rPr>
      </w:pPr>
      <w:r w:rsidRPr="00BB742E">
        <w:rPr>
          <w:rFonts w:eastAsia="MS PGothic" w:cs="Times New Roman"/>
          <w:szCs w:val="24"/>
          <w:lang w:val="sr-Cyrl-RS" w:eastAsia="ja-JP"/>
        </w:rPr>
        <w:t>Although it was planned to include higher education institutions in reporting during 2025, the implementation of this phase has been postponed. Accordingly, the amounts of planned revenues and expenditures were adjusted in both directions — excluded from both the original plan and the revised framework — to ensure comparability. This reduction does not represent a deviation from the plan or a shortfall in execution, but rather a timing adjustment in the coverage expansion. On the revenue side, these corrections relate solely to lower projected non-tax revenues, while on the expenditure side, the largest portion corresponds to employee-related expenses in the mentioned institutions, with the remainder related to categories such as current expenditures and the procurement of goods and services.</w:t>
      </w:r>
    </w:p>
    <w:p w:rsidR="00B92461" w:rsidRDefault="00B92461" w:rsidP="00BD5AEF">
      <w:pPr>
        <w:keepLines/>
        <w:widowControl w:val="0"/>
        <w:spacing w:after="0"/>
        <w:rPr>
          <w:rFonts w:eastAsia="MS PGothic" w:cs="Times New Roman"/>
          <w:szCs w:val="24"/>
          <w:lang w:val="sr-Cyrl-RS" w:eastAsia="ja-JP"/>
        </w:rPr>
      </w:pPr>
    </w:p>
    <w:p w:rsidR="00B92461" w:rsidRDefault="00B92461" w:rsidP="00BD5AEF">
      <w:pPr>
        <w:keepLines/>
        <w:widowControl w:val="0"/>
        <w:spacing w:after="0"/>
        <w:rPr>
          <w:rFonts w:eastAsia="MS PGothic" w:cs="Times New Roman"/>
          <w:szCs w:val="24"/>
          <w:lang w:val="sr-Cyrl-RS" w:eastAsia="ja-JP"/>
        </w:rPr>
      </w:pPr>
    </w:p>
    <w:p w:rsidR="00B92461" w:rsidRPr="00002D92" w:rsidRDefault="00B92461" w:rsidP="00BD5AEF">
      <w:pPr>
        <w:keepLines/>
        <w:widowControl w:val="0"/>
        <w:spacing w:after="0"/>
        <w:rPr>
          <w:rFonts w:eastAsia="Calibri" w:cs="Times New Roman"/>
          <w:i/>
          <w:szCs w:val="24"/>
          <w:lang w:val="sr-Cyrl-RS"/>
        </w:rPr>
      </w:pPr>
    </w:p>
    <w:p w:rsidR="005918D2" w:rsidRPr="00002D92" w:rsidRDefault="00795849" w:rsidP="005918D2">
      <w:pPr>
        <w:keepLines/>
        <w:widowControl w:val="0"/>
        <w:rPr>
          <w:rFonts w:eastAsia="MS PGothic" w:cs="Times New Roman"/>
          <w:szCs w:val="24"/>
          <w:lang w:val="sr-Cyrl-RS" w:eastAsia="ja-JP"/>
        </w:rPr>
      </w:pPr>
      <w:r>
        <w:rPr>
          <w:rFonts w:eastAsia="Calibri" w:cs="Times New Roman"/>
          <w:i/>
          <w:szCs w:val="24"/>
        </w:rPr>
        <w:lastRenderedPageBreak/>
        <w:t>Graph</w:t>
      </w:r>
      <w:r w:rsidR="005918D2" w:rsidRPr="00002D92">
        <w:rPr>
          <w:rFonts w:eastAsia="Calibri" w:cs="Times New Roman"/>
          <w:i/>
          <w:szCs w:val="24"/>
          <w:lang w:val="sr-Cyrl-RS"/>
        </w:rPr>
        <w:t xml:space="preserve"> </w:t>
      </w:r>
      <w:r w:rsidR="005918D2" w:rsidRPr="00002D92">
        <w:rPr>
          <w:rFonts w:eastAsia="Calibri" w:cs="Times New Roman"/>
          <w:i/>
          <w:szCs w:val="24"/>
          <w:lang w:val="sr-Latn-RS"/>
        </w:rPr>
        <w:t>5</w:t>
      </w:r>
      <w:r w:rsidR="005918D2" w:rsidRPr="00002D92">
        <w:rPr>
          <w:rFonts w:eastAsia="Calibri" w:cs="Times New Roman"/>
          <w:i/>
          <w:szCs w:val="24"/>
          <w:lang w:val="sr-Cyrl-RS"/>
        </w:rPr>
        <w:t xml:space="preserve">. </w:t>
      </w:r>
      <w:r w:rsidRPr="00795849">
        <w:rPr>
          <w:rFonts w:eastAsia="Calibri" w:cs="Times New Roman"/>
          <w:i/>
          <w:szCs w:val="24"/>
          <w:lang w:val="sr-Cyrl-RS"/>
        </w:rPr>
        <w:t>Contribution of factors to the adjustment of fiscal result relative to the plan for 2025, in % GDP</w:t>
      </w:r>
    </w:p>
    <w:p w:rsidR="005918D2" w:rsidRPr="00002D92" w:rsidRDefault="006C0E6C" w:rsidP="006C0E6C">
      <w:pPr>
        <w:keepLines/>
        <w:widowControl w:val="0"/>
        <w:jc w:val="center"/>
        <w:rPr>
          <w:rFonts w:eastAsia="Calibri" w:cs="Times New Roman"/>
          <w:szCs w:val="24"/>
          <w:lang w:val="sr-Cyrl-RS"/>
        </w:rPr>
      </w:pPr>
      <w:r>
        <w:rPr>
          <w:noProof/>
        </w:rPr>
        <w:drawing>
          <wp:inline distT="0" distB="0" distL="0" distR="0" wp14:anchorId="4717378B" wp14:editId="481D304D">
            <wp:extent cx="4562475" cy="3443996"/>
            <wp:effectExtent l="0" t="0" r="9525" b="4445"/>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45E2C" w:rsidRDefault="00345E2C" w:rsidP="005918D2">
      <w:pPr>
        <w:keepNext/>
        <w:rPr>
          <w:rFonts w:eastAsia="MS PGothic" w:cs="Times New Roman"/>
          <w:szCs w:val="24"/>
          <w:lang w:val="sr-Cyrl-RS" w:eastAsia="ja-JP"/>
        </w:rPr>
      </w:pPr>
      <w:r w:rsidRPr="00345E2C">
        <w:rPr>
          <w:rFonts w:eastAsia="MS PGothic" w:cs="Times New Roman"/>
          <w:szCs w:val="24"/>
          <w:lang w:val="sr-Cyrl-RS" w:eastAsia="ja-JP"/>
        </w:rPr>
        <w:t>In the revised fiscal framework for 2025, the projection of total general government expenditures has been increased by RSD 10.7 billion compared to the original plan, accompanied by significant structural adjustments. A notable increase was recorded in the category of employee compensation, while the estimated amounts for capital expenditures and expenditures for goods and services were reduced. The revision on the expenditure side primarily reflects a more realistic assessment of the pace and certainty of implementation of individual programs and projects by the end of the current year.</w:t>
      </w:r>
    </w:p>
    <w:p w:rsidR="00345E2C" w:rsidRDefault="00345E2C" w:rsidP="005918D2">
      <w:pPr>
        <w:keepNext/>
        <w:rPr>
          <w:rFonts w:eastAsia="MS PGothic" w:cs="Times New Roman"/>
          <w:szCs w:val="24"/>
          <w:lang w:val="sr-Cyrl-RS" w:eastAsia="ja-JP"/>
        </w:rPr>
      </w:pPr>
      <w:r w:rsidRPr="00345E2C">
        <w:rPr>
          <w:rFonts w:eastAsia="MS PGothic" w:cs="Times New Roman"/>
          <w:szCs w:val="24"/>
          <w:lang w:val="sr-Cyrl-RS" w:eastAsia="ja-JP"/>
        </w:rPr>
        <w:t>Expenditures for employees in 2025 were increased by RSD 23.7 billion compared to the original plan. This revision includes the effects of extraordinary wage increases in the education sector, implemented in two stages — in March and October — as well as in the healthcare sector in October 2025. The projection also includes total employee expenditures financed from other funding sources of primary schools, amounting to RSD 7.2 billion . On the other hand, the postponement of including other funding sources for higher education institutions led to a reduction in both the original plan and the revised projection for this category by RSD 10.2 billion.</w:t>
      </w:r>
    </w:p>
    <w:p w:rsidR="00345E2C" w:rsidRDefault="00345E2C" w:rsidP="005918D2">
      <w:pPr>
        <w:keepNext/>
        <w:rPr>
          <w:rFonts w:eastAsia="MS PGothic" w:cs="Times New Roman"/>
          <w:szCs w:val="24"/>
          <w:lang w:val="sr-Cyrl-RS" w:eastAsia="ja-JP"/>
        </w:rPr>
      </w:pPr>
      <w:r w:rsidRPr="00345E2C">
        <w:rPr>
          <w:rFonts w:eastAsia="MS PGothic" w:cs="Times New Roman"/>
          <w:szCs w:val="24"/>
          <w:lang w:val="sr-Cyrl-RS" w:eastAsia="ja-JP"/>
        </w:rPr>
        <w:t>Expenditures for goods and services were revised downward by RSD 27.9 billion. The reduction mainly refers to expenditures from the national (Republic) budget, where, based on observed execution trends, the estimated realization by year-end was lowered. The postponement of including other funding sources for higher education institutions resulted in an additional reduction of RSD 18.4 billion in the projection.</w:t>
      </w:r>
    </w:p>
    <w:p w:rsidR="009428D8" w:rsidRDefault="009428D8" w:rsidP="005918D2">
      <w:pPr>
        <w:widowControl w:val="0"/>
        <w:spacing w:after="0"/>
        <w:contextualSpacing/>
        <w:rPr>
          <w:rFonts w:eastAsia="MS PGothic" w:cs="Times New Roman"/>
          <w:szCs w:val="24"/>
          <w:lang w:val="sr-Cyrl-RS" w:eastAsia="ja-JP"/>
        </w:rPr>
      </w:pPr>
      <w:r w:rsidRPr="009428D8">
        <w:rPr>
          <w:rFonts w:eastAsia="MS PGothic" w:cs="Times New Roman"/>
          <w:szCs w:val="24"/>
          <w:lang w:val="sr-Cyrl-RS" w:eastAsia="ja-JP"/>
        </w:rPr>
        <w:t>Expenditures for social protection have been significantly increased in this fiscal framework. This increase primarily results from higher execution levels during 2024, as well as from the observed implementation of social protection measures so far in 2025.</w:t>
      </w:r>
    </w:p>
    <w:p w:rsidR="009428D8" w:rsidRDefault="009428D8" w:rsidP="005918D2">
      <w:pPr>
        <w:widowControl w:val="0"/>
        <w:spacing w:after="0"/>
        <w:contextualSpacing/>
        <w:rPr>
          <w:rFonts w:eastAsia="MS PGothic" w:cs="Times New Roman"/>
          <w:szCs w:val="24"/>
          <w:lang w:val="sr-Cyrl-RS" w:eastAsia="ja-JP"/>
        </w:rPr>
      </w:pPr>
    </w:p>
    <w:p w:rsidR="00BD5AEF" w:rsidRPr="00002D92" w:rsidRDefault="009428D8" w:rsidP="005918D2">
      <w:pPr>
        <w:widowControl w:val="0"/>
        <w:spacing w:after="0"/>
        <w:contextualSpacing/>
        <w:rPr>
          <w:rFonts w:eastAsia="MS PGothic" w:cs="Times New Roman"/>
          <w:i/>
          <w:szCs w:val="24"/>
          <w:lang w:val="sr-Cyrl-RS" w:eastAsia="ja-JP"/>
        </w:rPr>
      </w:pPr>
      <w:r w:rsidRPr="009428D8">
        <w:rPr>
          <w:rFonts w:eastAsia="MS PGothic" w:cs="Times New Roman"/>
          <w:szCs w:val="24"/>
          <w:lang w:val="sr-Cyrl-RS" w:eastAsia="ja-JP"/>
        </w:rPr>
        <w:t xml:space="preserve">Capital expenditures, according to the new estimate, were reduced by RSD 18.3 billion compared to the initial plan. This reduction is mainly due to changes in the implementation dynamics of certain infrastructure projects compared to initial planning assumptions. Despite these adjustments, capital expenditures in 2025 are expected to reach 7.1% of GDP, continuing the policy of maintaining a high </w:t>
      </w:r>
      <w:r w:rsidRPr="009428D8">
        <w:rPr>
          <w:rFonts w:eastAsia="MS PGothic" w:cs="Times New Roman"/>
          <w:szCs w:val="24"/>
          <w:lang w:val="sr-Cyrl-RS" w:eastAsia="ja-JP"/>
        </w:rPr>
        <w:lastRenderedPageBreak/>
        <w:t>level of investment in public infrastructure. Additionally, the postponement of including funds from other financing sources for higher and tertiary education resulted in a further reduction of RSD 3.6 billion in the projection of capital expenditures.</w:t>
      </w:r>
    </w:p>
    <w:p w:rsidR="00B679F1" w:rsidRPr="00002D92" w:rsidRDefault="00B679F1" w:rsidP="005918D2">
      <w:pPr>
        <w:widowControl w:val="0"/>
        <w:spacing w:after="0"/>
        <w:contextualSpacing/>
        <w:rPr>
          <w:rFonts w:eastAsia="MS PGothic" w:cs="Times New Roman"/>
          <w:i/>
          <w:szCs w:val="24"/>
          <w:lang w:val="sr-Cyrl-RS" w:eastAsia="ja-JP"/>
        </w:rPr>
      </w:pPr>
    </w:p>
    <w:p w:rsidR="005918D2" w:rsidRPr="00002D92" w:rsidRDefault="00CC6EA0" w:rsidP="005918D2">
      <w:pPr>
        <w:widowControl w:val="0"/>
        <w:spacing w:after="0"/>
        <w:contextualSpacing/>
        <w:rPr>
          <w:rFonts w:eastAsia="MS PGothic" w:cs="Times New Roman"/>
          <w:i/>
          <w:szCs w:val="24"/>
          <w:lang w:val="sr-Cyrl-RS" w:eastAsia="ja-JP"/>
        </w:rPr>
      </w:pPr>
      <w:r>
        <w:rPr>
          <w:rFonts w:eastAsia="MS PGothic" w:cs="Times New Roman"/>
          <w:i/>
          <w:szCs w:val="24"/>
          <w:lang w:eastAsia="ja-JP"/>
        </w:rPr>
        <w:t>Table</w:t>
      </w:r>
      <w:r w:rsidR="005918D2" w:rsidRPr="00002D92">
        <w:rPr>
          <w:rFonts w:eastAsia="MS PGothic" w:cs="Times New Roman"/>
          <w:i/>
          <w:szCs w:val="24"/>
          <w:lang w:val="sr-Cyrl-RS" w:eastAsia="ja-JP"/>
        </w:rPr>
        <w:t xml:space="preserve"> 5. </w:t>
      </w:r>
      <w:r w:rsidRPr="00CC6EA0">
        <w:rPr>
          <w:rFonts w:eastAsia="MS PGothic" w:cs="Times New Roman"/>
          <w:i/>
          <w:szCs w:val="24"/>
          <w:lang w:val="sr-Cyrl-RS" w:eastAsia="ja-JP"/>
        </w:rPr>
        <w:t>General government revenues, expenditures and fiscal result, January-August 2024 and 2025, in RSD bln</w:t>
      </w:r>
    </w:p>
    <w:tbl>
      <w:tblPr>
        <w:tblW w:w="499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3588"/>
        <w:gridCol w:w="1025"/>
        <w:gridCol w:w="1636"/>
        <w:gridCol w:w="1790"/>
        <w:gridCol w:w="1689"/>
      </w:tblGrid>
      <w:tr w:rsidR="00112855" w:rsidRPr="00492CF2" w:rsidTr="00112855">
        <w:trPr>
          <w:trHeight w:val="272"/>
          <w:tblHeader/>
          <w:jc w:val="right"/>
        </w:trPr>
        <w:tc>
          <w:tcPr>
            <w:tcW w:w="1844" w:type="pct"/>
            <w:noWrap/>
            <w:vAlign w:val="center"/>
            <w:hideMark/>
          </w:tcPr>
          <w:p w:rsidR="00112855" w:rsidRPr="00002D92" w:rsidRDefault="00112855" w:rsidP="00112855">
            <w:pPr>
              <w:widowControl w:val="0"/>
              <w:spacing w:after="0"/>
              <w:contextualSpacing/>
              <w:jc w:val="center"/>
              <w:rPr>
                <w:rFonts w:eastAsia="MS PGothic" w:cs="Times New Roman"/>
                <w:sz w:val="22"/>
                <w:lang w:val="sr-Cyrl-CS" w:eastAsia="ja-JP"/>
              </w:rPr>
            </w:pPr>
          </w:p>
        </w:tc>
        <w:tc>
          <w:tcPr>
            <w:tcW w:w="527" w:type="pct"/>
            <w:vAlign w:val="center"/>
            <w:hideMark/>
          </w:tcPr>
          <w:p w:rsidR="00112855" w:rsidRPr="00002D92" w:rsidRDefault="00112855" w:rsidP="00112855">
            <w:pPr>
              <w:widowControl w:val="0"/>
              <w:spacing w:after="0"/>
              <w:contextualSpacing/>
              <w:jc w:val="center"/>
              <w:rPr>
                <w:rFonts w:eastAsia="MS PGothic" w:cs="Times New Roman"/>
                <w:sz w:val="22"/>
                <w:lang w:val="sr-Cyrl-CS" w:eastAsia="ja-JP"/>
              </w:rPr>
            </w:pPr>
            <w:r w:rsidRPr="00002D92">
              <w:rPr>
                <w:rFonts w:eastAsia="MS PGothic" w:cs="Times New Roman"/>
                <w:sz w:val="22"/>
                <w:lang w:val="sr-Cyrl-CS" w:eastAsia="ja-JP"/>
              </w:rPr>
              <w:t>I–VIII 2024</w:t>
            </w:r>
          </w:p>
        </w:tc>
        <w:tc>
          <w:tcPr>
            <w:tcW w:w="841" w:type="pct"/>
            <w:vAlign w:val="center"/>
            <w:hideMark/>
          </w:tcPr>
          <w:p w:rsidR="00112855" w:rsidRPr="00002D92" w:rsidRDefault="00112855" w:rsidP="00112855">
            <w:pPr>
              <w:widowControl w:val="0"/>
              <w:spacing w:after="0"/>
              <w:contextualSpacing/>
              <w:jc w:val="center"/>
              <w:rPr>
                <w:rFonts w:eastAsia="MS PGothic" w:cs="Times New Roman"/>
                <w:sz w:val="22"/>
                <w:lang w:val="sr-Cyrl-CS" w:eastAsia="ja-JP"/>
              </w:rPr>
            </w:pPr>
            <w:r w:rsidRPr="00002D92">
              <w:rPr>
                <w:rFonts w:eastAsia="MS PGothic" w:cs="Times New Roman"/>
                <w:sz w:val="22"/>
                <w:lang w:val="sr-Cyrl-CS" w:eastAsia="ja-JP"/>
              </w:rPr>
              <w:t>I–VIII 2025</w:t>
            </w:r>
          </w:p>
        </w:tc>
        <w:tc>
          <w:tcPr>
            <w:tcW w:w="920" w:type="pct"/>
            <w:tcBorders>
              <w:top w:val="single" w:sz="4" w:space="0" w:color="002060"/>
              <w:bottom w:val="single" w:sz="4" w:space="0" w:color="002060"/>
            </w:tcBorders>
          </w:tcPr>
          <w:p w:rsidR="00112855" w:rsidRPr="00112855" w:rsidRDefault="00112855" w:rsidP="00112855">
            <w:pPr>
              <w:widowControl w:val="0"/>
              <w:spacing w:after="0"/>
              <w:contextualSpacing/>
              <w:jc w:val="center"/>
              <w:rPr>
                <w:rFonts w:eastAsia="MS PGothic" w:cs="Times New Roman"/>
                <w:sz w:val="22"/>
                <w:lang w:val="sr-Cyrl-CS" w:eastAsia="ja-JP"/>
              </w:rPr>
            </w:pPr>
            <w:r w:rsidRPr="00112855">
              <w:rPr>
                <w:rFonts w:eastAsia="MS PGothic" w:cs="Times New Roman"/>
                <w:sz w:val="22"/>
                <w:lang w:val="sr-Cyrl-CS" w:eastAsia="ja-JP"/>
              </w:rPr>
              <w:t xml:space="preserve">I-VIII </w:t>
            </w:r>
          </w:p>
          <w:p w:rsidR="00112855" w:rsidRPr="00112855" w:rsidRDefault="00112855" w:rsidP="00112855">
            <w:pPr>
              <w:widowControl w:val="0"/>
              <w:spacing w:after="0"/>
              <w:contextualSpacing/>
              <w:jc w:val="center"/>
              <w:rPr>
                <w:rFonts w:eastAsia="MS PGothic" w:cs="Times New Roman"/>
                <w:sz w:val="22"/>
                <w:lang w:val="sr-Cyrl-CS" w:eastAsia="ja-JP"/>
              </w:rPr>
            </w:pPr>
            <w:r w:rsidRPr="00112855">
              <w:rPr>
                <w:rFonts w:eastAsia="MS PGothic" w:cs="Times New Roman"/>
                <w:sz w:val="22"/>
                <w:lang w:val="sr-Cyrl-CS" w:eastAsia="ja-JP"/>
              </w:rPr>
              <w:t>2025/2024</w:t>
            </w:r>
          </w:p>
          <w:p w:rsidR="00112855" w:rsidRPr="00112855" w:rsidRDefault="00112855" w:rsidP="00112855">
            <w:pPr>
              <w:widowControl w:val="0"/>
              <w:spacing w:after="0"/>
              <w:contextualSpacing/>
              <w:jc w:val="center"/>
              <w:rPr>
                <w:rFonts w:eastAsia="MS PGothic" w:cs="Times New Roman"/>
                <w:sz w:val="22"/>
                <w:lang w:val="sr-Cyrl-CS" w:eastAsia="ja-JP"/>
              </w:rPr>
            </w:pPr>
            <w:r w:rsidRPr="00112855">
              <w:rPr>
                <w:rFonts w:eastAsia="MS PGothic" w:cs="Times New Roman"/>
                <w:sz w:val="22"/>
                <w:lang w:val="sr-Cyrl-CS" w:eastAsia="ja-JP"/>
              </w:rPr>
              <w:t>% growth/decline</w:t>
            </w:r>
          </w:p>
        </w:tc>
        <w:tc>
          <w:tcPr>
            <w:tcW w:w="868" w:type="pct"/>
            <w:tcBorders>
              <w:top w:val="single" w:sz="4" w:space="0" w:color="002060"/>
              <w:bottom w:val="single" w:sz="4" w:space="0" w:color="002060"/>
            </w:tcBorders>
            <w:vAlign w:val="center"/>
            <w:hideMark/>
          </w:tcPr>
          <w:p w:rsidR="00112855" w:rsidRPr="00112855" w:rsidRDefault="00112855" w:rsidP="00112855">
            <w:pPr>
              <w:widowControl w:val="0"/>
              <w:spacing w:after="0"/>
              <w:contextualSpacing/>
              <w:jc w:val="center"/>
              <w:rPr>
                <w:rFonts w:eastAsia="MS PGothic" w:cs="Times New Roman"/>
                <w:sz w:val="22"/>
                <w:lang w:val="sr-Cyrl-CS" w:eastAsia="ja-JP"/>
              </w:rPr>
            </w:pPr>
            <w:r w:rsidRPr="00112855">
              <w:rPr>
                <w:rFonts w:eastAsia="MS PGothic" w:cs="Times New Roman"/>
                <w:sz w:val="22"/>
                <w:lang w:val="sr-Cyrl-CS" w:eastAsia="ja-JP"/>
              </w:rPr>
              <w:t>2025 plan/2024 growth rate, in %</w:t>
            </w:r>
          </w:p>
        </w:tc>
      </w:tr>
      <w:tr w:rsidR="00362E41" w:rsidRPr="00002D92" w:rsidTr="00112855">
        <w:trPr>
          <w:trHeight w:hRule="exact" w:val="276"/>
          <w:tblHeader/>
          <w:jc w:val="right"/>
        </w:trPr>
        <w:tc>
          <w:tcPr>
            <w:tcW w:w="1844" w:type="pct"/>
            <w:shd w:val="clear" w:color="auto" w:fill="E7E6E6" w:themeFill="background2"/>
            <w:noWrap/>
            <w:vAlign w:val="center"/>
            <w:hideMark/>
          </w:tcPr>
          <w:p w:rsidR="00362E41" w:rsidRPr="00112855" w:rsidRDefault="00112855" w:rsidP="00362E41">
            <w:pPr>
              <w:widowControl w:val="0"/>
              <w:spacing w:after="0"/>
              <w:contextualSpacing/>
              <w:rPr>
                <w:rFonts w:eastAsia="MS PGothic" w:cs="Times New Roman"/>
                <w:szCs w:val="24"/>
                <w:lang w:eastAsia="ja-JP"/>
              </w:rPr>
            </w:pPr>
            <w:r>
              <w:rPr>
                <w:rFonts w:eastAsia="MS PGothic" w:cs="Times New Roman"/>
                <w:szCs w:val="24"/>
                <w:lang w:eastAsia="ja-JP"/>
              </w:rPr>
              <w:t>PUBLIC REVENUES</w:t>
            </w:r>
          </w:p>
        </w:tc>
        <w:tc>
          <w:tcPr>
            <w:tcW w:w="527" w:type="pct"/>
            <w:shd w:val="clear" w:color="auto" w:fill="E7E6E6" w:themeFill="background2"/>
            <w:hideMark/>
          </w:tcPr>
          <w:p w:rsidR="00362E41" w:rsidRPr="00002D92" w:rsidRDefault="00362E41"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2.571,2</w:t>
            </w:r>
          </w:p>
        </w:tc>
        <w:tc>
          <w:tcPr>
            <w:tcW w:w="841" w:type="pct"/>
            <w:shd w:val="clear" w:color="auto" w:fill="E7E6E6" w:themeFill="background2"/>
            <w:hideMark/>
          </w:tcPr>
          <w:p w:rsidR="00362E41" w:rsidRPr="00002D92" w:rsidRDefault="00362E41"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2.719,6</w:t>
            </w:r>
          </w:p>
        </w:tc>
        <w:tc>
          <w:tcPr>
            <w:tcW w:w="920" w:type="pct"/>
            <w:shd w:val="clear" w:color="auto" w:fill="E7E6E6" w:themeFill="background2"/>
          </w:tcPr>
          <w:p w:rsidR="00362E41" w:rsidRPr="00002D92" w:rsidRDefault="00362E41" w:rsidP="004F6F97">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5,8</w:t>
            </w:r>
          </w:p>
        </w:tc>
        <w:tc>
          <w:tcPr>
            <w:tcW w:w="868" w:type="pct"/>
            <w:shd w:val="clear" w:color="auto" w:fill="E7E6E6" w:themeFill="background2"/>
            <w:hideMark/>
          </w:tcPr>
          <w:p w:rsidR="00362E41" w:rsidRPr="00002D92" w:rsidRDefault="00362E41" w:rsidP="004F6F97">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7,7</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Current revenues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2.559,6</w:t>
            </w:r>
          </w:p>
        </w:tc>
        <w:tc>
          <w:tcPr>
            <w:tcW w:w="841" w:type="pct"/>
            <w:noWrap/>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2.710,7</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5,9</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7,3</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Tax revenues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2.311,9</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2.471,5</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6,9</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7,2</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Personal income tax</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261,5</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286,3</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9,5</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7,8</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Corporate income tax</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224,3</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211,3</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-5,8</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-2,8</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VAT</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626,1</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647,3</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3,4</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5,3</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Excises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279,5</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291,3</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4,2</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4,9</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Customs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57,4</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60,4</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5,3</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4,5</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Other tax revenues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77,6</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87,0</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12,2</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7,5</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Contributions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785,4</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887,7</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13,0</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12,0</w:t>
            </w:r>
          </w:p>
        </w:tc>
      </w:tr>
      <w:tr w:rsidR="00112855" w:rsidRPr="00002D92" w:rsidTr="00112855">
        <w:trPr>
          <w:trHeight w:hRule="exact" w:val="276"/>
          <w:tblHeader/>
          <w:jc w:val="right"/>
        </w:trPr>
        <w:tc>
          <w:tcPr>
            <w:tcW w:w="1844" w:type="pct"/>
            <w:noWrap/>
            <w:hideMark/>
          </w:tcPr>
          <w:p w:rsidR="00112855" w:rsidRPr="000A7B1A" w:rsidRDefault="00112855" w:rsidP="00112855">
            <w:r w:rsidRPr="000A7B1A">
              <w:t>Non-tax revenues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247,7</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239,2</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-3,4</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7,8</w:t>
            </w:r>
          </w:p>
        </w:tc>
      </w:tr>
      <w:tr w:rsidR="00112855" w:rsidRPr="00002D92" w:rsidTr="00112855">
        <w:trPr>
          <w:trHeight w:hRule="exact" w:val="276"/>
          <w:tblHeader/>
          <w:jc w:val="right"/>
        </w:trPr>
        <w:tc>
          <w:tcPr>
            <w:tcW w:w="1844" w:type="pct"/>
            <w:noWrap/>
            <w:hideMark/>
          </w:tcPr>
          <w:p w:rsidR="00112855" w:rsidRDefault="00112855" w:rsidP="00112855">
            <w:r w:rsidRPr="000A7B1A">
              <w:t>Grants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11,6</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8,8</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-24,0</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80,3</w:t>
            </w:r>
          </w:p>
        </w:tc>
      </w:tr>
      <w:tr w:rsidR="00362E41" w:rsidRPr="00002D92" w:rsidTr="00112855">
        <w:trPr>
          <w:trHeight w:hRule="exact" w:val="276"/>
          <w:tblHeader/>
          <w:jc w:val="right"/>
        </w:trPr>
        <w:tc>
          <w:tcPr>
            <w:tcW w:w="1844" w:type="pct"/>
            <w:shd w:val="clear" w:color="auto" w:fill="E7E6E6" w:themeFill="background2"/>
            <w:noWrap/>
            <w:vAlign w:val="center"/>
            <w:hideMark/>
          </w:tcPr>
          <w:p w:rsidR="00362E41" w:rsidRPr="00112855" w:rsidRDefault="00112855" w:rsidP="00362E41">
            <w:pPr>
              <w:widowControl w:val="0"/>
              <w:spacing w:after="0"/>
              <w:contextualSpacing/>
              <w:rPr>
                <w:rFonts w:eastAsia="MS PGothic" w:cs="Times New Roman"/>
                <w:szCs w:val="24"/>
                <w:lang w:eastAsia="ja-JP"/>
              </w:rPr>
            </w:pPr>
            <w:r>
              <w:rPr>
                <w:rFonts w:eastAsia="MS PGothic" w:cs="Times New Roman"/>
                <w:szCs w:val="24"/>
                <w:lang w:eastAsia="ja-JP"/>
              </w:rPr>
              <w:t>PUBLIC EXPENDITURES</w:t>
            </w:r>
          </w:p>
        </w:tc>
        <w:tc>
          <w:tcPr>
            <w:tcW w:w="527" w:type="pct"/>
            <w:shd w:val="clear" w:color="auto" w:fill="E7E6E6" w:themeFill="background2"/>
            <w:hideMark/>
          </w:tcPr>
          <w:p w:rsidR="00362E41" w:rsidRPr="00002D92" w:rsidRDefault="00362E41"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2.544,0</w:t>
            </w:r>
          </w:p>
        </w:tc>
        <w:tc>
          <w:tcPr>
            <w:tcW w:w="841" w:type="pct"/>
            <w:shd w:val="clear" w:color="auto" w:fill="E7E6E6" w:themeFill="background2"/>
            <w:noWrap/>
            <w:hideMark/>
          </w:tcPr>
          <w:p w:rsidR="00362E41" w:rsidRPr="00002D92" w:rsidRDefault="00362E41"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2.775,4</w:t>
            </w:r>
          </w:p>
        </w:tc>
        <w:tc>
          <w:tcPr>
            <w:tcW w:w="920" w:type="pct"/>
            <w:shd w:val="clear" w:color="auto" w:fill="E7E6E6" w:themeFill="background2"/>
          </w:tcPr>
          <w:p w:rsidR="00362E41" w:rsidRPr="00002D92" w:rsidRDefault="00362E41" w:rsidP="004F6F97">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9,1</w:t>
            </w:r>
          </w:p>
        </w:tc>
        <w:tc>
          <w:tcPr>
            <w:tcW w:w="868" w:type="pct"/>
            <w:shd w:val="clear" w:color="auto" w:fill="E7E6E6" w:themeFill="background2"/>
            <w:hideMark/>
          </w:tcPr>
          <w:p w:rsidR="00362E41" w:rsidRPr="00002D92" w:rsidRDefault="00362E41" w:rsidP="004F6F97">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10,3</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Current expenditures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2.184,8</w:t>
            </w:r>
          </w:p>
        </w:tc>
        <w:tc>
          <w:tcPr>
            <w:tcW w:w="841" w:type="pct"/>
            <w:noWrap/>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2.399,5</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9,8</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11,6</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Expenditures for employees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600,5</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664,6</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10,7</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13,5</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Purchase of goods and services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409,8</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444,9</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8,6</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14,4</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Repayment of interest</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121,6</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123,1</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1,3</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9,6</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Subsidies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144,0</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161,2</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11,9</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3,7</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Social assistance and transfers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827,4</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918,8</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11,0</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10,3</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Of which: pensions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616,6</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696,9</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13,0</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12,4</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Other current expenditures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81,5</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87,0</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6,7</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13,3</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Capital expenditures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331,8</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342,0</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3,1</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5,0</w:t>
            </w:r>
          </w:p>
        </w:tc>
      </w:tr>
      <w:tr w:rsidR="00112855" w:rsidRPr="00002D92" w:rsidTr="00112855">
        <w:trPr>
          <w:trHeight w:hRule="exact" w:val="276"/>
          <w:tblHeader/>
          <w:jc w:val="right"/>
        </w:trPr>
        <w:tc>
          <w:tcPr>
            <w:tcW w:w="1844" w:type="pct"/>
            <w:noWrap/>
            <w:hideMark/>
          </w:tcPr>
          <w:p w:rsidR="00112855" w:rsidRPr="00031EAE" w:rsidRDefault="00112855" w:rsidP="00112855">
            <w:r w:rsidRPr="00031EAE">
              <w:t>Net lending</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9,7</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16,1</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67,2</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18,5</w:t>
            </w:r>
          </w:p>
        </w:tc>
      </w:tr>
      <w:tr w:rsidR="00112855" w:rsidRPr="00002D92" w:rsidTr="00112855">
        <w:trPr>
          <w:trHeight w:hRule="exact" w:val="276"/>
          <w:tblHeader/>
          <w:jc w:val="right"/>
        </w:trPr>
        <w:tc>
          <w:tcPr>
            <w:tcW w:w="1844" w:type="pct"/>
            <w:noWrap/>
            <w:hideMark/>
          </w:tcPr>
          <w:p w:rsidR="00112855" w:rsidRDefault="00112855" w:rsidP="00112855">
            <w:r w:rsidRPr="00031EAE">
              <w:t>Activated guarantees</w:t>
            </w:r>
          </w:p>
        </w:tc>
        <w:tc>
          <w:tcPr>
            <w:tcW w:w="527"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17,7</w:t>
            </w:r>
          </w:p>
        </w:tc>
        <w:tc>
          <w:tcPr>
            <w:tcW w:w="841" w:type="pct"/>
            <w:hideMark/>
          </w:tcPr>
          <w:p w:rsidR="00112855" w:rsidRPr="00002D92" w:rsidRDefault="00112855" w:rsidP="005D6F90">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17,7</w:t>
            </w:r>
          </w:p>
        </w:tc>
        <w:tc>
          <w:tcPr>
            <w:tcW w:w="920" w:type="pct"/>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0,1</w:t>
            </w:r>
          </w:p>
        </w:tc>
        <w:tc>
          <w:tcPr>
            <w:tcW w:w="868" w:type="pct"/>
            <w:hideMark/>
          </w:tcPr>
          <w:p w:rsidR="00112855" w:rsidRPr="00002D92" w:rsidRDefault="00112855" w:rsidP="00112855">
            <w:pPr>
              <w:widowControl w:val="0"/>
              <w:spacing w:after="0"/>
              <w:contextualSpacing/>
              <w:jc w:val="center"/>
              <w:rPr>
                <w:rFonts w:eastAsia="MS PGothic" w:cs="Times New Roman"/>
                <w:szCs w:val="24"/>
                <w:lang w:val="sr-Cyrl-CS" w:eastAsia="ja-JP"/>
              </w:rPr>
            </w:pPr>
            <w:r w:rsidRPr="00002D92">
              <w:rPr>
                <w:rFonts w:eastAsia="MS PGothic" w:cs="Times New Roman"/>
                <w:szCs w:val="24"/>
                <w:lang w:val="sr-Cyrl-CS" w:eastAsia="ja-JP"/>
              </w:rPr>
              <w:t>-21,0</w:t>
            </w:r>
          </w:p>
        </w:tc>
      </w:tr>
      <w:tr w:rsidR="00362E41" w:rsidRPr="00002D92" w:rsidTr="00112855">
        <w:trPr>
          <w:trHeight w:hRule="exact" w:val="276"/>
          <w:tblHeader/>
          <w:jc w:val="right"/>
        </w:trPr>
        <w:tc>
          <w:tcPr>
            <w:tcW w:w="1844" w:type="pct"/>
            <w:shd w:val="clear" w:color="auto" w:fill="E7E6E6" w:themeFill="background2"/>
            <w:noWrap/>
            <w:vAlign w:val="center"/>
            <w:hideMark/>
          </w:tcPr>
          <w:p w:rsidR="00362E41" w:rsidRPr="005D6F90" w:rsidRDefault="005D6F90" w:rsidP="00FB566B">
            <w:pPr>
              <w:widowControl w:val="0"/>
              <w:contextualSpacing/>
              <w:rPr>
                <w:rFonts w:eastAsia="MS PGothic" w:cs="Times New Roman"/>
                <w:szCs w:val="24"/>
                <w:lang w:eastAsia="ja-JP"/>
              </w:rPr>
            </w:pPr>
            <w:r>
              <w:rPr>
                <w:rFonts w:eastAsia="MS PGothic" w:cs="Times New Roman"/>
                <w:szCs w:val="24"/>
                <w:lang w:eastAsia="ja-JP"/>
              </w:rPr>
              <w:t>Fiscal result</w:t>
            </w:r>
          </w:p>
        </w:tc>
        <w:tc>
          <w:tcPr>
            <w:tcW w:w="527" w:type="pct"/>
            <w:shd w:val="clear" w:color="auto" w:fill="E7E6E6" w:themeFill="background2"/>
            <w:hideMark/>
          </w:tcPr>
          <w:p w:rsidR="00362E41" w:rsidRPr="00002D92" w:rsidRDefault="00362E41" w:rsidP="005D6F90">
            <w:pPr>
              <w:widowControl w:val="0"/>
              <w:contextualSpacing/>
              <w:jc w:val="center"/>
              <w:rPr>
                <w:rFonts w:eastAsia="MS PGothic" w:cs="Times New Roman"/>
                <w:szCs w:val="24"/>
                <w:lang w:val="sr-Cyrl-CS" w:eastAsia="ja-JP"/>
              </w:rPr>
            </w:pPr>
            <w:r w:rsidRPr="00002D92">
              <w:rPr>
                <w:rFonts w:eastAsia="MS PGothic" w:cs="Times New Roman"/>
                <w:szCs w:val="24"/>
                <w:lang w:val="sr-Cyrl-CS" w:eastAsia="ja-JP"/>
              </w:rPr>
              <w:t>27,2</w:t>
            </w:r>
          </w:p>
        </w:tc>
        <w:tc>
          <w:tcPr>
            <w:tcW w:w="841" w:type="pct"/>
            <w:shd w:val="clear" w:color="auto" w:fill="E7E6E6" w:themeFill="background2"/>
            <w:hideMark/>
          </w:tcPr>
          <w:p w:rsidR="00362E41" w:rsidRPr="00002D92" w:rsidRDefault="00362E41" w:rsidP="005D6F90">
            <w:pPr>
              <w:widowControl w:val="0"/>
              <w:contextualSpacing/>
              <w:jc w:val="center"/>
              <w:rPr>
                <w:rFonts w:eastAsia="MS PGothic" w:cs="Times New Roman"/>
                <w:szCs w:val="24"/>
                <w:lang w:val="sr-Cyrl-CS" w:eastAsia="ja-JP"/>
              </w:rPr>
            </w:pPr>
            <w:r w:rsidRPr="00002D92">
              <w:rPr>
                <w:rFonts w:eastAsia="MS PGothic" w:cs="Times New Roman"/>
                <w:szCs w:val="24"/>
                <w:lang w:val="sr-Cyrl-CS" w:eastAsia="ja-JP"/>
              </w:rPr>
              <w:t>-55,8</w:t>
            </w:r>
          </w:p>
        </w:tc>
        <w:tc>
          <w:tcPr>
            <w:tcW w:w="920" w:type="pct"/>
            <w:shd w:val="clear" w:color="auto" w:fill="E7E6E6" w:themeFill="background2"/>
          </w:tcPr>
          <w:p w:rsidR="00362E41" w:rsidRPr="00002D92" w:rsidRDefault="00362E41" w:rsidP="00ED181C">
            <w:pPr>
              <w:widowControl w:val="0"/>
              <w:contextualSpacing/>
              <w:jc w:val="center"/>
              <w:rPr>
                <w:rFonts w:eastAsia="MS PGothic" w:cs="Times New Roman"/>
                <w:szCs w:val="24"/>
                <w:lang w:val="sr-Cyrl-CS" w:eastAsia="ja-JP"/>
              </w:rPr>
            </w:pPr>
            <w:r w:rsidRPr="00002D92">
              <w:rPr>
                <w:rFonts w:eastAsia="MS PGothic" w:cs="Times New Roman"/>
                <w:szCs w:val="24"/>
                <w:lang w:val="sr-Cyrl-CS" w:eastAsia="ja-JP"/>
              </w:rPr>
              <w:t>-305,2</w:t>
            </w:r>
          </w:p>
        </w:tc>
        <w:tc>
          <w:tcPr>
            <w:tcW w:w="868" w:type="pct"/>
            <w:shd w:val="clear" w:color="auto" w:fill="E7E6E6" w:themeFill="background2"/>
            <w:hideMark/>
          </w:tcPr>
          <w:p w:rsidR="00362E41" w:rsidRPr="00002D92" w:rsidRDefault="00362E41" w:rsidP="00FB566B">
            <w:pPr>
              <w:widowControl w:val="0"/>
              <w:contextualSpacing/>
              <w:rPr>
                <w:rFonts w:eastAsia="MS PGothic" w:cs="Times New Roman"/>
                <w:szCs w:val="24"/>
                <w:lang w:val="sr-Cyrl-CS" w:eastAsia="ja-JP"/>
              </w:rPr>
            </w:pPr>
          </w:p>
        </w:tc>
      </w:tr>
    </w:tbl>
    <w:p w:rsidR="005D6F90" w:rsidRPr="005D6F90" w:rsidRDefault="005D6F90" w:rsidP="005D6F90">
      <w:pPr>
        <w:rPr>
          <w:rFonts w:eastAsia="MS PGothic" w:cs="Times New Roman"/>
          <w:bCs/>
          <w:sz w:val="22"/>
          <w:lang w:val="sr-Cyrl-RS" w:eastAsia="ja-JP"/>
        </w:rPr>
      </w:pPr>
      <w:r w:rsidRPr="005D6F90">
        <w:rPr>
          <w:rFonts w:eastAsia="MS PGothic" w:cs="Times New Roman"/>
          <w:bCs/>
          <w:sz w:val="22"/>
          <w:lang w:val="sr-Cyrl-RS" w:eastAsia="ja-JP"/>
        </w:rPr>
        <w:t>Source: Ministry of Finance</w:t>
      </w:r>
    </w:p>
    <w:p w:rsidR="00362E41" w:rsidRPr="00002D92" w:rsidRDefault="00362E41" w:rsidP="005918D2">
      <w:pPr>
        <w:widowControl w:val="0"/>
        <w:spacing w:after="0"/>
        <w:contextualSpacing/>
        <w:rPr>
          <w:rFonts w:eastAsia="MS PGothic" w:cs="Times New Roman"/>
          <w:szCs w:val="24"/>
          <w:lang w:val="sr-Cyrl-RS" w:eastAsia="ja-JP"/>
        </w:rPr>
      </w:pPr>
    </w:p>
    <w:p w:rsidR="00AF2AAE" w:rsidRDefault="00112B48" w:rsidP="005918D2">
      <w:pPr>
        <w:widowControl w:val="0"/>
        <w:spacing w:after="0"/>
        <w:contextualSpacing/>
        <w:rPr>
          <w:rFonts w:eastAsia="MS PGothic" w:cs="Times New Roman"/>
          <w:szCs w:val="24"/>
          <w:lang w:val="sr-Cyrl-RS" w:eastAsia="ja-JP"/>
        </w:rPr>
      </w:pPr>
      <w:r w:rsidRPr="00112B48">
        <w:rPr>
          <w:rFonts w:eastAsia="MS PGothic" w:cs="Times New Roman"/>
          <w:szCs w:val="24"/>
          <w:lang w:val="sr-Cyrl-RS" w:eastAsia="ja-JP"/>
        </w:rPr>
        <w:t>The state of arrears (delays of over 60 days)* of budget beneficiaries and mandatory social insurance organisations as of the last day of September 2025 amounted to RSD 18.4 billion. Budget beneficiaries and the public enterprise "Putevi Srbije" generated payment arrears of RSD 17.2 billion, while the arrears of mandatory social insurance organisations amounted to RSD 1.2 billion.</w:t>
      </w:r>
    </w:p>
    <w:p w:rsidR="00112B48" w:rsidRPr="00002D92" w:rsidRDefault="00112B48" w:rsidP="005918D2">
      <w:pPr>
        <w:widowControl w:val="0"/>
        <w:spacing w:after="0"/>
        <w:contextualSpacing/>
        <w:rPr>
          <w:rFonts w:eastAsia="MS PGothic" w:cs="Times New Roman"/>
          <w:szCs w:val="24"/>
          <w:lang w:val="sr-Cyrl-RS" w:eastAsia="ja-JP"/>
        </w:rPr>
      </w:pPr>
    </w:p>
    <w:p w:rsidR="005918D2" w:rsidRPr="00002D92" w:rsidRDefault="00BE5096" w:rsidP="005918D2">
      <w:pPr>
        <w:widowControl w:val="0"/>
        <w:spacing w:after="0"/>
        <w:contextualSpacing/>
        <w:rPr>
          <w:rFonts w:eastAsia="MS PGothic" w:cs="Times New Roman"/>
          <w:i/>
          <w:szCs w:val="24"/>
          <w:lang w:val="sr-Cyrl-RS" w:eastAsia="ja-JP"/>
        </w:rPr>
      </w:pPr>
      <w:r>
        <w:rPr>
          <w:rFonts w:eastAsia="MS PGothic" w:cs="Times New Roman"/>
          <w:i/>
          <w:szCs w:val="24"/>
          <w:lang w:eastAsia="ja-JP"/>
        </w:rPr>
        <w:t>Table</w:t>
      </w:r>
      <w:r w:rsidR="005918D2" w:rsidRPr="00002D92">
        <w:rPr>
          <w:rFonts w:eastAsia="MS PGothic" w:cs="Times New Roman"/>
          <w:i/>
          <w:szCs w:val="24"/>
          <w:lang w:val="sr-Cyrl-RS" w:eastAsia="ja-JP"/>
        </w:rPr>
        <w:t xml:space="preserve"> 6. </w:t>
      </w:r>
      <w:r w:rsidRPr="00BE5096">
        <w:rPr>
          <w:rFonts w:eastAsia="MS PGothic" w:cs="Times New Roman"/>
          <w:i/>
          <w:szCs w:val="24"/>
          <w:lang w:val="sr-Cyrl-RS" w:eastAsia="ja-JP"/>
        </w:rPr>
        <w:t>Payment arrears of budget beneficiaries and mandatory social security insurance institution</w:t>
      </w:r>
    </w:p>
    <w:tbl>
      <w:tblPr>
        <w:tblStyle w:val="LightShading-Accent33521"/>
        <w:tblpPr w:leftFromText="180" w:rightFromText="180" w:vertAnchor="text" w:horzAnchor="margin" w:tblpY="56"/>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15"/>
        <w:gridCol w:w="1915"/>
      </w:tblGrid>
      <w:tr w:rsidR="003F6C09" w:rsidRPr="003F6C09" w:rsidTr="00DD35A0">
        <w:trPr>
          <w:cnfStyle w:val="100000000000" w:firstRow="1" w:lastRow="0" w:firstColumn="0" w:lastColumn="0" w:oddVBand="0" w:evenVBand="0" w:oddHBand="0" w:evenHBand="0" w:firstRowFirstColumn="0" w:firstRowLastColumn="0" w:lastRowFirstColumn="0" w:lastRowLastColumn="0"/>
          <w:trHeight w:val="154"/>
          <w:tblHeader/>
        </w:trPr>
        <w:tc>
          <w:tcPr>
            <w:cnfStyle w:val="001000000000" w:firstRow="0" w:lastRow="0" w:firstColumn="1" w:lastColumn="0" w:oddVBand="0" w:evenVBand="0" w:oddHBand="0" w:evenHBand="0" w:firstRowFirstColumn="0" w:firstRowLastColumn="0" w:lastRowFirstColumn="0" w:lastRowLastColumn="0"/>
            <w:tcW w:w="2984" w:type="pct"/>
            <w:tcBorders>
              <w:top w:val="none" w:sz="0" w:space="0" w:color="auto"/>
              <w:left w:val="none" w:sz="0" w:space="0" w:color="auto"/>
              <w:bottom w:val="none" w:sz="0" w:space="0" w:color="auto"/>
              <w:right w:val="none" w:sz="0" w:space="0" w:color="auto"/>
            </w:tcBorders>
            <w:shd w:val="clear" w:color="auto" w:fill="auto"/>
            <w:noWrap/>
            <w:hideMark/>
          </w:tcPr>
          <w:p w:rsidR="005918D2" w:rsidRPr="003F6C09" w:rsidRDefault="005918D2" w:rsidP="00EA7C4B">
            <w:pPr>
              <w:widowControl w:val="0"/>
              <w:spacing w:after="0"/>
              <w:contextualSpacing/>
              <w:rPr>
                <w:rFonts w:eastAsia="MS PGothic"/>
                <w:color w:val="000000" w:themeColor="text1"/>
                <w:szCs w:val="24"/>
                <w:lang w:val="sr-Cyrl-RS" w:eastAsia="ja-JP"/>
              </w:rPr>
            </w:pPr>
            <w:r w:rsidRPr="003F6C09">
              <w:rPr>
                <w:rFonts w:eastAsia="MS PGothic"/>
                <w:color w:val="000000" w:themeColor="text1"/>
                <w:szCs w:val="24"/>
                <w:lang w:val="sr-Cyrl-RS" w:eastAsia="ja-JP"/>
              </w:rPr>
              <w:t> </w:t>
            </w:r>
          </w:p>
        </w:tc>
        <w:tc>
          <w:tcPr>
            <w:tcW w:w="1008" w:type="pct"/>
            <w:tcBorders>
              <w:top w:val="none" w:sz="0" w:space="0" w:color="auto"/>
              <w:left w:val="none" w:sz="0" w:space="0" w:color="auto"/>
              <w:bottom w:val="none" w:sz="0" w:space="0" w:color="auto"/>
              <w:right w:val="none" w:sz="0" w:space="0" w:color="auto"/>
            </w:tcBorders>
            <w:shd w:val="clear" w:color="auto" w:fill="auto"/>
          </w:tcPr>
          <w:p w:rsidR="005918D2" w:rsidRPr="003F6C09" w:rsidRDefault="005918D2" w:rsidP="00BE5096">
            <w:pPr>
              <w:widowControl w:val="0"/>
              <w:spacing w:after="0"/>
              <w:contextualSpacing/>
              <w:jc w:val="center"/>
              <w:cnfStyle w:val="100000000000" w:firstRow="1" w:lastRow="0" w:firstColumn="0" w:lastColumn="0" w:oddVBand="0" w:evenVBand="0" w:oddHBand="0" w:evenHBand="0" w:firstRowFirstColumn="0" w:firstRowLastColumn="0" w:lastRowFirstColumn="0" w:lastRowLastColumn="0"/>
              <w:rPr>
                <w:rFonts w:eastAsia="MS PGothic"/>
                <w:b w:val="0"/>
                <w:color w:val="000000" w:themeColor="text1"/>
                <w:szCs w:val="24"/>
                <w:lang w:val="sr-Cyrl-RS" w:eastAsia="ja-JP"/>
              </w:rPr>
            </w:pPr>
            <w:r w:rsidRPr="003F6C09">
              <w:rPr>
                <w:rFonts w:eastAsia="MS PGothic"/>
                <w:color w:val="000000" w:themeColor="text1"/>
                <w:szCs w:val="24"/>
                <w:lang w:eastAsia="ja-JP"/>
              </w:rPr>
              <w:t>31.12.2024.</w:t>
            </w:r>
          </w:p>
        </w:tc>
        <w:tc>
          <w:tcPr>
            <w:tcW w:w="1008" w:type="pct"/>
            <w:tcBorders>
              <w:top w:val="none" w:sz="0" w:space="0" w:color="auto"/>
              <w:left w:val="none" w:sz="0" w:space="0" w:color="auto"/>
              <w:bottom w:val="none" w:sz="0" w:space="0" w:color="auto"/>
              <w:right w:val="none" w:sz="0" w:space="0" w:color="auto"/>
            </w:tcBorders>
            <w:shd w:val="clear" w:color="auto" w:fill="auto"/>
          </w:tcPr>
          <w:p w:rsidR="005918D2" w:rsidRPr="003F6C09" w:rsidRDefault="005918D2" w:rsidP="00BE5096">
            <w:pPr>
              <w:widowControl w:val="0"/>
              <w:spacing w:after="0"/>
              <w:contextualSpacing/>
              <w:jc w:val="center"/>
              <w:cnfStyle w:val="100000000000" w:firstRow="1" w:lastRow="0" w:firstColumn="0" w:lastColumn="0" w:oddVBand="0" w:evenVBand="0" w:oddHBand="0" w:evenHBand="0" w:firstRowFirstColumn="0" w:firstRowLastColumn="0" w:lastRowFirstColumn="0" w:lastRowLastColumn="0"/>
              <w:rPr>
                <w:rFonts w:eastAsia="MS PGothic"/>
                <w:b w:val="0"/>
                <w:color w:val="000000" w:themeColor="text1"/>
                <w:szCs w:val="24"/>
                <w:lang w:val="sr-Cyrl-RS" w:eastAsia="ja-JP"/>
              </w:rPr>
            </w:pPr>
            <w:r w:rsidRPr="003F6C09">
              <w:rPr>
                <w:rFonts w:eastAsia="MS PGothic"/>
                <w:color w:val="000000" w:themeColor="text1"/>
                <w:szCs w:val="24"/>
                <w:lang w:eastAsia="ja-JP"/>
              </w:rPr>
              <w:t>30.9.2025.</w:t>
            </w:r>
          </w:p>
        </w:tc>
      </w:tr>
      <w:tr w:rsidR="00BE5096" w:rsidRPr="003F6C09" w:rsidTr="00F82D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984" w:type="pct"/>
            <w:tcBorders>
              <w:left w:val="none" w:sz="0" w:space="0" w:color="auto"/>
              <w:right w:val="none" w:sz="0" w:space="0" w:color="auto"/>
            </w:tcBorders>
            <w:shd w:val="clear" w:color="auto" w:fill="auto"/>
            <w:noWrap/>
            <w:hideMark/>
          </w:tcPr>
          <w:p w:rsidR="00BE5096" w:rsidRPr="00BE5096" w:rsidRDefault="00BE5096" w:rsidP="00BE5096">
            <w:pPr>
              <w:rPr>
                <w:b w:val="0"/>
                <w:color w:val="auto"/>
              </w:rPr>
            </w:pPr>
            <w:r w:rsidRPr="00BE5096">
              <w:rPr>
                <w:b w:val="0"/>
                <w:color w:val="auto"/>
              </w:rPr>
              <w:t>Budget beneficiaries and PE "Putevi Srbije"</w:t>
            </w:r>
          </w:p>
        </w:tc>
        <w:tc>
          <w:tcPr>
            <w:tcW w:w="1008" w:type="pct"/>
            <w:tcBorders>
              <w:left w:val="none" w:sz="0" w:space="0" w:color="auto"/>
              <w:right w:val="none" w:sz="0" w:space="0" w:color="auto"/>
            </w:tcBorders>
            <w:shd w:val="clear" w:color="auto" w:fill="auto"/>
          </w:tcPr>
          <w:p w:rsidR="00BE5096" w:rsidRPr="003F6C09" w:rsidRDefault="00BE5096" w:rsidP="00BE5096">
            <w:pPr>
              <w:widowControl w:val="0"/>
              <w:spacing w:after="0"/>
              <w:contextualSpacing/>
              <w:jc w:val="center"/>
              <w:cnfStyle w:val="000000100000" w:firstRow="0" w:lastRow="0" w:firstColumn="0" w:lastColumn="0" w:oddVBand="0" w:evenVBand="0" w:oddHBand="1" w:evenHBand="0" w:firstRowFirstColumn="0" w:firstRowLastColumn="0" w:lastRowFirstColumn="0" w:lastRowLastColumn="0"/>
              <w:rPr>
                <w:rFonts w:eastAsia="MS PGothic"/>
                <w:color w:val="000000" w:themeColor="text1"/>
                <w:szCs w:val="24"/>
                <w:lang w:val="sr-Cyrl-RS" w:eastAsia="ja-JP"/>
              </w:rPr>
            </w:pPr>
            <w:r w:rsidRPr="003F6C09">
              <w:rPr>
                <w:rFonts w:eastAsia="MS PGothic"/>
                <w:color w:val="000000" w:themeColor="text1"/>
                <w:szCs w:val="24"/>
                <w:lang w:eastAsia="ja-JP"/>
              </w:rPr>
              <w:t>9,4</w:t>
            </w:r>
          </w:p>
        </w:tc>
        <w:tc>
          <w:tcPr>
            <w:tcW w:w="1008" w:type="pct"/>
            <w:tcBorders>
              <w:left w:val="none" w:sz="0" w:space="0" w:color="auto"/>
              <w:right w:val="none" w:sz="0" w:space="0" w:color="auto"/>
            </w:tcBorders>
            <w:shd w:val="clear" w:color="auto" w:fill="auto"/>
          </w:tcPr>
          <w:p w:rsidR="00BE5096" w:rsidRPr="003F6C09" w:rsidRDefault="00BE5096" w:rsidP="00BE5096">
            <w:pPr>
              <w:widowControl w:val="0"/>
              <w:spacing w:after="0"/>
              <w:contextualSpacing/>
              <w:jc w:val="center"/>
              <w:cnfStyle w:val="000000100000" w:firstRow="0" w:lastRow="0" w:firstColumn="0" w:lastColumn="0" w:oddVBand="0" w:evenVBand="0" w:oddHBand="1" w:evenHBand="0" w:firstRowFirstColumn="0" w:firstRowLastColumn="0" w:lastRowFirstColumn="0" w:lastRowLastColumn="0"/>
              <w:rPr>
                <w:rFonts w:eastAsia="MS PGothic"/>
                <w:color w:val="000000" w:themeColor="text1"/>
                <w:szCs w:val="24"/>
                <w:lang w:val="sr-Cyrl-RS" w:eastAsia="ja-JP"/>
              </w:rPr>
            </w:pPr>
            <w:r w:rsidRPr="003F6C09">
              <w:rPr>
                <w:rFonts w:eastAsia="MS PGothic"/>
                <w:color w:val="000000" w:themeColor="text1"/>
                <w:szCs w:val="24"/>
                <w:lang w:eastAsia="ja-JP"/>
              </w:rPr>
              <w:t>17,2</w:t>
            </w:r>
          </w:p>
        </w:tc>
      </w:tr>
      <w:tr w:rsidR="00BE5096" w:rsidRPr="003F6C09" w:rsidTr="00F82D20">
        <w:trPr>
          <w:trHeight w:val="154"/>
        </w:trPr>
        <w:tc>
          <w:tcPr>
            <w:cnfStyle w:val="001000000000" w:firstRow="0" w:lastRow="0" w:firstColumn="1" w:lastColumn="0" w:oddVBand="0" w:evenVBand="0" w:oddHBand="0" w:evenHBand="0" w:firstRowFirstColumn="0" w:firstRowLastColumn="0" w:lastRowFirstColumn="0" w:lastRowLastColumn="0"/>
            <w:tcW w:w="2984" w:type="pct"/>
            <w:shd w:val="clear" w:color="auto" w:fill="auto"/>
            <w:noWrap/>
            <w:hideMark/>
          </w:tcPr>
          <w:p w:rsidR="00BE5096" w:rsidRPr="00BE5096" w:rsidRDefault="00BE5096" w:rsidP="00BE5096">
            <w:pPr>
              <w:rPr>
                <w:b w:val="0"/>
                <w:color w:val="auto"/>
              </w:rPr>
            </w:pPr>
            <w:r w:rsidRPr="00BE5096">
              <w:rPr>
                <w:b w:val="0"/>
                <w:color w:val="auto"/>
              </w:rPr>
              <w:t>Mandatory social security insurance institutions</w:t>
            </w:r>
          </w:p>
        </w:tc>
        <w:tc>
          <w:tcPr>
            <w:tcW w:w="1008" w:type="pct"/>
            <w:shd w:val="clear" w:color="auto" w:fill="auto"/>
          </w:tcPr>
          <w:p w:rsidR="00BE5096" w:rsidRPr="003F6C09" w:rsidRDefault="00BE5096" w:rsidP="00BE5096">
            <w:pPr>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rFonts w:eastAsia="MS PGothic"/>
                <w:color w:val="000000" w:themeColor="text1"/>
                <w:szCs w:val="24"/>
                <w:lang w:val="sr-Latn-RS" w:eastAsia="ja-JP"/>
              </w:rPr>
            </w:pPr>
            <w:r w:rsidRPr="003F6C09">
              <w:rPr>
                <w:rFonts w:eastAsia="MS PGothic"/>
                <w:color w:val="000000" w:themeColor="text1"/>
                <w:szCs w:val="24"/>
                <w:lang w:eastAsia="ja-JP"/>
              </w:rPr>
              <w:t>1,2</w:t>
            </w:r>
          </w:p>
        </w:tc>
        <w:tc>
          <w:tcPr>
            <w:tcW w:w="1008" w:type="pct"/>
            <w:shd w:val="clear" w:color="auto" w:fill="auto"/>
          </w:tcPr>
          <w:p w:rsidR="00BE5096" w:rsidRPr="003F6C09" w:rsidRDefault="00BE5096" w:rsidP="00BE5096">
            <w:pPr>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rFonts w:eastAsia="MS PGothic"/>
                <w:color w:val="000000" w:themeColor="text1"/>
                <w:szCs w:val="24"/>
                <w:lang w:val="sr-Cyrl-RS" w:eastAsia="ja-JP"/>
              </w:rPr>
            </w:pPr>
            <w:r w:rsidRPr="003F6C09">
              <w:rPr>
                <w:rFonts w:eastAsia="MS PGothic"/>
                <w:color w:val="000000" w:themeColor="text1"/>
                <w:szCs w:val="24"/>
                <w:lang w:eastAsia="ja-JP"/>
              </w:rPr>
              <w:t>1,2</w:t>
            </w:r>
          </w:p>
        </w:tc>
      </w:tr>
      <w:tr w:rsidR="003F6C09" w:rsidRPr="003F6C09" w:rsidTr="00DD3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tcBorders>
              <w:left w:val="none" w:sz="0" w:space="0" w:color="auto"/>
              <w:right w:val="none" w:sz="0" w:space="0" w:color="auto"/>
            </w:tcBorders>
            <w:shd w:val="clear" w:color="auto" w:fill="auto"/>
            <w:noWrap/>
            <w:vAlign w:val="center"/>
            <w:hideMark/>
          </w:tcPr>
          <w:p w:rsidR="005918D2" w:rsidRPr="00BE5096" w:rsidRDefault="00BE5096" w:rsidP="00BE5096">
            <w:pPr>
              <w:rPr>
                <w:rFonts w:eastAsiaTheme="minorHAnsi"/>
                <w:b w:val="0"/>
                <w:color w:val="auto"/>
                <w:szCs w:val="22"/>
              </w:rPr>
            </w:pPr>
            <w:r w:rsidRPr="00BE5096">
              <w:rPr>
                <w:rFonts w:eastAsiaTheme="minorHAnsi"/>
                <w:b w:val="0"/>
                <w:color w:val="auto"/>
                <w:szCs w:val="22"/>
              </w:rPr>
              <w:t>TOTAL</w:t>
            </w:r>
          </w:p>
        </w:tc>
        <w:tc>
          <w:tcPr>
            <w:tcW w:w="1008" w:type="pct"/>
            <w:tcBorders>
              <w:left w:val="none" w:sz="0" w:space="0" w:color="auto"/>
              <w:right w:val="none" w:sz="0" w:space="0" w:color="auto"/>
            </w:tcBorders>
            <w:shd w:val="clear" w:color="auto" w:fill="auto"/>
          </w:tcPr>
          <w:p w:rsidR="005918D2" w:rsidRPr="003F6C09" w:rsidRDefault="005918D2" w:rsidP="004F6F97">
            <w:pPr>
              <w:widowControl w:val="0"/>
              <w:spacing w:after="0"/>
              <w:contextualSpacing/>
              <w:jc w:val="center"/>
              <w:cnfStyle w:val="000000100000" w:firstRow="0" w:lastRow="0" w:firstColumn="0" w:lastColumn="0" w:oddVBand="0" w:evenVBand="0" w:oddHBand="1" w:evenHBand="0" w:firstRowFirstColumn="0" w:firstRowLastColumn="0" w:lastRowFirstColumn="0" w:lastRowLastColumn="0"/>
              <w:rPr>
                <w:rFonts w:eastAsia="MS PGothic"/>
                <w:color w:val="000000" w:themeColor="text1"/>
                <w:szCs w:val="24"/>
                <w:lang w:val="sr-Cyrl-RS" w:eastAsia="ja-JP"/>
              </w:rPr>
            </w:pPr>
            <w:r w:rsidRPr="003F6C09">
              <w:rPr>
                <w:rFonts w:eastAsia="MS PGothic"/>
                <w:color w:val="000000" w:themeColor="text1"/>
                <w:szCs w:val="24"/>
                <w:lang w:eastAsia="ja-JP"/>
              </w:rPr>
              <w:t>10,6</w:t>
            </w:r>
          </w:p>
        </w:tc>
        <w:tc>
          <w:tcPr>
            <w:tcW w:w="1008" w:type="pct"/>
            <w:tcBorders>
              <w:left w:val="none" w:sz="0" w:space="0" w:color="auto"/>
              <w:right w:val="none" w:sz="0" w:space="0" w:color="auto"/>
            </w:tcBorders>
            <w:shd w:val="clear" w:color="auto" w:fill="auto"/>
          </w:tcPr>
          <w:p w:rsidR="005918D2" w:rsidRPr="003F6C09" w:rsidRDefault="005918D2" w:rsidP="004F6F97">
            <w:pPr>
              <w:widowControl w:val="0"/>
              <w:spacing w:after="0"/>
              <w:contextualSpacing/>
              <w:jc w:val="center"/>
              <w:cnfStyle w:val="000000100000" w:firstRow="0" w:lastRow="0" w:firstColumn="0" w:lastColumn="0" w:oddVBand="0" w:evenVBand="0" w:oddHBand="1" w:evenHBand="0" w:firstRowFirstColumn="0" w:firstRowLastColumn="0" w:lastRowFirstColumn="0" w:lastRowLastColumn="0"/>
              <w:rPr>
                <w:rFonts w:eastAsia="MS PGothic"/>
                <w:color w:val="000000" w:themeColor="text1"/>
                <w:szCs w:val="24"/>
                <w:lang w:val="sr-Latn-RS" w:eastAsia="ja-JP"/>
              </w:rPr>
            </w:pPr>
            <w:r w:rsidRPr="003F6C09">
              <w:rPr>
                <w:rFonts w:eastAsia="MS PGothic"/>
                <w:color w:val="000000" w:themeColor="text1"/>
                <w:szCs w:val="24"/>
                <w:lang w:eastAsia="ja-JP"/>
              </w:rPr>
              <w:t>18,4</w:t>
            </w:r>
          </w:p>
        </w:tc>
      </w:tr>
    </w:tbl>
    <w:p w:rsidR="00BE5096" w:rsidRPr="00BE5096" w:rsidRDefault="00BE5096" w:rsidP="00BE5096">
      <w:pPr>
        <w:widowControl w:val="0"/>
        <w:spacing w:after="0"/>
        <w:contextualSpacing/>
        <w:rPr>
          <w:rFonts w:eastAsia="MS PGothic" w:cs="Times New Roman"/>
          <w:bCs/>
          <w:sz w:val="22"/>
          <w:lang w:val="sr-Cyrl-CS" w:eastAsia="ja-JP"/>
        </w:rPr>
      </w:pPr>
      <w:r w:rsidRPr="00BE5096">
        <w:rPr>
          <w:rFonts w:eastAsia="MS PGothic" w:cs="Times New Roman"/>
          <w:bCs/>
          <w:sz w:val="22"/>
          <w:lang w:val="sr-Latn-RS" w:eastAsia="ja-JP"/>
        </w:rPr>
        <w:t>Source</w:t>
      </w:r>
      <w:r w:rsidRPr="00BE5096">
        <w:rPr>
          <w:rFonts w:eastAsia="MS PGothic" w:cs="Times New Roman"/>
          <w:bCs/>
          <w:sz w:val="22"/>
          <w:lang w:val="sr-Cyrl-CS" w:eastAsia="ja-JP"/>
        </w:rPr>
        <w:t>: Ministry of Finance; * In accordance with the definition used for IMF program monitoring.</w:t>
      </w:r>
    </w:p>
    <w:p w:rsidR="005918D2" w:rsidRPr="00B92461" w:rsidRDefault="005918D2" w:rsidP="0013195C">
      <w:pPr>
        <w:widowControl w:val="0"/>
        <w:spacing w:after="0"/>
        <w:contextualSpacing/>
        <w:rPr>
          <w:rFonts w:eastAsia="MS PGothic" w:cs="Times New Roman"/>
          <w:sz w:val="18"/>
          <w:szCs w:val="18"/>
          <w:lang w:val="sr-Cyrl-RS" w:eastAsia="ja-JP"/>
        </w:rPr>
      </w:pPr>
      <w:r w:rsidRPr="00B92461">
        <w:rPr>
          <w:rFonts w:eastAsia="MS PGothic" w:cs="Times New Roman"/>
          <w:sz w:val="18"/>
          <w:szCs w:val="18"/>
          <w:lang w:val="sr-Cyrl-RS" w:eastAsia="ja-JP"/>
        </w:rPr>
        <w:t xml:space="preserve">** </w:t>
      </w:r>
      <w:r w:rsidR="00035405" w:rsidRPr="00B92461">
        <w:rPr>
          <w:rFonts w:eastAsia="MS PGothic" w:cs="Times New Roman"/>
          <w:sz w:val="18"/>
          <w:szCs w:val="18"/>
          <w:lang w:eastAsia="ja-JP"/>
        </w:rPr>
        <w:t>In accordance with the definition used for the purpose of monitoring the implementation of the arrangement with the IMF.</w:t>
      </w:r>
      <w:r w:rsidRPr="00B92461">
        <w:rPr>
          <w:rFonts w:eastAsia="MS PGothic" w:cs="Times New Roman"/>
          <w:b/>
          <w:i/>
          <w:sz w:val="18"/>
          <w:szCs w:val="18"/>
          <w:lang w:val="sr-Cyrl-RS" w:eastAsia="ja-JP"/>
        </w:rPr>
        <w:br w:type="page"/>
      </w:r>
    </w:p>
    <w:p w:rsidR="0013195C" w:rsidRPr="006959DD" w:rsidRDefault="0013195C" w:rsidP="0013195C">
      <w:pPr>
        <w:spacing w:after="60"/>
        <w:jc w:val="center"/>
        <w:rPr>
          <w:rFonts w:eastAsia="Calibri" w:cs="Times New Roman"/>
          <w:b/>
          <w:szCs w:val="24"/>
          <w:lang w:val="sr-Cyrl-CS"/>
        </w:rPr>
      </w:pPr>
      <w:bookmarkStart w:id="29" w:name="_Toc11155993"/>
      <w:bookmarkStart w:id="30" w:name="_Toc530635107"/>
      <w:r w:rsidRPr="006959DD">
        <w:rPr>
          <w:rFonts w:eastAsia="Calibri" w:cs="Times New Roman"/>
          <w:b/>
          <w:szCs w:val="24"/>
          <w:lang w:val="sr-Cyrl-CS"/>
        </w:rPr>
        <w:lastRenderedPageBreak/>
        <w:t>S0 indicator of short-term fiscal sustainability</w:t>
      </w:r>
    </w:p>
    <w:p w:rsidR="005918D2" w:rsidRPr="00002D92" w:rsidRDefault="005918D2" w:rsidP="005918D2">
      <w:pPr>
        <w:spacing w:after="60"/>
        <w:rPr>
          <w:rFonts w:cs="Times New Roman"/>
          <w:szCs w:val="20"/>
          <w:lang w:val="sr-Cyrl-CS"/>
        </w:rPr>
      </w:pPr>
    </w:p>
    <w:p w:rsidR="005918D2" w:rsidRPr="00002D92" w:rsidRDefault="005918D2" w:rsidP="005918D2">
      <w:pPr>
        <w:spacing w:after="60"/>
        <w:rPr>
          <w:rFonts w:cs="Times New Roman"/>
          <w:szCs w:val="20"/>
          <w:lang w:val="sr-Cyrl-CS"/>
        </w:rPr>
        <w:sectPr w:rsidR="005918D2" w:rsidRPr="00002D92" w:rsidSect="0073743F">
          <w:headerReference w:type="even" r:id="rId14"/>
          <w:footerReference w:type="even" r:id="rId15"/>
          <w:footerReference w:type="default" r:id="rId16"/>
          <w:headerReference w:type="first" r:id="rId17"/>
          <w:pgSz w:w="11906" w:h="16838" w:code="9"/>
          <w:pgMar w:top="1440" w:right="1080" w:bottom="1440" w:left="1080" w:header="720" w:footer="720" w:gutter="0"/>
          <w:cols w:space="720"/>
          <w:docGrid w:linePitch="360"/>
        </w:sectPr>
      </w:pPr>
    </w:p>
    <w:p w:rsidR="006959DD" w:rsidRDefault="0013195C" w:rsidP="005918D2">
      <w:pPr>
        <w:rPr>
          <w:rFonts w:cs="Times New Roman"/>
          <w:szCs w:val="20"/>
          <w:lang w:val="sr-Latn-RS"/>
        </w:rPr>
      </w:pPr>
      <w:r w:rsidRPr="0013195C">
        <w:rPr>
          <w:rFonts w:cs="Times New Roman"/>
          <w:szCs w:val="20"/>
          <w:lang w:val="sr-Cyrl-CS"/>
        </w:rPr>
        <w:t>The European Commission has designed the composite S0 indicator to assess short-term fiscal sustainability, aiming to anticipate fiscal stress in the following year by identifying potential short-term risks in the current year. If the value of the S0 indicator exceeds the defined threshold, the country is considered to be at short-term risk of fiscal stress. In addition to the overall indicator value, the values of sub-indices and their components are also examined in order to pinpoint the sources of risk. The S0 composite indicator consists of two sub-indices, each encompassing a range of fiscal and macro-financial sustainability variables. Values of these sub-indices below the defined threshold indicate the absence of short-term fiscal risk.</w:t>
      </w:r>
      <w:r w:rsidR="006959DD">
        <w:rPr>
          <w:rFonts w:cs="Times New Roman"/>
          <w:szCs w:val="20"/>
          <w:lang w:val="sr-Latn-RS"/>
        </w:rPr>
        <w:t xml:space="preserve"> </w:t>
      </w:r>
    </w:p>
    <w:p w:rsidR="000F178B" w:rsidRDefault="0013195C" w:rsidP="005918D2">
      <w:pPr>
        <w:rPr>
          <w:rFonts w:cs="Times New Roman"/>
          <w:szCs w:val="20"/>
          <w:lang w:val="sr-Cyrl-CS"/>
        </w:rPr>
      </w:pPr>
      <w:r w:rsidRPr="0013195C">
        <w:rPr>
          <w:rFonts w:cs="Times New Roman"/>
          <w:szCs w:val="20"/>
          <w:lang w:val="sr-Cyrl-CS"/>
        </w:rPr>
        <w:t>In 2024, the values of the fiscal (0.12) and financial (0.31) sub-indices remained within their defined thresholds, as did the value of the overall S0 indicator for the Republic of Serbia (0.24), which generally indicates that there is no risk of macroeconomic instability in the upcoming medium-term period. The successfully maintained macroeconomic and fiscal stability established in the previous period has provided room for swift and significant measures</w:t>
      </w:r>
      <w:r w:rsidR="00F82D20">
        <w:rPr>
          <w:rFonts w:cs="Times New Roman"/>
          <w:szCs w:val="20"/>
          <w:lang w:val="sr-Cyrl-CS"/>
        </w:rPr>
        <w:t xml:space="preserve"> to support fiscal and monetary</w:t>
      </w:r>
      <w:r w:rsidR="006959DD">
        <w:rPr>
          <w:rFonts w:cs="Times New Roman"/>
          <w:szCs w:val="20"/>
          <w:lang w:val="sr-Latn-RS"/>
        </w:rPr>
        <w:t xml:space="preserve"> </w:t>
      </w:r>
      <w:r w:rsidRPr="0013195C">
        <w:rPr>
          <w:rFonts w:cs="Times New Roman"/>
          <w:szCs w:val="20"/>
          <w:lang w:val="sr-Cyrl-CS"/>
        </w:rPr>
        <w:t>policy.</w:t>
      </w:r>
    </w:p>
    <w:p w:rsidR="000F178B" w:rsidRDefault="000F178B" w:rsidP="005918D2">
      <w:pPr>
        <w:rPr>
          <w:rFonts w:cs="Times New Roman"/>
          <w:szCs w:val="20"/>
          <w:lang w:val="sr-Cyrl-CS"/>
        </w:rPr>
      </w:pPr>
    </w:p>
    <w:p w:rsidR="000F178B" w:rsidRPr="00CF37B7" w:rsidRDefault="000F178B" w:rsidP="005918D2">
      <w:pPr>
        <w:rPr>
          <w:rFonts w:eastAsia="Calibri" w:cs="Times New Roman"/>
          <w:i/>
          <w:spacing w:val="2"/>
          <w:szCs w:val="24"/>
        </w:rPr>
      </w:pPr>
      <w:r>
        <w:rPr>
          <w:rFonts w:eastAsia="Calibri" w:cs="Times New Roman"/>
          <w:i/>
          <w:spacing w:val="2"/>
          <w:szCs w:val="24"/>
          <w:lang w:val="sr-Latn-RS"/>
        </w:rPr>
        <w:t>Graph</w:t>
      </w:r>
      <w:r w:rsidRPr="00BF5A92">
        <w:rPr>
          <w:rFonts w:eastAsia="Calibri" w:cs="Times New Roman"/>
          <w:i/>
          <w:spacing w:val="2"/>
          <w:szCs w:val="24"/>
          <w:lang w:val="sr-Cyrl-RS"/>
        </w:rPr>
        <w:t xml:space="preserve"> </w:t>
      </w:r>
      <w:r w:rsidR="00CF37B7">
        <w:rPr>
          <w:rFonts w:eastAsia="Calibri" w:cs="Times New Roman"/>
          <w:i/>
          <w:spacing w:val="2"/>
          <w:szCs w:val="24"/>
          <w:lang w:val="sr-Latn-RS"/>
        </w:rPr>
        <w:t>6</w:t>
      </w:r>
      <w:r w:rsidRPr="00BF5A92">
        <w:rPr>
          <w:rFonts w:eastAsia="Calibri" w:cs="Times New Roman"/>
          <w:i/>
          <w:spacing w:val="2"/>
          <w:szCs w:val="24"/>
          <w:lang w:val="sr-Cyrl-RS"/>
        </w:rPr>
        <w:t xml:space="preserve">. </w:t>
      </w:r>
      <w:r w:rsidRPr="006440D7">
        <w:rPr>
          <w:rFonts w:eastAsia="Calibri" w:cs="Times New Roman"/>
          <w:i/>
          <w:szCs w:val="24"/>
          <w:lang w:val="sr-Cyrl-RS"/>
        </w:rPr>
        <w:t>The fiscal sub</w:t>
      </w:r>
      <w:r>
        <w:rPr>
          <w:rFonts w:eastAsia="Calibri" w:cs="Times New Roman"/>
          <w:i/>
          <w:szCs w:val="24"/>
          <w:lang w:val="sr-Latn-RS"/>
        </w:rPr>
        <w:t>-</w:t>
      </w:r>
      <w:r w:rsidRPr="006440D7">
        <w:rPr>
          <w:rFonts w:eastAsia="Calibri" w:cs="Times New Roman"/>
          <w:i/>
          <w:szCs w:val="24"/>
          <w:lang w:val="sr-Cyrl-RS"/>
        </w:rPr>
        <w:t>index and the financial competitiveness sub</w:t>
      </w:r>
      <w:r>
        <w:rPr>
          <w:rFonts w:eastAsia="Calibri" w:cs="Times New Roman"/>
          <w:i/>
          <w:szCs w:val="24"/>
          <w:lang w:val="sr-Latn-RS"/>
        </w:rPr>
        <w:t>-</w:t>
      </w:r>
      <w:r w:rsidRPr="006440D7">
        <w:rPr>
          <w:rFonts w:eastAsia="Calibri" w:cs="Times New Roman"/>
          <w:i/>
          <w:szCs w:val="24"/>
          <w:lang w:val="sr-Cyrl-RS"/>
        </w:rPr>
        <w:t>index for</w:t>
      </w:r>
      <w:r w:rsidR="00CF37B7">
        <w:rPr>
          <w:rFonts w:eastAsia="Calibri" w:cs="Times New Roman"/>
          <w:i/>
          <w:szCs w:val="24"/>
          <w:lang w:val="sr-Cyrl-RS"/>
        </w:rPr>
        <w:t xml:space="preserve"> EU countries and Serbia in 202</w:t>
      </w:r>
      <w:r w:rsidR="00CF37B7">
        <w:rPr>
          <w:rFonts w:eastAsia="Calibri" w:cs="Times New Roman"/>
          <w:i/>
          <w:szCs w:val="24"/>
        </w:rPr>
        <w:t>4</w:t>
      </w:r>
    </w:p>
    <w:p w:rsidR="005918D2" w:rsidRPr="00002D92" w:rsidRDefault="0013195C" w:rsidP="005918D2">
      <w:pPr>
        <w:rPr>
          <w:rFonts w:cs="Times New Roman"/>
          <w:szCs w:val="20"/>
          <w:lang w:val="sr-Cyrl-CS"/>
        </w:rPr>
      </w:pPr>
      <w:r w:rsidRPr="001B41AD">
        <w:rPr>
          <w:noProof/>
        </w:rPr>
        <w:drawing>
          <wp:inline distT="0" distB="0" distL="0" distR="0" wp14:anchorId="4F9215F8" wp14:editId="3261A070">
            <wp:extent cx="3048000" cy="5324021"/>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18D2" w:rsidRPr="00002D92" w:rsidRDefault="005918D2" w:rsidP="005918D2">
      <w:pPr>
        <w:rPr>
          <w:rFonts w:cs="Times New Roman"/>
          <w:szCs w:val="20"/>
          <w:lang w:val="sr-Cyrl-CS"/>
        </w:rPr>
      </w:pPr>
    </w:p>
    <w:p w:rsidR="005918D2" w:rsidRPr="00002D92" w:rsidRDefault="005918D2" w:rsidP="005918D2">
      <w:pPr>
        <w:rPr>
          <w:rFonts w:eastAsia="Calibri" w:cs="Times New Roman"/>
          <w:b/>
          <w:szCs w:val="26"/>
          <w:lang w:val="sr-Cyrl-CS"/>
        </w:rPr>
        <w:sectPr w:rsidR="005918D2" w:rsidRPr="00002D92" w:rsidSect="006C04C7">
          <w:type w:val="continuous"/>
          <w:pgSz w:w="11906" w:h="16838" w:code="9"/>
          <w:pgMar w:top="1440" w:right="1440" w:bottom="1440" w:left="1440" w:header="720" w:footer="720" w:gutter="0"/>
          <w:cols w:num="2" w:space="720"/>
          <w:docGrid w:linePitch="360"/>
        </w:sectPr>
      </w:pPr>
    </w:p>
    <w:p w:rsidR="005918D2" w:rsidRDefault="005918D2"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Default="000F178B" w:rsidP="005918D2">
      <w:pPr>
        <w:jc w:val="center"/>
        <w:rPr>
          <w:rFonts w:cs="Times New Roman"/>
          <w:szCs w:val="20"/>
          <w:lang w:val="sr-Cyrl-CS"/>
        </w:rPr>
      </w:pPr>
    </w:p>
    <w:p w:rsidR="000F178B" w:rsidRPr="00CF37B7" w:rsidRDefault="000F178B" w:rsidP="00CF37B7">
      <w:pPr>
        <w:spacing w:after="240"/>
        <w:rPr>
          <w:rFonts w:eastAsia="Calibri" w:cs="Times New Roman"/>
          <w:i/>
          <w:szCs w:val="24"/>
          <w:lang w:val="sr-Latn-RS"/>
        </w:rPr>
      </w:pPr>
      <w:r>
        <w:rPr>
          <w:rFonts w:eastAsia="Calibri" w:cs="Times New Roman"/>
          <w:i/>
          <w:szCs w:val="24"/>
          <w:lang w:val="sr-Latn-RS"/>
        </w:rPr>
        <w:t>Graph</w:t>
      </w:r>
      <w:r w:rsidRPr="006C46A3">
        <w:rPr>
          <w:rFonts w:eastAsia="Calibri" w:cs="Times New Roman"/>
          <w:i/>
          <w:szCs w:val="24"/>
          <w:lang w:val="sr-Cyrl-RS"/>
        </w:rPr>
        <w:t xml:space="preserve"> </w:t>
      </w:r>
      <w:r w:rsidRPr="006C46A3">
        <w:rPr>
          <w:rFonts w:eastAsia="Calibri" w:cs="Times New Roman"/>
          <w:i/>
          <w:szCs w:val="24"/>
          <w:lang w:val="sr-Latn-RS"/>
        </w:rPr>
        <w:t>7</w:t>
      </w:r>
      <w:r w:rsidRPr="006C46A3">
        <w:rPr>
          <w:rFonts w:eastAsia="Calibri" w:cs="Times New Roman"/>
          <w:i/>
          <w:szCs w:val="24"/>
          <w:lang w:val="sr-Cyrl-RS"/>
        </w:rPr>
        <w:t xml:space="preserve">. S0 </w:t>
      </w:r>
      <w:r>
        <w:rPr>
          <w:rFonts w:eastAsia="Calibri" w:cs="Times New Roman"/>
          <w:i/>
          <w:szCs w:val="24"/>
          <w:lang w:val="sr-Latn-RS"/>
        </w:rPr>
        <w:t>EU countries and Serbia</w:t>
      </w:r>
    </w:p>
    <w:p w:rsidR="005918D2" w:rsidRDefault="00F82D20" w:rsidP="005918D2">
      <w:pPr>
        <w:rPr>
          <w:rFonts w:cs="Times New Roman"/>
          <w:szCs w:val="20"/>
          <w:lang w:val="sr-Cyrl-CS"/>
        </w:rPr>
      </w:pPr>
      <w:r>
        <w:rPr>
          <w:noProof/>
        </w:rPr>
        <w:drawing>
          <wp:inline distT="0" distB="0" distL="0" distR="0" wp14:anchorId="737FB901" wp14:editId="05E95D98">
            <wp:extent cx="6182995" cy="2263957"/>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178B" w:rsidRPr="00CF37B7" w:rsidRDefault="000F178B" w:rsidP="005918D2">
      <w:pPr>
        <w:rPr>
          <w:rFonts w:eastAsia="Calibri" w:cs="Times New Roman"/>
          <w:i/>
          <w:szCs w:val="24"/>
          <w:lang w:val="sr-Cyrl-RS"/>
        </w:rPr>
      </w:pPr>
      <w:r>
        <w:rPr>
          <w:rFonts w:eastAsia="Calibri" w:cs="Times New Roman"/>
          <w:i/>
          <w:szCs w:val="24"/>
          <w:lang w:val="sr-Latn-RS"/>
        </w:rPr>
        <w:t>Graph</w:t>
      </w:r>
      <w:r w:rsidRPr="006C46A3">
        <w:rPr>
          <w:rFonts w:eastAsia="Calibri" w:cs="Times New Roman"/>
          <w:i/>
          <w:szCs w:val="24"/>
          <w:lang w:val="sr-Cyrl-RS"/>
        </w:rPr>
        <w:t xml:space="preserve"> </w:t>
      </w:r>
      <w:r>
        <w:rPr>
          <w:rFonts w:eastAsia="Calibri" w:cs="Times New Roman"/>
          <w:i/>
          <w:szCs w:val="24"/>
          <w:lang w:val="sr-Latn-RS"/>
        </w:rPr>
        <w:t>8</w:t>
      </w:r>
      <w:r>
        <w:rPr>
          <w:rFonts w:eastAsia="Calibri" w:cs="Times New Roman"/>
          <w:i/>
          <w:szCs w:val="24"/>
          <w:lang w:val="sr-Cyrl-RS"/>
        </w:rPr>
        <w:t xml:space="preserve">. </w:t>
      </w:r>
      <w:r w:rsidRPr="006440D7">
        <w:rPr>
          <w:rFonts w:eastAsia="Calibri" w:cs="Times New Roman"/>
          <w:bCs/>
          <w:i/>
          <w:szCs w:val="24"/>
        </w:rPr>
        <w:t>S0 indicator, fiscal and finan</w:t>
      </w:r>
      <w:r>
        <w:rPr>
          <w:rFonts w:eastAsia="Calibri" w:cs="Times New Roman"/>
          <w:bCs/>
          <w:i/>
          <w:szCs w:val="24"/>
        </w:rPr>
        <w:t>cial competitiveness sub-indices</w:t>
      </w:r>
      <w:r w:rsidRPr="006440D7">
        <w:rPr>
          <w:rFonts w:eastAsia="Calibri" w:cs="Times New Roman"/>
          <w:bCs/>
          <w:i/>
          <w:szCs w:val="24"/>
        </w:rPr>
        <w:t xml:space="preserve"> in Serbia for the period 201</w:t>
      </w:r>
      <w:r w:rsidRPr="006440D7">
        <w:rPr>
          <w:rFonts w:eastAsia="Calibri" w:cs="Times New Roman"/>
          <w:bCs/>
          <w:i/>
          <w:szCs w:val="24"/>
          <w:lang w:val="sr-Latn-RS"/>
        </w:rPr>
        <w:t>5</w:t>
      </w:r>
      <w:r w:rsidRPr="006440D7">
        <w:rPr>
          <w:rFonts w:eastAsia="Calibri" w:cs="Times New Roman"/>
          <w:bCs/>
          <w:i/>
          <w:szCs w:val="24"/>
        </w:rPr>
        <w:t>-20</w:t>
      </w:r>
      <w:r>
        <w:rPr>
          <w:rFonts w:eastAsia="Calibri" w:cs="Times New Roman"/>
          <w:bCs/>
          <w:i/>
          <w:szCs w:val="24"/>
          <w:lang w:val="sr-Latn-RS"/>
        </w:rPr>
        <w:t>24</w:t>
      </w:r>
    </w:p>
    <w:p w:rsidR="005918D2" w:rsidRPr="00002D92" w:rsidRDefault="0013195C" w:rsidP="005918D2">
      <w:pPr>
        <w:rPr>
          <w:rFonts w:cs="Times New Roman"/>
          <w:szCs w:val="20"/>
          <w:lang w:val="sr-Cyrl-CS"/>
        </w:rPr>
        <w:sectPr w:rsidR="005918D2" w:rsidRPr="00002D92" w:rsidSect="006C04C7">
          <w:type w:val="continuous"/>
          <w:pgSz w:w="11906" w:h="16838" w:code="9"/>
          <w:pgMar w:top="1440" w:right="1440" w:bottom="1440" w:left="1440" w:header="720" w:footer="720" w:gutter="0"/>
          <w:cols w:space="720"/>
          <w:docGrid w:linePitch="360"/>
        </w:sectPr>
      </w:pPr>
      <w:r>
        <w:rPr>
          <w:noProof/>
        </w:rPr>
        <w:drawing>
          <wp:inline distT="0" distB="0" distL="0" distR="0" wp14:anchorId="6AE4C93B" wp14:editId="6608BC44">
            <wp:extent cx="5572125" cy="2771321"/>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195C" w:rsidRDefault="0013195C" w:rsidP="005918D2">
      <w:pPr>
        <w:rPr>
          <w:rFonts w:cs="Times New Roman"/>
          <w:szCs w:val="20"/>
          <w:lang w:val="sr-Cyrl-CS"/>
        </w:rPr>
      </w:pPr>
      <w:r w:rsidRPr="0013195C">
        <w:rPr>
          <w:rFonts w:cs="Times New Roman"/>
          <w:szCs w:val="20"/>
          <w:lang w:val="sr-Cyrl-CS"/>
        </w:rPr>
        <w:t>The calculation of the S0 indicator for the Republic of Serbia was conducted by the Ministry of Finance and is based on the European Commission's methodology.</w:t>
      </w:r>
    </w:p>
    <w:p w:rsidR="005918D2" w:rsidRPr="00002D92" w:rsidRDefault="0013195C" w:rsidP="005918D2">
      <w:pPr>
        <w:rPr>
          <w:rFonts w:cs="Times New Roman"/>
          <w:szCs w:val="20"/>
          <w:lang w:val="sr-Cyrl-CS"/>
        </w:rPr>
        <w:sectPr w:rsidR="005918D2" w:rsidRPr="00002D92" w:rsidSect="006C04C7">
          <w:headerReference w:type="even" r:id="rId21"/>
          <w:headerReference w:type="default" r:id="rId22"/>
          <w:footerReference w:type="even" r:id="rId23"/>
          <w:footerReference w:type="default" r:id="rId24"/>
          <w:headerReference w:type="first" r:id="rId25"/>
          <w:type w:val="continuous"/>
          <w:pgSz w:w="11906" w:h="16838" w:code="9"/>
          <w:pgMar w:top="1440" w:right="1440" w:bottom="1440" w:left="1440" w:header="720" w:footer="720" w:gutter="0"/>
          <w:cols w:num="2" w:space="332"/>
          <w:docGrid w:linePitch="360"/>
        </w:sectPr>
      </w:pPr>
      <w:r w:rsidRPr="0013195C">
        <w:rPr>
          <w:rFonts w:cs="Times New Roman"/>
          <w:szCs w:val="20"/>
          <w:lang w:val="sr-Cyrl-CS"/>
        </w:rPr>
        <w:t>Based on the European Commission’</w:t>
      </w:r>
      <w:r>
        <w:rPr>
          <w:rFonts w:cs="Times New Roman"/>
          <w:szCs w:val="20"/>
          <w:lang w:val="sr-Cyrl-CS"/>
        </w:rPr>
        <w:t>s data for EU countries for 202</w:t>
      </w:r>
      <w:r>
        <w:rPr>
          <w:rFonts w:cs="Times New Roman"/>
          <w:szCs w:val="20"/>
        </w:rPr>
        <w:t>4</w:t>
      </w:r>
      <w:r w:rsidRPr="0013195C">
        <w:rPr>
          <w:rFonts w:cs="Times New Roman"/>
          <w:szCs w:val="20"/>
          <w:lang w:val="sr-Cyrl-CS"/>
        </w:rPr>
        <w:t xml:space="preserve"> and the Ministry of </w:t>
      </w:r>
      <w:r w:rsidRPr="0013195C">
        <w:rPr>
          <w:rFonts w:cs="Times New Roman"/>
          <w:szCs w:val="20"/>
          <w:lang w:val="sr-Cyrl-CS"/>
        </w:rPr>
        <w:t>Finance’s calculation for the Republic of Serbia, we conclude that most of the observed countries, including Serbia, were not exposed to short-term fiscal stress risk, as the S0 value does not exceed the defined threshold anywhere.</w:t>
      </w:r>
    </w:p>
    <w:p w:rsidR="005918D2" w:rsidRPr="00002D92" w:rsidRDefault="005918D2" w:rsidP="005918D2">
      <w:pPr>
        <w:rPr>
          <w:rFonts w:eastAsia="Calibri" w:cs="Times New Roman"/>
          <w:szCs w:val="20"/>
          <w:lang w:val="sr-Cyrl-CS"/>
        </w:rPr>
        <w:sectPr w:rsidR="005918D2" w:rsidRPr="00002D92" w:rsidSect="006C04C7">
          <w:headerReference w:type="even" r:id="rId26"/>
          <w:footerReference w:type="even" r:id="rId27"/>
          <w:footerReference w:type="default" r:id="rId28"/>
          <w:headerReference w:type="first" r:id="rId29"/>
          <w:type w:val="continuous"/>
          <w:pgSz w:w="11906" w:h="16838" w:code="9"/>
          <w:pgMar w:top="1440" w:right="1440" w:bottom="1440" w:left="1440" w:header="720" w:footer="720" w:gutter="0"/>
          <w:cols w:space="720"/>
          <w:docGrid w:linePitch="360"/>
        </w:sectPr>
      </w:pPr>
    </w:p>
    <w:p w:rsidR="005918D2" w:rsidRPr="00DD35A0" w:rsidRDefault="005918D2" w:rsidP="00DD35A0">
      <w:pPr>
        <w:pStyle w:val="Heading11"/>
        <w:spacing w:before="180" w:after="180"/>
        <w:rPr>
          <w:rFonts w:ascii="Times New Roman" w:hAnsi="Times New Roman" w:cs="Times New Roman"/>
          <w:color w:val="auto"/>
          <w:sz w:val="24"/>
          <w:szCs w:val="24"/>
          <w:lang w:val="sr-Latn-RS"/>
        </w:rPr>
      </w:pPr>
      <w:bookmarkStart w:id="31" w:name="_Toc185342335"/>
      <w:bookmarkStart w:id="32" w:name="_Toc221106875"/>
      <w:bookmarkEnd w:id="29"/>
      <w:r w:rsidRPr="00DD35A0">
        <w:rPr>
          <w:rFonts w:ascii="Times New Roman" w:hAnsi="Times New Roman" w:cs="Times New Roman"/>
          <w:color w:val="auto"/>
          <w:sz w:val="24"/>
          <w:szCs w:val="24"/>
          <w:lang w:val="sr-Latn-RS"/>
        </w:rPr>
        <w:lastRenderedPageBreak/>
        <w:t xml:space="preserve">4.3. </w:t>
      </w:r>
      <w:bookmarkEnd w:id="30"/>
      <w:bookmarkEnd w:id="31"/>
      <w:r w:rsidR="0007331F" w:rsidRPr="00DD35A0">
        <w:rPr>
          <w:rFonts w:ascii="Times New Roman" w:hAnsi="Times New Roman" w:cs="Times New Roman"/>
          <w:color w:val="auto"/>
          <w:sz w:val="24"/>
          <w:szCs w:val="24"/>
          <w:lang w:val="sr-Latn-RS"/>
        </w:rPr>
        <w:t>FISCAL PROJECTIONS IN THE PERIOD 2026–2028</w:t>
      </w:r>
      <w:bookmarkEnd w:id="32"/>
    </w:p>
    <w:p w:rsidR="0007331F" w:rsidRPr="00002D92" w:rsidRDefault="0007331F" w:rsidP="0007331F">
      <w:pPr>
        <w:rPr>
          <w:rFonts w:cs="Times New Roman"/>
          <w:szCs w:val="24"/>
          <w:lang w:val="sr-Cyrl-CS" w:eastAsia="ja-JP"/>
        </w:rPr>
      </w:pPr>
      <w:r w:rsidRPr="00002D92">
        <w:rPr>
          <w:rFonts w:cs="Times New Roman"/>
          <w:szCs w:val="24"/>
          <w:lang w:val="sr-Cyrl-CS" w:eastAsia="ja-JP"/>
        </w:rPr>
        <w:t>The main objectives of fiscal policy in the medium term are focused on preserving fiscal stability and further reducing the share of public debt in GDP, while simultaneously ensuring sufficient space for priority public investments and measures that support potential growth. The projections of fiscal aggregates for the period 2026–2028 are based on macroeconomic assumptions and growth prospects, the planned tax policy — which envisages further alignment with the EU acquis — as well as on fiscal and structural measures, including improvements in operations and corporate governance in large state-owned enterprises.</w:t>
      </w:r>
    </w:p>
    <w:p w:rsidR="0007331F" w:rsidRPr="00002D92" w:rsidRDefault="0007331F" w:rsidP="0007331F">
      <w:pPr>
        <w:rPr>
          <w:rFonts w:cs="Times New Roman"/>
          <w:szCs w:val="24"/>
          <w:lang w:val="sr-Cyrl-CS" w:eastAsia="ja-JP"/>
        </w:rPr>
      </w:pPr>
      <w:r w:rsidRPr="00002D92">
        <w:rPr>
          <w:rFonts w:cs="Times New Roman"/>
          <w:szCs w:val="24"/>
          <w:lang w:val="sr-Cyrl-CS" w:eastAsia="ja-JP"/>
        </w:rPr>
        <w:t xml:space="preserve">The medium-term fiscal framework is aligned with the investment cycle under the “Leap into the Future” programme and the activities related to EXPO 2027. The investment-intensive phase implies a moderately expansionary but controlled fiscal stance: the consolidated deficit is planned at 3% of GDP through 2027, decreasing to 2.5% of GDP in 2028. The planned deficit trajectory supports a declining path </w:t>
      </w:r>
      <w:r w:rsidR="00EE22A0" w:rsidRPr="003F6C09">
        <w:rPr>
          <w:rFonts w:cs="Times New Roman"/>
          <w:szCs w:val="24"/>
          <w:lang w:val="sr-Cyrl-CS" w:eastAsia="ja-JP"/>
        </w:rPr>
        <w:t xml:space="preserve">of </w:t>
      </w:r>
      <w:r w:rsidR="003F6C09" w:rsidRPr="003F6C09">
        <w:rPr>
          <w:rFonts w:cs="Times New Roman"/>
          <w:szCs w:val="24"/>
          <w:lang w:eastAsia="ja-JP"/>
        </w:rPr>
        <w:t>g</w:t>
      </w:r>
      <w:r w:rsidR="00EE22A0" w:rsidRPr="003F6C09">
        <w:rPr>
          <w:rFonts w:cs="Times New Roman"/>
          <w:szCs w:val="24"/>
          <w:lang w:eastAsia="ja-JP"/>
        </w:rPr>
        <w:t>eneral government</w:t>
      </w:r>
      <w:r w:rsidRPr="003F6C09">
        <w:rPr>
          <w:rFonts w:cs="Times New Roman"/>
          <w:szCs w:val="24"/>
          <w:lang w:val="sr-Cyrl-CS" w:eastAsia="ja-JP"/>
        </w:rPr>
        <w:t xml:space="preserve"> debt</w:t>
      </w:r>
      <w:r w:rsidRPr="00002D92">
        <w:rPr>
          <w:rFonts w:cs="Times New Roman"/>
          <w:szCs w:val="24"/>
          <w:lang w:val="sr-Cyrl-CS" w:eastAsia="ja-JP"/>
        </w:rPr>
        <w:t xml:space="preserve"> — from an estimated 45% of GDP in 2025 to around 44.1% in 2028 — in line with maintaining fiscal credibility and resilience to shocks. At the same time, the primary deficit is kept at a low level (around 0.7% of GDP by the end of the period) to ensure that debt-servicing costs remain sustainable amid volatile global financial conditions.</w:t>
      </w:r>
    </w:p>
    <w:p w:rsidR="005918D2" w:rsidRPr="00002D92" w:rsidRDefault="0007331F" w:rsidP="0007331F">
      <w:pPr>
        <w:rPr>
          <w:rFonts w:cs="Times New Roman"/>
          <w:i/>
          <w:szCs w:val="24"/>
          <w:lang w:val="sr-Cyrl-RS" w:eastAsia="ja-JP"/>
        </w:rPr>
      </w:pPr>
      <w:r w:rsidRPr="00002D92">
        <w:rPr>
          <w:rFonts w:cs="Times New Roman"/>
          <w:i/>
          <w:szCs w:val="24"/>
          <w:lang w:val="sr-Cyrl-RS" w:eastAsia="ja-JP"/>
        </w:rPr>
        <w:t>Тable 7</w:t>
      </w:r>
      <w:r w:rsidR="003B22A7" w:rsidRPr="00002D92">
        <w:rPr>
          <w:rFonts w:cs="Times New Roman"/>
          <w:i/>
          <w:szCs w:val="24"/>
          <w:lang w:val="sr-Latn-RS" w:eastAsia="ja-JP"/>
        </w:rPr>
        <w:t>:</w:t>
      </w:r>
      <w:r w:rsidRPr="00002D92">
        <w:rPr>
          <w:rFonts w:cs="Times New Roman"/>
          <w:i/>
          <w:szCs w:val="24"/>
          <w:lang w:val="sr-Cyrl-RS" w:eastAsia="ja-JP"/>
        </w:rPr>
        <w:t xml:space="preserve"> Fiscal aggregates in the period 2024–2028, % of GDP</w:t>
      </w:r>
    </w:p>
    <w:tbl>
      <w:tblPr>
        <w:tblStyle w:val="LightShading-Accent12214"/>
        <w:tblW w:w="4991" w:type="pct"/>
        <w:tblBorders>
          <w:top w:val="none" w:sz="0" w:space="0" w:color="auto"/>
          <w:bottom w:val="none" w:sz="0" w:space="0" w:color="auto"/>
        </w:tblBorders>
        <w:tblLook w:val="0420" w:firstRow="1" w:lastRow="0" w:firstColumn="0" w:lastColumn="0" w:noHBand="0" w:noVBand="1"/>
      </w:tblPr>
      <w:tblGrid>
        <w:gridCol w:w="3736"/>
        <w:gridCol w:w="1370"/>
        <w:gridCol w:w="1160"/>
        <w:gridCol w:w="914"/>
        <w:gridCol w:w="915"/>
        <w:gridCol w:w="915"/>
      </w:tblGrid>
      <w:tr w:rsidR="0007331F" w:rsidRPr="00002D92" w:rsidTr="0007331F">
        <w:trPr>
          <w:cnfStyle w:val="100000000000" w:firstRow="1" w:lastRow="0" w:firstColumn="0" w:lastColumn="0" w:oddVBand="0" w:evenVBand="0" w:oddHBand="0" w:evenHBand="0" w:firstRowFirstColumn="0" w:firstRowLastColumn="0" w:lastRowFirstColumn="0" w:lastRowLastColumn="0"/>
          <w:trHeight w:val="230"/>
          <w:tblHeader/>
        </w:trPr>
        <w:tc>
          <w:tcPr>
            <w:tcW w:w="2073" w:type="pct"/>
            <w:tcBorders>
              <w:top w:val="single" w:sz="4" w:space="0" w:color="002060"/>
              <w:bottom w:val="single" w:sz="4" w:space="0" w:color="002060"/>
            </w:tcBorders>
            <w:shd w:val="clear" w:color="auto" w:fill="auto"/>
            <w:noWrap/>
          </w:tcPr>
          <w:p w:rsidR="0007331F" w:rsidRPr="00002D92" w:rsidRDefault="0007331F" w:rsidP="0007331F">
            <w:pPr>
              <w:jc w:val="left"/>
              <w:rPr>
                <w:color w:val="000000" w:themeColor="text1"/>
              </w:rPr>
            </w:pPr>
            <w:r w:rsidRPr="00002D92">
              <w:rPr>
                <w:color w:val="000000" w:themeColor="text1"/>
              </w:rPr>
              <w:t>Description</w:t>
            </w:r>
          </w:p>
        </w:tc>
        <w:tc>
          <w:tcPr>
            <w:tcW w:w="760" w:type="pct"/>
            <w:tcBorders>
              <w:top w:val="single" w:sz="4" w:space="0" w:color="002060"/>
              <w:bottom w:val="single" w:sz="4" w:space="0" w:color="002060"/>
            </w:tcBorders>
            <w:shd w:val="clear" w:color="auto" w:fill="auto"/>
          </w:tcPr>
          <w:p w:rsidR="0007331F" w:rsidRPr="00002D92" w:rsidRDefault="0007331F" w:rsidP="0007331F">
            <w:pPr>
              <w:jc w:val="center"/>
              <w:rPr>
                <w:color w:val="000000" w:themeColor="text1"/>
              </w:rPr>
            </w:pPr>
            <w:r w:rsidRPr="00002D92">
              <w:rPr>
                <w:color w:val="000000" w:themeColor="text1"/>
              </w:rPr>
              <w:t>Execution</w:t>
            </w:r>
          </w:p>
        </w:tc>
        <w:tc>
          <w:tcPr>
            <w:tcW w:w="644" w:type="pct"/>
            <w:tcBorders>
              <w:top w:val="single" w:sz="4" w:space="0" w:color="002060"/>
              <w:bottom w:val="single" w:sz="4" w:space="0" w:color="002060"/>
            </w:tcBorders>
            <w:shd w:val="clear" w:color="auto" w:fill="auto"/>
          </w:tcPr>
          <w:p w:rsidR="0007331F" w:rsidRPr="00002D92" w:rsidRDefault="0007331F" w:rsidP="0007331F">
            <w:pPr>
              <w:jc w:val="center"/>
              <w:rPr>
                <w:color w:val="000000" w:themeColor="text1"/>
              </w:rPr>
            </w:pPr>
            <w:r w:rsidRPr="00002D92">
              <w:rPr>
                <w:color w:val="000000" w:themeColor="text1"/>
              </w:rPr>
              <w:t>Estimate</w:t>
            </w:r>
          </w:p>
        </w:tc>
        <w:tc>
          <w:tcPr>
            <w:tcW w:w="1523" w:type="pct"/>
            <w:gridSpan w:val="3"/>
            <w:tcBorders>
              <w:top w:val="single" w:sz="4" w:space="0" w:color="002060"/>
              <w:bottom w:val="single" w:sz="4" w:space="0" w:color="002060"/>
            </w:tcBorders>
            <w:shd w:val="clear" w:color="auto" w:fill="auto"/>
          </w:tcPr>
          <w:p w:rsidR="0007331F" w:rsidRPr="00002D92" w:rsidRDefault="0007331F" w:rsidP="0007331F">
            <w:pPr>
              <w:jc w:val="center"/>
              <w:rPr>
                <w:color w:val="000000" w:themeColor="text1"/>
              </w:rPr>
            </w:pPr>
            <w:r w:rsidRPr="00002D92">
              <w:rPr>
                <w:color w:val="000000" w:themeColor="text1"/>
              </w:rPr>
              <w:t>Projection</w:t>
            </w:r>
          </w:p>
        </w:tc>
      </w:tr>
      <w:tr w:rsidR="005918D2" w:rsidRPr="00002D92" w:rsidTr="0007331F">
        <w:trPr>
          <w:cnfStyle w:val="100000000000" w:firstRow="1" w:lastRow="0" w:firstColumn="0" w:lastColumn="0" w:oddVBand="0" w:evenVBand="0" w:oddHBand="0" w:evenHBand="0" w:firstRowFirstColumn="0" w:firstRowLastColumn="0" w:lastRowFirstColumn="0" w:lastRowLastColumn="0"/>
          <w:trHeight w:val="230"/>
          <w:tblHeader/>
        </w:trPr>
        <w:tc>
          <w:tcPr>
            <w:tcW w:w="2073" w:type="pct"/>
            <w:tcBorders>
              <w:top w:val="single" w:sz="4" w:space="0" w:color="002060"/>
              <w:bottom w:val="single" w:sz="4" w:space="0" w:color="auto"/>
            </w:tcBorders>
            <w:shd w:val="clear" w:color="auto" w:fill="auto"/>
            <w:noWrap/>
          </w:tcPr>
          <w:p w:rsidR="005918D2" w:rsidRPr="00002D92" w:rsidRDefault="005918D2" w:rsidP="00EA7C4B">
            <w:pPr>
              <w:rPr>
                <w:color w:val="auto"/>
                <w:szCs w:val="24"/>
              </w:rPr>
            </w:pPr>
            <w:r w:rsidRPr="00002D92">
              <w:rPr>
                <w:color w:val="auto"/>
              </w:rPr>
              <w:t xml:space="preserve"> </w:t>
            </w:r>
          </w:p>
        </w:tc>
        <w:tc>
          <w:tcPr>
            <w:tcW w:w="760" w:type="pct"/>
            <w:tcBorders>
              <w:top w:val="single" w:sz="4" w:space="0" w:color="002060"/>
              <w:bottom w:val="single" w:sz="4" w:space="0" w:color="002060"/>
            </w:tcBorders>
            <w:shd w:val="clear" w:color="auto" w:fill="auto"/>
          </w:tcPr>
          <w:p w:rsidR="005918D2" w:rsidRPr="00002D92" w:rsidRDefault="005918D2" w:rsidP="00EA7C4B">
            <w:pPr>
              <w:jc w:val="center"/>
              <w:rPr>
                <w:color w:val="auto"/>
                <w:szCs w:val="24"/>
              </w:rPr>
            </w:pPr>
            <w:r w:rsidRPr="00002D92">
              <w:rPr>
                <w:color w:val="auto"/>
              </w:rPr>
              <w:t>2024</w:t>
            </w:r>
          </w:p>
        </w:tc>
        <w:tc>
          <w:tcPr>
            <w:tcW w:w="644" w:type="pct"/>
            <w:tcBorders>
              <w:top w:val="single" w:sz="4" w:space="0" w:color="002060"/>
              <w:bottom w:val="single" w:sz="4" w:space="0" w:color="002060"/>
            </w:tcBorders>
            <w:shd w:val="clear" w:color="auto" w:fill="auto"/>
          </w:tcPr>
          <w:p w:rsidR="005918D2" w:rsidRPr="00002D92" w:rsidRDefault="005918D2" w:rsidP="00EA7C4B">
            <w:pPr>
              <w:jc w:val="center"/>
              <w:rPr>
                <w:color w:val="auto"/>
                <w:szCs w:val="24"/>
              </w:rPr>
            </w:pPr>
            <w:r w:rsidRPr="00002D92">
              <w:rPr>
                <w:color w:val="auto"/>
              </w:rPr>
              <w:t>2025</w:t>
            </w:r>
          </w:p>
        </w:tc>
        <w:tc>
          <w:tcPr>
            <w:tcW w:w="507" w:type="pct"/>
            <w:tcBorders>
              <w:top w:val="single" w:sz="4" w:space="0" w:color="002060"/>
              <w:bottom w:val="single" w:sz="4" w:space="0" w:color="002060"/>
            </w:tcBorders>
            <w:shd w:val="clear" w:color="auto" w:fill="auto"/>
          </w:tcPr>
          <w:p w:rsidR="005918D2" w:rsidRPr="00002D92" w:rsidRDefault="005918D2" w:rsidP="00EA7C4B">
            <w:pPr>
              <w:jc w:val="center"/>
              <w:rPr>
                <w:color w:val="auto"/>
                <w:szCs w:val="24"/>
              </w:rPr>
            </w:pPr>
            <w:r w:rsidRPr="00002D92">
              <w:rPr>
                <w:color w:val="auto"/>
              </w:rPr>
              <w:t>2026</w:t>
            </w:r>
          </w:p>
        </w:tc>
        <w:tc>
          <w:tcPr>
            <w:tcW w:w="508" w:type="pct"/>
            <w:tcBorders>
              <w:top w:val="single" w:sz="4" w:space="0" w:color="002060"/>
              <w:bottom w:val="single" w:sz="4" w:space="0" w:color="002060"/>
            </w:tcBorders>
            <w:shd w:val="clear" w:color="auto" w:fill="auto"/>
          </w:tcPr>
          <w:p w:rsidR="005918D2" w:rsidRPr="00002D92" w:rsidRDefault="005918D2" w:rsidP="00EA7C4B">
            <w:pPr>
              <w:jc w:val="center"/>
              <w:rPr>
                <w:color w:val="auto"/>
                <w:szCs w:val="24"/>
              </w:rPr>
            </w:pPr>
            <w:r w:rsidRPr="00002D92">
              <w:rPr>
                <w:color w:val="auto"/>
              </w:rPr>
              <w:t>2027</w:t>
            </w:r>
          </w:p>
        </w:tc>
        <w:tc>
          <w:tcPr>
            <w:tcW w:w="508" w:type="pct"/>
            <w:tcBorders>
              <w:top w:val="single" w:sz="4" w:space="0" w:color="002060"/>
              <w:bottom w:val="single" w:sz="4" w:space="0" w:color="002060"/>
            </w:tcBorders>
            <w:shd w:val="clear" w:color="auto" w:fill="auto"/>
          </w:tcPr>
          <w:p w:rsidR="005918D2" w:rsidRPr="00002D92" w:rsidRDefault="005918D2" w:rsidP="00EA7C4B">
            <w:pPr>
              <w:jc w:val="center"/>
              <w:rPr>
                <w:color w:val="auto"/>
                <w:szCs w:val="24"/>
              </w:rPr>
            </w:pPr>
            <w:r w:rsidRPr="00002D92">
              <w:rPr>
                <w:color w:val="auto"/>
              </w:rPr>
              <w:t>2028</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val="230"/>
        </w:trPr>
        <w:tc>
          <w:tcPr>
            <w:tcW w:w="2073" w:type="pct"/>
            <w:tcBorders>
              <w:top w:val="single" w:sz="4" w:space="0" w:color="auto"/>
            </w:tcBorders>
            <w:shd w:val="clear" w:color="auto" w:fill="auto"/>
          </w:tcPr>
          <w:p w:rsidR="0007331F" w:rsidRPr="00002D92" w:rsidRDefault="0007331F" w:rsidP="0007331F">
            <w:pPr>
              <w:rPr>
                <w:color w:val="000000" w:themeColor="text1"/>
              </w:rPr>
            </w:pPr>
            <w:r w:rsidRPr="00002D92">
              <w:rPr>
                <w:color w:val="000000" w:themeColor="text1"/>
              </w:rPr>
              <w:t>Public revenues</w:t>
            </w:r>
          </w:p>
        </w:tc>
        <w:tc>
          <w:tcPr>
            <w:tcW w:w="760" w:type="pct"/>
            <w:tcBorders>
              <w:top w:val="single" w:sz="4" w:space="0" w:color="002060"/>
            </w:tcBorders>
            <w:shd w:val="clear" w:color="auto" w:fill="auto"/>
          </w:tcPr>
          <w:p w:rsidR="0007331F" w:rsidRPr="00002D92" w:rsidRDefault="0007331F" w:rsidP="0007331F">
            <w:pPr>
              <w:jc w:val="center"/>
              <w:rPr>
                <w:color w:val="auto"/>
                <w:szCs w:val="24"/>
              </w:rPr>
            </w:pPr>
            <w:r w:rsidRPr="00002D92">
              <w:rPr>
                <w:color w:val="auto"/>
              </w:rPr>
              <w:t>40</w:t>
            </w:r>
            <w:r w:rsidR="00124621" w:rsidRPr="00002D92">
              <w:rPr>
                <w:color w:val="auto"/>
              </w:rPr>
              <w:t>.</w:t>
            </w:r>
            <w:r w:rsidRPr="00002D92">
              <w:rPr>
                <w:color w:val="auto"/>
              </w:rPr>
              <w:t>4</w:t>
            </w:r>
          </w:p>
        </w:tc>
        <w:tc>
          <w:tcPr>
            <w:tcW w:w="644" w:type="pct"/>
            <w:tcBorders>
              <w:top w:val="single" w:sz="4" w:space="0" w:color="002060"/>
            </w:tcBorders>
            <w:shd w:val="clear" w:color="auto" w:fill="auto"/>
          </w:tcPr>
          <w:p w:rsidR="0007331F" w:rsidRPr="00002D92" w:rsidRDefault="0007331F" w:rsidP="0007331F">
            <w:pPr>
              <w:jc w:val="center"/>
              <w:rPr>
                <w:color w:val="auto"/>
                <w:szCs w:val="24"/>
              </w:rPr>
            </w:pPr>
            <w:r w:rsidRPr="00002D92">
              <w:rPr>
                <w:color w:val="auto"/>
              </w:rPr>
              <w:t>40</w:t>
            </w:r>
            <w:r w:rsidR="00124621" w:rsidRPr="00002D92">
              <w:rPr>
                <w:color w:val="auto"/>
              </w:rPr>
              <w:t>.</w:t>
            </w:r>
            <w:r w:rsidRPr="00002D92">
              <w:rPr>
                <w:color w:val="auto"/>
              </w:rPr>
              <w:t>9</w:t>
            </w:r>
          </w:p>
        </w:tc>
        <w:tc>
          <w:tcPr>
            <w:tcW w:w="507" w:type="pct"/>
            <w:tcBorders>
              <w:top w:val="single" w:sz="4" w:space="0" w:color="002060"/>
            </w:tcBorders>
            <w:shd w:val="clear" w:color="auto" w:fill="auto"/>
          </w:tcPr>
          <w:p w:rsidR="0007331F" w:rsidRPr="00002D92" w:rsidRDefault="0007331F" w:rsidP="0007331F">
            <w:pPr>
              <w:jc w:val="center"/>
              <w:rPr>
                <w:color w:val="auto"/>
                <w:szCs w:val="24"/>
              </w:rPr>
            </w:pPr>
            <w:r w:rsidRPr="00002D92">
              <w:rPr>
                <w:color w:val="auto"/>
              </w:rPr>
              <w:t>40</w:t>
            </w:r>
            <w:r w:rsidR="00124621" w:rsidRPr="00002D92">
              <w:rPr>
                <w:color w:val="auto"/>
              </w:rPr>
              <w:t>.</w:t>
            </w:r>
            <w:r w:rsidRPr="00002D92">
              <w:rPr>
                <w:color w:val="auto"/>
              </w:rPr>
              <w:t>9</w:t>
            </w:r>
          </w:p>
        </w:tc>
        <w:tc>
          <w:tcPr>
            <w:tcW w:w="508" w:type="pct"/>
            <w:tcBorders>
              <w:top w:val="single" w:sz="4" w:space="0" w:color="002060"/>
            </w:tcBorders>
            <w:shd w:val="clear" w:color="auto" w:fill="auto"/>
          </w:tcPr>
          <w:p w:rsidR="0007331F" w:rsidRPr="00002D92" w:rsidRDefault="0007331F" w:rsidP="0007331F">
            <w:pPr>
              <w:jc w:val="center"/>
              <w:rPr>
                <w:color w:val="auto"/>
                <w:szCs w:val="24"/>
              </w:rPr>
            </w:pPr>
            <w:r w:rsidRPr="00002D92">
              <w:rPr>
                <w:color w:val="auto"/>
              </w:rPr>
              <w:t>40</w:t>
            </w:r>
            <w:r w:rsidR="00124621" w:rsidRPr="00002D92">
              <w:rPr>
                <w:color w:val="auto"/>
              </w:rPr>
              <w:t>.</w:t>
            </w:r>
            <w:r w:rsidRPr="00002D92">
              <w:rPr>
                <w:color w:val="auto"/>
              </w:rPr>
              <w:t>1</w:t>
            </w:r>
          </w:p>
        </w:tc>
        <w:tc>
          <w:tcPr>
            <w:tcW w:w="508" w:type="pct"/>
            <w:tcBorders>
              <w:top w:val="single" w:sz="4" w:space="0" w:color="002060"/>
            </w:tcBorders>
            <w:shd w:val="clear" w:color="auto" w:fill="auto"/>
          </w:tcPr>
          <w:p w:rsidR="0007331F" w:rsidRPr="00002D92" w:rsidRDefault="0007331F" w:rsidP="0007331F">
            <w:pPr>
              <w:jc w:val="center"/>
              <w:rPr>
                <w:color w:val="auto"/>
                <w:szCs w:val="24"/>
              </w:rPr>
            </w:pPr>
            <w:r w:rsidRPr="00002D92">
              <w:rPr>
                <w:color w:val="auto"/>
              </w:rPr>
              <w:t>40</w:t>
            </w:r>
            <w:r w:rsidR="00124621" w:rsidRPr="00002D92">
              <w:rPr>
                <w:color w:val="auto"/>
              </w:rPr>
              <w:t>.</w:t>
            </w:r>
            <w:r w:rsidRPr="00002D92">
              <w:rPr>
                <w:color w:val="auto"/>
              </w:rPr>
              <w:t>0</w:t>
            </w:r>
          </w:p>
        </w:tc>
      </w:tr>
      <w:tr w:rsidR="0007331F" w:rsidRPr="00002D92" w:rsidTr="0007331F">
        <w:trPr>
          <w:trHeight w:val="230"/>
        </w:trPr>
        <w:tc>
          <w:tcPr>
            <w:tcW w:w="2073" w:type="pct"/>
            <w:shd w:val="clear" w:color="auto" w:fill="auto"/>
          </w:tcPr>
          <w:p w:rsidR="0007331F" w:rsidRPr="00002D92" w:rsidRDefault="0007331F" w:rsidP="0007331F">
            <w:pPr>
              <w:rPr>
                <w:color w:val="000000" w:themeColor="text1"/>
              </w:rPr>
            </w:pPr>
            <w:r w:rsidRPr="00002D92">
              <w:rPr>
                <w:color w:val="000000" w:themeColor="text1"/>
              </w:rPr>
              <w:t>Public expenditures</w:t>
            </w:r>
          </w:p>
        </w:tc>
        <w:tc>
          <w:tcPr>
            <w:tcW w:w="760" w:type="pct"/>
            <w:shd w:val="clear" w:color="auto" w:fill="auto"/>
          </w:tcPr>
          <w:p w:rsidR="0007331F" w:rsidRPr="00002D92" w:rsidRDefault="0007331F" w:rsidP="0007331F">
            <w:pPr>
              <w:jc w:val="center"/>
              <w:rPr>
                <w:color w:val="auto"/>
                <w:szCs w:val="24"/>
              </w:rPr>
            </w:pPr>
            <w:r w:rsidRPr="00002D92">
              <w:rPr>
                <w:color w:val="auto"/>
              </w:rPr>
              <w:t>42</w:t>
            </w:r>
            <w:r w:rsidR="00124621" w:rsidRPr="00002D92">
              <w:rPr>
                <w:color w:val="auto"/>
              </w:rPr>
              <w:t>.</w:t>
            </w:r>
            <w:r w:rsidRPr="00002D92">
              <w:rPr>
                <w:color w:val="auto"/>
              </w:rPr>
              <w:t>4</w:t>
            </w:r>
          </w:p>
        </w:tc>
        <w:tc>
          <w:tcPr>
            <w:tcW w:w="644" w:type="pct"/>
            <w:shd w:val="clear" w:color="auto" w:fill="auto"/>
          </w:tcPr>
          <w:p w:rsidR="0007331F" w:rsidRPr="00002D92" w:rsidRDefault="0007331F" w:rsidP="0007331F">
            <w:pPr>
              <w:jc w:val="center"/>
              <w:rPr>
                <w:color w:val="auto"/>
                <w:szCs w:val="24"/>
              </w:rPr>
            </w:pPr>
            <w:r w:rsidRPr="00002D92">
              <w:rPr>
                <w:color w:val="auto"/>
              </w:rPr>
              <w:t>43</w:t>
            </w:r>
            <w:r w:rsidR="00124621" w:rsidRPr="00002D92">
              <w:rPr>
                <w:color w:val="auto"/>
              </w:rPr>
              <w:t>.</w:t>
            </w:r>
            <w:r w:rsidRPr="00002D92">
              <w:rPr>
                <w:color w:val="auto"/>
              </w:rPr>
              <w:t>9</w:t>
            </w:r>
          </w:p>
        </w:tc>
        <w:tc>
          <w:tcPr>
            <w:tcW w:w="507" w:type="pct"/>
            <w:shd w:val="clear" w:color="auto" w:fill="auto"/>
          </w:tcPr>
          <w:p w:rsidR="0007331F" w:rsidRPr="00002D92" w:rsidRDefault="0007331F" w:rsidP="0007331F">
            <w:pPr>
              <w:jc w:val="center"/>
              <w:rPr>
                <w:color w:val="auto"/>
                <w:szCs w:val="24"/>
              </w:rPr>
            </w:pPr>
            <w:r w:rsidRPr="00002D92">
              <w:rPr>
                <w:color w:val="auto"/>
              </w:rPr>
              <w:t>43</w:t>
            </w:r>
            <w:r w:rsidR="00124621" w:rsidRPr="00002D92">
              <w:rPr>
                <w:color w:val="auto"/>
              </w:rPr>
              <w:t>.</w:t>
            </w:r>
            <w:r w:rsidRPr="00002D92">
              <w:rPr>
                <w:color w:val="auto"/>
              </w:rPr>
              <w:t>9</w:t>
            </w:r>
          </w:p>
        </w:tc>
        <w:tc>
          <w:tcPr>
            <w:tcW w:w="508" w:type="pct"/>
            <w:shd w:val="clear" w:color="auto" w:fill="auto"/>
          </w:tcPr>
          <w:p w:rsidR="0007331F" w:rsidRPr="00002D92" w:rsidRDefault="0007331F" w:rsidP="0007331F">
            <w:pPr>
              <w:jc w:val="center"/>
              <w:rPr>
                <w:color w:val="auto"/>
                <w:szCs w:val="24"/>
              </w:rPr>
            </w:pPr>
            <w:r w:rsidRPr="00002D92">
              <w:rPr>
                <w:color w:val="auto"/>
              </w:rPr>
              <w:t>43</w:t>
            </w:r>
            <w:r w:rsidR="00124621" w:rsidRPr="00002D92">
              <w:rPr>
                <w:color w:val="auto"/>
              </w:rPr>
              <w:t>.</w:t>
            </w:r>
            <w:r w:rsidRPr="00002D92">
              <w:rPr>
                <w:color w:val="auto"/>
              </w:rPr>
              <w:t>1</w:t>
            </w:r>
          </w:p>
        </w:tc>
        <w:tc>
          <w:tcPr>
            <w:tcW w:w="508" w:type="pct"/>
            <w:shd w:val="clear" w:color="auto" w:fill="auto"/>
          </w:tcPr>
          <w:p w:rsidR="0007331F" w:rsidRPr="00002D92" w:rsidRDefault="0007331F" w:rsidP="0007331F">
            <w:pPr>
              <w:jc w:val="center"/>
              <w:rPr>
                <w:color w:val="auto"/>
                <w:szCs w:val="24"/>
              </w:rPr>
            </w:pPr>
            <w:r w:rsidRPr="00002D92">
              <w:rPr>
                <w:color w:val="auto"/>
              </w:rPr>
              <w:t>42</w:t>
            </w:r>
            <w:r w:rsidR="00124621" w:rsidRPr="00002D92">
              <w:rPr>
                <w:color w:val="auto"/>
              </w:rPr>
              <w:t>.</w:t>
            </w:r>
            <w:r w:rsidRPr="00002D92">
              <w:rPr>
                <w:color w:val="auto"/>
              </w:rPr>
              <w:t>5</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val="230"/>
        </w:trPr>
        <w:tc>
          <w:tcPr>
            <w:tcW w:w="2073" w:type="pct"/>
            <w:shd w:val="clear" w:color="auto" w:fill="auto"/>
          </w:tcPr>
          <w:p w:rsidR="0007331F" w:rsidRPr="00002D92" w:rsidRDefault="0007331F" w:rsidP="0007331F">
            <w:pPr>
              <w:rPr>
                <w:color w:val="000000" w:themeColor="text1"/>
              </w:rPr>
            </w:pPr>
          </w:p>
        </w:tc>
        <w:tc>
          <w:tcPr>
            <w:tcW w:w="760" w:type="pct"/>
            <w:shd w:val="clear" w:color="auto" w:fill="auto"/>
          </w:tcPr>
          <w:p w:rsidR="0007331F" w:rsidRPr="00002D92" w:rsidRDefault="0007331F" w:rsidP="0007331F">
            <w:pPr>
              <w:jc w:val="center"/>
              <w:rPr>
                <w:color w:val="auto"/>
                <w:szCs w:val="24"/>
              </w:rPr>
            </w:pPr>
          </w:p>
        </w:tc>
        <w:tc>
          <w:tcPr>
            <w:tcW w:w="644" w:type="pct"/>
            <w:shd w:val="clear" w:color="auto" w:fill="auto"/>
          </w:tcPr>
          <w:p w:rsidR="0007331F" w:rsidRPr="00002D92" w:rsidRDefault="0007331F" w:rsidP="0007331F">
            <w:pPr>
              <w:jc w:val="center"/>
              <w:rPr>
                <w:color w:val="auto"/>
                <w:szCs w:val="24"/>
              </w:rPr>
            </w:pPr>
          </w:p>
        </w:tc>
        <w:tc>
          <w:tcPr>
            <w:tcW w:w="507" w:type="pct"/>
            <w:shd w:val="clear" w:color="auto" w:fill="auto"/>
          </w:tcPr>
          <w:p w:rsidR="0007331F" w:rsidRPr="00002D92" w:rsidRDefault="0007331F" w:rsidP="0007331F">
            <w:pPr>
              <w:jc w:val="center"/>
              <w:rPr>
                <w:color w:val="auto"/>
                <w:szCs w:val="24"/>
              </w:rPr>
            </w:pPr>
          </w:p>
        </w:tc>
        <w:tc>
          <w:tcPr>
            <w:tcW w:w="508" w:type="pct"/>
            <w:shd w:val="clear" w:color="auto" w:fill="auto"/>
          </w:tcPr>
          <w:p w:rsidR="0007331F" w:rsidRPr="00002D92" w:rsidRDefault="0007331F" w:rsidP="0007331F">
            <w:pPr>
              <w:jc w:val="center"/>
              <w:rPr>
                <w:color w:val="auto"/>
                <w:szCs w:val="24"/>
              </w:rPr>
            </w:pPr>
          </w:p>
        </w:tc>
        <w:tc>
          <w:tcPr>
            <w:tcW w:w="508" w:type="pct"/>
            <w:shd w:val="clear" w:color="auto" w:fill="auto"/>
          </w:tcPr>
          <w:p w:rsidR="0007331F" w:rsidRPr="00002D92" w:rsidRDefault="0007331F" w:rsidP="0007331F">
            <w:pPr>
              <w:jc w:val="center"/>
              <w:rPr>
                <w:color w:val="auto"/>
                <w:szCs w:val="24"/>
              </w:rPr>
            </w:pPr>
          </w:p>
        </w:tc>
      </w:tr>
      <w:tr w:rsidR="0007331F" w:rsidRPr="00002D92" w:rsidTr="0007331F">
        <w:trPr>
          <w:trHeight w:val="230"/>
        </w:trPr>
        <w:tc>
          <w:tcPr>
            <w:tcW w:w="2073" w:type="pct"/>
            <w:shd w:val="clear" w:color="auto" w:fill="auto"/>
          </w:tcPr>
          <w:p w:rsidR="0007331F" w:rsidRPr="00002D92" w:rsidRDefault="0007331F" w:rsidP="0007331F">
            <w:pPr>
              <w:rPr>
                <w:color w:val="000000" w:themeColor="text1"/>
              </w:rPr>
            </w:pPr>
            <w:r w:rsidRPr="00002D92">
              <w:rPr>
                <w:color w:val="000000" w:themeColor="text1"/>
              </w:rPr>
              <w:t>Consolidated fiscal balance</w:t>
            </w:r>
          </w:p>
        </w:tc>
        <w:tc>
          <w:tcPr>
            <w:tcW w:w="760" w:type="pct"/>
            <w:shd w:val="clear" w:color="auto" w:fill="auto"/>
          </w:tcPr>
          <w:p w:rsidR="0007331F" w:rsidRPr="00002D92" w:rsidRDefault="0007331F" w:rsidP="0007331F">
            <w:pPr>
              <w:jc w:val="center"/>
              <w:rPr>
                <w:color w:val="auto"/>
                <w:szCs w:val="24"/>
              </w:rPr>
            </w:pPr>
            <w:r w:rsidRPr="00002D92">
              <w:rPr>
                <w:color w:val="auto"/>
              </w:rPr>
              <w:t>-2</w:t>
            </w:r>
            <w:r w:rsidR="00124621" w:rsidRPr="00002D92">
              <w:rPr>
                <w:color w:val="auto"/>
              </w:rPr>
              <w:t>.</w:t>
            </w:r>
            <w:r w:rsidRPr="00002D92">
              <w:rPr>
                <w:color w:val="auto"/>
              </w:rPr>
              <w:t>0</w:t>
            </w:r>
          </w:p>
        </w:tc>
        <w:tc>
          <w:tcPr>
            <w:tcW w:w="644" w:type="pct"/>
            <w:shd w:val="clear" w:color="auto" w:fill="auto"/>
          </w:tcPr>
          <w:p w:rsidR="0007331F" w:rsidRPr="00002D92" w:rsidRDefault="0007331F" w:rsidP="0007331F">
            <w:pPr>
              <w:jc w:val="center"/>
              <w:rPr>
                <w:color w:val="auto"/>
                <w:szCs w:val="24"/>
              </w:rPr>
            </w:pPr>
            <w:r w:rsidRPr="00002D92">
              <w:rPr>
                <w:color w:val="auto"/>
              </w:rPr>
              <w:t>-3</w:t>
            </w:r>
            <w:r w:rsidR="00124621" w:rsidRPr="00002D92">
              <w:rPr>
                <w:color w:val="auto"/>
              </w:rPr>
              <w:t>.</w:t>
            </w:r>
            <w:r w:rsidRPr="00002D92">
              <w:rPr>
                <w:color w:val="auto"/>
              </w:rPr>
              <w:t>0</w:t>
            </w:r>
          </w:p>
        </w:tc>
        <w:tc>
          <w:tcPr>
            <w:tcW w:w="507" w:type="pct"/>
            <w:shd w:val="clear" w:color="auto" w:fill="auto"/>
          </w:tcPr>
          <w:p w:rsidR="0007331F" w:rsidRPr="00002D92" w:rsidRDefault="0007331F" w:rsidP="0007331F">
            <w:pPr>
              <w:jc w:val="center"/>
              <w:rPr>
                <w:color w:val="auto"/>
                <w:szCs w:val="24"/>
              </w:rPr>
            </w:pPr>
            <w:r w:rsidRPr="00002D92">
              <w:rPr>
                <w:color w:val="auto"/>
              </w:rPr>
              <w:t>-3</w:t>
            </w:r>
            <w:r w:rsidR="00124621" w:rsidRPr="00002D92">
              <w:rPr>
                <w:color w:val="auto"/>
              </w:rPr>
              <w:t>.</w:t>
            </w:r>
            <w:r w:rsidRPr="00002D92">
              <w:rPr>
                <w:color w:val="auto"/>
              </w:rPr>
              <w:t>0</w:t>
            </w:r>
          </w:p>
        </w:tc>
        <w:tc>
          <w:tcPr>
            <w:tcW w:w="508" w:type="pct"/>
            <w:shd w:val="clear" w:color="auto" w:fill="auto"/>
          </w:tcPr>
          <w:p w:rsidR="0007331F" w:rsidRPr="00002D92" w:rsidRDefault="0007331F" w:rsidP="0007331F">
            <w:pPr>
              <w:jc w:val="center"/>
              <w:rPr>
                <w:color w:val="auto"/>
                <w:szCs w:val="24"/>
              </w:rPr>
            </w:pPr>
            <w:r w:rsidRPr="00002D92">
              <w:rPr>
                <w:color w:val="auto"/>
              </w:rPr>
              <w:t>-3</w:t>
            </w:r>
            <w:r w:rsidR="00124621" w:rsidRPr="00002D92">
              <w:rPr>
                <w:color w:val="auto"/>
              </w:rPr>
              <w:t>.</w:t>
            </w:r>
            <w:r w:rsidRPr="00002D92">
              <w:rPr>
                <w:color w:val="auto"/>
              </w:rPr>
              <w:t>0</w:t>
            </w:r>
          </w:p>
        </w:tc>
        <w:tc>
          <w:tcPr>
            <w:tcW w:w="508" w:type="pct"/>
            <w:shd w:val="clear" w:color="auto" w:fill="auto"/>
          </w:tcPr>
          <w:p w:rsidR="0007331F" w:rsidRPr="00002D92" w:rsidRDefault="0007331F" w:rsidP="0007331F">
            <w:pPr>
              <w:jc w:val="center"/>
              <w:rPr>
                <w:color w:val="auto"/>
                <w:szCs w:val="24"/>
              </w:rPr>
            </w:pPr>
            <w:r w:rsidRPr="00002D92">
              <w:rPr>
                <w:color w:val="auto"/>
              </w:rPr>
              <w:t>-2</w:t>
            </w:r>
            <w:r w:rsidR="00124621" w:rsidRPr="00002D92">
              <w:rPr>
                <w:color w:val="auto"/>
              </w:rPr>
              <w:t>.</w:t>
            </w:r>
            <w:r w:rsidRPr="00002D92">
              <w:rPr>
                <w:color w:val="auto"/>
              </w:rPr>
              <w:t>5</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val="230"/>
        </w:trPr>
        <w:tc>
          <w:tcPr>
            <w:tcW w:w="2073" w:type="pct"/>
            <w:shd w:val="clear" w:color="auto" w:fill="auto"/>
          </w:tcPr>
          <w:p w:rsidR="0007331F" w:rsidRPr="00002D92" w:rsidRDefault="0007331F" w:rsidP="0007331F">
            <w:pPr>
              <w:rPr>
                <w:color w:val="000000" w:themeColor="text1"/>
              </w:rPr>
            </w:pPr>
            <w:r w:rsidRPr="00002D92">
              <w:rPr>
                <w:color w:val="000000" w:themeColor="text1"/>
              </w:rPr>
              <w:t>Primary consolidated balance</w:t>
            </w:r>
          </w:p>
        </w:tc>
        <w:tc>
          <w:tcPr>
            <w:tcW w:w="760" w:type="pct"/>
            <w:shd w:val="clear" w:color="auto" w:fill="auto"/>
          </w:tcPr>
          <w:p w:rsidR="0007331F" w:rsidRPr="00002D92" w:rsidRDefault="0007331F" w:rsidP="0007331F">
            <w:pPr>
              <w:jc w:val="center"/>
              <w:rPr>
                <w:color w:val="auto"/>
                <w:szCs w:val="24"/>
              </w:rPr>
            </w:pPr>
            <w:r w:rsidRPr="00002D92">
              <w:rPr>
                <w:color w:val="auto"/>
              </w:rPr>
              <w:t>-0</w:t>
            </w:r>
            <w:r w:rsidR="00124621" w:rsidRPr="00002D92">
              <w:rPr>
                <w:color w:val="auto"/>
              </w:rPr>
              <w:t>.</w:t>
            </w:r>
            <w:r w:rsidRPr="00002D92">
              <w:rPr>
                <w:color w:val="auto"/>
              </w:rPr>
              <w:t>3</w:t>
            </w:r>
          </w:p>
        </w:tc>
        <w:tc>
          <w:tcPr>
            <w:tcW w:w="644" w:type="pct"/>
            <w:shd w:val="clear" w:color="auto" w:fill="auto"/>
          </w:tcPr>
          <w:p w:rsidR="0007331F" w:rsidRPr="00002D92" w:rsidRDefault="0007331F" w:rsidP="0007331F">
            <w:pPr>
              <w:jc w:val="center"/>
              <w:rPr>
                <w:color w:val="auto"/>
                <w:szCs w:val="24"/>
              </w:rPr>
            </w:pPr>
            <w:r w:rsidRPr="00002D92">
              <w:rPr>
                <w:color w:val="auto"/>
              </w:rPr>
              <w:t>-1</w:t>
            </w:r>
            <w:r w:rsidR="00124621" w:rsidRPr="00002D92">
              <w:rPr>
                <w:color w:val="auto"/>
              </w:rPr>
              <w:t>.</w:t>
            </w:r>
            <w:r w:rsidRPr="00002D92">
              <w:rPr>
                <w:color w:val="auto"/>
              </w:rPr>
              <w:t>2</w:t>
            </w:r>
          </w:p>
        </w:tc>
        <w:tc>
          <w:tcPr>
            <w:tcW w:w="507" w:type="pct"/>
            <w:shd w:val="clear" w:color="auto" w:fill="auto"/>
          </w:tcPr>
          <w:p w:rsidR="0007331F" w:rsidRPr="00002D92" w:rsidRDefault="0007331F" w:rsidP="0007331F">
            <w:pPr>
              <w:jc w:val="center"/>
              <w:rPr>
                <w:color w:val="auto"/>
                <w:szCs w:val="24"/>
              </w:rPr>
            </w:pPr>
            <w:r w:rsidRPr="00002D92">
              <w:rPr>
                <w:color w:val="auto"/>
              </w:rPr>
              <w:t>-1</w:t>
            </w:r>
            <w:r w:rsidR="00124621" w:rsidRPr="00002D92">
              <w:rPr>
                <w:color w:val="auto"/>
              </w:rPr>
              <w:t>.</w:t>
            </w:r>
            <w:r w:rsidRPr="00002D92">
              <w:rPr>
                <w:color w:val="auto"/>
              </w:rPr>
              <w:t>2</w:t>
            </w:r>
          </w:p>
        </w:tc>
        <w:tc>
          <w:tcPr>
            <w:tcW w:w="508" w:type="pct"/>
            <w:shd w:val="clear" w:color="auto" w:fill="auto"/>
          </w:tcPr>
          <w:p w:rsidR="0007331F" w:rsidRPr="00002D92" w:rsidRDefault="0007331F" w:rsidP="0007331F">
            <w:pPr>
              <w:jc w:val="center"/>
              <w:rPr>
                <w:color w:val="auto"/>
                <w:szCs w:val="24"/>
              </w:rPr>
            </w:pPr>
            <w:r w:rsidRPr="00002D92">
              <w:rPr>
                <w:color w:val="auto"/>
              </w:rPr>
              <w:t>-1</w:t>
            </w:r>
            <w:r w:rsidR="00124621" w:rsidRPr="00002D92">
              <w:rPr>
                <w:color w:val="auto"/>
              </w:rPr>
              <w:t>.</w:t>
            </w:r>
            <w:r w:rsidRPr="00002D92">
              <w:rPr>
                <w:color w:val="auto"/>
              </w:rPr>
              <w:t>2</w:t>
            </w:r>
          </w:p>
        </w:tc>
        <w:tc>
          <w:tcPr>
            <w:tcW w:w="508" w:type="pct"/>
            <w:shd w:val="clear" w:color="auto" w:fill="auto"/>
          </w:tcPr>
          <w:p w:rsidR="0007331F" w:rsidRPr="00002D92" w:rsidRDefault="0007331F" w:rsidP="0007331F">
            <w:pPr>
              <w:jc w:val="center"/>
              <w:rPr>
                <w:color w:val="auto"/>
                <w:szCs w:val="24"/>
              </w:rPr>
            </w:pPr>
            <w:r w:rsidRPr="00002D92">
              <w:rPr>
                <w:color w:val="auto"/>
              </w:rPr>
              <w:t>-0</w:t>
            </w:r>
            <w:r w:rsidR="00124621" w:rsidRPr="00002D92">
              <w:rPr>
                <w:color w:val="auto"/>
              </w:rPr>
              <w:t>.</w:t>
            </w:r>
            <w:r w:rsidRPr="00002D92">
              <w:rPr>
                <w:color w:val="auto"/>
              </w:rPr>
              <w:t>7</w:t>
            </w:r>
          </w:p>
        </w:tc>
      </w:tr>
      <w:tr w:rsidR="0007331F" w:rsidRPr="00002D92" w:rsidTr="0007331F">
        <w:trPr>
          <w:trHeight w:val="230"/>
        </w:trPr>
        <w:tc>
          <w:tcPr>
            <w:tcW w:w="2073" w:type="pct"/>
            <w:shd w:val="clear" w:color="auto" w:fill="auto"/>
          </w:tcPr>
          <w:p w:rsidR="0007331F" w:rsidRPr="00002D92" w:rsidRDefault="0007331F" w:rsidP="0007331F">
            <w:pPr>
              <w:rPr>
                <w:color w:val="000000" w:themeColor="text1"/>
              </w:rPr>
            </w:pPr>
          </w:p>
        </w:tc>
        <w:tc>
          <w:tcPr>
            <w:tcW w:w="760" w:type="pct"/>
            <w:shd w:val="clear" w:color="auto" w:fill="auto"/>
          </w:tcPr>
          <w:p w:rsidR="0007331F" w:rsidRPr="00002D92" w:rsidRDefault="0007331F" w:rsidP="0007331F">
            <w:pPr>
              <w:jc w:val="center"/>
              <w:rPr>
                <w:color w:val="auto"/>
                <w:szCs w:val="24"/>
              </w:rPr>
            </w:pPr>
          </w:p>
        </w:tc>
        <w:tc>
          <w:tcPr>
            <w:tcW w:w="644" w:type="pct"/>
            <w:shd w:val="clear" w:color="auto" w:fill="auto"/>
          </w:tcPr>
          <w:p w:rsidR="0007331F" w:rsidRPr="00002D92" w:rsidRDefault="0007331F" w:rsidP="0007331F">
            <w:pPr>
              <w:jc w:val="center"/>
              <w:rPr>
                <w:color w:val="auto"/>
                <w:szCs w:val="24"/>
              </w:rPr>
            </w:pPr>
          </w:p>
        </w:tc>
        <w:tc>
          <w:tcPr>
            <w:tcW w:w="507" w:type="pct"/>
            <w:shd w:val="clear" w:color="auto" w:fill="auto"/>
          </w:tcPr>
          <w:p w:rsidR="0007331F" w:rsidRPr="00002D92" w:rsidRDefault="0007331F" w:rsidP="0007331F">
            <w:pPr>
              <w:jc w:val="center"/>
              <w:rPr>
                <w:color w:val="auto"/>
                <w:szCs w:val="24"/>
              </w:rPr>
            </w:pPr>
          </w:p>
        </w:tc>
        <w:tc>
          <w:tcPr>
            <w:tcW w:w="508" w:type="pct"/>
            <w:shd w:val="clear" w:color="auto" w:fill="auto"/>
          </w:tcPr>
          <w:p w:rsidR="0007331F" w:rsidRPr="00002D92" w:rsidRDefault="0007331F" w:rsidP="0007331F">
            <w:pPr>
              <w:jc w:val="center"/>
              <w:rPr>
                <w:color w:val="auto"/>
                <w:szCs w:val="24"/>
              </w:rPr>
            </w:pPr>
          </w:p>
        </w:tc>
        <w:tc>
          <w:tcPr>
            <w:tcW w:w="508" w:type="pct"/>
            <w:shd w:val="clear" w:color="auto" w:fill="auto"/>
          </w:tcPr>
          <w:p w:rsidR="0007331F" w:rsidRPr="00002D92" w:rsidRDefault="0007331F" w:rsidP="0007331F">
            <w:pPr>
              <w:jc w:val="center"/>
              <w:rPr>
                <w:color w:val="auto"/>
                <w:szCs w:val="24"/>
              </w:rPr>
            </w:pP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val="230"/>
        </w:trPr>
        <w:tc>
          <w:tcPr>
            <w:tcW w:w="2073" w:type="pct"/>
            <w:shd w:val="clear" w:color="auto" w:fill="auto"/>
          </w:tcPr>
          <w:p w:rsidR="0007331F" w:rsidRPr="00002D92" w:rsidRDefault="0007331F" w:rsidP="0007331F">
            <w:pPr>
              <w:rPr>
                <w:color w:val="000000" w:themeColor="text1"/>
              </w:rPr>
            </w:pPr>
            <w:r w:rsidRPr="00002D92">
              <w:rPr>
                <w:color w:val="000000" w:themeColor="text1"/>
              </w:rPr>
              <w:t>General government debt</w:t>
            </w:r>
          </w:p>
        </w:tc>
        <w:tc>
          <w:tcPr>
            <w:tcW w:w="760" w:type="pct"/>
            <w:shd w:val="clear" w:color="auto" w:fill="auto"/>
          </w:tcPr>
          <w:p w:rsidR="0007331F" w:rsidRPr="00002D92" w:rsidRDefault="0007331F" w:rsidP="0007331F">
            <w:pPr>
              <w:jc w:val="center"/>
              <w:rPr>
                <w:color w:val="auto"/>
                <w:szCs w:val="24"/>
              </w:rPr>
            </w:pPr>
            <w:r w:rsidRPr="00002D92">
              <w:rPr>
                <w:color w:val="auto"/>
              </w:rPr>
              <w:t>46</w:t>
            </w:r>
            <w:r w:rsidR="00124621" w:rsidRPr="00002D92">
              <w:rPr>
                <w:color w:val="auto"/>
              </w:rPr>
              <w:t>.</w:t>
            </w:r>
            <w:r w:rsidRPr="00002D92">
              <w:rPr>
                <w:color w:val="auto"/>
              </w:rPr>
              <w:t>9</w:t>
            </w:r>
          </w:p>
        </w:tc>
        <w:tc>
          <w:tcPr>
            <w:tcW w:w="644" w:type="pct"/>
            <w:shd w:val="clear" w:color="auto" w:fill="auto"/>
          </w:tcPr>
          <w:p w:rsidR="0007331F" w:rsidRPr="00002D92" w:rsidRDefault="0007331F" w:rsidP="0007331F">
            <w:pPr>
              <w:jc w:val="center"/>
              <w:rPr>
                <w:color w:val="auto"/>
                <w:szCs w:val="24"/>
              </w:rPr>
            </w:pPr>
            <w:r w:rsidRPr="00002D92">
              <w:rPr>
                <w:color w:val="auto"/>
              </w:rPr>
              <w:t>45</w:t>
            </w:r>
            <w:r w:rsidR="00124621" w:rsidRPr="00002D92">
              <w:rPr>
                <w:color w:val="auto"/>
              </w:rPr>
              <w:t>.</w:t>
            </w:r>
            <w:r w:rsidRPr="00002D92">
              <w:rPr>
                <w:color w:val="auto"/>
              </w:rPr>
              <w:t>0</w:t>
            </w:r>
          </w:p>
        </w:tc>
        <w:tc>
          <w:tcPr>
            <w:tcW w:w="507" w:type="pct"/>
            <w:shd w:val="clear" w:color="auto" w:fill="auto"/>
          </w:tcPr>
          <w:p w:rsidR="0007331F" w:rsidRPr="00002D92" w:rsidRDefault="0007331F" w:rsidP="0007331F">
            <w:pPr>
              <w:jc w:val="center"/>
              <w:rPr>
                <w:color w:val="auto"/>
                <w:szCs w:val="24"/>
              </w:rPr>
            </w:pPr>
            <w:r w:rsidRPr="00002D92">
              <w:rPr>
                <w:color w:val="auto"/>
              </w:rPr>
              <w:t>44</w:t>
            </w:r>
            <w:r w:rsidR="00124621" w:rsidRPr="00002D92">
              <w:rPr>
                <w:color w:val="auto"/>
              </w:rPr>
              <w:t>.</w:t>
            </w:r>
            <w:r w:rsidRPr="00002D92">
              <w:rPr>
                <w:color w:val="auto"/>
              </w:rPr>
              <w:t>5</w:t>
            </w:r>
          </w:p>
        </w:tc>
        <w:tc>
          <w:tcPr>
            <w:tcW w:w="508" w:type="pct"/>
            <w:shd w:val="clear" w:color="auto" w:fill="auto"/>
          </w:tcPr>
          <w:p w:rsidR="0007331F" w:rsidRPr="00002D92" w:rsidRDefault="0007331F" w:rsidP="0007331F">
            <w:pPr>
              <w:jc w:val="center"/>
              <w:rPr>
                <w:color w:val="auto"/>
                <w:szCs w:val="24"/>
              </w:rPr>
            </w:pPr>
            <w:r w:rsidRPr="00002D92">
              <w:rPr>
                <w:color w:val="auto"/>
              </w:rPr>
              <w:t>44</w:t>
            </w:r>
            <w:r w:rsidR="00124621" w:rsidRPr="00002D92">
              <w:rPr>
                <w:color w:val="auto"/>
              </w:rPr>
              <w:t>.</w:t>
            </w:r>
            <w:r w:rsidRPr="00002D92">
              <w:rPr>
                <w:color w:val="auto"/>
              </w:rPr>
              <w:t>3</w:t>
            </w:r>
          </w:p>
        </w:tc>
        <w:tc>
          <w:tcPr>
            <w:tcW w:w="508" w:type="pct"/>
            <w:shd w:val="clear" w:color="auto" w:fill="auto"/>
          </w:tcPr>
          <w:p w:rsidR="0007331F" w:rsidRPr="00002D92" w:rsidRDefault="0007331F" w:rsidP="0007331F">
            <w:pPr>
              <w:jc w:val="center"/>
              <w:rPr>
                <w:color w:val="auto"/>
                <w:szCs w:val="24"/>
              </w:rPr>
            </w:pPr>
            <w:r w:rsidRPr="00002D92">
              <w:rPr>
                <w:color w:val="auto"/>
              </w:rPr>
              <w:t>44</w:t>
            </w:r>
            <w:r w:rsidR="00124621" w:rsidRPr="00002D92">
              <w:rPr>
                <w:color w:val="auto"/>
              </w:rPr>
              <w:t>.</w:t>
            </w:r>
            <w:r w:rsidRPr="00002D92">
              <w:rPr>
                <w:color w:val="auto"/>
              </w:rPr>
              <w:t>1</w:t>
            </w:r>
          </w:p>
        </w:tc>
      </w:tr>
      <w:tr w:rsidR="0007331F" w:rsidRPr="00002D92" w:rsidTr="0007331F">
        <w:trPr>
          <w:trHeight w:val="230"/>
        </w:trPr>
        <w:tc>
          <w:tcPr>
            <w:tcW w:w="2073" w:type="pct"/>
            <w:tcBorders>
              <w:bottom w:val="single" w:sz="4" w:space="0" w:color="002060"/>
            </w:tcBorders>
            <w:shd w:val="clear" w:color="auto" w:fill="auto"/>
          </w:tcPr>
          <w:p w:rsidR="0007331F" w:rsidRPr="00002D92" w:rsidRDefault="0007331F" w:rsidP="0007331F">
            <w:pPr>
              <w:rPr>
                <w:color w:val="000000" w:themeColor="text1"/>
              </w:rPr>
            </w:pPr>
            <w:r w:rsidRPr="00002D92">
              <w:rPr>
                <w:color w:val="000000" w:themeColor="text1"/>
              </w:rPr>
              <w:t>Real GDP growth rate</w:t>
            </w:r>
          </w:p>
        </w:tc>
        <w:tc>
          <w:tcPr>
            <w:tcW w:w="760" w:type="pct"/>
            <w:tcBorders>
              <w:bottom w:val="single" w:sz="4" w:space="0" w:color="002060"/>
            </w:tcBorders>
            <w:shd w:val="clear" w:color="auto" w:fill="auto"/>
          </w:tcPr>
          <w:p w:rsidR="0007331F" w:rsidRPr="00002D92" w:rsidRDefault="0007331F" w:rsidP="0007331F">
            <w:pPr>
              <w:jc w:val="center"/>
              <w:rPr>
                <w:color w:val="auto"/>
                <w:szCs w:val="24"/>
              </w:rPr>
            </w:pPr>
            <w:r w:rsidRPr="00002D92">
              <w:rPr>
                <w:color w:val="auto"/>
              </w:rPr>
              <w:t>3</w:t>
            </w:r>
            <w:r w:rsidR="00124621" w:rsidRPr="00002D92">
              <w:rPr>
                <w:color w:val="auto"/>
              </w:rPr>
              <w:t>.</w:t>
            </w:r>
            <w:r w:rsidRPr="00002D92">
              <w:rPr>
                <w:color w:val="auto"/>
              </w:rPr>
              <w:t>9%</w:t>
            </w:r>
          </w:p>
        </w:tc>
        <w:tc>
          <w:tcPr>
            <w:tcW w:w="644" w:type="pct"/>
            <w:tcBorders>
              <w:bottom w:val="single" w:sz="4" w:space="0" w:color="002060"/>
            </w:tcBorders>
            <w:shd w:val="clear" w:color="auto" w:fill="auto"/>
          </w:tcPr>
          <w:p w:rsidR="0007331F" w:rsidRPr="00002D92" w:rsidRDefault="0007331F" w:rsidP="0007331F">
            <w:pPr>
              <w:jc w:val="center"/>
              <w:rPr>
                <w:color w:val="auto"/>
                <w:szCs w:val="24"/>
              </w:rPr>
            </w:pPr>
            <w:r w:rsidRPr="00002D92">
              <w:rPr>
                <w:color w:val="auto"/>
              </w:rPr>
              <w:t>2</w:t>
            </w:r>
            <w:r w:rsidR="00124621" w:rsidRPr="00002D92">
              <w:rPr>
                <w:color w:val="auto"/>
              </w:rPr>
              <w:t>.</w:t>
            </w:r>
            <w:r w:rsidRPr="00002D92">
              <w:rPr>
                <w:color w:val="auto"/>
              </w:rPr>
              <w:t>3%</w:t>
            </w:r>
          </w:p>
        </w:tc>
        <w:tc>
          <w:tcPr>
            <w:tcW w:w="507" w:type="pct"/>
            <w:tcBorders>
              <w:bottom w:val="single" w:sz="4" w:space="0" w:color="002060"/>
            </w:tcBorders>
            <w:shd w:val="clear" w:color="auto" w:fill="auto"/>
          </w:tcPr>
          <w:p w:rsidR="0007331F" w:rsidRPr="00002D92" w:rsidRDefault="0007331F" w:rsidP="0007331F">
            <w:pPr>
              <w:jc w:val="center"/>
              <w:rPr>
                <w:color w:val="auto"/>
                <w:szCs w:val="24"/>
              </w:rPr>
            </w:pPr>
            <w:r w:rsidRPr="00002D92">
              <w:rPr>
                <w:color w:val="auto"/>
              </w:rPr>
              <w:t>3</w:t>
            </w:r>
            <w:r w:rsidR="00124621" w:rsidRPr="00002D92">
              <w:rPr>
                <w:color w:val="auto"/>
              </w:rPr>
              <w:t>.</w:t>
            </w:r>
            <w:r w:rsidRPr="00002D92">
              <w:rPr>
                <w:color w:val="auto"/>
              </w:rPr>
              <w:t>0%</w:t>
            </w:r>
          </w:p>
        </w:tc>
        <w:tc>
          <w:tcPr>
            <w:tcW w:w="508" w:type="pct"/>
            <w:tcBorders>
              <w:bottom w:val="single" w:sz="4" w:space="0" w:color="002060"/>
            </w:tcBorders>
            <w:shd w:val="clear" w:color="auto" w:fill="auto"/>
          </w:tcPr>
          <w:p w:rsidR="0007331F" w:rsidRPr="00002D92" w:rsidRDefault="0007331F" w:rsidP="0007331F">
            <w:pPr>
              <w:jc w:val="center"/>
              <w:rPr>
                <w:color w:val="auto"/>
                <w:szCs w:val="24"/>
              </w:rPr>
            </w:pPr>
            <w:r w:rsidRPr="00002D92">
              <w:rPr>
                <w:color w:val="auto"/>
              </w:rPr>
              <w:t>5</w:t>
            </w:r>
            <w:r w:rsidR="00124621" w:rsidRPr="00002D92">
              <w:rPr>
                <w:color w:val="auto"/>
              </w:rPr>
              <w:t>.</w:t>
            </w:r>
            <w:r w:rsidRPr="00002D92">
              <w:rPr>
                <w:color w:val="auto"/>
              </w:rPr>
              <w:t>0%</w:t>
            </w:r>
          </w:p>
        </w:tc>
        <w:tc>
          <w:tcPr>
            <w:tcW w:w="508" w:type="pct"/>
            <w:tcBorders>
              <w:bottom w:val="single" w:sz="4" w:space="0" w:color="002060"/>
            </w:tcBorders>
            <w:shd w:val="clear" w:color="auto" w:fill="auto"/>
          </w:tcPr>
          <w:p w:rsidR="0007331F" w:rsidRPr="00002D92" w:rsidRDefault="0007331F" w:rsidP="0007331F">
            <w:pPr>
              <w:jc w:val="center"/>
              <w:rPr>
                <w:color w:val="auto"/>
                <w:szCs w:val="24"/>
              </w:rPr>
            </w:pPr>
            <w:r w:rsidRPr="00002D92">
              <w:rPr>
                <w:color w:val="auto"/>
              </w:rPr>
              <w:t>3</w:t>
            </w:r>
            <w:r w:rsidR="00124621" w:rsidRPr="00002D92">
              <w:rPr>
                <w:color w:val="auto"/>
              </w:rPr>
              <w:t>.</w:t>
            </w:r>
            <w:r w:rsidRPr="00002D92">
              <w:rPr>
                <w:color w:val="auto"/>
              </w:rPr>
              <w:t>5%</w:t>
            </w:r>
          </w:p>
        </w:tc>
      </w:tr>
    </w:tbl>
    <w:p w:rsidR="0007331F" w:rsidRPr="00002D92" w:rsidRDefault="0007331F" w:rsidP="005918D2">
      <w:pPr>
        <w:rPr>
          <w:rFonts w:cs="Times New Roman"/>
          <w:sz w:val="22"/>
          <w:szCs w:val="24"/>
          <w:lang w:val="sr-Cyrl-RS" w:eastAsia="ja-JP"/>
        </w:rPr>
      </w:pPr>
      <w:r w:rsidRPr="00002D92">
        <w:rPr>
          <w:rFonts w:cs="Times New Roman"/>
          <w:sz w:val="22"/>
          <w:szCs w:val="24"/>
          <w:lang w:val="sr-Cyrl-RS" w:eastAsia="ja-JP"/>
        </w:rPr>
        <w:t>Source: Мinistry of Finance</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On the expenditure side</w:t>
      </w:r>
      <w:r w:rsidR="00796BB7">
        <w:rPr>
          <w:rFonts w:eastAsia="MS PGothic" w:cs="Times New Roman"/>
          <w:szCs w:val="24"/>
          <w:lang w:val="sr-Latn-RS" w:eastAsia="ja-JP"/>
        </w:rPr>
        <w:t xml:space="preserve"> </w:t>
      </w:r>
      <w:r w:rsidRPr="00002D92">
        <w:rPr>
          <w:rFonts w:eastAsia="MS PGothic" w:cs="Times New Roman"/>
          <w:szCs w:val="24"/>
          <w:lang w:val="sr-Cyrl-RS" w:eastAsia="ja-JP"/>
        </w:rPr>
        <w:t>priority remains on capital investments with clear multiplier effects — including transport and energy infrastructure, digitalisation, green transition, and projects related to EXPO 2027 — accompanied by strengthened discipline in current spending. The reform of public investment management aims to increase efficiency and transparency in order to support productivity and long-term growth.</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On the revenue side, fiscal policy is focused on the continued gradual reduction of the tax burden on labor and the broadening of the tax base through improved collection and combating the shadow economy. Modernisation of the tax administration continues (e-invoicing, e-fiscalisation, risk-based controls, etc.) along with alignment with EU regulations. Revenue projections for 2026–2028 have been prepared on the basis of:</w:t>
      </w:r>
    </w:p>
    <w:p w:rsidR="0007331F" w:rsidRPr="00002D92" w:rsidRDefault="005918D2" w:rsidP="0007331F">
      <w:pPr>
        <w:rPr>
          <w:rFonts w:eastAsia="MS PGothic" w:cs="Times New Roman"/>
          <w:szCs w:val="24"/>
          <w:shd w:val="clear" w:color="auto" w:fill="FFFF00"/>
          <w:lang w:val="sr-Cyrl-RS" w:eastAsia="ja-JP"/>
        </w:rPr>
      </w:pPr>
      <w:r w:rsidRPr="00002D92">
        <w:rPr>
          <w:rFonts w:eastAsia="MS PGothic" w:cs="Times New Roman"/>
          <w:szCs w:val="24"/>
          <w:lang w:val="sr-Cyrl-RS" w:eastAsia="ja-JP"/>
        </w:rPr>
        <w:t>•</w:t>
      </w:r>
      <w:r w:rsidRPr="00002D92">
        <w:rPr>
          <w:rFonts w:eastAsia="MS PGothic" w:cs="Times New Roman"/>
          <w:szCs w:val="24"/>
          <w:lang w:val="sr-Cyrl-RS" w:eastAsia="ja-JP"/>
        </w:rPr>
        <w:tab/>
      </w:r>
      <w:r w:rsidR="0007331F" w:rsidRPr="00002D92">
        <w:rPr>
          <w:rFonts w:eastAsia="MS PGothic" w:cs="Times New Roman"/>
          <w:szCs w:val="24"/>
          <w:lang w:eastAsia="ja-JP"/>
        </w:rPr>
        <w:t>p</w:t>
      </w:r>
      <w:r w:rsidR="0007331F" w:rsidRPr="00002D92">
        <w:rPr>
          <w:rFonts w:eastAsia="MS PGothic" w:cs="Times New Roman"/>
          <w:szCs w:val="24"/>
          <w:lang w:val="sr-Cyrl-RS" w:eastAsia="ja-JP"/>
        </w:rPr>
        <w:t>rojections of key macroeconomic indicators (GDP and demand components, inflation, exchange rate, trade, employment, and wages);</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lastRenderedPageBreak/>
        <w:t>•</w:t>
      </w:r>
      <w:r w:rsidRPr="00002D92">
        <w:rPr>
          <w:rFonts w:eastAsia="MS PGothic" w:cs="Times New Roman"/>
          <w:szCs w:val="24"/>
          <w:lang w:val="sr-Cyrl-RS" w:eastAsia="ja-JP"/>
        </w:rPr>
        <w:tab/>
        <w:t>current and planned changes in tax policy and</w:t>
      </w:r>
    </w:p>
    <w:p w:rsidR="005918D2" w:rsidRPr="00002D92" w:rsidRDefault="005918D2" w:rsidP="0007331F">
      <w:pPr>
        <w:rPr>
          <w:rFonts w:cs="Times New Roman"/>
          <w:szCs w:val="24"/>
          <w:lang w:val="sr-Cyrl-RS"/>
        </w:rPr>
      </w:pPr>
      <w:r w:rsidRPr="00002D92">
        <w:rPr>
          <w:rFonts w:eastAsia="MS PGothic" w:cs="Times New Roman"/>
          <w:szCs w:val="24"/>
          <w:lang w:val="sr-Cyrl-RS" w:eastAsia="ja-JP"/>
        </w:rPr>
        <w:t>•</w:t>
      </w:r>
      <w:r w:rsidRPr="00002D92">
        <w:rPr>
          <w:rFonts w:eastAsia="MS PGothic" w:cs="Times New Roman"/>
          <w:szCs w:val="24"/>
          <w:lang w:val="sr-Cyrl-RS" w:eastAsia="ja-JP"/>
        </w:rPr>
        <w:tab/>
      </w:r>
      <w:r w:rsidR="0007331F" w:rsidRPr="00002D92">
        <w:rPr>
          <w:rFonts w:eastAsia="MS PGothic" w:cs="Times New Roman"/>
          <w:szCs w:val="24"/>
          <w:lang w:val="sr-Cyrl-RS" w:eastAsia="ja-JP"/>
        </w:rPr>
        <w:t>the effects of fiscal and structural measures in the upcoming period.</w:t>
      </w:r>
    </w:p>
    <w:p w:rsidR="005918D2" w:rsidRPr="00002D92" w:rsidRDefault="005918D2" w:rsidP="00BD5AEF">
      <w:pPr>
        <w:spacing w:after="0"/>
        <w:rPr>
          <w:rFonts w:cs="Times New Roman"/>
          <w:szCs w:val="24"/>
          <w:lang w:val="sr-Cyrl-RS"/>
        </w:rPr>
      </w:pPr>
    </w:p>
    <w:p w:rsidR="005918D2" w:rsidRPr="00FE3506" w:rsidRDefault="0007331F" w:rsidP="005918D2">
      <w:pPr>
        <w:rPr>
          <w:rFonts w:cs="Times New Roman"/>
          <w:i/>
          <w:color w:val="000000" w:themeColor="text1"/>
          <w:szCs w:val="24"/>
          <w:lang w:val="sr-Cyrl-RS" w:eastAsia="ja-JP"/>
        </w:rPr>
      </w:pPr>
      <w:r w:rsidRPr="00FE3506">
        <w:rPr>
          <w:rFonts w:cs="Times New Roman"/>
          <w:i/>
          <w:color w:val="000000" w:themeColor="text1"/>
          <w:szCs w:val="24"/>
          <w:lang w:eastAsia="ja-JP"/>
        </w:rPr>
        <w:t>Chart</w:t>
      </w:r>
      <w:r w:rsidR="005918D2" w:rsidRPr="00FE3506">
        <w:rPr>
          <w:rFonts w:cs="Times New Roman"/>
          <w:i/>
          <w:color w:val="000000" w:themeColor="text1"/>
          <w:szCs w:val="24"/>
          <w:lang w:val="sr-Cyrl-RS" w:eastAsia="ja-JP"/>
        </w:rPr>
        <w:t xml:space="preserve"> </w:t>
      </w:r>
      <w:r w:rsidR="005A07EA" w:rsidRPr="00FE3506">
        <w:rPr>
          <w:rFonts w:cs="Times New Roman"/>
          <w:i/>
          <w:color w:val="000000" w:themeColor="text1"/>
          <w:szCs w:val="24"/>
          <w:lang w:val="sr-Cyrl-RS" w:eastAsia="ja-JP"/>
        </w:rPr>
        <w:t>9</w:t>
      </w:r>
      <w:r w:rsidR="003B22A7" w:rsidRPr="00FE3506">
        <w:rPr>
          <w:rFonts w:cs="Times New Roman"/>
          <w:i/>
          <w:color w:val="000000" w:themeColor="text1"/>
          <w:szCs w:val="24"/>
          <w:lang w:val="sr-Latn-RS" w:eastAsia="ja-JP"/>
        </w:rPr>
        <w:t>:</w:t>
      </w:r>
      <w:r w:rsidR="005918D2" w:rsidRPr="00FE3506">
        <w:rPr>
          <w:rFonts w:cs="Times New Roman"/>
          <w:i/>
          <w:color w:val="000000" w:themeColor="text1"/>
          <w:szCs w:val="24"/>
          <w:lang w:val="sr-Cyrl-RS" w:eastAsia="ja-JP"/>
        </w:rPr>
        <w:t xml:space="preserve"> </w:t>
      </w:r>
      <w:r w:rsidRPr="00FE3506">
        <w:rPr>
          <w:rFonts w:cs="Times New Roman"/>
          <w:i/>
          <w:color w:val="000000" w:themeColor="text1"/>
          <w:szCs w:val="24"/>
          <w:lang w:val="sr-Cyrl-RS" w:eastAsia="ja-JP"/>
        </w:rPr>
        <w:t>General government fiscal result and public debt, % GDP</w:t>
      </w:r>
    </w:p>
    <w:p w:rsidR="0007331F" w:rsidRPr="00002D92" w:rsidRDefault="006C0E6C" w:rsidP="006C0E6C">
      <w:pPr>
        <w:jc w:val="center"/>
        <w:rPr>
          <w:rFonts w:cs="Times New Roman"/>
          <w:i/>
          <w:szCs w:val="24"/>
          <w:lang w:val="sr-Cyrl-RS" w:eastAsia="ja-JP"/>
        </w:rPr>
      </w:pPr>
      <w:r>
        <w:rPr>
          <w:noProof/>
        </w:rPr>
        <w:drawing>
          <wp:inline distT="0" distB="0" distL="0" distR="0" wp14:anchorId="0B2FBD87" wp14:editId="08DE7C50">
            <wp:extent cx="3790950" cy="2470150"/>
            <wp:effectExtent l="0" t="0" r="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3234" w:rsidRDefault="001E3234" w:rsidP="0007331F">
      <w:pPr>
        <w:keepNext/>
        <w:rPr>
          <w:rFonts w:eastAsia="MS PGothic" w:cs="Times New Roman"/>
          <w:spacing w:val="-2"/>
          <w:szCs w:val="24"/>
          <w:lang w:val="sr-Cyrl-RS" w:eastAsia="ja-JP"/>
        </w:rPr>
      </w:pPr>
    </w:p>
    <w:p w:rsidR="0007331F" w:rsidRPr="00002D92" w:rsidRDefault="0007331F" w:rsidP="0007331F">
      <w:pPr>
        <w:keepNext/>
        <w:rPr>
          <w:rFonts w:eastAsia="MS PGothic" w:cs="Times New Roman"/>
          <w:spacing w:val="-2"/>
          <w:szCs w:val="24"/>
          <w:lang w:val="sr-Cyrl-RS" w:eastAsia="ja-JP"/>
        </w:rPr>
      </w:pPr>
      <w:r w:rsidRPr="00002D92">
        <w:rPr>
          <w:rFonts w:eastAsia="MS PGothic" w:cs="Times New Roman"/>
          <w:spacing w:val="-2"/>
          <w:szCs w:val="24"/>
          <w:lang w:val="sr-Cyrl-RS" w:eastAsia="ja-JP"/>
        </w:rPr>
        <w:t>A particular priority is the management of risks arising from global fragmentation, more restrictive trade regimes, and climate policies. In this context, fiscal policy provides for protective mechanisms: conservative budgeting of revenues under conditions of pronounced uncertainty, fiscal reserves in the event of shocks, and strengthened active debt management. These instruments reduce the budget’s sensitivity to external shocks and preserve space for countercyclical action should risks escalate.</w:t>
      </w:r>
    </w:p>
    <w:p w:rsidR="0007331F" w:rsidRPr="00002D92" w:rsidRDefault="0007331F" w:rsidP="0007331F">
      <w:pPr>
        <w:keepNext/>
        <w:rPr>
          <w:rFonts w:eastAsia="MS PGothic" w:cs="Times New Roman"/>
          <w:spacing w:val="-2"/>
          <w:szCs w:val="24"/>
          <w:lang w:val="sr-Cyrl-RS" w:eastAsia="ja-JP"/>
        </w:rPr>
      </w:pPr>
      <w:r w:rsidRPr="00002D92">
        <w:rPr>
          <w:rFonts w:eastAsia="MS PGothic" w:cs="Times New Roman"/>
          <w:spacing w:val="-2"/>
          <w:szCs w:val="24"/>
          <w:lang w:val="sr-Cyrl-RS" w:eastAsia="ja-JP"/>
        </w:rPr>
        <w:t>The restructuring and professionalisation of the management of state-owned enterprises are key to reducing quasi-fiscal risks and increasing the efficiency of public services. Business plans based on measurable performance, more transparent financial reporting, and the introduction of market-based principles are aimed at better management of the investment cycle.</w:t>
      </w:r>
    </w:p>
    <w:p w:rsidR="0007331F" w:rsidRPr="00002D92" w:rsidRDefault="0007331F" w:rsidP="0007331F">
      <w:pPr>
        <w:keepNext/>
        <w:rPr>
          <w:rFonts w:eastAsia="MS PGothic" w:cs="Times New Roman"/>
          <w:spacing w:val="-2"/>
          <w:szCs w:val="24"/>
          <w:lang w:val="sr-Cyrl-RS" w:eastAsia="ja-JP"/>
        </w:rPr>
      </w:pPr>
      <w:r w:rsidRPr="00002D92">
        <w:rPr>
          <w:rFonts w:eastAsia="MS PGothic" w:cs="Times New Roman"/>
          <w:spacing w:val="-2"/>
          <w:szCs w:val="24"/>
          <w:lang w:val="sr-Cyrl-RS" w:eastAsia="ja-JP"/>
        </w:rPr>
        <w:t>Fiscal rules and medium-term fiscal planning remain the cornerstone of fiscal credibility. Controlled deficits (3% of GDP until 2027, 2.5% in 2028), a stable ratio of revenues to expenditures, and a declining public debt trajectory ensure a balance between supporting growth and maintaining stability, in line with best international practices.</w:t>
      </w:r>
    </w:p>
    <w:p w:rsidR="001E3234" w:rsidRDefault="001E3234" w:rsidP="0007331F">
      <w:pPr>
        <w:keepNext/>
        <w:rPr>
          <w:rFonts w:cs="Times New Roman"/>
          <w:i/>
          <w:szCs w:val="24"/>
          <w:lang w:val="sr-Cyrl-RS" w:eastAsia="ja-JP"/>
        </w:rPr>
      </w:pPr>
    </w:p>
    <w:p w:rsidR="005918D2" w:rsidRPr="00002D92" w:rsidRDefault="0007331F" w:rsidP="0007331F">
      <w:pPr>
        <w:keepNext/>
        <w:rPr>
          <w:rFonts w:cs="Times New Roman"/>
          <w:i/>
          <w:szCs w:val="24"/>
          <w:lang w:val="sr-Cyrl-RS" w:eastAsia="ja-JP"/>
        </w:rPr>
      </w:pPr>
      <w:r w:rsidRPr="00002D92">
        <w:rPr>
          <w:rFonts w:cs="Times New Roman"/>
          <w:i/>
          <w:szCs w:val="24"/>
          <w:lang w:val="sr-Cyrl-RS" w:eastAsia="ja-JP"/>
        </w:rPr>
        <w:t>Т</w:t>
      </w:r>
      <w:r w:rsidRPr="00002D92">
        <w:rPr>
          <w:rFonts w:cs="Times New Roman"/>
          <w:i/>
          <w:szCs w:val="24"/>
          <w:lang w:eastAsia="ja-JP"/>
        </w:rPr>
        <w:t>able</w:t>
      </w:r>
      <w:r w:rsidR="005918D2" w:rsidRPr="00002D92">
        <w:rPr>
          <w:rFonts w:cs="Times New Roman"/>
          <w:i/>
          <w:szCs w:val="24"/>
          <w:lang w:val="sr-Cyrl-RS" w:eastAsia="ja-JP"/>
        </w:rPr>
        <w:t xml:space="preserve"> 8</w:t>
      </w:r>
      <w:r w:rsidR="003B22A7" w:rsidRPr="00002D92">
        <w:rPr>
          <w:rFonts w:cs="Times New Roman"/>
          <w:i/>
          <w:szCs w:val="24"/>
          <w:lang w:val="sr-Latn-RS" w:eastAsia="ja-JP"/>
        </w:rPr>
        <w:t>:</w:t>
      </w:r>
      <w:r w:rsidRPr="00002D92">
        <w:rPr>
          <w:rFonts w:cs="Times New Roman"/>
          <w:i/>
          <w:szCs w:val="24"/>
          <w:lang w:eastAsia="ja-JP"/>
        </w:rPr>
        <w:t xml:space="preserve"> Total revenues and grants in the period 2024-2028, % GDP</w:t>
      </w:r>
    </w:p>
    <w:tbl>
      <w:tblPr>
        <w:tblStyle w:val="LightShading-Accent12114"/>
        <w:tblW w:w="5000" w:type="pct"/>
        <w:tblBorders>
          <w:top w:val="none" w:sz="0" w:space="0" w:color="auto"/>
          <w:bottom w:val="none" w:sz="0" w:space="0" w:color="auto"/>
        </w:tblBorders>
        <w:tblLook w:val="0420" w:firstRow="1" w:lastRow="0" w:firstColumn="0" w:lastColumn="0" w:noHBand="0" w:noVBand="1"/>
      </w:tblPr>
      <w:tblGrid>
        <w:gridCol w:w="3601"/>
        <w:gridCol w:w="1370"/>
        <w:gridCol w:w="1161"/>
        <w:gridCol w:w="962"/>
        <w:gridCol w:w="966"/>
        <w:gridCol w:w="966"/>
      </w:tblGrid>
      <w:tr w:rsidR="0007331F" w:rsidRPr="00002D92" w:rsidTr="00EA7C4B">
        <w:trPr>
          <w:cnfStyle w:val="100000000000" w:firstRow="1" w:lastRow="0" w:firstColumn="0" w:lastColumn="0" w:oddVBand="0" w:evenVBand="0" w:oddHBand="0" w:evenHBand="0" w:firstRowFirstColumn="0" w:firstRowLastColumn="0" w:lastRowFirstColumn="0" w:lastRowLastColumn="0"/>
          <w:trHeight w:hRule="exact" w:val="284"/>
          <w:tblHeader/>
        </w:trPr>
        <w:tc>
          <w:tcPr>
            <w:tcW w:w="1995" w:type="pct"/>
            <w:tcBorders>
              <w:top w:val="single" w:sz="4" w:space="0" w:color="auto"/>
              <w:bottom w:val="single" w:sz="4" w:space="0" w:color="002060"/>
            </w:tcBorders>
            <w:noWrap/>
          </w:tcPr>
          <w:p w:rsidR="0007331F" w:rsidRPr="00002D92" w:rsidRDefault="0007331F" w:rsidP="0007331F">
            <w:pPr>
              <w:jc w:val="left"/>
              <w:rPr>
                <w:color w:val="000000" w:themeColor="text1"/>
              </w:rPr>
            </w:pPr>
            <w:r w:rsidRPr="00002D92">
              <w:rPr>
                <w:color w:val="000000" w:themeColor="text1"/>
              </w:rPr>
              <w:t>Description</w:t>
            </w:r>
          </w:p>
        </w:tc>
        <w:tc>
          <w:tcPr>
            <w:tcW w:w="759" w:type="pct"/>
            <w:tcBorders>
              <w:top w:val="single" w:sz="4" w:space="0" w:color="auto"/>
              <w:bottom w:val="single" w:sz="4" w:space="0" w:color="002060"/>
            </w:tcBorders>
          </w:tcPr>
          <w:p w:rsidR="0007331F" w:rsidRPr="00002D92" w:rsidRDefault="0007331F" w:rsidP="0007331F">
            <w:pPr>
              <w:jc w:val="center"/>
              <w:rPr>
                <w:color w:val="000000" w:themeColor="text1"/>
              </w:rPr>
            </w:pPr>
            <w:r w:rsidRPr="00002D92">
              <w:rPr>
                <w:color w:val="000000" w:themeColor="text1"/>
              </w:rPr>
              <w:t>Execution</w:t>
            </w:r>
          </w:p>
        </w:tc>
        <w:tc>
          <w:tcPr>
            <w:tcW w:w="643" w:type="pct"/>
            <w:tcBorders>
              <w:top w:val="single" w:sz="4" w:space="0" w:color="auto"/>
              <w:bottom w:val="single" w:sz="4" w:space="0" w:color="002060"/>
            </w:tcBorders>
          </w:tcPr>
          <w:p w:rsidR="0007331F" w:rsidRPr="00002D92" w:rsidRDefault="0007331F" w:rsidP="0007331F">
            <w:pPr>
              <w:jc w:val="center"/>
              <w:rPr>
                <w:color w:val="000000" w:themeColor="text1"/>
              </w:rPr>
            </w:pPr>
            <w:r w:rsidRPr="00002D92">
              <w:rPr>
                <w:color w:val="000000" w:themeColor="text1"/>
              </w:rPr>
              <w:t>Estimate</w:t>
            </w:r>
          </w:p>
        </w:tc>
        <w:tc>
          <w:tcPr>
            <w:tcW w:w="1603" w:type="pct"/>
            <w:gridSpan w:val="3"/>
            <w:tcBorders>
              <w:top w:val="single" w:sz="4" w:space="0" w:color="auto"/>
              <w:bottom w:val="single" w:sz="4" w:space="0" w:color="002060"/>
            </w:tcBorders>
          </w:tcPr>
          <w:p w:rsidR="0007331F" w:rsidRPr="00002D92" w:rsidRDefault="0007331F" w:rsidP="0007331F">
            <w:pPr>
              <w:jc w:val="center"/>
              <w:rPr>
                <w:color w:val="000000" w:themeColor="text1"/>
              </w:rPr>
            </w:pPr>
            <w:r w:rsidRPr="00002D92">
              <w:rPr>
                <w:color w:val="000000" w:themeColor="text1"/>
              </w:rPr>
              <w:t>Projection</w:t>
            </w:r>
          </w:p>
        </w:tc>
      </w:tr>
      <w:tr w:rsidR="005918D2" w:rsidRPr="00002D92" w:rsidTr="00EA7C4B">
        <w:trPr>
          <w:cnfStyle w:val="100000000000" w:firstRow="1" w:lastRow="0" w:firstColumn="0" w:lastColumn="0" w:oddVBand="0" w:evenVBand="0" w:oddHBand="0" w:evenHBand="0" w:firstRowFirstColumn="0" w:firstRowLastColumn="0" w:lastRowFirstColumn="0" w:lastRowLastColumn="0"/>
          <w:trHeight w:hRule="exact" w:val="284"/>
          <w:tblHeader/>
        </w:trPr>
        <w:tc>
          <w:tcPr>
            <w:tcW w:w="1995" w:type="pct"/>
            <w:tcBorders>
              <w:top w:val="single" w:sz="4" w:space="0" w:color="002060"/>
              <w:bottom w:val="single" w:sz="4" w:space="0" w:color="auto"/>
            </w:tcBorders>
            <w:shd w:val="clear" w:color="auto" w:fill="FFFFFF" w:themeFill="background1"/>
            <w:noWrap/>
          </w:tcPr>
          <w:p w:rsidR="005918D2" w:rsidRPr="00002D92" w:rsidRDefault="005918D2" w:rsidP="00EA7C4B">
            <w:pPr>
              <w:keepLines/>
              <w:widowControl w:val="0"/>
              <w:shd w:val="clear" w:color="auto" w:fill="FFFFFF" w:themeFill="background1"/>
              <w:spacing w:line="276" w:lineRule="auto"/>
              <w:rPr>
                <w:rFonts w:eastAsia="Times New Roman"/>
                <w:color w:val="auto"/>
                <w:szCs w:val="24"/>
                <w:lang w:val="sr-Latn-RS"/>
              </w:rPr>
            </w:pPr>
          </w:p>
        </w:tc>
        <w:tc>
          <w:tcPr>
            <w:tcW w:w="759" w:type="pct"/>
            <w:tcBorders>
              <w:top w:val="single" w:sz="4" w:space="0" w:color="002060"/>
              <w:bottom w:val="single" w:sz="4" w:space="0" w:color="auto"/>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2024</w:t>
            </w:r>
          </w:p>
        </w:tc>
        <w:tc>
          <w:tcPr>
            <w:tcW w:w="643" w:type="pct"/>
            <w:tcBorders>
              <w:top w:val="single" w:sz="4" w:space="0" w:color="002060"/>
              <w:bottom w:val="single" w:sz="4" w:space="0" w:color="auto"/>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2025</w:t>
            </w:r>
          </w:p>
        </w:tc>
        <w:tc>
          <w:tcPr>
            <w:tcW w:w="533" w:type="pct"/>
            <w:tcBorders>
              <w:top w:val="single" w:sz="4" w:space="0" w:color="002060"/>
              <w:bottom w:val="single" w:sz="4" w:space="0" w:color="auto"/>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2026</w:t>
            </w:r>
          </w:p>
        </w:tc>
        <w:tc>
          <w:tcPr>
            <w:tcW w:w="535" w:type="pct"/>
            <w:tcBorders>
              <w:top w:val="single" w:sz="4" w:space="0" w:color="002060"/>
              <w:bottom w:val="single" w:sz="4" w:space="0" w:color="auto"/>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2027</w:t>
            </w:r>
          </w:p>
        </w:tc>
        <w:tc>
          <w:tcPr>
            <w:tcW w:w="535" w:type="pct"/>
            <w:tcBorders>
              <w:top w:val="single" w:sz="4" w:space="0" w:color="002060"/>
              <w:bottom w:val="single" w:sz="4" w:space="0" w:color="auto"/>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2028</w:t>
            </w:r>
          </w:p>
        </w:tc>
      </w:tr>
      <w:tr w:rsidR="0007331F" w:rsidRPr="00002D92" w:rsidTr="00EA7C4B">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tcBorders>
              <w:top w:val="single" w:sz="4" w:space="0" w:color="auto"/>
            </w:tcBorders>
            <w:shd w:val="clear" w:color="auto" w:fill="FFFFFF" w:themeFill="background1"/>
          </w:tcPr>
          <w:p w:rsidR="0007331F" w:rsidRPr="00002D92" w:rsidRDefault="0007331F" w:rsidP="0007331F">
            <w:pPr>
              <w:keepLines/>
              <w:widowControl w:val="0"/>
              <w:shd w:val="clear" w:color="auto" w:fill="FFFFFF" w:themeFill="background1"/>
              <w:spacing w:line="276" w:lineRule="auto"/>
              <w:rPr>
                <w:rFonts w:eastAsia="Times New Roman"/>
                <w:bCs/>
                <w:color w:val="auto"/>
                <w:szCs w:val="24"/>
              </w:rPr>
            </w:pPr>
            <w:r w:rsidRPr="00002D92">
              <w:rPr>
                <w:color w:val="auto"/>
              </w:rPr>
              <w:t>PUBLIC REVENUES</w:t>
            </w:r>
          </w:p>
        </w:tc>
        <w:tc>
          <w:tcPr>
            <w:tcW w:w="759" w:type="pct"/>
            <w:tcBorders>
              <w:top w:val="single" w:sz="4" w:space="0" w:color="auto"/>
            </w:tcBorders>
            <w:shd w:val="clear" w:color="auto" w:fill="auto"/>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40</w:t>
            </w:r>
            <w:r w:rsidR="00124621" w:rsidRPr="00002D92">
              <w:rPr>
                <w:color w:val="auto"/>
              </w:rPr>
              <w:t>.</w:t>
            </w:r>
            <w:r w:rsidRPr="00002D92">
              <w:rPr>
                <w:color w:val="auto"/>
              </w:rPr>
              <w:t>4</w:t>
            </w:r>
          </w:p>
        </w:tc>
        <w:tc>
          <w:tcPr>
            <w:tcW w:w="643" w:type="pct"/>
            <w:tcBorders>
              <w:top w:val="single" w:sz="4" w:space="0" w:color="auto"/>
            </w:tcBorders>
            <w:shd w:val="clear" w:color="auto" w:fill="auto"/>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40</w:t>
            </w:r>
            <w:r w:rsidR="00124621" w:rsidRPr="00002D92">
              <w:rPr>
                <w:color w:val="auto"/>
              </w:rPr>
              <w:t>.</w:t>
            </w:r>
            <w:r w:rsidRPr="00002D92">
              <w:rPr>
                <w:color w:val="auto"/>
              </w:rPr>
              <w:t>9</w:t>
            </w:r>
          </w:p>
        </w:tc>
        <w:tc>
          <w:tcPr>
            <w:tcW w:w="533" w:type="pct"/>
            <w:tcBorders>
              <w:top w:val="single" w:sz="4" w:space="0" w:color="auto"/>
            </w:tcBorders>
            <w:shd w:val="clear" w:color="auto" w:fill="auto"/>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40</w:t>
            </w:r>
            <w:r w:rsidR="00124621" w:rsidRPr="00002D92">
              <w:rPr>
                <w:color w:val="auto"/>
              </w:rPr>
              <w:t>.</w:t>
            </w:r>
            <w:r w:rsidRPr="00002D92">
              <w:rPr>
                <w:color w:val="auto"/>
              </w:rPr>
              <w:t>9</w:t>
            </w:r>
          </w:p>
        </w:tc>
        <w:tc>
          <w:tcPr>
            <w:tcW w:w="535" w:type="pct"/>
            <w:tcBorders>
              <w:top w:val="single" w:sz="4" w:space="0" w:color="auto"/>
            </w:tcBorders>
            <w:shd w:val="clear" w:color="auto" w:fill="auto"/>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40</w:t>
            </w:r>
            <w:r w:rsidR="00124621" w:rsidRPr="00002D92">
              <w:rPr>
                <w:color w:val="auto"/>
              </w:rPr>
              <w:t>.</w:t>
            </w:r>
            <w:r w:rsidRPr="00002D92">
              <w:rPr>
                <w:color w:val="auto"/>
              </w:rPr>
              <w:t>1</w:t>
            </w:r>
          </w:p>
        </w:tc>
        <w:tc>
          <w:tcPr>
            <w:tcW w:w="535" w:type="pct"/>
            <w:tcBorders>
              <w:top w:val="single" w:sz="4" w:space="0" w:color="auto"/>
            </w:tcBorders>
            <w:shd w:val="clear" w:color="auto" w:fill="auto"/>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40</w:t>
            </w:r>
            <w:r w:rsidR="00124621" w:rsidRPr="00002D92">
              <w:rPr>
                <w:color w:val="auto"/>
              </w:rPr>
              <w:t>.</w:t>
            </w:r>
            <w:r w:rsidRPr="00002D92">
              <w:rPr>
                <w:color w:val="auto"/>
              </w:rPr>
              <w:t>0</w:t>
            </w:r>
          </w:p>
        </w:tc>
      </w:tr>
      <w:tr w:rsidR="0007331F" w:rsidRPr="00002D92" w:rsidTr="00EA7C4B">
        <w:trPr>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rPr>
                <w:rFonts w:eastAsia="Times New Roman"/>
                <w:bCs/>
                <w:color w:val="auto"/>
                <w:szCs w:val="24"/>
              </w:rPr>
            </w:pPr>
            <w:r w:rsidRPr="00002D92">
              <w:rPr>
                <w:color w:val="auto"/>
              </w:rPr>
              <w:t>Current revenues</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40</w:t>
            </w:r>
            <w:r w:rsidR="00124621" w:rsidRPr="00002D92">
              <w:rPr>
                <w:color w:val="auto"/>
              </w:rPr>
              <w:t>.</w:t>
            </w:r>
            <w:r w:rsidRPr="00002D92">
              <w:rPr>
                <w:color w:val="auto"/>
              </w:rPr>
              <w:t>2</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40</w:t>
            </w:r>
            <w:r w:rsidR="00124621" w:rsidRPr="00002D92">
              <w:rPr>
                <w:color w:val="auto"/>
              </w:rPr>
              <w:t>.</w:t>
            </w:r>
            <w:r w:rsidRPr="00002D92">
              <w:rPr>
                <w:color w:val="auto"/>
              </w:rPr>
              <w:t>5</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40</w:t>
            </w:r>
            <w:r w:rsidR="00124621" w:rsidRPr="00002D92">
              <w:rPr>
                <w:color w:val="auto"/>
              </w:rPr>
              <w:t>.</w:t>
            </w:r>
            <w:r w:rsidRPr="00002D92">
              <w:rPr>
                <w:color w:val="auto"/>
              </w:rPr>
              <w:t>6</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39</w:t>
            </w:r>
            <w:r w:rsidR="00124621" w:rsidRPr="00002D92">
              <w:rPr>
                <w:color w:val="auto"/>
              </w:rPr>
              <w:t>.</w:t>
            </w:r>
            <w:r w:rsidRPr="00002D92">
              <w:rPr>
                <w:color w:val="auto"/>
              </w:rPr>
              <w:t>8</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39</w:t>
            </w:r>
            <w:r w:rsidR="00124621" w:rsidRPr="00002D92">
              <w:rPr>
                <w:color w:val="auto"/>
              </w:rPr>
              <w:t>.</w:t>
            </w:r>
            <w:r w:rsidRPr="00002D92">
              <w:rPr>
                <w:color w:val="auto"/>
              </w:rPr>
              <w:t>7</w:t>
            </w:r>
          </w:p>
        </w:tc>
      </w:tr>
      <w:tr w:rsidR="0007331F" w:rsidRPr="00002D92" w:rsidTr="00EA7C4B">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rPr>
                <w:rFonts w:eastAsia="Times New Roman"/>
                <w:bCs/>
                <w:color w:val="auto"/>
                <w:szCs w:val="24"/>
              </w:rPr>
            </w:pPr>
            <w:r w:rsidRPr="00002D92">
              <w:rPr>
                <w:color w:val="auto"/>
              </w:rPr>
              <w:t xml:space="preserve"> Tax revenues</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35</w:t>
            </w:r>
            <w:r w:rsidR="00124621" w:rsidRPr="00002D92">
              <w:rPr>
                <w:color w:val="auto"/>
              </w:rPr>
              <w:t>.</w:t>
            </w:r>
            <w:r w:rsidRPr="00002D92">
              <w:rPr>
                <w:color w:val="auto"/>
              </w:rPr>
              <w:t>9</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36</w:t>
            </w:r>
            <w:r w:rsidR="00124621" w:rsidRPr="00002D92">
              <w:rPr>
                <w:color w:val="auto"/>
              </w:rPr>
              <w:t>.</w:t>
            </w:r>
            <w:r w:rsidRPr="00002D92">
              <w:rPr>
                <w:color w:val="auto"/>
              </w:rPr>
              <w:t>1</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36</w:t>
            </w:r>
            <w:r w:rsidR="00124621" w:rsidRPr="00002D92">
              <w:rPr>
                <w:color w:val="auto"/>
              </w:rPr>
              <w:t>.</w:t>
            </w:r>
            <w:r w:rsidRPr="00002D92">
              <w:rPr>
                <w:color w:val="auto"/>
              </w:rPr>
              <w:t>5</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36</w:t>
            </w:r>
            <w:r w:rsidR="00124621" w:rsidRPr="00002D92">
              <w:rPr>
                <w:color w:val="auto"/>
              </w:rPr>
              <w:t>.</w:t>
            </w:r>
            <w:r w:rsidRPr="00002D92">
              <w:rPr>
                <w:color w:val="auto"/>
              </w:rPr>
              <w:t>1</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36</w:t>
            </w:r>
            <w:r w:rsidR="00124621" w:rsidRPr="00002D92">
              <w:rPr>
                <w:color w:val="auto"/>
              </w:rPr>
              <w:t>.</w:t>
            </w:r>
            <w:r w:rsidRPr="00002D92">
              <w:rPr>
                <w:color w:val="auto"/>
              </w:rPr>
              <w:t>1</w:t>
            </w:r>
          </w:p>
        </w:tc>
      </w:tr>
      <w:tr w:rsidR="0007331F" w:rsidRPr="00002D92" w:rsidTr="00EA7C4B">
        <w:trPr>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ind w:left="284"/>
              <w:rPr>
                <w:rFonts w:eastAsia="Times New Roman"/>
                <w:bCs/>
                <w:color w:val="auto"/>
                <w:szCs w:val="24"/>
              </w:rPr>
            </w:pPr>
            <w:r w:rsidRPr="00002D92">
              <w:rPr>
                <w:color w:val="auto"/>
              </w:rPr>
              <w:t>Personal income tax</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1</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2</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2</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2</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3</w:t>
            </w:r>
          </w:p>
        </w:tc>
      </w:tr>
      <w:tr w:rsidR="0007331F" w:rsidRPr="00002D92" w:rsidTr="00EA7C4B">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ind w:left="284"/>
              <w:rPr>
                <w:rFonts w:eastAsia="Times New Roman"/>
                <w:bCs/>
                <w:color w:val="auto"/>
                <w:szCs w:val="24"/>
              </w:rPr>
            </w:pPr>
            <w:r w:rsidRPr="00002D92">
              <w:rPr>
                <w:color w:val="auto"/>
              </w:rPr>
              <w:t>Corporate income tax</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w:t>
            </w:r>
            <w:r w:rsidR="00124621" w:rsidRPr="00002D92">
              <w:rPr>
                <w:color w:val="auto"/>
              </w:rPr>
              <w:t>.</w:t>
            </w:r>
            <w:r w:rsidRPr="00002D92">
              <w:rPr>
                <w:color w:val="auto"/>
              </w:rPr>
              <w:t>0</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8</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7</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6</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6</w:t>
            </w:r>
          </w:p>
        </w:tc>
      </w:tr>
      <w:tr w:rsidR="0007331F" w:rsidRPr="00002D92" w:rsidTr="00EA7C4B">
        <w:trPr>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ind w:left="284"/>
              <w:rPr>
                <w:rFonts w:eastAsia="Times New Roman"/>
                <w:bCs/>
                <w:color w:val="auto"/>
                <w:szCs w:val="24"/>
              </w:rPr>
            </w:pPr>
            <w:r w:rsidRPr="00002D92">
              <w:rPr>
                <w:color w:val="auto"/>
              </w:rPr>
              <w:t>Value added tax (VAT)</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9</w:t>
            </w:r>
            <w:r w:rsidR="00124621" w:rsidRPr="00002D92">
              <w:rPr>
                <w:color w:val="auto"/>
              </w:rPr>
              <w:t>.</w:t>
            </w:r>
            <w:r w:rsidRPr="00002D92">
              <w:rPr>
                <w:color w:val="auto"/>
              </w:rPr>
              <w:t>8</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9</w:t>
            </w:r>
            <w:r w:rsidR="00124621" w:rsidRPr="00002D92">
              <w:rPr>
                <w:color w:val="auto"/>
              </w:rPr>
              <w:t>.</w:t>
            </w:r>
            <w:r w:rsidRPr="00002D92">
              <w:rPr>
                <w:color w:val="auto"/>
              </w:rPr>
              <w:t>7</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9</w:t>
            </w:r>
            <w:r w:rsidR="00124621" w:rsidRPr="00002D92">
              <w:rPr>
                <w:color w:val="auto"/>
              </w:rPr>
              <w:t>.</w:t>
            </w:r>
            <w:r w:rsidRPr="00002D92">
              <w:rPr>
                <w:color w:val="auto"/>
              </w:rPr>
              <w:t>8</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9</w:t>
            </w:r>
            <w:r w:rsidR="00124621" w:rsidRPr="00002D92">
              <w:rPr>
                <w:color w:val="auto"/>
              </w:rPr>
              <w:t>.</w:t>
            </w:r>
            <w:r w:rsidRPr="00002D92">
              <w:rPr>
                <w:color w:val="auto"/>
              </w:rPr>
              <w:t>7</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9</w:t>
            </w:r>
            <w:r w:rsidR="00124621" w:rsidRPr="00002D92">
              <w:rPr>
                <w:color w:val="auto"/>
              </w:rPr>
              <w:t>.</w:t>
            </w:r>
            <w:r w:rsidRPr="00002D92">
              <w:rPr>
                <w:color w:val="auto"/>
              </w:rPr>
              <w:t>7</w:t>
            </w:r>
          </w:p>
        </w:tc>
      </w:tr>
      <w:tr w:rsidR="0007331F" w:rsidRPr="00002D92" w:rsidTr="00EA7C4B">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ind w:left="284"/>
              <w:rPr>
                <w:rFonts w:eastAsia="Times New Roman"/>
                <w:bCs/>
                <w:color w:val="auto"/>
                <w:szCs w:val="24"/>
              </w:rPr>
            </w:pPr>
            <w:r w:rsidRPr="00002D92">
              <w:rPr>
                <w:color w:val="auto"/>
              </w:rPr>
              <w:t>Excises</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3</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2</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1</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w:t>
            </w:r>
            <w:r w:rsidR="00124621" w:rsidRPr="00002D92">
              <w:rPr>
                <w:color w:val="auto"/>
              </w:rPr>
              <w:t>.</w:t>
            </w:r>
            <w:r w:rsidRPr="00002D92">
              <w:rPr>
                <w:color w:val="auto"/>
              </w:rPr>
              <w:t>9</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w:t>
            </w:r>
            <w:r w:rsidR="00124621" w:rsidRPr="00002D92">
              <w:rPr>
                <w:color w:val="auto"/>
              </w:rPr>
              <w:t>.</w:t>
            </w:r>
            <w:r w:rsidRPr="00002D92">
              <w:rPr>
                <w:color w:val="auto"/>
              </w:rPr>
              <w:t>7</w:t>
            </w:r>
          </w:p>
        </w:tc>
      </w:tr>
      <w:tr w:rsidR="0007331F" w:rsidRPr="00002D92" w:rsidTr="00EA7C4B">
        <w:trPr>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ind w:left="284"/>
              <w:rPr>
                <w:rFonts w:eastAsia="Times New Roman"/>
                <w:bCs/>
                <w:color w:val="auto"/>
                <w:szCs w:val="24"/>
              </w:rPr>
            </w:pPr>
            <w:r w:rsidRPr="00002D92">
              <w:rPr>
                <w:color w:val="auto"/>
              </w:rPr>
              <w:t>Customs</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9</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9</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9</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9</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9</w:t>
            </w:r>
          </w:p>
        </w:tc>
      </w:tr>
      <w:tr w:rsidR="0007331F" w:rsidRPr="00002D92" w:rsidTr="00EA7C4B">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ind w:left="284"/>
              <w:rPr>
                <w:rFonts w:eastAsia="Times New Roman"/>
                <w:bCs/>
                <w:color w:val="auto"/>
                <w:szCs w:val="24"/>
              </w:rPr>
            </w:pPr>
            <w:r w:rsidRPr="00002D92">
              <w:rPr>
                <w:color w:val="auto"/>
              </w:rPr>
              <w:lastRenderedPageBreak/>
              <w:t>Other tax revenues</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2</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2</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2</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1</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1</w:t>
            </w:r>
          </w:p>
        </w:tc>
      </w:tr>
      <w:tr w:rsidR="0007331F" w:rsidRPr="00002D92" w:rsidTr="00EA7C4B">
        <w:trPr>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ind w:left="284"/>
              <w:rPr>
                <w:rFonts w:eastAsia="Times New Roman"/>
                <w:bCs/>
                <w:color w:val="auto"/>
                <w:szCs w:val="24"/>
              </w:rPr>
            </w:pPr>
            <w:r w:rsidRPr="00002D92">
              <w:rPr>
                <w:rFonts w:eastAsia="Times New Roman"/>
                <w:bCs/>
                <w:color w:val="auto"/>
                <w:szCs w:val="24"/>
              </w:rPr>
              <w:t>Social security contributions</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12</w:t>
            </w:r>
            <w:r w:rsidR="00124621" w:rsidRPr="00002D92">
              <w:rPr>
                <w:color w:val="auto"/>
              </w:rPr>
              <w:t>.</w:t>
            </w:r>
            <w:r w:rsidRPr="00002D92">
              <w:rPr>
                <w:color w:val="auto"/>
              </w:rPr>
              <w:t>6</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13</w:t>
            </w:r>
            <w:r w:rsidR="00124621" w:rsidRPr="00002D92">
              <w:rPr>
                <w:color w:val="auto"/>
              </w:rPr>
              <w:t>.</w:t>
            </w:r>
            <w:r w:rsidRPr="00002D92">
              <w:rPr>
                <w:color w:val="auto"/>
              </w:rPr>
              <w:t>2</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13</w:t>
            </w:r>
            <w:r w:rsidR="00124621" w:rsidRPr="00002D92">
              <w:rPr>
                <w:color w:val="auto"/>
              </w:rPr>
              <w:t>.</w:t>
            </w:r>
            <w:r w:rsidRPr="00002D92">
              <w:rPr>
                <w:color w:val="auto"/>
              </w:rPr>
              <w:t>6</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13</w:t>
            </w:r>
            <w:r w:rsidR="00124621" w:rsidRPr="00002D92">
              <w:rPr>
                <w:color w:val="auto"/>
              </w:rPr>
              <w:t>.</w:t>
            </w:r>
            <w:r w:rsidRPr="00002D92">
              <w:rPr>
                <w:color w:val="auto"/>
              </w:rPr>
              <w:t>7</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13</w:t>
            </w:r>
            <w:r w:rsidR="00124621" w:rsidRPr="00002D92">
              <w:rPr>
                <w:color w:val="auto"/>
              </w:rPr>
              <w:t>.</w:t>
            </w:r>
            <w:r w:rsidRPr="00002D92">
              <w:rPr>
                <w:color w:val="auto"/>
              </w:rPr>
              <w:t>9</w:t>
            </w:r>
          </w:p>
        </w:tc>
      </w:tr>
      <w:tr w:rsidR="0007331F" w:rsidRPr="00002D92" w:rsidTr="00EA7C4B">
        <w:trPr>
          <w:cnfStyle w:val="000000100000" w:firstRow="0" w:lastRow="0" w:firstColumn="0" w:lastColumn="0" w:oddVBand="0" w:evenVBand="0" w:oddHBand="1" w:evenHBand="0" w:firstRowFirstColumn="0" w:firstRowLastColumn="0" w:lastRowFirstColumn="0" w:lastRowLastColumn="0"/>
          <w:trHeight w:hRule="exact" w:val="284"/>
        </w:trPr>
        <w:tc>
          <w:tcPr>
            <w:tcW w:w="1995" w:type="pct"/>
            <w:shd w:val="clear" w:color="auto" w:fill="FFFFFF" w:themeFill="background1"/>
          </w:tcPr>
          <w:p w:rsidR="0007331F" w:rsidRPr="00002D92" w:rsidRDefault="0007331F" w:rsidP="0007331F">
            <w:pPr>
              <w:keepLines/>
              <w:widowControl w:val="0"/>
              <w:shd w:val="clear" w:color="auto" w:fill="FFFFFF" w:themeFill="background1"/>
              <w:spacing w:line="276" w:lineRule="auto"/>
              <w:rPr>
                <w:rFonts w:eastAsia="Times New Roman"/>
                <w:bCs/>
                <w:color w:val="auto"/>
                <w:szCs w:val="24"/>
              </w:rPr>
            </w:pPr>
            <w:r w:rsidRPr="00002D92">
              <w:rPr>
                <w:color w:val="auto"/>
              </w:rPr>
              <w:t xml:space="preserve"> Non-tax revenues</w:t>
            </w:r>
          </w:p>
        </w:tc>
        <w:tc>
          <w:tcPr>
            <w:tcW w:w="759"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3</w:t>
            </w:r>
          </w:p>
        </w:tc>
        <w:tc>
          <w:tcPr>
            <w:tcW w:w="64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4</w:t>
            </w:r>
          </w:p>
        </w:tc>
        <w:tc>
          <w:tcPr>
            <w:tcW w:w="53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w:t>
            </w:r>
            <w:r w:rsidR="00124621" w:rsidRPr="00002D92">
              <w:rPr>
                <w:color w:val="auto"/>
              </w:rPr>
              <w:t>.</w:t>
            </w:r>
            <w:r w:rsidRPr="00002D92">
              <w:rPr>
                <w:color w:val="auto"/>
              </w:rPr>
              <w:t>1</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w:t>
            </w:r>
            <w:r w:rsidR="00124621" w:rsidRPr="00002D92">
              <w:rPr>
                <w:color w:val="auto"/>
              </w:rPr>
              <w:t>.</w:t>
            </w:r>
            <w:r w:rsidRPr="00002D92">
              <w:rPr>
                <w:color w:val="auto"/>
              </w:rPr>
              <w:t>7</w:t>
            </w:r>
          </w:p>
        </w:tc>
        <w:tc>
          <w:tcPr>
            <w:tcW w:w="535"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w:t>
            </w:r>
            <w:r w:rsidR="00124621" w:rsidRPr="00002D92">
              <w:rPr>
                <w:color w:val="auto"/>
              </w:rPr>
              <w:t>.</w:t>
            </w:r>
            <w:r w:rsidRPr="00002D92">
              <w:rPr>
                <w:color w:val="auto"/>
              </w:rPr>
              <w:t>6</w:t>
            </w:r>
          </w:p>
        </w:tc>
      </w:tr>
      <w:tr w:rsidR="0007331F" w:rsidRPr="00002D92" w:rsidTr="00EA7C4B">
        <w:trPr>
          <w:trHeight w:hRule="exact" w:val="284"/>
        </w:trPr>
        <w:tc>
          <w:tcPr>
            <w:tcW w:w="1995" w:type="pct"/>
            <w:tcBorders>
              <w:bottom w:val="single" w:sz="4" w:space="0" w:color="auto"/>
            </w:tcBorders>
            <w:shd w:val="clear" w:color="auto" w:fill="FFFFFF" w:themeFill="background1"/>
          </w:tcPr>
          <w:p w:rsidR="0007331F" w:rsidRPr="00002D92" w:rsidRDefault="0007331F" w:rsidP="0007331F">
            <w:pPr>
              <w:keepLines/>
              <w:widowControl w:val="0"/>
              <w:shd w:val="clear" w:color="auto" w:fill="FFFFFF" w:themeFill="background1"/>
              <w:spacing w:line="276" w:lineRule="auto"/>
              <w:rPr>
                <w:rFonts w:eastAsia="Times New Roman"/>
                <w:bCs/>
                <w:color w:val="auto"/>
                <w:szCs w:val="24"/>
              </w:rPr>
            </w:pPr>
            <w:r w:rsidRPr="00002D92">
              <w:rPr>
                <w:color w:val="auto"/>
              </w:rPr>
              <w:t>Donations</w:t>
            </w:r>
          </w:p>
        </w:tc>
        <w:tc>
          <w:tcPr>
            <w:tcW w:w="759" w:type="pct"/>
            <w:tcBorders>
              <w:bottom w:val="single" w:sz="4" w:space="0" w:color="auto"/>
            </w:tcBorders>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2</w:t>
            </w:r>
          </w:p>
        </w:tc>
        <w:tc>
          <w:tcPr>
            <w:tcW w:w="643" w:type="pct"/>
            <w:tcBorders>
              <w:bottom w:val="single" w:sz="4" w:space="0" w:color="auto"/>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4</w:t>
            </w:r>
          </w:p>
        </w:tc>
        <w:tc>
          <w:tcPr>
            <w:tcW w:w="533" w:type="pct"/>
            <w:tcBorders>
              <w:bottom w:val="single" w:sz="4" w:space="0" w:color="auto"/>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3</w:t>
            </w:r>
          </w:p>
        </w:tc>
        <w:tc>
          <w:tcPr>
            <w:tcW w:w="535" w:type="pct"/>
            <w:tcBorders>
              <w:bottom w:val="single" w:sz="4" w:space="0" w:color="auto"/>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3</w:t>
            </w:r>
          </w:p>
        </w:tc>
        <w:tc>
          <w:tcPr>
            <w:tcW w:w="535" w:type="pct"/>
            <w:tcBorders>
              <w:bottom w:val="single" w:sz="4" w:space="0" w:color="auto"/>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3</w:t>
            </w:r>
          </w:p>
        </w:tc>
      </w:tr>
    </w:tbl>
    <w:p w:rsidR="0007331F" w:rsidRPr="00002D92" w:rsidRDefault="0007331F" w:rsidP="005918D2">
      <w:pPr>
        <w:rPr>
          <w:rFonts w:cs="Times New Roman"/>
          <w:bCs/>
          <w:sz w:val="22"/>
          <w:szCs w:val="24"/>
          <w:lang w:val="sr-Cyrl-RS" w:eastAsia="ja-JP"/>
        </w:rPr>
      </w:pPr>
      <w:r w:rsidRPr="00002D92">
        <w:rPr>
          <w:rFonts w:cs="Times New Roman"/>
          <w:bCs/>
          <w:sz w:val="22"/>
          <w:szCs w:val="24"/>
          <w:lang w:val="sr-Cyrl-RS" w:eastAsia="ja-JP"/>
        </w:rPr>
        <w:t>Source: Мinistry of Finance</w:t>
      </w:r>
    </w:p>
    <w:p w:rsidR="0007331F" w:rsidRPr="00002D92" w:rsidRDefault="0007331F" w:rsidP="0007331F">
      <w:pPr>
        <w:rPr>
          <w:rFonts w:cs="Times New Roman"/>
          <w:sz w:val="22"/>
          <w:szCs w:val="24"/>
          <w:lang w:eastAsia="ja-JP"/>
        </w:rPr>
      </w:pPr>
      <w:r w:rsidRPr="00002D92">
        <w:rPr>
          <w:rFonts w:eastAsia="MS PGothic" w:cs="Times New Roman"/>
          <w:szCs w:val="24"/>
          <w:lang w:val="sr-Cyrl-RS" w:eastAsia="ja-JP"/>
        </w:rPr>
        <w:t>The economic environment, both external and domestic, throughout 2025 and the projections for 2026, is characterized by pronounced uncertainty and heightened risks. In addition to general macroeconomic developments, specific issues at the level of individual enterprises or industries may also affect economic activity and fiscal aggregates. Uncertainty regarding the supply of energy products and restrictions on steel exports to the European Union market represent potential sources of shocks for the economy. Given these unpredictable circumstances, medium-term fiscal projections have been formulated conservatively, thereby ensuring sufficient</w:t>
      </w:r>
      <w:r w:rsidRPr="00002D92">
        <w:rPr>
          <w:rFonts w:eastAsia="MS PGothic" w:cs="Times New Roman"/>
          <w:szCs w:val="24"/>
          <w:lang w:eastAsia="ja-JP"/>
        </w:rPr>
        <w:t xml:space="preserve"> flexibility</w:t>
      </w:r>
      <w:r w:rsidRPr="00002D92">
        <w:rPr>
          <w:rFonts w:eastAsia="MS PGothic" w:cs="Times New Roman"/>
          <w:szCs w:val="24"/>
          <w:lang w:val="sr-Cyrl-RS" w:eastAsia="ja-JP"/>
        </w:rPr>
        <w:t xml:space="preserve"> for manoeuvre for economic policy action in the event that risks materialize.</w:t>
      </w:r>
    </w:p>
    <w:p w:rsidR="0007331F" w:rsidRPr="00002D92" w:rsidRDefault="0007331F" w:rsidP="0007331F">
      <w:pPr>
        <w:spacing w:after="0"/>
        <w:rPr>
          <w:rFonts w:eastAsia="MS PGothic" w:cs="Times New Roman"/>
          <w:szCs w:val="24"/>
          <w:lang w:val="sr-Cyrl-RS" w:eastAsia="ja-JP"/>
        </w:rPr>
      </w:pPr>
      <w:r w:rsidRPr="00002D92">
        <w:rPr>
          <w:rFonts w:eastAsia="MS PGothic" w:cs="Times New Roman"/>
          <w:szCs w:val="24"/>
          <w:lang w:val="sr-Cyrl-RS" w:eastAsia="ja-JP"/>
        </w:rPr>
        <w:t>Public revenues – structure, dynamics, and determinants.</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The declining trend in total public revenues, expressed as a share of GDP, represents an expected consequence of the projected structure of Serbia’s medium-term economic growth, which is dominated by sectors with lower fiscal multipliers. The revenue projection is based on the assumption of maintaining the current level of tax collection efficiency.</w:t>
      </w:r>
    </w:p>
    <w:p w:rsidR="0007331F" w:rsidRPr="00002D92" w:rsidRDefault="0007331F" w:rsidP="0007331F">
      <w:pPr>
        <w:spacing w:after="0"/>
        <w:rPr>
          <w:rFonts w:eastAsia="MS PGothic" w:cs="Times New Roman"/>
          <w:szCs w:val="24"/>
          <w:lang w:eastAsia="ja-JP"/>
        </w:rPr>
      </w:pPr>
      <w:r w:rsidRPr="00002D92">
        <w:rPr>
          <w:rFonts w:eastAsia="MS PGothic" w:cs="Times New Roman"/>
          <w:szCs w:val="24"/>
          <w:lang w:val="sr-Cyrl-RS" w:eastAsia="ja-JP"/>
        </w:rPr>
        <w:t>Personal income taxes.</w:t>
      </w:r>
      <w:r w:rsidRPr="00002D92">
        <w:rPr>
          <w:rFonts w:eastAsia="MS PGothic" w:cs="Times New Roman"/>
          <w:szCs w:val="24"/>
          <w:lang w:eastAsia="ja-JP"/>
        </w:rPr>
        <w:t xml:space="preserve"> </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The prevailing form of personal income taxation in the Republic of Serbia is the tax on wages; therefore, developments in the wage bill and employment are the key factors determining its dynamics. It is expected that, after 2027, the share of the wage tax in GDP will slightly increase as a result of higher employment and real wages, along with the impact of changes in the non-taxable threshold. In 2026, an increase of 20.4% in the non-taxable threshold is envisaged, with the aim of further reducing the tax burden on labour. The fiscal effect of this measure is estimated as a revenue reduction of RSD 24.5 billion, of which RSD 17 billion relates to the tax on wages and RSD 7.5 billion to compulsory social security contributions, due to the reduction of the assessment base.</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Other forms of personal income taxation – such as the tax on dividends, tax on interest income, and the annual personal income tax – are expected to grow at a moderate pace, in line with overall economic activity. The combined dynamics of the wage tax and other forms of personal income taxation indicate a stable share of these revenues in GDP throughout the entire period, with a slight increase after 2027.</w:t>
      </w:r>
    </w:p>
    <w:p w:rsidR="0007331F" w:rsidRPr="00002D92" w:rsidRDefault="0007331F" w:rsidP="0007331F">
      <w:pPr>
        <w:spacing w:after="0"/>
        <w:rPr>
          <w:rFonts w:eastAsia="MS PGothic" w:cs="Times New Roman"/>
          <w:szCs w:val="24"/>
          <w:lang w:val="sr-Cyrl-RS" w:eastAsia="ja-JP"/>
        </w:rPr>
      </w:pPr>
      <w:r w:rsidRPr="00002D92">
        <w:rPr>
          <w:rFonts w:eastAsia="MS PGothic" w:cs="Times New Roman"/>
          <w:szCs w:val="24"/>
          <w:lang w:val="sr-Cyrl-RS" w:eastAsia="ja-JP"/>
        </w:rPr>
        <w:t>Social security contributions.</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The movement of social security contributions as a share of GDP follows the trajectory of the wage tax, as it is based on the same assumptions regarding wage and employment growth. However, the increase in the non-taxable threshold has a smaller impact on contributions than on the wage tax. In line with the expected growth of the wage bill, social security contributions will also record a slight increase in their share of GDP in the coming period.</w:t>
      </w:r>
    </w:p>
    <w:p w:rsidR="0007331F" w:rsidRPr="00002D92" w:rsidRDefault="0007331F" w:rsidP="0007331F">
      <w:pPr>
        <w:spacing w:after="0"/>
        <w:rPr>
          <w:rFonts w:eastAsia="MS PGothic" w:cs="Times New Roman"/>
          <w:szCs w:val="24"/>
          <w:lang w:eastAsia="ja-JP"/>
        </w:rPr>
      </w:pPr>
      <w:r w:rsidRPr="00002D92">
        <w:rPr>
          <w:rFonts w:eastAsia="MS PGothic" w:cs="Times New Roman"/>
          <w:szCs w:val="24"/>
          <w:lang w:val="sr-Cyrl-RS" w:eastAsia="ja-JP"/>
        </w:rPr>
        <w:t>Corporate income tax.</w:t>
      </w:r>
      <w:r w:rsidRPr="00002D92">
        <w:rPr>
          <w:rFonts w:eastAsia="MS PGothic" w:cs="Times New Roman"/>
          <w:szCs w:val="24"/>
          <w:lang w:eastAsia="ja-JP"/>
        </w:rPr>
        <w:t xml:space="preserve"> </w:t>
      </w:r>
    </w:p>
    <w:p w:rsidR="0007331F" w:rsidRDefault="0007331F" w:rsidP="0007331F">
      <w:pPr>
        <w:spacing w:after="0"/>
        <w:rPr>
          <w:rFonts w:eastAsia="MS PGothic" w:cs="Times New Roman"/>
          <w:szCs w:val="24"/>
          <w:lang w:val="sr-Cyrl-RS" w:eastAsia="ja-JP"/>
        </w:rPr>
      </w:pPr>
      <w:r w:rsidRPr="00002D92">
        <w:rPr>
          <w:rFonts w:eastAsia="MS PGothic" w:cs="Times New Roman"/>
          <w:szCs w:val="24"/>
          <w:lang w:val="sr-Cyrl-RS" w:eastAsia="ja-JP"/>
        </w:rPr>
        <w:t xml:space="preserve">Revenues from corporate income tax in the 2026–2028 period are projected in accordance with the forecast of key macroeconomic indicators, primarily the dynamics of economic growth, which determines the profitability of the corporate sector. Revenue projections under this category carry a certain degree of uncertainty due to the potential use of tax credits, refunds, </w:t>
      </w:r>
      <w:r w:rsidRPr="00002D92">
        <w:rPr>
          <w:rFonts w:eastAsia="MS PGothic" w:cs="Times New Roman"/>
          <w:szCs w:val="24"/>
          <w:lang w:val="sr-Cyrl-RS" w:eastAsia="ja-JP"/>
        </w:rPr>
        <w:lastRenderedPageBreak/>
        <w:t>and differences between accounting and tax balance sheets. Revenue collection is expected to stabilize by 2028, in line with GDP growth.</w:t>
      </w:r>
    </w:p>
    <w:p w:rsidR="00796BB7" w:rsidRPr="00002D92" w:rsidRDefault="00796BB7" w:rsidP="0007331F">
      <w:pPr>
        <w:spacing w:after="0"/>
        <w:rPr>
          <w:rFonts w:eastAsia="MS PGothic" w:cs="Times New Roman"/>
          <w:szCs w:val="24"/>
          <w:lang w:val="sr-Cyrl-RS" w:eastAsia="ja-JP"/>
        </w:rPr>
      </w:pPr>
    </w:p>
    <w:p w:rsidR="0007331F" w:rsidRPr="00002D92" w:rsidRDefault="0007331F" w:rsidP="0007331F">
      <w:pPr>
        <w:spacing w:after="0"/>
        <w:rPr>
          <w:rFonts w:eastAsia="MS PGothic" w:cs="Times New Roman"/>
          <w:szCs w:val="24"/>
          <w:lang w:val="sr-Cyrl-RS" w:eastAsia="ja-JP"/>
        </w:rPr>
      </w:pPr>
      <w:r w:rsidRPr="00002D92">
        <w:rPr>
          <w:rFonts w:eastAsia="MS PGothic" w:cs="Times New Roman"/>
          <w:szCs w:val="24"/>
          <w:lang w:val="sr-Cyrl-RS" w:eastAsia="ja-JP"/>
        </w:rPr>
        <w:t>Value added tax.</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The main determinant of VAT developments is domestic demand driven by households’ disposable income. Disposable income depends on movements in wages, pensions, social transfers, remittances, and bank lending activity to households. Risks to the VAT projection stem from potential fluctuations in private-sector wage growth, consumption dynamics, and the effectiveness of measures aimed at reducing the shadow economy.</w:t>
      </w:r>
      <w:r w:rsidRPr="00002D92">
        <w:rPr>
          <w:rFonts w:eastAsia="MS PGothic" w:cs="Times New Roman"/>
          <w:szCs w:val="24"/>
          <w:lang w:eastAsia="ja-JP"/>
        </w:rPr>
        <w:t xml:space="preserve"> </w:t>
      </w:r>
      <w:r w:rsidRPr="00002D92">
        <w:rPr>
          <w:rFonts w:eastAsia="MS PGothic" w:cs="Times New Roman"/>
          <w:szCs w:val="24"/>
          <w:lang w:val="sr-Cyrl-RS" w:eastAsia="ja-JP"/>
        </w:rPr>
        <w:t>Although VAT collection has been below expectations in the current year, partly due to increased household savings, a recovery and stabilization of collection is expected in the coming period, with a slight increase in its share of GDP in 2026.</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Improvements in collection efficiency will be supported by the continued modernization of the tax administration – through the digitalization of processes, integration of records, and enhancement of risk analysis. The effects of combating the shadow economy are not explicitly included in the medium-term revenue projections, but they represent an upside risk for fiscal performance.</w:t>
      </w:r>
    </w:p>
    <w:p w:rsidR="0007331F" w:rsidRPr="00002D92" w:rsidRDefault="0007331F" w:rsidP="0007331F">
      <w:pPr>
        <w:spacing w:after="0"/>
        <w:rPr>
          <w:rFonts w:eastAsia="MS PGothic" w:cs="Times New Roman"/>
          <w:szCs w:val="24"/>
          <w:lang w:val="sr-Cyrl-RS" w:eastAsia="ja-JP"/>
        </w:rPr>
      </w:pPr>
      <w:r w:rsidRPr="00002D92">
        <w:rPr>
          <w:rFonts w:eastAsia="MS PGothic" w:cs="Times New Roman"/>
          <w:szCs w:val="24"/>
          <w:lang w:val="sr-Cyrl-RS" w:eastAsia="ja-JP"/>
        </w:rPr>
        <w:t>Excises.</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The projection of excise revenues is based on the current excise policy and the projected consumption of excisable products. No growth in the consumption of petroleum products is expected in the coming years, while a further decline in the tobacco products market is anticipated. Revenues from excises on alcohol, coffee, and electricity are expected to move in line with the existing consumption structure, and as of 2026 an excise tax on compressed natural gas used as motor fuel will be introduced. Overall, a mildly declining trend in excise revenues is expected, given that inflation — the main driver of nominal excise increases — will grow more slowly than nominal GDP.</w:t>
      </w:r>
    </w:p>
    <w:p w:rsidR="0007331F" w:rsidRPr="00002D92" w:rsidRDefault="0007331F" w:rsidP="0007331F">
      <w:pPr>
        <w:spacing w:after="0"/>
        <w:rPr>
          <w:rFonts w:eastAsia="MS PGothic" w:cs="Times New Roman"/>
          <w:szCs w:val="24"/>
          <w:lang w:val="sr-Cyrl-RS" w:eastAsia="ja-JP"/>
        </w:rPr>
      </w:pPr>
      <w:r w:rsidRPr="00002D92">
        <w:rPr>
          <w:rFonts w:eastAsia="MS PGothic" w:cs="Times New Roman"/>
          <w:szCs w:val="24"/>
          <w:lang w:val="sr-Cyrl-RS" w:eastAsia="ja-JP"/>
        </w:rPr>
        <w:t>Customs duties and other tax revenues.</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Revenues from customs duties are stabilizing at around 0.9% of GDP, in line with expected import developments.</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Other tax revenues, including the property tax (which accounts for around 70% of this category), are expected to maintain a stable share of GDP. Nominal revenue growth under this category could result from an expansion of the tax base (improved coverage of immovable property), which is not included in the baseline fiscal scenario and represents a potential positive revenue outcome. Other local taxes (on the use, holding, and carrying of goods) are projected in accordance with inflation trends, given that inflation is embedded in most of these forms of taxation.</w:t>
      </w:r>
    </w:p>
    <w:p w:rsidR="0007331F" w:rsidRPr="00002D92" w:rsidRDefault="0007331F" w:rsidP="0007331F">
      <w:pPr>
        <w:spacing w:after="0"/>
        <w:rPr>
          <w:rFonts w:eastAsia="MS PGothic" w:cs="Times New Roman"/>
          <w:szCs w:val="24"/>
          <w:lang w:val="sr-Cyrl-RS" w:eastAsia="ja-JP"/>
        </w:rPr>
      </w:pPr>
      <w:r w:rsidRPr="00002D92">
        <w:rPr>
          <w:rFonts w:eastAsia="MS PGothic" w:cs="Times New Roman"/>
          <w:szCs w:val="24"/>
          <w:lang w:val="sr-Cyrl-RS" w:eastAsia="ja-JP"/>
        </w:rPr>
        <w:t>Non-tax revenues and donations.</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The projected level of non-tax revenues in the coming period reflects the impact of extraordinary and one-off collections, including revenues from the auctioning of 5G licences. Revenues from the auction of 5G technology licences are expected in 2025 and 2026. In addition, 2026 projections include the introduction of revenues from other funding sources of higher education institutions into the reporting system, which further cushions the decline in extraordinary revenues relative to this year. After this period, the share of non-tax revenues in GDP will gradually decline, reaching around 3.6% of GDP in 2028.</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 xml:space="preserve">Extraordinary non-tax revenues — such as profit transfers from public enterprises and agencies, dividends, revenues from collected AOD claims, securities issuance premia, etc. — remain inherently uncertain, both in amount and timing. Regular non-tax revenues (fees, </w:t>
      </w:r>
      <w:r w:rsidRPr="00002D92">
        <w:rPr>
          <w:rFonts w:eastAsia="MS PGothic" w:cs="Times New Roman"/>
          <w:szCs w:val="24"/>
          <w:lang w:val="sr-Cyrl-RS" w:eastAsia="ja-JP"/>
        </w:rPr>
        <w:lastRenderedPageBreak/>
        <w:t>charges, fines, etc.) are indexed to actual inflation or base growth, which ensures their nominal stability.</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In parallel with Serbia’s progress toward EU membership, the volume of available funds under IPA and IPARD programmes is increasing, and these constitute the dominant source of revenue from donations. The projections also include EU sector budget support funds. Revenue from donations is fiscally neutral, as the same amount is recorded on the expenditure side.</w:t>
      </w:r>
    </w:p>
    <w:p w:rsidR="0007331F" w:rsidRPr="00002D92" w:rsidRDefault="0007331F" w:rsidP="0007331F">
      <w:pPr>
        <w:rPr>
          <w:rFonts w:eastAsia="MS PGothic" w:cs="Times New Roman"/>
          <w:szCs w:val="24"/>
          <w:lang w:val="sr-Cyrl-RS" w:eastAsia="ja-JP"/>
        </w:rPr>
      </w:pPr>
    </w:p>
    <w:p w:rsidR="00124621" w:rsidRPr="00002D92" w:rsidRDefault="00124621" w:rsidP="0007331F">
      <w:pPr>
        <w:rPr>
          <w:rFonts w:eastAsia="MS PGothic" w:cs="Times New Roman"/>
          <w:szCs w:val="24"/>
          <w:lang w:val="sr-Cyrl-RS" w:eastAsia="ja-JP"/>
        </w:rPr>
      </w:pPr>
    </w:p>
    <w:p w:rsidR="0007331F" w:rsidRPr="00002D92" w:rsidRDefault="0007331F" w:rsidP="0007331F">
      <w:pPr>
        <w:spacing w:after="0"/>
        <w:rPr>
          <w:rFonts w:eastAsia="MS PGothic" w:cs="Times New Roman"/>
          <w:szCs w:val="24"/>
          <w:lang w:val="sr-Cyrl-RS" w:eastAsia="ja-JP"/>
        </w:rPr>
      </w:pPr>
      <w:r w:rsidRPr="00002D92">
        <w:rPr>
          <w:rFonts w:eastAsia="MS PGothic" w:cs="Times New Roman"/>
          <w:szCs w:val="24"/>
          <w:lang w:val="sr-Cyrl-RS" w:eastAsia="ja-JP"/>
        </w:rPr>
        <w:t>Expenditures, wages, and the social component.</w:t>
      </w:r>
    </w:p>
    <w:p w:rsidR="0007331F" w:rsidRPr="00002D92" w:rsidRDefault="0007331F" w:rsidP="0007331F">
      <w:pPr>
        <w:rPr>
          <w:rFonts w:eastAsia="MS PGothic" w:cs="Times New Roman"/>
          <w:szCs w:val="24"/>
          <w:lang w:val="sr-Cyrl-RS" w:eastAsia="ja-JP"/>
        </w:rPr>
      </w:pPr>
      <w:r w:rsidRPr="00002D92">
        <w:rPr>
          <w:rFonts w:eastAsia="MS PGothic" w:cs="Times New Roman"/>
          <w:szCs w:val="24"/>
          <w:lang w:val="sr-Cyrl-RS" w:eastAsia="ja-JP"/>
        </w:rPr>
        <w:t>Prudent fiscal policy, combined with stable macroeconomic performance in the previous period, has enabled a gradual relaxation of wage and pension policies and a significant increase in capital investments as a key component of growth. Particular attention has been devoted to improving the efficiency of capital expenditure implementation by the state. The social component of the budget has been strengthened through better targeting of social assistance programmes and higher allocations for healthcare and education. Wages and pensions, which together account for more than 45% of general government expenditure, remain subject to close monitoring, as their stabilization is crucial for the medium-term sustainability of public finances.</w:t>
      </w:r>
    </w:p>
    <w:p w:rsidR="0007331F" w:rsidRPr="00002D92" w:rsidRDefault="005918D2" w:rsidP="0007331F">
      <w:pPr>
        <w:rPr>
          <w:rFonts w:cs="Times New Roman"/>
          <w:i/>
          <w:szCs w:val="24"/>
          <w:lang w:val="sr-Cyrl-RS" w:eastAsia="ja-JP"/>
        </w:rPr>
      </w:pPr>
      <w:r w:rsidRPr="00002D92">
        <w:rPr>
          <w:rFonts w:cs="Times New Roman"/>
          <w:i/>
          <w:szCs w:val="24"/>
          <w:lang w:val="sr-Cyrl-RS" w:eastAsia="ja-JP"/>
        </w:rPr>
        <w:t>Т</w:t>
      </w:r>
      <w:r w:rsidR="0007331F" w:rsidRPr="00002D92">
        <w:rPr>
          <w:rFonts w:cs="Times New Roman"/>
          <w:i/>
          <w:szCs w:val="24"/>
          <w:lang w:eastAsia="ja-JP"/>
        </w:rPr>
        <w:t>able</w:t>
      </w:r>
      <w:r w:rsidR="0007331F" w:rsidRPr="00002D92">
        <w:rPr>
          <w:rFonts w:cs="Times New Roman"/>
          <w:i/>
          <w:szCs w:val="24"/>
          <w:lang w:val="sr-Cyrl-RS" w:eastAsia="ja-JP"/>
        </w:rPr>
        <w:t xml:space="preserve"> 9</w:t>
      </w:r>
      <w:r w:rsidR="003B22A7" w:rsidRPr="00002D92">
        <w:rPr>
          <w:rFonts w:cs="Times New Roman"/>
          <w:i/>
          <w:szCs w:val="24"/>
          <w:lang w:val="sr-Latn-RS" w:eastAsia="ja-JP"/>
        </w:rPr>
        <w:t>:</w:t>
      </w:r>
      <w:r w:rsidRPr="00002D92">
        <w:rPr>
          <w:rFonts w:cs="Times New Roman"/>
          <w:i/>
          <w:szCs w:val="24"/>
          <w:lang w:val="sr-Cyrl-RS" w:eastAsia="ja-JP"/>
        </w:rPr>
        <w:t xml:space="preserve"> </w:t>
      </w:r>
      <w:r w:rsidR="0007331F" w:rsidRPr="00002D92">
        <w:rPr>
          <w:rFonts w:cs="Times New Roman"/>
          <w:i/>
          <w:szCs w:val="24"/>
          <w:lang w:val="sr-Cyrl-RS" w:eastAsia="ja-JP"/>
        </w:rPr>
        <w:t>Total expenditures in the 2024–2028, % of GDP</w:t>
      </w:r>
    </w:p>
    <w:tbl>
      <w:tblPr>
        <w:tblStyle w:val="LightShading-Accent12214"/>
        <w:tblW w:w="4952" w:type="pct"/>
        <w:tblLook w:val="0420" w:firstRow="1" w:lastRow="0" w:firstColumn="0" w:lastColumn="0" w:noHBand="0" w:noVBand="1"/>
      </w:tblPr>
      <w:tblGrid>
        <w:gridCol w:w="3457"/>
        <w:gridCol w:w="1369"/>
        <w:gridCol w:w="1160"/>
        <w:gridCol w:w="982"/>
        <w:gridCol w:w="982"/>
        <w:gridCol w:w="989"/>
      </w:tblGrid>
      <w:tr w:rsidR="0007331F" w:rsidRPr="00002D92" w:rsidTr="0007331F">
        <w:trPr>
          <w:cnfStyle w:val="100000000000" w:firstRow="1" w:lastRow="0" w:firstColumn="0" w:lastColumn="0" w:oddVBand="0" w:evenVBand="0" w:oddHBand="0" w:evenHBand="0" w:firstRowFirstColumn="0" w:firstRowLastColumn="0" w:lastRowFirstColumn="0" w:lastRowLastColumn="0"/>
          <w:trHeight w:hRule="exact" w:val="284"/>
          <w:tblHeader/>
        </w:trPr>
        <w:tc>
          <w:tcPr>
            <w:tcW w:w="1934" w:type="pct"/>
            <w:tcBorders>
              <w:top w:val="single" w:sz="4" w:space="0" w:color="002060"/>
              <w:bottom w:val="single" w:sz="4" w:space="0" w:color="002060"/>
            </w:tcBorders>
            <w:noWrap/>
          </w:tcPr>
          <w:p w:rsidR="0007331F" w:rsidRPr="00002D92" w:rsidRDefault="0007331F" w:rsidP="0007331F">
            <w:pPr>
              <w:widowControl w:val="0"/>
              <w:shd w:val="clear" w:color="auto" w:fill="FFFFFF" w:themeFill="background1"/>
              <w:spacing w:line="276" w:lineRule="auto"/>
              <w:rPr>
                <w:rFonts w:eastAsia="Times New Roman"/>
                <w:color w:val="auto"/>
                <w:szCs w:val="24"/>
              </w:rPr>
            </w:pPr>
            <w:r w:rsidRPr="00002D92">
              <w:rPr>
                <w:rFonts w:eastAsia="Times New Roman"/>
                <w:color w:val="auto"/>
                <w:szCs w:val="24"/>
              </w:rPr>
              <w:t>Description</w:t>
            </w:r>
          </w:p>
        </w:tc>
        <w:tc>
          <w:tcPr>
            <w:tcW w:w="766" w:type="pct"/>
            <w:tcBorders>
              <w:top w:val="single" w:sz="4" w:space="0" w:color="002060"/>
              <w:bottom w:val="single" w:sz="4" w:space="0" w:color="002060"/>
            </w:tcBorders>
          </w:tcPr>
          <w:p w:rsidR="0007331F" w:rsidRPr="00002D92" w:rsidRDefault="0007331F" w:rsidP="0007331F">
            <w:pPr>
              <w:keepNext/>
              <w:widowControl w:val="0"/>
              <w:shd w:val="clear" w:color="auto" w:fill="FFFFFF" w:themeFill="background1"/>
              <w:spacing w:line="276" w:lineRule="auto"/>
              <w:jc w:val="center"/>
              <w:rPr>
                <w:rFonts w:eastAsia="Times New Roman"/>
                <w:color w:val="auto"/>
                <w:szCs w:val="24"/>
              </w:rPr>
            </w:pPr>
            <w:r w:rsidRPr="00002D92">
              <w:rPr>
                <w:rFonts w:eastAsia="Times New Roman"/>
                <w:color w:val="auto"/>
                <w:szCs w:val="24"/>
              </w:rPr>
              <w:t>Execution</w:t>
            </w:r>
          </w:p>
        </w:tc>
        <w:tc>
          <w:tcPr>
            <w:tcW w:w="649" w:type="pct"/>
            <w:tcBorders>
              <w:top w:val="single" w:sz="4" w:space="0" w:color="002060"/>
              <w:bottom w:val="single" w:sz="4" w:space="0" w:color="002060"/>
            </w:tcBorders>
          </w:tcPr>
          <w:p w:rsidR="0007331F" w:rsidRPr="00002D92" w:rsidRDefault="0007331F" w:rsidP="0007331F">
            <w:pPr>
              <w:keepNext/>
              <w:widowControl w:val="0"/>
              <w:shd w:val="clear" w:color="auto" w:fill="FFFFFF" w:themeFill="background1"/>
              <w:spacing w:line="276" w:lineRule="auto"/>
              <w:jc w:val="center"/>
              <w:rPr>
                <w:rFonts w:eastAsia="Times New Roman"/>
                <w:color w:val="auto"/>
                <w:szCs w:val="24"/>
              </w:rPr>
            </w:pPr>
            <w:r w:rsidRPr="00002D92">
              <w:rPr>
                <w:rFonts w:eastAsia="Times New Roman"/>
                <w:color w:val="auto"/>
                <w:szCs w:val="24"/>
              </w:rPr>
              <w:t>Estimate</w:t>
            </w:r>
          </w:p>
        </w:tc>
        <w:tc>
          <w:tcPr>
            <w:tcW w:w="1652" w:type="pct"/>
            <w:gridSpan w:val="3"/>
            <w:tcBorders>
              <w:top w:val="single" w:sz="4" w:space="0" w:color="002060"/>
              <w:bottom w:val="single" w:sz="4" w:space="0" w:color="002060"/>
            </w:tcBorders>
          </w:tcPr>
          <w:p w:rsidR="0007331F" w:rsidRPr="00002D92" w:rsidRDefault="0007331F" w:rsidP="0007331F">
            <w:pPr>
              <w:keepNext/>
              <w:widowControl w:val="0"/>
              <w:shd w:val="clear" w:color="auto" w:fill="FFFFFF" w:themeFill="background1"/>
              <w:spacing w:line="276" w:lineRule="auto"/>
              <w:jc w:val="center"/>
              <w:rPr>
                <w:rFonts w:eastAsia="Times New Roman"/>
                <w:color w:val="auto"/>
                <w:szCs w:val="24"/>
              </w:rPr>
            </w:pPr>
            <w:r w:rsidRPr="00002D92">
              <w:rPr>
                <w:rFonts w:eastAsia="Times New Roman"/>
                <w:color w:val="auto"/>
                <w:szCs w:val="24"/>
              </w:rPr>
              <w:t>Projection</w:t>
            </w:r>
          </w:p>
        </w:tc>
      </w:tr>
      <w:tr w:rsidR="005918D2" w:rsidRPr="00002D92" w:rsidTr="0007331F">
        <w:trPr>
          <w:cnfStyle w:val="100000000000" w:firstRow="1" w:lastRow="0" w:firstColumn="0" w:lastColumn="0" w:oddVBand="0" w:evenVBand="0" w:oddHBand="0" w:evenHBand="0" w:firstRowFirstColumn="0" w:firstRowLastColumn="0" w:lastRowFirstColumn="0" w:lastRowLastColumn="0"/>
          <w:trHeight w:hRule="exact" w:val="284"/>
          <w:tblHeader/>
        </w:trPr>
        <w:tc>
          <w:tcPr>
            <w:tcW w:w="1934" w:type="pct"/>
            <w:tcBorders>
              <w:top w:val="single" w:sz="4" w:space="0" w:color="002060"/>
              <w:bottom w:val="nil"/>
            </w:tcBorders>
            <w:shd w:val="clear" w:color="auto" w:fill="FFFFFF" w:themeFill="background1"/>
            <w:noWrap/>
          </w:tcPr>
          <w:p w:rsidR="005918D2" w:rsidRPr="00002D92" w:rsidRDefault="005918D2" w:rsidP="00EA7C4B">
            <w:pPr>
              <w:widowControl w:val="0"/>
              <w:shd w:val="clear" w:color="auto" w:fill="FFFFFF" w:themeFill="background1"/>
              <w:spacing w:line="276" w:lineRule="auto"/>
              <w:rPr>
                <w:rFonts w:eastAsia="Times New Roman"/>
                <w:color w:val="auto"/>
                <w:szCs w:val="24"/>
              </w:rPr>
            </w:pPr>
          </w:p>
        </w:tc>
        <w:tc>
          <w:tcPr>
            <w:tcW w:w="766" w:type="pct"/>
            <w:tcBorders>
              <w:top w:val="single" w:sz="4" w:space="0" w:color="002060"/>
              <w:bottom w:val="single" w:sz="4" w:space="0" w:color="002060"/>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2024</w:t>
            </w:r>
          </w:p>
        </w:tc>
        <w:tc>
          <w:tcPr>
            <w:tcW w:w="649" w:type="pct"/>
            <w:tcBorders>
              <w:top w:val="single" w:sz="4" w:space="0" w:color="002060"/>
              <w:bottom w:val="single" w:sz="4" w:space="0" w:color="002060"/>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2025</w:t>
            </w:r>
          </w:p>
        </w:tc>
        <w:tc>
          <w:tcPr>
            <w:tcW w:w="549" w:type="pct"/>
            <w:tcBorders>
              <w:top w:val="single" w:sz="4" w:space="0" w:color="002060"/>
              <w:bottom w:val="single" w:sz="4" w:space="0" w:color="002060"/>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2026</w:t>
            </w:r>
          </w:p>
        </w:tc>
        <w:tc>
          <w:tcPr>
            <w:tcW w:w="549" w:type="pct"/>
            <w:tcBorders>
              <w:top w:val="single" w:sz="4" w:space="0" w:color="002060"/>
              <w:bottom w:val="single" w:sz="4" w:space="0" w:color="002060"/>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2027</w:t>
            </w:r>
          </w:p>
        </w:tc>
        <w:tc>
          <w:tcPr>
            <w:tcW w:w="553" w:type="pct"/>
            <w:tcBorders>
              <w:top w:val="single" w:sz="4" w:space="0" w:color="002060"/>
              <w:bottom w:val="single" w:sz="4" w:space="0" w:color="002060"/>
            </w:tcBorders>
            <w:shd w:val="clear" w:color="auto" w:fill="FFFFFF" w:themeFill="background1"/>
          </w:tcPr>
          <w:p w:rsidR="005918D2" w:rsidRPr="00002D92" w:rsidRDefault="005918D2" w:rsidP="00EA7C4B">
            <w:pPr>
              <w:keepNext/>
              <w:widowControl w:val="0"/>
              <w:shd w:val="clear" w:color="auto" w:fill="FFFFFF" w:themeFill="background1"/>
              <w:spacing w:line="276" w:lineRule="auto"/>
              <w:jc w:val="right"/>
              <w:rPr>
                <w:rFonts w:eastAsia="Times New Roman"/>
                <w:color w:val="auto"/>
                <w:szCs w:val="24"/>
              </w:rPr>
            </w:pPr>
            <w:r w:rsidRPr="00002D92">
              <w:rPr>
                <w:color w:val="auto"/>
              </w:rPr>
              <w:t>2028</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tcBorders>
              <w:top w:val="nil"/>
            </w:tcBorders>
            <w:shd w:val="clear" w:color="auto" w:fill="FFFFFF" w:themeFill="background1"/>
          </w:tcPr>
          <w:p w:rsidR="0007331F" w:rsidRPr="00002D92" w:rsidRDefault="0007331F" w:rsidP="0007331F">
            <w:pPr>
              <w:widowControl w:val="0"/>
              <w:shd w:val="clear" w:color="auto" w:fill="FFFFFF" w:themeFill="background1"/>
              <w:spacing w:line="276" w:lineRule="auto"/>
              <w:rPr>
                <w:color w:val="auto"/>
                <w:szCs w:val="24"/>
              </w:rPr>
            </w:pPr>
            <w:r w:rsidRPr="00002D92">
              <w:rPr>
                <w:color w:val="auto"/>
              </w:rPr>
              <w:t>PUBLIC EXPENDITURES</w:t>
            </w:r>
          </w:p>
        </w:tc>
        <w:tc>
          <w:tcPr>
            <w:tcW w:w="766" w:type="pct"/>
            <w:tcBorders>
              <w:top w:val="single" w:sz="4" w:space="0" w:color="002060"/>
            </w:tcBorders>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42</w:t>
            </w:r>
            <w:r w:rsidR="00124621" w:rsidRPr="00002D92">
              <w:rPr>
                <w:color w:val="auto"/>
              </w:rPr>
              <w:t>.</w:t>
            </w:r>
            <w:r w:rsidRPr="00002D92">
              <w:rPr>
                <w:color w:val="auto"/>
              </w:rPr>
              <w:t>4</w:t>
            </w:r>
          </w:p>
        </w:tc>
        <w:tc>
          <w:tcPr>
            <w:tcW w:w="649" w:type="pct"/>
            <w:tcBorders>
              <w:top w:val="single" w:sz="4" w:space="0" w:color="002060"/>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43</w:t>
            </w:r>
            <w:r w:rsidR="00124621" w:rsidRPr="00002D92">
              <w:rPr>
                <w:color w:val="auto"/>
              </w:rPr>
              <w:t>.</w:t>
            </w:r>
            <w:r w:rsidRPr="00002D92">
              <w:rPr>
                <w:color w:val="auto"/>
              </w:rPr>
              <w:t>9</w:t>
            </w:r>
          </w:p>
        </w:tc>
        <w:tc>
          <w:tcPr>
            <w:tcW w:w="549" w:type="pct"/>
            <w:tcBorders>
              <w:top w:val="single" w:sz="4" w:space="0" w:color="002060"/>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43</w:t>
            </w:r>
            <w:r w:rsidR="00124621" w:rsidRPr="00002D92">
              <w:rPr>
                <w:color w:val="auto"/>
              </w:rPr>
              <w:t>.</w:t>
            </w:r>
            <w:r w:rsidRPr="00002D92">
              <w:rPr>
                <w:color w:val="auto"/>
              </w:rPr>
              <w:t>9</w:t>
            </w:r>
          </w:p>
        </w:tc>
        <w:tc>
          <w:tcPr>
            <w:tcW w:w="549" w:type="pct"/>
            <w:tcBorders>
              <w:top w:val="single" w:sz="4" w:space="0" w:color="002060"/>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43</w:t>
            </w:r>
            <w:r w:rsidR="00124621" w:rsidRPr="00002D92">
              <w:rPr>
                <w:color w:val="auto"/>
              </w:rPr>
              <w:t>.</w:t>
            </w:r>
            <w:r w:rsidRPr="00002D92">
              <w:rPr>
                <w:color w:val="auto"/>
              </w:rPr>
              <w:t>1</w:t>
            </w:r>
          </w:p>
        </w:tc>
        <w:tc>
          <w:tcPr>
            <w:tcW w:w="553" w:type="pct"/>
            <w:tcBorders>
              <w:top w:val="single" w:sz="4" w:space="0" w:color="002060"/>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42</w:t>
            </w:r>
            <w:r w:rsidR="00124621" w:rsidRPr="00002D92">
              <w:rPr>
                <w:color w:val="auto"/>
              </w:rPr>
              <w:t>.</w:t>
            </w:r>
            <w:r w:rsidRPr="00002D92">
              <w:rPr>
                <w:color w:val="auto"/>
              </w:rPr>
              <w:t>5</w:t>
            </w:r>
          </w:p>
        </w:tc>
      </w:tr>
      <w:tr w:rsidR="0007331F" w:rsidRPr="00002D92" w:rsidTr="0007331F">
        <w:trPr>
          <w:trHeight w:hRule="exact" w:val="284"/>
        </w:trPr>
        <w:tc>
          <w:tcPr>
            <w:tcW w:w="1934" w:type="pct"/>
            <w:shd w:val="clear" w:color="auto" w:fill="FFFFFF" w:themeFill="background1"/>
          </w:tcPr>
          <w:p w:rsidR="0007331F" w:rsidRPr="00002D92" w:rsidRDefault="0007331F" w:rsidP="0007331F">
            <w:pPr>
              <w:widowControl w:val="0"/>
              <w:shd w:val="clear" w:color="auto" w:fill="FFFFFF" w:themeFill="background1"/>
              <w:spacing w:line="276" w:lineRule="auto"/>
              <w:rPr>
                <w:rFonts w:eastAsia="Times New Roman"/>
                <w:bCs/>
                <w:color w:val="auto"/>
                <w:szCs w:val="24"/>
              </w:rPr>
            </w:pPr>
            <w:r w:rsidRPr="00002D92">
              <w:rPr>
                <w:color w:val="auto"/>
              </w:rPr>
              <w:t xml:space="preserve"> Current expenditures</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34</w:t>
            </w:r>
            <w:r w:rsidR="00124621" w:rsidRPr="00002D92">
              <w:rPr>
                <w:color w:val="auto"/>
              </w:rPr>
              <w:t>.</w:t>
            </w:r>
            <w:r w:rsidRPr="00002D92">
              <w:rPr>
                <w:color w:val="auto"/>
              </w:rPr>
              <w:t>7</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36</w:t>
            </w:r>
            <w:r w:rsidR="00124621" w:rsidRPr="00002D92">
              <w:rPr>
                <w:color w:val="auto"/>
              </w:rPr>
              <w:t>.</w:t>
            </w:r>
            <w:r w:rsidRPr="00002D92">
              <w:rPr>
                <w:color w:val="auto"/>
              </w:rPr>
              <w:t>3</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37</w:t>
            </w:r>
            <w:r w:rsidR="00124621" w:rsidRPr="00002D92">
              <w:rPr>
                <w:color w:val="auto"/>
              </w:rPr>
              <w:t>.</w:t>
            </w:r>
            <w:r w:rsidRPr="00002D92">
              <w:rPr>
                <w:color w:val="auto"/>
              </w:rPr>
              <w:t>0</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36</w:t>
            </w:r>
            <w:r w:rsidR="00124621" w:rsidRPr="00002D92">
              <w:rPr>
                <w:color w:val="auto"/>
              </w:rPr>
              <w:t>.</w:t>
            </w:r>
            <w:r w:rsidRPr="00002D92">
              <w:rPr>
                <w:color w:val="auto"/>
              </w:rPr>
              <w:t>4</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36</w:t>
            </w:r>
            <w:r w:rsidR="00124621" w:rsidRPr="00002D92">
              <w:rPr>
                <w:color w:val="auto"/>
              </w:rPr>
              <w:t>.</w:t>
            </w:r>
            <w:r w:rsidRPr="00002D92">
              <w:rPr>
                <w:color w:val="auto"/>
              </w:rPr>
              <w:t>1</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shd w:val="clear" w:color="auto" w:fill="FFFFFF" w:themeFill="background1"/>
          </w:tcPr>
          <w:p w:rsidR="0007331F" w:rsidRPr="00002D92" w:rsidRDefault="0007331F" w:rsidP="0007331F">
            <w:pPr>
              <w:widowControl w:val="0"/>
              <w:shd w:val="clear" w:color="auto" w:fill="FFFFFF" w:themeFill="background1"/>
              <w:spacing w:line="276" w:lineRule="auto"/>
              <w:ind w:left="284"/>
              <w:rPr>
                <w:rFonts w:eastAsia="Times New Roman"/>
                <w:bCs/>
                <w:color w:val="auto"/>
                <w:szCs w:val="24"/>
              </w:rPr>
            </w:pPr>
            <w:r w:rsidRPr="00002D92">
              <w:rPr>
                <w:color w:val="auto"/>
              </w:rPr>
              <w:t>Expenditures for employees</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9</w:t>
            </w:r>
            <w:r w:rsidR="00124621" w:rsidRPr="00002D92">
              <w:rPr>
                <w:color w:val="auto"/>
              </w:rPr>
              <w:t>.</w:t>
            </w:r>
            <w:r w:rsidRPr="00002D92">
              <w:rPr>
                <w:color w:val="auto"/>
              </w:rPr>
              <w:t>3</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9</w:t>
            </w:r>
            <w:r w:rsidR="00124621" w:rsidRPr="00002D92">
              <w:rPr>
                <w:color w:val="auto"/>
              </w:rPr>
              <w:t>.</w:t>
            </w:r>
            <w:r w:rsidRPr="00002D92">
              <w:rPr>
                <w:color w:val="auto"/>
              </w:rPr>
              <w:t>9</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10</w:t>
            </w:r>
            <w:r w:rsidR="00124621" w:rsidRPr="00002D92">
              <w:rPr>
                <w:color w:val="auto"/>
              </w:rPr>
              <w:t>.</w:t>
            </w:r>
            <w:r w:rsidRPr="00002D92">
              <w:rPr>
                <w:color w:val="auto"/>
              </w:rPr>
              <w:t>2</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10</w:t>
            </w:r>
            <w:r w:rsidR="00124621" w:rsidRPr="00002D92">
              <w:rPr>
                <w:color w:val="auto"/>
              </w:rPr>
              <w:t>.</w:t>
            </w:r>
            <w:r w:rsidRPr="00002D92">
              <w:rPr>
                <w:color w:val="auto"/>
              </w:rPr>
              <w:t>2</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10</w:t>
            </w:r>
            <w:r w:rsidR="00124621" w:rsidRPr="00002D92">
              <w:rPr>
                <w:color w:val="auto"/>
              </w:rPr>
              <w:t>.</w:t>
            </w:r>
            <w:r w:rsidRPr="00002D92">
              <w:rPr>
                <w:color w:val="auto"/>
              </w:rPr>
              <w:t>2</w:t>
            </w:r>
          </w:p>
        </w:tc>
      </w:tr>
      <w:tr w:rsidR="0007331F" w:rsidRPr="00002D92" w:rsidTr="0007331F">
        <w:trPr>
          <w:trHeight w:hRule="exact" w:val="284"/>
        </w:trPr>
        <w:tc>
          <w:tcPr>
            <w:tcW w:w="1934" w:type="pct"/>
            <w:shd w:val="clear" w:color="auto" w:fill="FFFFFF" w:themeFill="background1"/>
          </w:tcPr>
          <w:p w:rsidR="0007331F" w:rsidRPr="00002D92" w:rsidRDefault="0007331F" w:rsidP="0007331F">
            <w:pPr>
              <w:widowControl w:val="0"/>
              <w:shd w:val="clear" w:color="auto" w:fill="FFFFFF" w:themeFill="background1"/>
              <w:spacing w:line="276" w:lineRule="auto"/>
              <w:ind w:left="284"/>
              <w:rPr>
                <w:rFonts w:eastAsia="Times New Roman"/>
                <w:bCs/>
                <w:color w:val="auto"/>
                <w:szCs w:val="24"/>
              </w:rPr>
            </w:pPr>
            <w:r w:rsidRPr="00002D92">
              <w:rPr>
                <w:color w:val="auto"/>
              </w:rPr>
              <w:t>Purchase of goods and services</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6</w:t>
            </w:r>
            <w:r w:rsidR="00124621" w:rsidRPr="00002D92">
              <w:rPr>
                <w:color w:val="auto"/>
              </w:rPr>
              <w:t>.</w:t>
            </w:r>
            <w:r w:rsidRPr="00002D92">
              <w:rPr>
                <w:color w:val="auto"/>
              </w:rPr>
              <w:t>9</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7</w:t>
            </w:r>
            <w:r w:rsidR="00124621" w:rsidRPr="00002D92">
              <w:rPr>
                <w:color w:val="auto"/>
              </w:rPr>
              <w:t>.</w:t>
            </w:r>
            <w:r w:rsidRPr="00002D92">
              <w:rPr>
                <w:color w:val="auto"/>
              </w:rPr>
              <w:t>5</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7</w:t>
            </w:r>
            <w:r w:rsidR="00124621" w:rsidRPr="00002D92">
              <w:rPr>
                <w:color w:val="auto"/>
              </w:rPr>
              <w:t>.</w:t>
            </w:r>
            <w:r w:rsidRPr="00002D92">
              <w:rPr>
                <w:color w:val="auto"/>
              </w:rPr>
              <w:t>6</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7</w:t>
            </w:r>
            <w:r w:rsidR="00124621" w:rsidRPr="00002D92">
              <w:rPr>
                <w:color w:val="auto"/>
              </w:rPr>
              <w:t>.</w:t>
            </w:r>
            <w:r w:rsidRPr="00002D92">
              <w:rPr>
                <w:color w:val="auto"/>
              </w:rPr>
              <w:t>5</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7</w:t>
            </w:r>
            <w:r w:rsidR="00124621" w:rsidRPr="00002D92">
              <w:rPr>
                <w:color w:val="auto"/>
              </w:rPr>
              <w:t>.</w:t>
            </w:r>
            <w:r w:rsidRPr="00002D92">
              <w:rPr>
                <w:color w:val="auto"/>
              </w:rPr>
              <w:t>4</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shd w:val="clear" w:color="auto" w:fill="FFFFFF" w:themeFill="background1"/>
          </w:tcPr>
          <w:p w:rsidR="0007331F" w:rsidRPr="00002D92" w:rsidRDefault="0007331F" w:rsidP="0007331F">
            <w:pPr>
              <w:widowControl w:val="0"/>
              <w:shd w:val="clear" w:color="auto" w:fill="FFFFFF" w:themeFill="background1"/>
              <w:spacing w:line="276" w:lineRule="auto"/>
              <w:ind w:left="284"/>
              <w:rPr>
                <w:rFonts w:eastAsia="Times New Roman"/>
                <w:bCs/>
                <w:color w:val="auto"/>
                <w:szCs w:val="24"/>
              </w:rPr>
            </w:pPr>
            <w:r w:rsidRPr="00002D92">
              <w:rPr>
                <w:color w:val="auto"/>
              </w:rPr>
              <w:t>Interest payments</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9</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9</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9</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9</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9</w:t>
            </w:r>
          </w:p>
        </w:tc>
      </w:tr>
      <w:tr w:rsidR="0007331F" w:rsidRPr="00002D92" w:rsidTr="0007331F">
        <w:trPr>
          <w:trHeight w:hRule="exact" w:val="284"/>
        </w:trPr>
        <w:tc>
          <w:tcPr>
            <w:tcW w:w="1934" w:type="pct"/>
            <w:shd w:val="clear" w:color="auto" w:fill="FFFFFF" w:themeFill="background1"/>
          </w:tcPr>
          <w:p w:rsidR="0007331F" w:rsidRPr="00002D92" w:rsidRDefault="0007331F" w:rsidP="0007331F">
            <w:pPr>
              <w:widowControl w:val="0"/>
              <w:shd w:val="clear" w:color="auto" w:fill="FFFFFF" w:themeFill="background1"/>
              <w:spacing w:line="276" w:lineRule="auto"/>
              <w:ind w:left="284"/>
              <w:rPr>
                <w:rFonts w:eastAsia="Times New Roman"/>
                <w:bCs/>
                <w:color w:val="auto"/>
                <w:szCs w:val="24"/>
              </w:rPr>
            </w:pPr>
            <w:r w:rsidRPr="00002D92">
              <w:rPr>
                <w:color w:val="auto"/>
              </w:rPr>
              <w:t>Subsidies</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4</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4</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2</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1</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2</w:t>
            </w:r>
            <w:r w:rsidR="00124621" w:rsidRPr="00002D92">
              <w:rPr>
                <w:color w:val="auto"/>
              </w:rPr>
              <w:t>.</w:t>
            </w:r>
            <w:r w:rsidRPr="00002D92">
              <w:rPr>
                <w:color w:val="auto"/>
              </w:rPr>
              <w:t>1</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shd w:val="clear" w:color="auto" w:fill="FFFFFF" w:themeFill="background1"/>
          </w:tcPr>
          <w:p w:rsidR="0007331F" w:rsidRPr="00002D92" w:rsidRDefault="0007331F" w:rsidP="0007331F">
            <w:pPr>
              <w:rPr>
                <w:color w:val="000000" w:themeColor="text1"/>
              </w:rPr>
            </w:pPr>
            <w:r w:rsidRPr="00002D92">
              <w:rPr>
                <w:color w:val="000000" w:themeColor="text1"/>
              </w:rPr>
              <w:t xml:space="preserve">     Social assistance and</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12</w:t>
            </w:r>
            <w:r w:rsidR="00124621" w:rsidRPr="00002D92">
              <w:rPr>
                <w:color w:val="auto"/>
              </w:rPr>
              <w:t>.</w:t>
            </w:r>
            <w:r w:rsidRPr="00002D92">
              <w:rPr>
                <w:color w:val="auto"/>
              </w:rPr>
              <w:t>9</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13</w:t>
            </w:r>
            <w:r w:rsidR="00124621" w:rsidRPr="00002D92">
              <w:rPr>
                <w:color w:val="auto"/>
              </w:rPr>
              <w:t>.</w:t>
            </w:r>
            <w:r w:rsidRPr="00002D92">
              <w:rPr>
                <w:color w:val="auto"/>
              </w:rPr>
              <w:t>4</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13</w:t>
            </w:r>
            <w:r w:rsidR="00124621" w:rsidRPr="00002D92">
              <w:rPr>
                <w:color w:val="auto"/>
              </w:rPr>
              <w:t>.</w:t>
            </w:r>
            <w:r w:rsidRPr="00002D92">
              <w:rPr>
                <w:color w:val="auto"/>
              </w:rPr>
              <w:t>9</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13</w:t>
            </w:r>
            <w:r w:rsidR="00124621" w:rsidRPr="00002D92">
              <w:rPr>
                <w:color w:val="auto"/>
              </w:rPr>
              <w:t>.</w:t>
            </w:r>
            <w:r w:rsidRPr="00002D92">
              <w:rPr>
                <w:color w:val="auto"/>
              </w:rPr>
              <w:t>7</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13</w:t>
            </w:r>
            <w:r w:rsidR="00124621" w:rsidRPr="00002D92">
              <w:rPr>
                <w:color w:val="auto"/>
              </w:rPr>
              <w:t>.</w:t>
            </w:r>
            <w:r w:rsidRPr="00002D92">
              <w:rPr>
                <w:color w:val="auto"/>
              </w:rPr>
              <w:t>4</w:t>
            </w:r>
          </w:p>
        </w:tc>
      </w:tr>
      <w:tr w:rsidR="0007331F" w:rsidRPr="00002D92" w:rsidTr="0007331F">
        <w:trPr>
          <w:trHeight w:hRule="exact" w:val="284"/>
        </w:trPr>
        <w:tc>
          <w:tcPr>
            <w:tcW w:w="1934" w:type="pct"/>
            <w:shd w:val="clear" w:color="auto" w:fill="FFFFFF" w:themeFill="background1"/>
          </w:tcPr>
          <w:p w:rsidR="0007331F" w:rsidRPr="00002D92" w:rsidRDefault="0007331F" w:rsidP="0007331F">
            <w:pPr>
              <w:rPr>
                <w:color w:val="000000" w:themeColor="text1"/>
              </w:rPr>
            </w:pPr>
            <w:r w:rsidRPr="00002D92">
              <w:rPr>
                <w:color w:val="000000" w:themeColor="text1"/>
              </w:rPr>
              <w:t> </w:t>
            </w:r>
            <w:r w:rsidRPr="00002D92">
              <w:rPr>
                <w:color w:val="000000" w:themeColor="text1"/>
              </w:rPr>
              <w:t xml:space="preserve"> of which: pensions</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i/>
                <w:color w:val="auto"/>
                <w:szCs w:val="24"/>
              </w:rPr>
            </w:pPr>
            <w:r w:rsidRPr="00002D92">
              <w:rPr>
                <w:color w:val="auto"/>
              </w:rPr>
              <w:t>9</w:t>
            </w:r>
            <w:r w:rsidR="00124621" w:rsidRPr="00002D92">
              <w:rPr>
                <w:color w:val="auto"/>
              </w:rPr>
              <w:t>.</w:t>
            </w:r>
            <w:r w:rsidRPr="00002D92">
              <w:rPr>
                <w:color w:val="auto"/>
              </w:rPr>
              <w:t>5</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i/>
                <w:color w:val="auto"/>
                <w:szCs w:val="24"/>
              </w:rPr>
            </w:pPr>
            <w:r w:rsidRPr="00002D92">
              <w:rPr>
                <w:color w:val="auto"/>
              </w:rPr>
              <w:t>10</w:t>
            </w:r>
            <w:r w:rsidR="00124621" w:rsidRPr="00002D92">
              <w:rPr>
                <w:color w:val="auto"/>
              </w:rPr>
              <w:t>.</w:t>
            </w:r>
            <w:r w:rsidRPr="00002D92">
              <w:rPr>
                <w:color w:val="auto"/>
              </w:rPr>
              <w:t>1</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i/>
                <w:color w:val="auto"/>
                <w:szCs w:val="24"/>
              </w:rPr>
            </w:pPr>
            <w:r w:rsidRPr="00002D92">
              <w:rPr>
                <w:color w:val="auto"/>
              </w:rPr>
              <w:t>10</w:t>
            </w:r>
            <w:r w:rsidR="00124621" w:rsidRPr="00002D92">
              <w:rPr>
                <w:color w:val="auto"/>
              </w:rPr>
              <w:t>.</w:t>
            </w:r>
            <w:r w:rsidRPr="00002D92">
              <w:rPr>
                <w:color w:val="auto"/>
              </w:rPr>
              <w:t>6</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i/>
                <w:color w:val="auto"/>
                <w:szCs w:val="24"/>
              </w:rPr>
            </w:pPr>
            <w:r w:rsidRPr="00002D92">
              <w:rPr>
                <w:color w:val="auto"/>
              </w:rPr>
              <w:t>10</w:t>
            </w:r>
            <w:r w:rsidR="00124621" w:rsidRPr="00002D92">
              <w:rPr>
                <w:color w:val="auto"/>
              </w:rPr>
              <w:t>.</w:t>
            </w:r>
            <w:r w:rsidRPr="00002D92">
              <w:rPr>
                <w:color w:val="auto"/>
              </w:rPr>
              <w:t>5</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i/>
                <w:color w:val="auto"/>
                <w:szCs w:val="24"/>
              </w:rPr>
            </w:pPr>
            <w:r w:rsidRPr="00002D92">
              <w:rPr>
                <w:color w:val="auto"/>
              </w:rPr>
              <w:t>10</w:t>
            </w:r>
            <w:r w:rsidR="00124621" w:rsidRPr="00002D92">
              <w:rPr>
                <w:color w:val="auto"/>
              </w:rPr>
              <w:t>.</w:t>
            </w:r>
            <w:r w:rsidRPr="00002D92">
              <w:rPr>
                <w:color w:val="auto"/>
              </w:rPr>
              <w:t>2</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shd w:val="clear" w:color="auto" w:fill="FFFFFF" w:themeFill="background1"/>
          </w:tcPr>
          <w:p w:rsidR="0007331F" w:rsidRPr="00002D92" w:rsidRDefault="0007331F" w:rsidP="0007331F">
            <w:pPr>
              <w:widowControl w:val="0"/>
              <w:shd w:val="clear" w:color="auto" w:fill="FFFFFF" w:themeFill="background1"/>
              <w:spacing w:line="276" w:lineRule="auto"/>
              <w:ind w:left="284"/>
              <w:jc w:val="left"/>
              <w:rPr>
                <w:rFonts w:eastAsia="Times New Roman"/>
                <w:bCs/>
                <w:color w:val="auto"/>
                <w:szCs w:val="24"/>
              </w:rPr>
            </w:pPr>
            <w:r w:rsidRPr="00002D92">
              <w:rPr>
                <w:color w:val="auto"/>
              </w:rPr>
              <w:t>Other current expenditures</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2</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3</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2</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1</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1</w:t>
            </w:r>
            <w:r w:rsidR="00124621" w:rsidRPr="00002D92">
              <w:rPr>
                <w:color w:val="auto"/>
              </w:rPr>
              <w:t>.</w:t>
            </w:r>
            <w:r w:rsidRPr="00002D92">
              <w:rPr>
                <w:color w:val="auto"/>
              </w:rPr>
              <w:t>1</w:t>
            </w:r>
          </w:p>
        </w:tc>
      </w:tr>
      <w:tr w:rsidR="0007331F" w:rsidRPr="00002D92" w:rsidTr="0007331F">
        <w:trPr>
          <w:trHeight w:hRule="exact" w:val="284"/>
        </w:trPr>
        <w:tc>
          <w:tcPr>
            <w:tcW w:w="1934" w:type="pct"/>
            <w:shd w:val="clear" w:color="auto" w:fill="FFFFFF" w:themeFill="background1"/>
          </w:tcPr>
          <w:p w:rsidR="0007331F" w:rsidRPr="00002D92" w:rsidRDefault="0007331F" w:rsidP="0007331F">
            <w:pPr>
              <w:widowControl w:val="0"/>
              <w:shd w:val="clear" w:color="auto" w:fill="FFFFFF" w:themeFill="background1"/>
              <w:spacing w:line="276" w:lineRule="auto"/>
              <w:rPr>
                <w:rFonts w:eastAsia="Times New Roman"/>
                <w:bCs/>
                <w:color w:val="auto"/>
                <w:szCs w:val="24"/>
              </w:rPr>
            </w:pPr>
            <w:r w:rsidRPr="00002D92">
              <w:rPr>
                <w:color w:val="auto"/>
              </w:rPr>
              <w:t xml:space="preserve"> Capital expenditures</w:t>
            </w:r>
          </w:p>
        </w:tc>
        <w:tc>
          <w:tcPr>
            <w:tcW w:w="766" w:type="pct"/>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7</w:t>
            </w:r>
            <w:r w:rsidR="00124621" w:rsidRPr="00002D92">
              <w:rPr>
                <w:color w:val="auto"/>
              </w:rPr>
              <w:t>.</w:t>
            </w:r>
            <w:r w:rsidRPr="00002D92">
              <w:rPr>
                <w:color w:val="auto"/>
              </w:rPr>
              <w:t>2</w:t>
            </w:r>
          </w:p>
        </w:tc>
        <w:tc>
          <w:tcPr>
            <w:tcW w:w="6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7</w:t>
            </w:r>
            <w:r w:rsidR="00124621" w:rsidRPr="00002D92">
              <w:rPr>
                <w:color w:val="auto"/>
              </w:rPr>
              <w:t>.</w:t>
            </w:r>
            <w:r w:rsidRPr="00002D92">
              <w:rPr>
                <w:color w:val="auto"/>
              </w:rPr>
              <w:t>1</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6</w:t>
            </w:r>
            <w:r w:rsidR="00124621" w:rsidRPr="00002D92">
              <w:rPr>
                <w:color w:val="auto"/>
              </w:rPr>
              <w:t>.</w:t>
            </w:r>
            <w:r w:rsidRPr="00002D92">
              <w:rPr>
                <w:color w:val="auto"/>
              </w:rPr>
              <w:t>7</w:t>
            </w:r>
          </w:p>
        </w:tc>
        <w:tc>
          <w:tcPr>
            <w:tcW w:w="549"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6</w:t>
            </w:r>
            <w:r w:rsidR="00124621" w:rsidRPr="00002D92">
              <w:rPr>
                <w:color w:val="auto"/>
              </w:rPr>
              <w:t>.</w:t>
            </w:r>
            <w:r w:rsidRPr="00002D92">
              <w:rPr>
                <w:color w:val="auto"/>
              </w:rPr>
              <w:t>4</w:t>
            </w:r>
          </w:p>
        </w:tc>
        <w:tc>
          <w:tcPr>
            <w:tcW w:w="553" w:type="pct"/>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6</w:t>
            </w:r>
            <w:r w:rsidR="00124621" w:rsidRPr="00002D92">
              <w:rPr>
                <w:color w:val="auto"/>
              </w:rPr>
              <w:t>.</w:t>
            </w:r>
            <w:r w:rsidRPr="00002D92">
              <w:rPr>
                <w:color w:val="auto"/>
              </w:rPr>
              <w:t>1</w:t>
            </w:r>
          </w:p>
        </w:tc>
      </w:tr>
      <w:tr w:rsidR="0007331F" w:rsidRPr="00002D92" w:rsidTr="0007331F">
        <w:trPr>
          <w:cnfStyle w:val="000000100000" w:firstRow="0" w:lastRow="0" w:firstColumn="0" w:lastColumn="0" w:oddVBand="0" w:evenVBand="0" w:oddHBand="1" w:evenHBand="0" w:firstRowFirstColumn="0" w:firstRowLastColumn="0" w:lastRowFirstColumn="0" w:lastRowLastColumn="0"/>
          <w:trHeight w:hRule="exact" w:val="284"/>
        </w:trPr>
        <w:tc>
          <w:tcPr>
            <w:tcW w:w="1934" w:type="pct"/>
            <w:tcBorders>
              <w:bottom w:val="nil"/>
            </w:tcBorders>
            <w:shd w:val="clear" w:color="auto" w:fill="FFFFFF" w:themeFill="background1"/>
            <w:noWrap/>
          </w:tcPr>
          <w:p w:rsidR="0007331F" w:rsidRPr="00002D92" w:rsidRDefault="0007331F" w:rsidP="0007331F">
            <w:pPr>
              <w:widowControl w:val="0"/>
              <w:shd w:val="clear" w:color="auto" w:fill="FFFFFF" w:themeFill="background1"/>
              <w:spacing w:line="276" w:lineRule="auto"/>
              <w:rPr>
                <w:rFonts w:eastAsia="Times New Roman"/>
                <w:bCs/>
                <w:color w:val="auto"/>
                <w:szCs w:val="24"/>
              </w:rPr>
            </w:pPr>
            <w:r w:rsidRPr="00002D92">
              <w:rPr>
                <w:color w:val="auto"/>
              </w:rPr>
              <w:t xml:space="preserve"> Net lending</w:t>
            </w:r>
          </w:p>
        </w:tc>
        <w:tc>
          <w:tcPr>
            <w:tcW w:w="766" w:type="pct"/>
            <w:tcBorders>
              <w:bottom w:val="nil"/>
            </w:tcBorders>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2</w:t>
            </w:r>
          </w:p>
        </w:tc>
        <w:tc>
          <w:tcPr>
            <w:tcW w:w="649" w:type="pct"/>
            <w:tcBorders>
              <w:bottom w:val="nil"/>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2</w:t>
            </w:r>
          </w:p>
        </w:tc>
        <w:tc>
          <w:tcPr>
            <w:tcW w:w="549" w:type="pct"/>
            <w:tcBorders>
              <w:bottom w:val="nil"/>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1</w:t>
            </w:r>
          </w:p>
        </w:tc>
        <w:tc>
          <w:tcPr>
            <w:tcW w:w="549" w:type="pct"/>
            <w:tcBorders>
              <w:bottom w:val="nil"/>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1</w:t>
            </w:r>
          </w:p>
        </w:tc>
        <w:tc>
          <w:tcPr>
            <w:tcW w:w="553" w:type="pct"/>
            <w:tcBorders>
              <w:bottom w:val="nil"/>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1</w:t>
            </w:r>
          </w:p>
        </w:tc>
      </w:tr>
      <w:tr w:rsidR="0007331F" w:rsidRPr="00002D92" w:rsidTr="0007331F">
        <w:trPr>
          <w:trHeight w:hRule="exact" w:val="284"/>
        </w:trPr>
        <w:tc>
          <w:tcPr>
            <w:tcW w:w="1934" w:type="pct"/>
            <w:tcBorders>
              <w:top w:val="nil"/>
              <w:bottom w:val="single" w:sz="4" w:space="0" w:color="002060"/>
            </w:tcBorders>
            <w:shd w:val="clear" w:color="auto" w:fill="FFFFFF" w:themeFill="background1"/>
            <w:noWrap/>
          </w:tcPr>
          <w:p w:rsidR="0007331F" w:rsidRPr="00002D92" w:rsidRDefault="0007331F" w:rsidP="0007331F">
            <w:pPr>
              <w:widowControl w:val="0"/>
              <w:shd w:val="clear" w:color="auto" w:fill="FFFFFF" w:themeFill="background1"/>
              <w:spacing w:line="276" w:lineRule="auto"/>
              <w:rPr>
                <w:rFonts w:eastAsia="Times New Roman"/>
                <w:bCs/>
                <w:color w:val="auto"/>
                <w:szCs w:val="24"/>
              </w:rPr>
            </w:pPr>
            <w:r w:rsidRPr="00002D92">
              <w:rPr>
                <w:color w:val="auto"/>
              </w:rPr>
              <w:t>Activated guarantees</w:t>
            </w:r>
          </w:p>
        </w:tc>
        <w:tc>
          <w:tcPr>
            <w:tcW w:w="766" w:type="pct"/>
            <w:tcBorders>
              <w:top w:val="nil"/>
              <w:bottom w:val="single" w:sz="4" w:space="0" w:color="002060"/>
            </w:tcBorders>
            <w:shd w:val="clear" w:color="auto" w:fill="FFFFFF" w:themeFill="background1"/>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3</w:t>
            </w:r>
          </w:p>
        </w:tc>
        <w:tc>
          <w:tcPr>
            <w:tcW w:w="649" w:type="pct"/>
            <w:tcBorders>
              <w:top w:val="nil"/>
              <w:bottom w:val="single" w:sz="4" w:space="0" w:color="002060"/>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2</w:t>
            </w:r>
          </w:p>
        </w:tc>
        <w:tc>
          <w:tcPr>
            <w:tcW w:w="549" w:type="pct"/>
            <w:tcBorders>
              <w:top w:val="nil"/>
              <w:bottom w:val="single" w:sz="4" w:space="0" w:color="002060"/>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2</w:t>
            </w:r>
          </w:p>
        </w:tc>
        <w:tc>
          <w:tcPr>
            <w:tcW w:w="549" w:type="pct"/>
            <w:tcBorders>
              <w:top w:val="nil"/>
              <w:bottom w:val="single" w:sz="4" w:space="0" w:color="002060"/>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2</w:t>
            </w:r>
          </w:p>
        </w:tc>
        <w:tc>
          <w:tcPr>
            <w:tcW w:w="553" w:type="pct"/>
            <w:tcBorders>
              <w:top w:val="nil"/>
              <w:bottom w:val="single" w:sz="4" w:space="0" w:color="002060"/>
            </w:tcBorders>
            <w:shd w:val="clear" w:color="auto" w:fill="FFFFFF" w:themeFill="background1"/>
            <w:noWrap/>
          </w:tcPr>
          <w:p w:rsidR="0007331F" w:rsidRPr="00002D92" w:rsidRDefault="0007331F" w:rsidP="0007331F">
            <w:pPr>
              <w:shd w:val="clear" w:color="auto" w:fill="FFFFFF" w:themeFill="background1"/>
              <w:spacing w:line="276" w:lineRule="auto"/>
              <w:jc w:val="right"/>
              <w:rPr>
                <w:color w:val="auto"/>
                <w:szCs w:val="24"/>
              </w:rPr>
            </w:pPr>
            <w:r w:rsidRPr="00002D92">
              <w:rPr>
                <w:color w:val="auto"/>
              </w:rPr>
              <w:t>0</w:t>
            </w:r>
            <w:r w:rsidR="00124621" w:rsidRPr="00002D92">
              <w:rPr>
                <w:color w:val="auto"/>
              </w:rPr>
              <w:t>.</w:t>
            </w:r>
            <w:r w:rsidRPr="00002D92">
              <w:rPr>
                <w:color w:val="auto"/>
              </w:rPr>
              <w:t>2</w:t>
            </w:r>
          </w:p>
        </w:tc>
      </w:tr>
    </w:tbl>
    <w:p w:rsidR="0007331F" w:rsidRPr="00002D92" w:rsidRDefault="0007331F" w:rsidP="0007331F">
      <w:pPr>
        <w:rPr>
          <w:rFonts w:cs="Times New Roman"/>
          <w:sz w:val="22"/>
          <w:szCs w:val="24"/>
          <w:lang w:eastAsia="ja-JP"/>
        </w:rPr>
      </w:pPr>
      <w:bookmarkStart w:id="33" w:name="_Toc185342336"/>
      <w:r w:rsidRPr="00002D92">
        <w:rPr>
          <w:rFonts w:cs="Times New Roman"/>
          <w:sz w:val="22"/>
          <w:szCs w:val="24"/>
          <w:lang w:eastAsia="ja-JP"/>
        </w:rPr>
        <w:t>Source</w:t>
      </w:r>
      <w:r w:rsidRPr="00002D92">
        <w:rPr>
          <w:rFonts w:cs="Times New Roman"/>
          <w:sz w:val="22"/>
          <w:szCs w:val="24"/>
          <w:lang w:val="sr-Cyrl-RS" w:eastAsia="ja-JP"/>
        </w:rPr>
        <w:t>: М</w:t>
      </w:r>
      <w:r w:rsidRPr="00002D92">
        <w:rPr>
          <w:rFonts w:cs="Times New Roman"/>
          <w:sz w:val="22"/>
          <w:szCs w:val="24"/>
          <w:lang w:eastAsia="ja-JP"/>
        </w:rPr>
        <w:t>inistry of Finance</w:t>
      </w:r>
    </w:p>
    <w:p w:rsidR="0007331F" w:rsidRPr="00002D92" w:rsidRDefault="0007331F" w:rsidP="0007331F">
      <w:pPr>
        <w:spacing w:before="40" w:after="180"/>
        <w:rPr>
          <w:rFonts w:eastAsia="Calibri" w:cs="Times New Roman"/>
          <w:szCs w:val="24"/>
          <w:lang w:val="sr-Cyrl-RS" w:eastAsia="ja-JP"/>
        </w:rPr>
      </w:pPr>
      <w:r w:rsidRPr="00002D92">
        <w:rPr>
          <w:rFonts w:eastAsia="Calibri" w:cs="Times New Roman"/>
          <w:szCs w:val="24"/>
          <w:lang w:val="sr-Cyrl-RS" w:eastAsia="ja-JP"/>
        </w:rPr>
        <w:t>The fiscal space envisaged for wage growth in the coming period will increase moderately and in a controlled manner, with consistent monitoring of their share in GDP. The planned increase in 2025 is primarily the result of the expansion of the general government sector coverage and wage increases in education and healthcare during the year, with the objective of implementing wage improvements within the boundaries of public finance sustainability and while preserving key fiscal indicators.</w:t>
      </w:r>
    </w:p>
    <w:p w:rsidR="0007331F" w:rsidRPr="00002D92" w:rsidRDefault="0007331F" w:rsidP="0007331F">
      <w:pPr>
        <w:spacing w:before="40" w:after="180"/>
        <w:rPr>
          <w:rFonts w:eastAsia="Calibri" w:cs="Times New Roman"/>
          <w:szCs w:val="24"/>
          <w:lang w:val="sr-Cyrl-RS" w:eastAsia="ja-JP"/>
        </w:rPr>
      </w:pPr>
      <w:r w:rsidRPr="00002D92">
        <w:rPr>
          <w:rFonts w:eastAsia="Calibri" w:cs="Times New Roman"/>
          <w:szCs w:val="24"/>
          <w:lang w:val="sr-Cyrl-RS" w:eastAsia="ja-JP"/>
        </w:rPr>
        <w:t xml:space="preserve">The legal framework is defined by Article 27e of the Budget System Law, which caps employee compensation in the general government sector at 10% of GDP. Wage alignment across all institutions (entities) within the general government is constrained by this limit, which is adjusted upward in the event of an expansion of coverage (inclusion of new entities) and downward in the event of a reduction of coverage (exclusion of entities). Thus, in 2023, due to the inclusion of funds from other financing sources of healthcare institutions and secondary </w:t>
      </w:r>
      <w:r w:rsidRPr="00002D92">
        <w:rPr>
          <w:rFonts w:eastAsia="Calibri" w:cs="Times New Roman"/>
          <w:szCs w:val="24"/>
          <w:lang w:val="sr-Cyrl-RS" w:eastAsia="ja-JP"/>
        </w:rPr>
        <w:lastRenderedPageBreak/>
        <w:t>schools, and given an estimated level of employee compensation of 0.2% of GDP, the maximum limit was increased to 10.2% of GDP. During 2024, the coverage was further expanded to include a number of off-budget beneficiaries (public agencies, institutes, and other entities). Considering that the wage bill in these institutions amounts to around 0.2% of GDP, the limit was raised to 10.4% of GDP. The inclusion of revenues and expenditures from other financing sources of primary schools in the fiscal framework in 2025 raises the limit to 10.5% of GDP, while for 2026 the planned inclusion of other funding sources of higher education institutions will increase the limit for employee compensation to 10.6% of GDP.</w:t>
      </w:r>
    </w:p>
    <w:p w:rsidR="0007331F" w:rsidRPr="00002D92" w:rsidRDefault="0007331F" w:rsidP="0007331F">
      <w:pPr>
        <w:spacing w:before="40" w:after="180"/>
        <w:rPr>
          <w:rFonts w:eastAsia="Calibri" w:cs="Times New Roman"/>
          <w:szCs w:val="24"/>
          <w:lang w:val="sr-Cyrl-RS" w:eastAsia="ja-JP"/>
        </w:rPr>
      </w:pPr>
      <w:r w:rsidRPr="00002D92">
        <w:rPr>
          <w:rFonts w:eastAsia="Calibri" w:cs="Times New Roman"/>
          <w:szCs w:val="24"/>
          <w:lang w:val="sr-Cyrl-RS" w:eastAsia="ja-JP"/>
        </w:rPr>
        <w:t>The inclusion of expenditures financed from other sources for indirect budget beneficiaries has also affected spending on goods and services. The effect of including new entities is estimated to have increased this category by around 0.2% of GDP in 2025, while the additional inclusion of indirect beneficiaries in 2026 is projected to generate an effect of 0.15% of GDP. Nonetheless, a gradual decline in the share of spending on goods and services in GDP is expected over the medium term, in line with measures aimed at rationalization and improving the efficiency of public spending.</w:t>
      </w:r>
    </w:p>
    <w:p w:rsidR="0007331F" w:rsidRPr="00002D92" w:rsidRDefault="0007331F" w:rsidP="0007331F">
      <w:pPr>
        <w:spacing w:before="40" w:after="180"/>
        <w:rPr>
          <w:rFonts w:eastAsia="Calibri" w:cs="Times New Roman"/>
          <w:szCs w:val="24"/>
          <w:lang w:val="sr-Cyrl-RS" w:eastAsia="ja-JP"/>
        </w:rPr>
      </w:pPr>
      <w:r w:rsidRPr="00002D92">
        <w:rPr>
          <w:rFonts w:eastAsia="Calibri" w:cs="Times New Roman"/>
          <w:szCs w:val="24"/>
          <w:lang w:val="sr-Cyrl-RS" w:eastAsia="ja-JP"/>
        </w:rPr>
        <w:t>Social assistance and transfers to the population represent the largest expenditure category of the state budget, with pensions constituting the largest single item and the key determinant of the trajectory of total transfers and social protection expenditures (as a share of GDP). The application of the pension indexation formula is determined by their share in GDP, in accordance with the dedicated fiscal rule set out in the Budget System Law: in 2024, pensions were indexed by wage growth; in 2025, the Swiss formula was applied; in 2026, pensions will be aligned with the growth of the average wage (12.2%); and in 2027 indexation under the Swiss formula is envisaged. Other forms of social benefits and transfers to the population will be adjusted in line with prescribed indexation rules, ongoing and planned policy changes, and the projected number of beneficiaries.</w:t>
      </w:r>
    </w:p>
    <w:p w:rsidR="0007331F" w:rsidRPr="00002D92" w:rsidRDefault="0007331F" w:rsidP="0007331F">
      <w:pPr>
        <w:spacing w:before="40" w:after="180"/>
        <w:rPr>
          <w:rFonts w:eastAsia="Calibri" w:cs="Times New Roman"/>
          <w:szCs w:val="24"/>
          <w:lang w:val="sr-Cyrl-RS" w:eastAsia="ja-JP"/>
        </w:rPr>
      </w:pPr>
      <w:r w:rsidRPr="00002D92">
        <w:rPr>
          <w:rFonts w:eastAsia="Calibri" w:cs="Times New Roman"/>
          <w:szCs w:val="24"/>
          <w:lang w:val="sr-Cyrl-RS" w:eastAsia="ja-JP"/>
        </w:rPr>
        <w:t>In 2024 and 2025, a temporary increase in subsidies as a share of GDP is recorded, driven by higher allocations for agriculture, energy, and transport infrastructure. Over the medium term, subsidies are projected to decline slightly, so that their share in GDP would reach 2.1% by the end of 2028. At the same time, other current expenditures — which include grants to associations, political parties, religious and sports organizations, as well as fines and compensation payments — are expected to gradually decrease as a share of GDP, in line with a policy of expenditure prioritization.</w:t>
      </w:r>
    </w:p>
    <w:p w:rsidR="0007331F" w:rsidRPr="00002D92" w:rsidRDefault="0007331F" w:rsidP="0007331F">
      <w:pPr>
        <w:spacing w:before="40" w:after="180"/>
        <w:rPr>
          <w:rFonts w:eastAsia="Calibri" w:cs="Times New Roman"/>
          <w:szCs w:val="24"/>
          <w:lang w:val="sr-Cyrl-RS" w:eastAsia="ja-JP"/>
        </w:rPr>
      </w:pPr>
      <w:r w:rsidRPr="00002D92">
        <w:rPr>
          <w:rFonts w:eastAsia="Calibri" w:cs="Times New Roman"/>
          <w:szCs w:val="24"/>
          <w:lang w:val="sr-Cyrl-RS" w:eastAsia="ja-JP"/>
        </w:rPr>
        <w:t>Despite challenges posed by the pandemic and the energy crisis, the efficiency of public investment execution has improved significantly in previous years. Over the medium term, further growth in public infrastructure investment is expected, driven by the decision to host the EXPO 2027 international exhibition in Belgrade and the implementation of the “Leap into the Future – Serbia 2027” programme. The largest investment cycle will focus on road, rail, utility, and water infrastructure, while, in addition to transport projects, funding is provided for capital investments in healthcare, energy, environmental protection, education, culture, defense, and other priority areas of the state. Although the trajectory of capital expenditures as a share of GDP is downward, in absolute terms high levels of investment are planned, with an emphasis on quality and timely implementation.</w:t>
      </w:r>
    </w:p>
    <w:p w:rsidR="0007331F" w:rsidRPr="00002D92" w:rsidRDefault="0007331F" w:rsidP="0007331F">
      <w:pPr>
        <w:spacing w:before="40" w:after="180"/>
        <w:rPr>
          <w:rFonts w:eastAsia="Calibri" w:cs="Times New Roman"/>
          <w:szCs w:val="24"/>
          <w:lang w:val="sr-Cyrl-RS" w:eastAsia="ja-JP"/>
        </w:rPr>
      </w:pPr>
      <w:r w:rsidRPr="00002D92">
        <w:rPr>
          <w:rFonts w:eastAsia="Calibri" w:cs="Times New Roman"/>
          <w:szCs w:val="24"/>
          <w:lang w:val="sr-Cyrl-RS" w:eastAsia="ja-JP"/>
        </w:rPr>
        <w:t xml:space="preserve">The strategic orientation of fiscal policy over the medium term includes increasing infrastructure investments at all levels of government. At the local level, priority is given to projects for water supply and sewage networks, waste management, and improvements in local road infrastructure, thereby promoting more balanced regional development and improving the </w:t>
      </w:r>
      <w:r w:rsidRPr="00002D92">
        <w:rPr>
          <w:rFonts w:eastAsia="Calibri" w:cs="Times New Roman"/>
          <w:szCs w:val="24"/>
          <w:lang w:val="sr-Cyrl-RS" w:eastAsia="ja-JP"/>
        </w:rPr>
        <w:lastRenderedPageBreak/>
        <w:t>quality of life of the population. Within the medium-term fiscal framework, local self-governments — considered collectively — are expected to maintain an approximately balanced budget until the end of 2028, in line with previous years’ trends when a total surplus was achieved, primarily thanks to debt repayment dynamics. At the same time, it is emphasized that individual municipalities and cities may record a deficit in line with their own fiscal position, while observing applicable fiscal rules.</w:t>
      </w:r>
    </w:p>
    <w:p w:rsidR="0007331F" w:rsidRPr="00002D92" w:rsidRDefault="0007331F" w:rsidP="00DD35A0">
      <w:pPr>
        <w:spacing w:before="40" w:after="180"/>
        <w:rPr>
          <w:rFonts w:eastAsia="Calibri" w:cs="Times New Roman"/>
          <w:szCs w:val="24"/>
          <w:lang w:val="sr-Cyrl-RS" w:eastAsia="ja-JP"/>
        </w:rPr>
      </w:pPr>
      <w:r w:rsidRPr="00002D92">
        <w:rPr>
          <w:rFonts w:eastAsia="Calibri" w:cs="Times New Roman"/>
          <w:szCs w:val="24"/>
          <w:lang w:val="sr-Cyrl-RS" w:eastAsia="ja-JP"/>
        </w:rPr>
        <w:t>The level of budget lending and repayments under guaranteed debt is planned to remain stable and low throughout the period, at around 0.3% of GDP annually. This approach contributes to reducing refinancing risks and strengthens public finance stability, while leaving room for priority development-oriented expenditures.</w:t>
      </w:r>
    </w:p>
    <w:p w:rsidR="005918D2" w:rsidRPr="00002D92" w:rsidRDefault="005918D2" w:rsidP="005918D2">
      <w:pPr>
        <w:pStyle w:val="Heading11"/>
        <w:spacing w:before="180" w:after="180"/>
        <w:rPr>
          <w:rFonts w:ascii="Times New Roman" w:hAnsi="Times New Roman" w:cs="Times New Roman"/>
          <w:color w:val="auto"/>
          <w:sz w:val="24"/>
          <w:szCs w:val="24"/>
          <w:lang w:val="sr-Latn-RS"/>
        </w:rPr>
      </w:pPr>
      <w:bookmarkStart w:id="34" w:name="_Toc221106876"/>
      <w:r w:rsidRPr="00002D92">
        <w:rPr>
          <w:rFonts w:ascii="Times New Roman" w:hAnsi="Times New Roman" w:cs="Times New Roman"/>
          <w:color w:val="auto"/>
          <w:sz w:val="24"/>
          <w:szCs w:val="24"/>
          <w:lang w:val="sr-Latn-RS"/>
        </w:rPr>
        <w:t xml:space="preserve">4.4. </w:t>
      </w:r>
      <w:bookmarkEnd w:id="33"/>
      <w:r w:rsidR="0007331F" w:rsidRPr="00002D92">
        <w:rPr>
          <w:rFonts w:ascii="Times New Roman" w:hAnsi="Times New Roman" w:cs="Times New Roman"/>
          <w:color w:val="auto"/>
          <w:sz w:val="24"/>
          <w:szCs w:val="24"/>
          <w:lang w:val="sr-Latn-RS"/>
        </w:rPr>
        <w:t>CYCLICALLY ADJUSTED AND STRUCTURAL FISCAL BALANCE</w:t>
      </w:r>
      <w:bookmarkEnd w:id="34"/>
    </w:p>
    <w:p w:rsidR="002D5C73" w:rsidRPr="00002D92" w:rsidRDefault="00C81806" w:rsidP="005918D2">
      <w:pPr>
        <w:jc w:val="center"/>
        <w:rPr>
          <w:rFonts w:eastAsia="MS PGothic" w:cs="Times New Roman"/>
          <w:szCs w:val="24"/>
          <w:lang w:val="sr-Latn-RS" w:eastAsia="ja-JP"/>
        </w:rPr>
      </w:pPr>
      <w:r w:rsidRPr="00002D92">
        <w:rPr>
          <w:rFonts w:eastAsia="MS PGothic" w:cs="Times New Roman"/>
          <w:szCs w:val="24"/>
          <w:lang w:val="sr-Cyrl-RS" w:eastAsia="ja-JP"/>
        </w:rPr>
        <w:t>The cyclically adjusted fiscal balance is the fiscal balance from which the isolated impact of the economic cycle has been excluded, and the identity from which it is derived is as follows</w:t>
      </w:r>
      <w:r w:rsidRPr="00002D92">
        <w:rPr>
          <w:rFonts w:eastAsia="MS PGothic" w:cs="Times New Roman"/>
          <w:szCs w:val="24"/>
          <w:lang w:val="sr-Latn-RS" w:eastAsia="ja-JP"/>
        </w:rPr>
        <w:t>:</w:t>
      </w:r>
    </w:p>
    <w:p w:rsidR="005918D2" w:rsidRPr="00002D92" w:rsidRDefault="00C81806" w:rsidP="005918D2">
      <w:pPr>
        <w:jc w:val="center"/>
        <w:rPr>
          <w:rFonts w:eastAsia="MS PGothic" w:cs="Times New Roman"/>
          <w:szCs w:val="24"/>
          <w:lang w:val="sr-Cyrl-RS" w:eastAsia="ja-JP"/>
        </w:rPr>
      </w:pPr>
      <w:r w:rsidRPr="00002D92">
        <w:rPr>
          <w:rStyle w:val="FootnoteReference"/>
          <w:rFonts w:eastAsia="MS PGothic" w:cs="Times New Roman"/>
          <w:szCs w:val="24"/>
          <w:lang w:val="sr-Cyrl-RS" w:eastAsia="ja-JP"/>
        </w:rPr>
        <w:t xml:space="preserve"> </w:t>
      </w:r>
      <w:r w:rsidR="005918D2" w:rsidRPr="00002D92">
        <w:rPr>
          <w:rStyle w:val="FootnoteReference"/>
          <w:rFonts w:eastAsia="MS PGothic" w:cs="Times New Roman"/>
          <w:szCs w:val="24"/>
          <w:lang w:val="sr-Cyrl-RS" w:eastAsia="ja-JP"/>
        </w:rPr>
        <w:footnoteReference w:id="9"/>
      </w:r>
      <w:r w:rsidR="005918D2" w:rsidRPr="00002D92">
        <w:rPr>
          <w:rFonts w:eastAsia="MS PGothic" w:cs="Times New Roman"/>
          <w:szCs w:val="24"/>
          <w:lang w:val="sr-Cyrl-RS" w:eastAsia="ja-JP"/>
        </w:rPr>
        <w:t>FB = CB + CAB</w:t>
      </w:r>
    </w:p>
    <w:p w:rsidR="002D5C73" w:rsidRPr="00002D92" w:rsidRDefault="002D5C73" w:rsidP="002D5C73">
      <w:pPr>
        <w:rPr>
          <w:rFonts w:eastAsia="MS PGothic" w:cs="Times New Roman"/>
          <w:szCs w:val="24"/>
          <w:lang w:val="sr-Cyrl-RS" w:eastAsia="ja-JP"/>
        </w:rPr>
      </w:pPr>
      <w:r w:rsidRPr="00002D92">
        <w:rPr>
          <w:rFonts w:eastAsia="MS PGothic" w:cs="Times New Roman"/>
          <w:szCs w:val="24"/>
          <w:lang w:val="sr-Cyrl-RS" w:eastAsia="ja-JP"/>
        </w:rPr>
        <w:t>The part of the fiscal balance (FB) that is not affected by cyclical fluctuations is referred to as the cyclically adjusted fiscal balance (CAB), and the purpose of this procedure is to isolate the cyclical component of the fiscal balance (CB), which results from the influence of the output gap. The actual fiscal balance will be equal to the cyclically adjusted one in the case where the output gap equals zero, i.e. when the growth rate of real GDP is equal to the potential rate. The structural fiscal balance is further calculated by eliminating one-off effects on both the revenue and expenditure sides, thereby indicating the structural (permanent) fiscal position.</w:t>
      </w:r>
    </w:p>
    <w:p w:rsidR="002D5C73" w:rsidRPr="00002D92" w:rsidRDefault="002D5C73" w:rsidP="002D5C73">
      <w:pPr>
        <w:rPr>
          <w:rFonts w:eastAsia="MS PGothic" w:cs="Times New Roman"/>
          <w:szCs w:val="24"/>
          <w:lang w:val="sr-Cyrl-RS" w:eastAsia="ja-JP"/>
        </w:rPr>
      </w:pPr>
      <w:r w:rsidRPr="00002D92">
        <w:rPr>
          <w:rFonts w:eastAsia="MS PGothic" w:cs="Times New Roman"/>
          <w:szCs w:val="24"/>
          <w:lang w:val="sr-Cyrl-RS" w:eastAsia="ja-JP"/>
        </w:rPr>
        <w:t>The fiscal space built up over the previous period, along with the significantly improved structural fiscal position of the country, has created the conditions for a more accommodative fiscal policy response in times of crisis.</w:t>
      </w:r>
    </w:p>
    <w:p w:rsidR="002D5C73" w:rsidRPr="00002D92" w:rsidRDefault="002D5C73" w:rsidP="002D5C73">
      <w:pPr>
        <w:rPr>
          <w:rFonts w:eastAsia="MS PGothic" w:cs="Times New Roman"/>
          <w:bCs/>
          <w:i/>
          <w:szCs w:val="24"/>
          <w:lang w:val="sr-Cyrl-RS"/>
        </w:rPr>
      </w:pPr>
      <w:r w:rsidRPr="00002D92">
        <w:rPr>
          <w:rFonts w:eastAsia="Times New Roman" w:cs="Times New Roman"/>
          <w:szCs w:val="24"/>
        </w:rPr>
        <w:t>With the outbreak of the COVID-19 pandemic at the beginning of 2020 and the introduction of measures to protect public health, the global economy entered an unprecedented crisis. The impact on the fiscal position was visible through reduced budget revenues, which were a consequence of the slowdown in economic activity caused by the pandemic, and dramatically higher expenditures driven by increased healthcare costs and the adoption of a comprehensive support package for the economy and citizens. In such a situation, the usual analysis of the economic cycle, quantification of fiscal multipliers, and assessment of the fiscal balance’s elasticity in relation to the output gap do not provide entirely accurate evaluations of the country’s fiscal position. The fiscal policy response to the complex economic situation caused by the coronavirus pandemic in 2020 and 2021 was represented by an extensive package of support measures for the economy. In the absence of support measures for the economy and the population, the mild GDP decline in 2020 and the strong recovery in 2021 would not have occurred, while a deeper economic contraction would have led to a significantly slower recovery in the following medium-term period.</w:t>
      </w:r>
    </w:p>
    <w:p w:rsidR="00777285" w:rsidRPr="00002D92" w:rsidRDefault="00777285" w:rsidP="005918D2">
      <w:pPr>
        <w:rPr>
          <w:rFonts w:eastAsia="MS PGothic" w:cs="Times New Roman"/>
          <w:bCs/>
          <w:i/>
          <w:szCs w:val="24"/>
          <w:lang w:val="sr-Cyrl-RS"/>
        </w:rPr>
      </w:pPr>
    </w:p>
    <w:p w:rsidR="002D5C73" w:rsidRPr="00002D92" w:rsidRDefault="002D5C73" w:rsidP="005918D2">
      <w:pPr>
        <w:rPr>
          <w:rFonts w:eastAsia="MS PGothic" w:cs="Times New Roman"/>
          <w:bCs/>
          <w:i/>
          <w:szCs w:val="24"/>
          <w:lang w:val="sr-Cyrl-RS"/>
        </w:rPr>
      </w:pPr>
    </w:p>
    <w:p w:rsidR="00944A44" w:rsidRPr="00002D92" w:rsidRDefault="00944A44" w:rsidP="0098177C">
      <w:pPr>
        <w:rPr>
          <w:rFonts w:eastAsia="MS PGothic" w:cs="Times New Roman"/>
          <w:bCs/>
          <w:i/>
          <w:szCs w:val="24"/>
          <w:lang w:val="sr-Cyrl-RS"/>
        </w:rPr>
      </w:pPr>
    </w:p>
    <w:p w:rsidR="00944A44" w:rsidRPr="00002D92" w:rsidRDefault="00944A44" w:rsidP="0098177C">
      <w:pPr>
        <w:rPr>
          <w:rFonts w:eastAsia="MS PGothic" w:cs="Times New Roman"/>
          <w:bCs/>
          <w:i/>
          <w:szCs w:val="24"/>
          <w:lang w:val="sr-Cyrl-RS"/>
        </w:rPr>
      </w:pPr>
      <w:r w:rsidRPr="00002D92">
        <w:rPr>
          <w:rFonts w:eastAsia="MS PGothic" w:cs="Times New Roman"/>
          <w:bCs/>
          <w:i/>
          <w:szCs w:val="24"/>
          <w:lang w:val="sr-Cyrl-RS"/>
        </w:rPr>
        <w:lastRenderedPageBreak/>
        <w:t>Т</w:t>
      </w:r>
      <w:r w:rsidRPr="00002D92">
        <w:rPr>
          <w:rFonts w:eastAsia="MS PGothic" w:cs="Times New Roman"/>
          <w:bCs/>
          <w:i/>
          <w:szCs w:val="24"/>
        </w:rPr>
        <w:t>able</w:t>
      </w:r>
      <w:r w:rsidRPr="00002D92">
        <w:rPr>
          <w:rFonts w:eastAsia="MS PGothic" w:cs="Times New Roman"/>
          <w:bCs/>
          <w:i/>
          <w:szCs w:val="24"/>
          <w:lang w:val="sr-Cyrl-RS"/>
        </w:rPr>
        <w:t xml:space="preserve"> 10</w:t>
      </w:r>
      <w:r w:rsidR="003B22A7" w:rsidRPr="00002D92">
        <w:rPr>
          <w:rFonts w:eastAsia="MS PGothic" w:cs="Times New Roman"/>
          <w:bCs/>
          <w:i/>
          <w:szCs w:val="24"/>
          <w:lang w:val="sr-Latn-RS"/>
        </w:rPr>
        <w:t>:</w:t>
      </w:r>
      <w:r w:rsidRPr="00002D92">
        <w:rPr>
          <w:rFonts w:eastAsia="MS PGothic" w:cs="Times New Roman"/>
          <w:bCs/>
          <w:i/>
          <w:szCs w:val="24"/>
        </w:rPr>
        <w:t xml:space="preserve"> </w:t>
      </w:r>
      <w:r w:rsidRPr="00002D92">
        <w:rPr>
          <w:rFonts w:eastAsia="MS PGothic" w:cs="Times New Roman"/>
          <w:bCs/>
          <w:i/>
          <w:szCs w:val="24"/>
          <w:lang w:val="sr-Cyrl-RS"/>
        </w:rPr>
        <w:t>Fiscal balance and components for the calculation of the cyclically adjusted balance</w:t>
      </w:r>
    </w:p>
    <w:p w:rsidR="00944A44" w:rsidRPr="00002D92" w:rsidRDefault="00944A44" w:rsidP="00944A44">
      <w:pPr>
        <w:rPr>
          <w:rFonts w:eastAsia="MS PGothic" w:cs="Times New Roman"/>
          <w:bCs/>
          <w:i/>
          <w:szCs w:val="24"/>
          <w:lang w:val="sr-Cyrl-RS"/>
        </w:rPr>
      </w:pPr>
      <w:r w:rsidRPr="00002D92">
        <w:rPr>
          <w:rFonts w:eastAsia="MS PGothic" w:cs="Times New Roman"/>
          <w:bCs/>
          <w:i/>
          <w:szCs w:val="24"/>
          <w:lang w:val="sr-Cyrl-RS"/>
        </w:rPr>
        <w:t>for the period 2005–2028, % of GDP*</w:t>
      </w:r>
    </w:p>
    <w:tbl>
      <w:tblPr>
        <w:tblStyle w:val="PlainTable2"/>
        <w:tblW w:w="0" w:type="auto"/>
        <w:jc w:val="center"/>
        <w:tblLayout w:type="fixed"/>
        <w:tblLook w:val="04A0" w:firstRow="1" w:lastRow="0" w:firstColumn="1" w:lastColumn="0" w:noHBand="0" w:noVBand="1"/>
      </w:tblPr>
      <w:tblGrid>
        <w:gridCol w:w="709"/>
        <w:gridCol w:w="1039"/>
        <w:gridCol w:w="1040"/>
        <w:gridCol w:w="1039"/>
        <w:gridCol w:w="1040"/>
        <w:gridCol w:w="1040"/>
        <w:gridCol w:w="1039"/>
        <w:gridCol w:w="1040"/>
        <w:gridCol w:w="1040"/>
      </w:tblGrid>
      <w:tr w:rsidR="00944A44" w:rsidRPr="00002D92" w:rsidTr="003F6C09">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709" w:type="dxa"/>
            <w:noWrap/>
            <w:vAlign w:val="center"/>
            <w:hideMark/>
          </w:tcPr>
          <w:p w:rsidR="00944A44" w:rsidRPr="00002D92" w:rsidRDefault="00944A44" w:rsidP="00944A44">
            <w:pPr>
              <w:jc w:val="center"/>
              <w:rPr>
                <w:rFonts w:eastAsia="Times New Roman" w:cs="Times New Roman"/>
                <w:sz w:val="16"/>
                <w:szCs w:val="16"/>
                <w:lang w:val="sr-Cyrl-RS"/>
              </w:rPr>
            </w:pPr>
          </w:p>
        </w:tc>
        <w:tc>
          <w:tcPr>
            <w:tcW w:w="1039" w:type="dxa"/>
            <w:vAlign w:val="center"/>
            <w:hideMark/>
          </w:tcPr>
          <w:p w:rsidR="00944A44" w:rsidRPr="00002D92" w:rsidRDefault="00944A44" w:rsidP="00944A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02D92">
              <w:rPr>
                <w:rFonts w:eastAsia="Times New Roman" w:cs="Times New Roman"/>
                <w:b w:val="0"/>
                <w:sz w:val="16"/>
                <w:szCs w:val="16"/>
              </w:rPr>
              <w:t>Output gap</w:t>
            </w:r>
          </w:p>
        </w:tc>
        <w:tc>
          <w:tcPr>
            <w:tcW w:w="1040" w:type="dxa"/>
            <w:vAlign w:val="center"/>
            <w:hideMark/>
          </w:tcPr>
          <w:p w:rsidR="00944A44" w:rsidRPr="00002D92" w:rsidRDefault="00944A44" w:rsidP="00944A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02D92">
              <w:rPr>
                <w:rFonts w:eastAsia="Times New Roman" w:cs="Times New Roman"/>
                <w:b w:val="0"/>
                <w:sz w:val="16"/>
                <w:szCs w:val="16"/>
              </w:rPr>
              <w:t>Fiscal balance</w:t>
            </w:r>
          </w:p>
        </w:tc>
        <w:tc>
          <w:tcPr>
            <w:tcW w:w="1039" w:type="dxa"/>
            <w:vAlign w:val="center"/>
            <w:hideMark/>
          </w:tcPr>
          <w:p w:rsidR="00944A44" w:rsidRPr="00002D92" w:rsidRDefault="00944A44" w:rsidP="00944A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02D92">
              <w:rPr>
                <w:rFonts w:cs="Times New Roman"/>
                <w:b w:val="0"/>
                <w:sz w:val="16"/>
                <w:szCs w:val="16"/>
              </w:rPr>
              <w:t>Primary fiscal balance</w:t>
            </w:r>
          </w:p>
        </w:tc>
        <w:tc>
          <w:tcPr>
            <w:tcW w:w="1040" w:type="dxa"/>
            <w:vAlign w:val="center"/>
            <w:hideMark/>
          </w:tcPr>
          <w:p w:rsidR="00944A44" w:rsidRPr="00002D92" w:rsidRDefault="00944A44" w:rsidP="00944A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02D92">
              <w:rPr>
                <w:rFonts w:cs="Times New Roman"/>
                <w:b w:val="0"/>
                <w:sz w:val="16"/>
                <w:szCs w:val="16"/>
              </w:rPr>
              <w:t>Cyclically adjusted fiscal balance</w:t>
            </w:r>
          </w:p>
        </w:tc>
        <w:tc>
          <w:tcPr>
            <w:tcW w:w="1040" w:type="dxa"/>
            <w:hideMark/>
          </w:tcPr>
          <w:p w:rsidR="00944A44" w:rsidRPr="00002D92" w:rsidRDefault="00944A44" w:rsidP="00944A44">
            <w:pPr>
              <w:jc w:val="center"/>
              <w:cnfStyle w:val="100000000000" w:firstRow="1" w:lastRow="0" w:firstColumn="0" w:lastColumn="0" w:oddVBand="0" w:evenVBand="0" w:oddHBand="0" w:evenHBand="0" w:firstRowFirstColumn="0" w:firstRowLastColumn="0" w:lastRowFirstColumn="0" w:lastRowLastColumn="0"/>
              <w:rPr>
                <w:rFonts w:cs="Times New Roman"/>
                <w:b w:val="0"/>
                <w:sz w:val="16"/>
                <w:szCs w:val="16"/>
              </w:rPr>
            </w:pPr>
            <w:r w:rsidRPr="00002D92">
              <w:rPr>
                <w:rFonts w:cs="Times New Roman"/>
                <w:b w:val="0"/>
                <w:sz w:val="16"/>
                <w:szCs w:val="16"/>
              </w:rPr>
              <w:t>Cyclically adjusted primary fiscal balance</w:t>
            </w:r>
          </w:p>
        </w:tc>
        <w:tc>
          <w:tcPr>
            <w:tcW w:w="1039" w:type="dxa"/>
            <w:vAlign w:val="center"/>
            <w:hideMark/>
          </w:tcPr>
          <w:p w:rsidR="00944A44" w:rsidRPr="00002D92" w:rsidRDefault="00944A44" w:rsidP="00944A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02D92">
              <w:rPr>
                <w:rFonts w:cs="Times New Roman"/>
                <w:b w:val="0"/>
                <w:sz w:val="16"/>
                <w:szCs w:val="16"/>
              </w:rPr>
              <w:t>Structural fiscal balance</w:t>
            </w:r>
          </w:p>
        </w:tc>
        <w:tc>
          <w:tcPr>
            <w:tcW w:w="1040" w:type="dxa"/>
            <w:vAlign w:val="center"/>
            <w:hideMark/>
          </w:tcPr>
          <w:p w:rsidR="00944A44" w:rsidRPr="00002D92" w:rsidRDefault="00944A44" w:rsidP="00944A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02D92">
              <w:rPr>
                <w:rFonts w:cs="Times New Roman"/>
                <w:b w:val="0"/>
                <w:sz w:val="16"/>
                <w:szCs w:val="16"/>
              </w:rPr>
              <w:t>Structural primary fiscal balance</w:t>
            </w:r>
          </w:p>
        </w:tc>
        <w:tc>
          <w:tcPr>
            <w:tcW w:w="1040" w:type="dxa"/>
            <w:vAlign w:val="center"/>
            <w:hideMark/>
          </w:tcPr>
          <w:p w:rsidR="00944A44" w:rsidRPr="00002D92" w:rsidRDefault="00944A44" w:rsidP="00944A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6"/>
                <w:szCs w:val="16"/>
              </w:rPr>
            </w:pPr>
            <w:r w:rsidRPr="00002D92">
              <w:rPr>
                <w:rFonts w:cs="Times New Roman"/>
                <w:b w:val="0"/>
                <w:sz w:val="16"/>
                <w:szCs w:val="16"/>
              </w:rPr>
              <w:t>Fiscal impulse</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2005</w:t>
            </w:r>
          </w:p>
        </w:tc>
        <w:tc>
          <w:tcPr>
            <w:tcW w:w="1039" w:type="dxa"/>
            <w:hideMark/>
          </w:tcPr>
          <w:p w:rsidR="00944A44" w:rsidRPr="00002D92" w:rsidRDefault="00B25773"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944A44" w:rsidRPr="00002D92">
              <w:rPr>
                <w:rFonts w:cs="Times New Roman"/>
              </w:rPr>
              <w:t>0</w:t>
            </w:r>
          </w:p>
        </w:tc>
        <w:tc>
          <w:tcPr>
            <w:tcW w:w="1040" w:type="dxa"/>
            <w:hideMark/>
          </w:tcPr>
          <w:p w:rsidR="00944A44" w:rsidRPr="00002D92" w:rsidRDefault="00B25773"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944A44" w:rsidRPr="00002D92">
              <w:rPr>
                <w:rFonts w:cs="Times New Roman"/>
              </w:rPr>
              <w:t>1</w:t>
            </w:r>
          </w:p>
        </w:tc>
        <w:tc>
          <w:tcPr>
            <w:tcW w:w="1039" w:type="dxa"/>
            <w:hideMark/>
          </w:tcPr>
          <w:p w:rsidR="00944A44" w:rsidRPr="00002D92" w:rsidRDefault="00B25773"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944A44" w:rsidRPr="00002D92">
              <w:rPr>
                <w:rFonts w:cs="Times New Roman"/>
              </w:rPr>
              <w:t>0</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0</w:t>
            </w:r>
          </w:p>
        </w:tc>
        <w:tc>
          <w:tcPr>
            <w:tcW w:w="1039"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3</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2006</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5</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4</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8</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9</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2007</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2</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7</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1</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6</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8</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3</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7</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2008</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1</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4</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9</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8</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3</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9</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4</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7</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2009</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5</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0</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4</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8</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2</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9</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3</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2010</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4</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2</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3</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4</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4</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2</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2011</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3</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3</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5</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3</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7</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0</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2012</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-6</w:t>
            </w:r>
            <w:r w:rsidR="00AC6918" w:rsidRPr="00002D92">
              <w:rPr>
                <w:rFonts w:cs="Times New Roman"/>
              </w:rPr>
              <w:t>.</w:t>
            </w:r>
            <w:r w:rsidRPr="00002D92">
              <w:rPr>
                <w:rFonts w:cs="Times New Roman"/>
              </w:rPr>
              <w:t>2</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-6</w:t>
            </w:r>
            <w:r w:rsidR="00AC6918" w:rsidRPr="00002D92">
              <w:rPr>
                <w:rFonts w:cs="Times New Roman"/>
              </w:rPr>
              <w:t>.</w:t>
            </w:r>
            <w:r w:rsidRPr="00002D92">
              <w:rPr>
                <w:rFonts w:cs="Times New Roman"/>
              </w:rPr>
              <w:t>2</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5</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-6</w:t>
            </w:r>
            <w:r w:rsidR="00AC6918" w:rsidRPr="00002D92">
              <w:rPr>
                <w:rFonts w:cs="Times New Roman"/>
              </w:rPr>
              <w:t>.</w:t>
            </w:r>
            <w:r w:rsidRPr="00002D92">
              <w:rPr>
                <w:rFonts w:cs="Times New Roman"/>
              </w:rPr>
              <w:t>1</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2</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2013</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4</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9</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8</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-5</w:t>
            </w:r>
            <w:r w:rsidR="00AC6918" w:rsidRPr="00002D92">
              <w:rPr>
                <w:rFonts w:cs="Times New Roman"/>
              </w:rPr>
              <w:t>.</w:t>
            </w:r>
            <w:r w:rsidRPr="00002D92">
              <w:rPr>
                <w:rFonts w:cs="Times New Roman"/>
              </w:rPr>
              <w:t>1</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0</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8</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7</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5</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2014</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7</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-5</w:t>
            </w:r>
            <w:r w:rsidR="00AC6918" w:rsidRPr="00002D92">
              <w:rPr>
                <w:rFonts w:cs="Times New Roman"/>
              </w:rPr>
              <w:t>.</w:t>
            </w:r>
            <w:r w:rsidRPr="00002D92">
              <w:rPr>
                <w:rFonts w:cs="Times New Roman"/>
              </w:rPr>
              <w:t>9</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4</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-5</w:t>
            </w:r>
            <w:r w:rsidR="00AC6918" w:rsidRPr="00002D92">
              <w:rPr>
                <w:rFonts w:cs="Times New Roman"/>
              </w:rPr>
              <w:t>.</w:t>
            </w:r>
            <w:r w:rsidRPr="00002D92">
              <w:rPr>
                <w:rFonts w:cs="Times New Roman"/>
              </w:rPr>
              <w:t>3</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8</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9</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2</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2015</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5</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3</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8</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0</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9</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9</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2016</w:t>
            </w:r>
          </w:p>
        </w:tc>
        <w:tc>
          <w:tcPr>
            <w:tcW w:w="1039"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4</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c>
          <w:tcPr>
            <w:tcW w:w="1039"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6</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0</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8</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9</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9</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7</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2017</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7</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3</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7</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6</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9</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2018</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8</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6</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6</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3</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4</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4</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2019</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0</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2</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7</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9</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0</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8</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4</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2020</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5</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-7</w:t>
            </w:r>
            <w:r w:rsidR="00AC6918" w:rsidRPr="00002D92">
              <w:rPr>
                <w:rFonts w:cs="Times New Roman"/>
              </w:rPr>
              <w:t>.</w:t>
            </w:r>
            <w:r w:rsidRPr="00002D92">
              <w:rPr>
                <w:rFonts w:cs="Times New Roman"/>
              </w:rPr>
              <w:t>7</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-5</w:t>
            </w:r>
            <w:r w:rsidR="00AC6918" w:rsidRPr="00002D92">
              <w:rPr>
                <w:rFonts w:cs="Times New Roman"/>
              </w:rPr>
              <w:t>.</w:t>
            </w:r>
            <w:r w:rsidRPr="00002D92">
              <w:rPr>
                <w:rFonts w:cs="Times New Roman"/>
              </w:rPr>
              <w:t>8</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-6</w:t>
            </w:r>
            <w:r w:rsidR="00AC6918" w:rsidRPr="00002D92">
              <w:rPr>
                <w:rFonts w:cs="Times New Roman"/>
              </w:rPr>
              <w:t>.</w:t>
            </w:r>
            <w:r w:rsidRPr="00002D92">
              <w:rPr>
                <w:rFonts w:cs="Times New Roman"/>
              </w:rPr>
              <w:t>8</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9</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8</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5</w:t>
            </w:r>
            <w:r w:rsidR="00AC6918" w:rsidRPr="00002D92">
              <w:rPr>
                <w:rFonts w:cs="Times New Roman"/>
              </w:rPr>
              <w:t>.</w:t>
            </w:r>
            <w:r w:rsidRPr="00002D92">
              <w:rPr>
                <w:rFonts w:cs="Times New Roman"/>
              </w:rPr>
              <w:t>9</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2021</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4</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9</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3</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-4</w:t>
            </w:r>
            <w:r w:rsidR="00AC6918" w:rsidRPr="00002D92">
              <w:rPr>
                <w:rFonts w:cs="Times New Roman"/>
              </w:rPr>
              <w:t>.</w:t>
            </w:r>
            <w:r w:rsidRPr="00002D92">
              <w:rPr>
                <w:rFonts w:cs="Times New Roman"/>
              </w:rPr>
              <w:t>4</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8</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6</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1</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2022</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3</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0</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6</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1</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7</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2023</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4</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1</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2</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7</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6</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0</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0</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2024</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7</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0</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3</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3</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6</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0</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3</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2025</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4</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0</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9</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1</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3</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5</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5</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2026</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0</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0</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7</w:t>
            </w:r>
          </w:p>
        </w:tc>
        <w:tc>
          <w:tcPr>
            <w:tcW w:w="1040"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9</w:t>
            </w:r>
          </w:p>
        </w:tc>
        <w:tc>
          <w:tcPr>
            <w:tcW w:w="1039" w:type="dxa"/>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4</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4</w:t>
            </w:r>
          </w:p>
        </w:tc>
        <w:tc>
          <w:tcPr>
            <w:tcW w:w="1040" w:type="dxa"/>
            <w:noWrap/>
            <w:hideMark/>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2</w:t>
            </w:r>
          </w:p>
        </w:tc>
      </w:tr>
      <w:tr w:rsidR="00944A44" w:rsidRPr="00002D92" w:rsidTr="003F6C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hideMark/>
          </w:tcPr>
          <w:p w:rsidR="00944A44" w:rsidRPr="00002D92" w:rsidRDefault="00944A44" w:rsidP="00944A44">
            <w:pPr>
              <w:jc w:val="left"/>
              <w:rPr>
                <w:rFonts w:eastAsia="Times New Roman" w:cs="Times New Roman"/>
                <w:szCs w:val="24"/>
              </w:rPr>
            </w:pPr>
            <w:r w:rsidRPr="00002D92">
              <w:rPr>
                <w:rFonts w:cs="Times New Roman"/>
              </w:rPr>
              <w:t>2027</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3</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0</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2</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-3</w:t>
            </w:r>
            <w:r w:rsidR="00AC6918" w:rsidRPr="00002D92">
              <w:rPr>
                <w:rFonts w:cs="Times New Roman"/>
              </w:rPr>
              <w:t>.</w:t>
            </w:r>
            <w:r w:rsidRPr="00002D92">
              <w:rPr>
                <w:rFonts w:cs="Times New Roman"/>
              </w:rPr>
              <w:t>1</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3</w:t>
            </w:r>
          </w:p>
        </w:tc>
        <w:tc>
          <w:tcPr>
            <w:tcW w:w="1039"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6</w:t>
            </w:r>
          </w:p>
        </w:tc>
        <w:tc>
          <w:tcPr>
            <w:tcW w:w="1040" w:type="dxa"/>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2</w:t>
            </w:r>
          </w:p>
        </w:tc>
        <w:tc>
          <w:tcPr>
            <w:tcW w:w="1040" w:type="dxa"/>
            <w:noWrap/>
            <w:hideMark/>
          </w:tcPr>
          <w:p w:rsidR="00944A44" w:rsidRPr="00002D92" w:rsidRDefault="00944A44" w:rsidP="00944A4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4</w:t>
            </w:r>
          </w:p>
        </w:tc>
      </w:tr>
      <w:tr w:rsidR="00944A44" w:rsidRPr="00002D92" w:rsidTr="003F6C09">
        <w:trPr>
          <w:trHeight w:val="20"/>
          <w:jc w:val="center"/>
        </w:trPr>
        <w:tc>
          <w:tcPr>
            <w:cnfStyle w:val="001000000000" w:firstRow="0" w:lastRow="0" w:firstColumn="1" w:lastColumn="0" w:oddVBand="0" w:evenVBand="0" w:oddHBand="0" w:evenHBand="0" w:firstRowFirstColumn="0" w:firstRowLastColumn="0" w:lastRowFirstColumn="0" w:lastRowLastColumn="0"/>
            <w:tcW w:w="709" w:type="dxa"/>
            <w:noWrap/>
          </w:tcPr>
          <w:p w:rsidR="00944A44" w:rsidRPr="00002D92" w:rsidRDefault="00944A44" w:rsidP="00944A44">
            <w:pPr>
              <w:jc w:val="left"/>
              <w:rPr>
                <w:rFonts w:eastAsia="Times New Roman" w:cs="Times New Roman"/>
                <w:szCs w:val="24"/>
              </w:rPr>
            </w:pPr>
            <w:r w:rsidRPr="00002D92">
              <w:rPr>
                <w:rFonts w:cs="Times New Roman"/>
              </w:rPr>
              <w:t>2028</w:t>
            </w:r>
          </w:p>
        </w:tc>
        <w:tc>
          <w:tcPr>
            <w:tcW w:w="1039" w:type="dxa"/>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0</w:t>
            </w:r>
          </w:p>
        </w:tc>
        <w:tc>
          <w:tcPr>
            <w:tcW w:w="1040" w:type="dxa"/>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5</w:t>
            </w:r>
          </w:p>
        </w:tc>
        <w:tc>
          <w:tcPr>
            <w:tcW w:w="1039" w:type="dxa"/>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7</w:t>
            </w:r>
          </w:p>
        </w:tc>
        <w:tc>
          <w:tcPr>
            <w:tcW w:w="1040" w:type="dxa"/>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-2</w:t>
            </w:r>
            <w:r w:rsidR="00AC6918" w:rsidRPr="00002D92">
              <w:rPr>
                <w:rFonts w:cs="Times New Roman"/>
              </w:rPr>
              <w:t>.</w:t>
            </w:r>
            <w:r w:rsidRPr="00002D92">
              <w:rPr>
                <w:rFonts w:cs="Times New Roman"/>
              </w:rPr>
              <w:t>5</w:t>
            </w:r>
          </w:p>
        </w:tc>
        <w:tc>
          <w:tcPr>
            <w:tcW w:w="1040" w:type="dxa"/>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7</w:t>
            </w:r>
          </w:p>
        </w:tc>
        <w:tc>
          <w:tcPr>
            <w:tcW w:w="1039" w:type="dxa"/>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-1</w:t>
            </w:r>
            <w:r w:rsidR="00AC6918" w:rsidRPr="00002D92">
              <w:rPr>
                <w:rFonts w:cs="Times New Roman"/>
              </w:rPr>
              <w:t>.</w:t>
            </w:r>
            <w:r w:rsidRPr="00002D92">
              <w:rPr>
                <w:rFonts w:cs="Times New Roman"/>
              </w:rPr>
              <w:t>7</w:t>
            </w:r>
          </w:p>
        </w:tc>
        <w:tc>
          <w:tcPr>
            <w:tcW w:w="1040" w:type="dxa"/>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1</w:t>
            </w:r>
          </w:p>
        </w:tc>
        <w:tc>
          <w:tcPr>
            <w:tcW w:w="1040" w:type="dxa"/>
            <w:noWrap/>
          </w:tcPr>
          <w:p w:rsidR="00944A44" w:rsidRPr="00002D92" w:rsidRDefault="00944A44" w:rsidP="00944A4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002D92">
              <w:rPr>
                <w:rFonts w:cs="Times New Roman"/>
              </w:rPr>
              <w:t>-0</w:t>
            </w:r>
            <w:r w:rsidR="00AC6918" w:rsidRPr="00002D92">
              <w:rPr>
                <w:rFonts w:cs="Times New Roman"/>
              </w:rPr>
              <w:t>.</w:t>
            </w:r>
            <w:r w:rsidRPr="00002D92">
              <w:rPr>
                <w:rFonts w:cs="Times New Roman"/>
              </w:rPr>
              <w:t>6</w:t>
            </w:r>
          </w:p>
        </w:tc>
      </w:tr>
    </w:tbl>
    <w:p w:rsidR="005918D2" w:rsidRPr="00002D92" w:rsidRDefault="0098177C" w:rsidP="00CC2A54">
      <w:pPr>
        <w:spacing w:after="0"/>
        <w:rPr>
          <w:rFonts w:eastAsia="MS PGothic" w:cs="Times New Roman"/>
          <w:bCs/>
          <w:sz w:val="22"/>
          <w:szCs w:val="24"/>
          <w:lang w:val="sr-Cyrl-RS" w:eastAsia="ja-JP"/>
        </w:rPr>
      </w:pPr>
      <w:r w:rsidRPr="00002D92">
        <w:rPr>
          <w:rFonts w:eastAsia="MS PGothic" w:cs="Times New Roman"/>
          <w:bCs/>
          <w:sz w:val="22"/>
          <w:szCs w:val="24"/>
          <w:lang w:val="sr-Cyrl-RS" w:eastAsia="ja-JP"/>
        </w:rPr>
        <w:t>*For the period  2025–2028, projected values are presented</w:t>
      </w:r>
      <w:r w:rsidRPr="00002D92">
        <w:rPr>
          <w:rFonts w:eastAsia="MS PGothic" w:cs="Times New Roman"/>
          <w:bCs/>
          <w:sz w:val="22"/>
          <w:szCs w:val="24"/>
          <w:lang w:eastAsia="ja-JP"/>
        </w:rPr>
        <w:t>.</w:t>
      </w:r>
    </w:p>
    <w:p w:rsidR="005918D2" w:rsidRPr="00002D92" w:rsidRDefault="008C1A16" w:rsidP="00CC2A54">
      <w:pPr>
        <w:spacing w:after="0"/>
        <w:rPr>
          <w:rFonts w:eastAsia="MS PGothic" w:cs="Times New Roman"/>
          <w:bCs/>
          <w:sz w:val="22"/>
          <w:szCs w:val="24"/>
          <w:lang w:val="sr-Cyrl-RS" w:eastAsia="ja-JP"/>
        </w:rPr>
      </w:pPr>
      <w:r w:rsidRPr="00002D92">
        <w:rPr>
          <w:rFonts w:eastAsia="MS PGothic" w:cs="Times New Roman"/>
          <w:bCs/>
          <w:sz w:val="22"/>
          <w:szCs w:val="24"/>
          <w:lang w:val="sr-Cyrl-RS" w:eastAsia="ja-JP"/>
        </w:rPr>
        <w:t>**</w:t>
      </w:r>
      <w:r w:rsidR="0098177C" w:rsidRPr="00002D92">
        <w:rPr>
          <w:rFonts w:eastAsia="MS PGothic" w:cs="Times New Roman"/>
          <w:bCs/>
          <w:sz w:val="22"/>
          <w:szCs w:val="24"/>
          <w:lang w:val="sr-Cyrl-RS" w:eastAsia="ja-JP"/>
        </w:rPr>
        <w:t xml:space="preserve">The structural balances are derived by excluding estimated one-off revenues and expenditures. For the period 2024–2028, a portion of capital expenditures related to the EXPO 2027 exhibition, as well as part of expenditures for military equipment, have also been treated as one-off expenditures. </w:t>
      </w:r>
    </w:p>
    <w:p w:rsidR="00CC2A54" w:rsidRPr="00002D92" w:rsidRDefault="0098177C" w:rsidP="005918D2">
      <w:pPr>
        <w:spacing w:after="0"/>
        <w:rPr>
          <w:rFonts w:cs="Times New Roman"/>
          <w:sz w:val="22"/>
          <w:szCs w:val="24"/>
          <w:lang w:eastAsia="ja-JP"/>
        </w:rPr>
      </w:pPr>
      <w:r w:rsidRPr="00002D92">
        <w:rPr>
          <w:rFonts w:cs="Times New Roman"/>
          <w:sz w:val="22"/>
          <w:szCs w:val="24"/>
          <w:lang w:eastAsia="ja-JP"/>
        </w:rPr>
        <w:t>Source</w:t>
      </w:r>
      <w:r w:rsidRPr="00002D92">
        <w:rPr>
          <w:rFonts w:cs="Times New Roman"/>
          <w:sz w:val="22"/>
          <w:szCs w:val="24"/>
          <w:lang w:val="sr-Cyrl-RS" w:eastAsia="ja-JP"/>
        </w:rPr>
        <w:t>: М</w:t>
      </w:r>
      <w:r w:rsidR="00CC2A54" w:rsidRPr="00002D92">
        <w:rPr>
          <w:rFonts w:cs="Times New Roman"/>
          <w:sz w:val="22"/>
          <w:szCs w:val="24"/>
          <w:lang w:eastAsia="ja-JP"/>
        </w:rPr>
        <w:t>inistry of Finance</w:t>
      </w:r>
    </w:p>
    <w:p w:rsidR="00CC2A54" w:rsidRPr="00002D92" w:rsidRDefault="00CC2A54" w:rsidP="00CC2A54">
      <w:pPr>
        <w:rPr>
          <w:rFonts w:cs="Times New Roman"/>
          <w:lang w:eastAsia="ja-JP"/>
        </w:rPr>
      </w:pPr>
      <w:r w:rsidRPr="00002D92">
        <w:rPr>
          <w:rFonts w:cs="Times New Roman"/>
          <w:lang w:eastAsia="ja-JP"/>
        </w:rPr>
        <w:br w:type="page"/>
      </w:r>
    </w:p>
    <w:p w:rsidR="0098177C" w:rsidRPr="00002D92" w:rsidRDefault="0098177C" w:rsidP="005918D2">
      <w:pPr>
        <w:spacing w:after="0"/>
        <w:rPr>
          <w:rFonts w:cs="Times New Roman"/>
          <w:sz w:val="22"/>
          <w:szCs w:val="24"/>
          <w:lang w:eastAsia="ja-JP"/>
        </w:rPr>
      </w:pPr>
    </w:p>
    <w:p w:rsidR="008C1A16" w:rsidRPr="00002D92" w:rsidRDefault="008C1A16" w:rsidP="008C1A16">
      <w:pPr>
        <w:spacing w:after="0"/>
        <w:rPr>
          <w:rFonts w:cs="Times New Roman"/>
          <w:i/>
          <w:szCs w:val="24"/>
          <w:lang w:val="sr-Cyrl-RS"/>
        </w:rPr>
      </w:pPr>
      <w:r w:rsidRPr="00002D92">
        <w:rPr>
          <w:rFonts w:cs="Times New Roman"/>
          <w:i/>
          <w:szCs w:val="24"/>
        </w:rPr>
        <w:t>Chart</w:t>
      </w:r>
      <w:r w:rsidR="005918D2" w:rsidRPr="00002D92">
        <w:rPr>
          <w:rFonts w:cs="Times New Roman"/>
          <w:i/>
          <w:szCs w:val="24"/>
          <w:lang w:val="sr-Cyrl-RS"/>
        </w:rPr>
        <w:t xml:space="preserve"> 1</w:t>
      </w:r>
      <w:r w:rsidR="005918D2" w:rsidRPr="00002D92">
        <w:rPr>
          <w:rFonts w:cs="Times New Roman"/>
          <w:i/>
          <w:szCs w:val="24"/>
          <w:lang w:val="sr-Latn-RS"/>
        </w:rPr>
        <w:t>0</w:t>
      </w:r>
      <w:r w:rsidR="003B22A7" w:rsidRPr="00002D92">
        <w:rPr>
          <w:rFonts w:cs="Times New Roman"/>
          <w:i/>
          <w:szCs w:val="24"/>
          <w:lang w:val="sr-Latn-RS"/>
        </w:rPr>
        <w:t>:</w:t>
      </w:r>
      <w:r w:rsidRPr="00002D92">
        <w:rPr>
          <w:rFonts w:cs="Times New Roman"/>
          <w:i/>
          <w:szCs w:val="24"/>
        </w:rPr>
        <w:t xml:space="preserve"> </w:t>
      </w:r>
      <w:r w:rsidRPr="00002D92">
        <w:rPr>
          <w:rFonts w:cs="Times New Roman"/>
          <w:i/>
          <w:szCs w:val="24"/>
          <w:lang w:val="sr-Cyrl-RS"/>
        </w:rPr>
        <w:t xml:space="preserve">Output gap, </w:t>
      </w:r>
      <w:r w:rsidR="00B25773" w:rsidRPr="00002D92">
        <w:rPr>
          <w:rFonts w:cs="Times New Roman"/>
          <w:i/>
          <w:szCs w:val="24"/>
          <w:lang w:val="sr-Cyrl-RS"/>
        </w:rPr>
        <w:t>cyclically</w:t>
      </w:r>
      <w:r w:rsidRPr="00002D92">
        <w:rPr>
          <w:rFonts w:cs="Times New Roman"/>
          <w:i/>
          <w:szCs w:val="24"/>
          <w:lang w:val="sr-Cyrl-RS"/>
        </w:rPr>
        <w:t xml:space="preserve"> adjusted fiscal balance and Structural fiscal balance, from 2005 to 2028, % of GDP*</w:t>
      </w:r>
    </w:p>
    <w:p w:rsidR="005918D2" w:rsidRPr="00002D92" w:rsidRDefault="001D619D" w:rsidP="005918D2">
      <w:pPr>
        <w:spacing w:after="0"/>
        <w:rPr>
          <w:rFonts w:cs="Times New Roman"/>
          <w:i/>
          <w:szCs w:val="24"/>
          <w:lang w:val="sr-Cyrl-RS"/>
        </w:rPr>
      </w:pPr>
      <w:r w:rsidRPr="00002D92">
        <w:rPr>
          <w:rFonts w:cs="Times New Roman"/>
          <w:noProof/>
        </w:rPr>
        <w:drawing>
          <wp:inline distT="0" distB="0" distL="0" distR="0" wp14:anchorId="6089338D" wp14:editId="0A8B8F1A">
            <wp:extent cx="5731510" cy="2873138"/>
            <wp:effectExtent l="0" t="0" r="0" b="0"/>
            <wp:docPr id="1040916486" name="Chart 1040916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175F9" w:rsidRPr="00002D92" w:rsidRDefault="005918D2" w:rsidP="006175F9">
      <w:pPr>
        <w:spacing w:after="180"/>
        <w:rPr>
          <w:rFonts w:eastAsia="MS PGothic" w:cs="Times New Roman"/>
          <w:sz w:val="22"/>
          <w:szCs w:val="24"/>
          <w:lang w:val="sr-Cyrl-RS" w:eastAsia="ja-JP"/>
        </w:rPr>
      </w:pPr>
      <w:r w:rsidRPr="00002D92">
        <w:rPr>
          <w:rFonts w:eastAsia="MS PGothic" w:cs="Times New Roman"/>
          <w:sz w:val="22"/>
          <w:szCs w:val="24"/>
          <w:lang w:val="sr-Cyrl-RS" w:eastAsia="ja-JP"/>
        </w:rPr>
        <w:t>*</w:t>
      </w:r>
      <w:r w:rsidR="001D619D" w:rsidRPr="00002D92">
        <w:rPr>
          <w:rFonts w:eastAsia="MS PGothic" w:cs="Times New Roman"/>
          <w:sz w:val="22"/>
          <w:szCs w:val="24"/>
          <w:lang w:eastAsia="ja-JP"/>
        </w:rPr>
        <w:t xml:space="preserve"> For the period 2025–2028, the projected values are shown.</w:t>
      </w:r>
    </w:p>
    <w:p w:rsidR="001D619D" w:rsidRPr="00002D92" w:rsidRDefault="001D619D" w:rsidP="005918D2">
      <w:pPr>
        <w:keepNext/>
        <w:spacing w:after="0"/>
        <w:rPr>
          <w:rFonts w:cs="Times New Roman"/>
          <w:i/>
          <w:szCs w:val="24"/>
          <w:lang w:val="sr-Cyrl-RS"/>
        </w:rPr>
      </w:pPr>
      <w:r w:rsidRPr="00002D92">
        <w:rPr>
          <w:rFonts w:cs="Times New Roman"/>
          <w:i/>
          <w:szCs w:val="24"/>
        </w:rPr>
        <w:t>Chart</w:t>
      </w:r>
      <w:r w:rsidR="005918D2" w:rsidRPr="00002D92">
        <w:rPr>
          <w:rFonts w:cs="Times New Roman"/>
          <w:i/>
          <w:szCs w:val="24"/>
          <w:lang w:val="sr-Cyrl-RS"/>
        </w:rPr>
        <w:t xml:space="preserve"> 1</w:t>
      </w:r>
      <w:r w:rsidR="005918D2" w:rsidRPr="00002D92">
        <w:rPr>
          <w:rFonts w:cs="Times New Roman"/>
          <w:i/>
          <w:szCs w:val="24"/>
          <w:lang w:val="sr-Latn-RS"/>
        </w:rPr>
        <w:t>1</w:t>
      </w:r>
      <w:r w:rsidR="003B22A7" w:rsidRPr="00002D92">
        <w:rPr>
          <w:rFonts w:cs="Times New Roman"/>
          <w:i/>
          <w:szCs w:val="24"/>
          <w:lang w:val="sr-Latn-RS"/>
        </w:rPr>
        <w:t>:</w:t>
      </w:r>
      <w:r w:rsidRPr="00002D92">
        <w:rPr>
          <w:rFonts w:cs="Times New Roman"/>
          <w:i/>
          <w:szCs w:val="24"/>
        </w:rPr>
        <w:t xml:space="preserve"> </w:t>
      </w:r>
      <w:r w:rsidRPr="00002D92">
        <w:rPr>
          <w:rFonts w:cs="Times New Roman"/>
          <w:i/>
          <w:szCs w:val="24"/>
          <w:lang w:val="sr-Cyrl-RS"/>
        </w:rPr>
        <w:t>The character and effects of fiscal policy in the period 2006–2027, % of GDP*</w:t>
      </w:r>
    </w:p>
    <w:p w:rsidR="005918D2" w:rsidRPr="00002D92" w:rsidRDefault="001D619D" w:rsidP="005918D2">
      <w:pPr>
        <w:keepNext/>
        <w:spacing w:after="0"/>
        <w:rPr>
          <w:rFonts w:cs="Times New Roman"/>
          <w:i/>
          <w:szCs w:val="24"/>
          <w:lang w:val="sr-Cyrl-RS"/>
        </w:rPr>
      </w:pPr>
      <w:r w:rsidRPr="00002D92">
        <w:rPr>
          <w:rFonts w:cs="Times New Roman"/>
          <w:noProof/>
        </w:rPr>
        <w:drawing>
          <wp:inline distT="0" distB="0" distL="0" distR="0" wp14:anchorId="6C5D4D9B" wp14:editId="52773442">
            <wp:extent cx="5669280" cy="2560320"/>
            <wp:effectExtent l="0" t="0" r="7620" b="0"/>
            <wp:docPr id="1040916490" name="Chart 1040916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918D2" w:rsidRPr="00002D92" w:rsidRDefault="005918D2" w:rsidP="005918D2">
      <w:pPr>
        <w:rPr>
          <w:rFonts w:cs="Times New Roman"/>
          <w:sz w:val="22"/>
          <w:szCs w:val="24"/>
          <w:lang w:val="sr-Cyrl-RS"/>
        </w:rPr>
      </w:pPr>
      <w:r w:rsidRPr="00002D92">
        <w:rPr>
          <w:rFonts w:cs="Times New Roman"/>
          <w:sz w:val="22"/>
          <w:szCs w:val="24"/>
          <w:lang w:val="sr-Cyrl-RS" w:eastAsia="ja-JP"/>
        </w:rPr>
        <w:t>*</w:t>
      </w:r>
      <w:r w:rsidR="001D619D" w:rsidRPr="00002D92">
        <w:rPr>
          <w:rFonts w:cs="Times New Roman"/>
          <w:sz w:val="22"/>
          <w:szCs w:val="24"/>
          <w:lang w:val="sr-Cyrl-RS"/>
        </w:rPr>
        <w:t>For the period 2025–2028, the projected values are shown.</w:t>
      </w:r>
    </w:p>
    <w:p w:rsidR="001D619D" w:rsidRPr="00002D92" w:rsidRDefault="001D619D" w:rsidP="001D619D">
      <w:pPr>
        <w:rPr>
          <w:rFonts w:eastAsia="Calibri" w:cs="Times New Roman"/>
          <w:bCs/>
          <w:szCs w:val="24"/>
          <w:lang w:val="sr-Cyrl-RS"/>
        </w:rPr>
      </w:pPr>
      <w:r w:rsidRPr="00002D92">
        <w:rPr>
          <w:rFonts w:eastAsia="Calibri" w:cs="Times New Roman"/>
          <w:bCs/>
          <w:szCs w:val="24"/>
          <w:lang w:val="sr-Cyrl-RS"/>
        </w:rPr>
        <w:t>The structural fiscal position of the country was not weakened during the period between 2020 and 2022, as the fiscal policy measures implemented to support the economy and the population were temporary in nature. In addition, the energy crisis required significant government interventions aimed at ensuring energy security in 2022. Expenditures related to these interventions amounted to 2.7% of GDP. In 2022, additional support to the population was also implemented, amounting to 0.9% of GDP.</w:t>
      </w:r>
      <w:r w:rsidRPr="00002D92">
        <w:rPr>
          <w:rFonts w:eastAsia="Calibri" w:cs="Times New Roman"/>
          <w:bCs/>
          <w:szCs w:val="24"/>
        </w:rPr>
        <w:t xml:space="preserve"> </w:t>
      </w:r>
      <w:r w:rsidRPr="00002D92">
        <w:rPr>
          <w:rFonts w:eastAsia="Calibri" w:cs="Times New Roman"/>
          <w:bCs/>
          <w:szCs w:val="24"/>
          <w:lang w:val="sr-Cyrl-RS"/>
        </w:rPr>
        <w:t>Apart from increased spending on energy and the support provided to households and businesses, further relief was ensured through a reduction in excise duties on petroleum products.</w:t>
      </w:r>
    </w:p>
    <w:p w:rsidR="001D619D" w:rsidRPr="00002D92" w:rsidRDefault="001D619D" w:rsidP="001D619D">
      <w:pPr>
        <w:spacing w:after="0"/>
        <w:rPr>
          <w:rFonts w:eastAsia="Calibri" w:cs="Times New Roman"/>
          <w:bCs/>
          <w:szCs w:val="24"/>
          <w:lang w:val="sr-Cyrl-RS"/>
        </w:rPr>
      </w:pPr>
      <w:r w:rsidRPr="00002D92">
        <w:rPr>
          <w:rFonts w:eastAsia="Calibri" w:cs="Times New Roman"/>
          <w:bCs/>
          <w:szCs w:val="24"/>
          <w:lang w:val="sr-Cyrl-RS"/>
        </w:rPr>
        <w:t xml:space="preserve">During 2023, the change in the structural position of the general government was partly driven by the application of the pension indexation formula introduced under specific fiscal rules, as well as by the extraordinary pension increases granted in 2022 and 2023. The special fiscal rule </w:t>
      </w:r>
      <w:r w:rsidRPr="00002D92">
        <w:rPr>
          <w:rFonts w:eastAsia="Calibri" w:cs="Times New Roman"/>
          <w:bCs/>
          <w:szCs w:val="24"/>
          <w:lang w:val="sr-Cyrl-RS"/>
        </w:rPr>
        <w:lastRenderedPageBreak/>
        <w:t>establishes a direct link between pension indexation and the share of pension expenditures in</w:t>
      </w:r>
      <w:r w:rsidR="00CC2A54" w:rsidRPr="00002D92">
        <w:rPr>
          <w:rFonts w:eastAsia="Calibri" w:cs="Times New Roman"/>
          <w:bCs/>
          <w:szCs w:val="24"/>
          <w:lang w:val="sr-Latn-RS"/>
        </w:rPr>
        <w:t xml:space="preserve"> </w:t>
      </w:r>
      <w:r w:rsidRPr="00002D92">
        <w:rPr>
          <w:rFonts w:eastAsia="Calibri" w:cs="Times New Roman"/>
          <w:bCs/>
          <w:szCs w:val="24"/>
          <w:lang w:val="sr-Cyrl-RS"/>
        </w:rPr>
        <w:t>GDP. This system-based solution ensures that pension income and the living standard of pensioners more accurately reflect the country’s economic strength, without jeopardising the sustainability of public finances. The remaining portion of the slight deterioration in the structural fiscal position is explained by the increase in the share of interest expenditures in GDP, as well as by the effects of measures aimed at containing inflationary pressures in domestic and international markets.</w:t>
      </w:r>
    </w:p>
    <w:p w:rsidR="001D619D" w:rsidRPr="00002D92" w:rsidRDefault="001D619D" w:rsidP="001D619D">
      <w:pPr>
        <w:spacing w:after="0"/>
        <w:rPr>
          <w:rFonts w:eastAsia="Calibri" w:cs="Times New Roman"/>
          <w:bCs/>
          <w:szCs w:val="24"/>
          <w:lang w:val="sr-Cyrl-RS"/>
        </w:rPr>
      </w:pPr>
      <w:r w:rsidRPr="00002D92">
        <w:rPr>
          <w:rFonts w:eastAsia="Calibri" w:cs="Times New Roman"/>
          <w:bCs/>
          <w:szCs w:val="24"/>
          <w:lang w:val="sr-Cyrl-RS"/>
        </w:rPr>
        <w:t>The extraordinary pension increase at the end of 2023, as well as the substantial increase in parental benefits in 2024, had a carryover effect on the structural balance in the subsequent period. However, within the adopted fiscal framework, the trajectory and the upper limit of the structural fiscal balance have been defined with the primary objective of maintaining a sustainable level and a declining path of public debt. In the period from 2023 to 2025, the increase in interest expenditures also contributes to a higher level of the structural deficit. Thereafter, as the share of interest payments in GDP gradually declines, fiscal space opens for increasing other productive categories of spending.</w:t>
      </w:r>
    </w:p>
    <w:p w:rsidR="001D619D" w:rsidRPr="00002D92" w:rsidRDefault="001D619D" w:rsidP="001D619D">
      <w:pPr>
        <w:spacing w:after="0"/>
        <w:rPr>
          <w:rFonts w:eastAsia="Calibri" w:cs="Times New Roman"/>
          <w:bCs/>
          <w:szCs w:val="24"/>
          <w:lang w:val="sr-Cyrl-RS"/>
        </w:rPr>
      </w:pPr>
      <w:r w:rsidRPr="00002D92">
        <w:rPr>
          <w:rFonts w:eastAsia="Calibri" w:cs="Times New Roman"/>
          <w:bCs/>
          <w:szCs w:val="24"/>
          <w:lang w:val="sr-Cyrl-RS"/>
        </w:rPr>
        <w:t>Since the fiscal impulse is defined as the difference between two consecutive cyclically adjusted (primary) balances, fiscal policy in 2020 is assessed as strongly expansionary and counter-cyclical, aimed at mitigating the negative phase of the economic cycle. Owing to the somewhat smaller scale of economic support measures in 2021, fiscal policy became more restrictive than in the previous year, while remaining counter-cyclical in nature. For the period from 2022 to 2023, fiscal policy is assessed as mildly restrictive, despite significant allocations for alleviating the energy crisis. This assessment is partly the result of rising interest expenditures, which are excluded from the calculation of the primary balance.</w:t>
      </w:r>
    </w:p>
    <w:p w:rsidR="001D619D" w:rsidRPr="00002D92" w:rsidRDefault="001D619D" w:rsidP="001D619D">
      <w:pPr>
        <w:spacing w:after="0"/>
        <w:rPr>
          <w:rFonts w:eastAsia="Calibri" w:cs="Times New Roman"/>
          <w:bCs/>
          <w:szCs w:val="24"/>
          <w:lang w:val="sr-Cyrl-RS"/>
        </w:rPr>
      </w:pPr>
      <w:r w:rsidRPr="00002D92">
        <w:rPr>
          <w:rFonts w:eastAsia="Calibri" w:cs="Times New Roman"/>
          <w:bCs/>
          <w:szCs w:val="24"/>
          <w:lang w:val="sr-Cyrl-RS"/>
        </w:rPr>
        <w:t>In the period 2025–2027, in line with the planned fiscal framework, the stance of fiscal policy is determined by movements in the output gap and the dynamics of the primary balance. In 2026, due to a larger (negative) output gap and the maintenance of the primary balance at the same level, fiscal policy is assessed as mildly restrictive relative to a neutral stance. By contrast, in 2027 fiscal policy becomes moderately expansionary, primarily as a result of the completion of the major investment cycle associated with the organisation of EXPO 2027, as well as other large-scale infrastructure projects which, in addition to the direct project impulse, generate positive multiplier effects on potential growth. Following the completion of this investment cycle, the fiscal impulse becomes restrictive in 2028, in line with the planned reduction of both the overall and primary fiscal balances, aimed at safeguarding the sustainability of public finances and gradually returning to a neutral medium-term stance.</w:t>
      </w:r>
    </w:p>
    <w:p w:rsidR="00A528E9" w:rsidRPr="00002D92" w:rsidRDefault="00A528E9" w:rsidP="005918D2">
      <w:pPr>
        <w:spacing w:after="0"/>
        <w:rPr>
          <w:rFonts w:cs="Times New Roman"/>
          <w:i/>
          <w:spacing w:val="-2"/>
          <w:szCs w:val="24"/>
          <w:lang w:val="sr-Cyrl-RS"/>
        </w:rPr>
      </w:pPr>
    </w:p>
    <w:p w:rsidR="001D619D" w:rsidRPr="00002D92" w:rsidRDefault="001D619D" w:rsidP="001D619D">
      <w:pPr>
        <w:spacing w:after="0"/>
        <w:rPr>
          <w:rFonts w:cs="Times New Roman"/>
          <w:i/>
          <w:spacing w:val="-2"/>
          <w:szCs w:val="24"/>
          <w:lang w:val="sr-Cyrl-RS"/>
        </w:rPr>
      </w:pPr>
      <w:r w:rsidRPr="00002D92">
        <w:rPr>
          <w:rFonts w:cs="Times New Roman"/>
          <w:i/>
          <w:spacing w:val="-2"/>
          <w:szCs w:val="24"/>
        </w:rPr>
        <w:t>Chart</w:t>
      </w:r>
      <w:r w:rsidR="005918D2" w:rsidRPr="00002D92">
        <w:rPr>
          <w:rFonts w:cs="Times New Roman"/>
          <w:i/>
          <w:spacing w:val="-2"/>
          <w:szCs w:val="24"/>
          <w:lang w:val="sr-Cyrl-RS"/>
        </w:rPr>
        <w:t xml:space="preserve"> 1</w:t>
      </w:r>
      <w:r w:rsidR="005918D2" w:rsidRPr="00002D92">
        <w:rPr>
          <w:rFonts w:cs="Times New Roman"/>
          <w:i/>
          <w:spacing w:val="-2"/>
          <w:szCs w:val="24"/>
          <w:lang w:val="sr-Latn-RS"/>
        </w:rPr>
        <w:t>2</w:t>
      </w:r>
      <w:r w:rsidR="003B22A7" w:rsidRPr="00002D92">
        <w:rPr>
          <w:rFonts w:cs="Times New Roman"/>
          <w:i/>
          <w:spacing w:val="-2"/>
          <w:szCs w:val="24"/>
          <w:lang w:val="sr-Latn-RS"/>
        </w:rPr>
        <w:t>:</w:t>
      </w:r>
      <w:r w:rsidRPr="00002D92">
        <w:rPr>
          <w:rFonts w:cs="Times New Roman"/>
          <w:i/>
          <w:spacing w:val="-2"/>
          <w:szCs w:val="24"/>
        </w:rPr>
        <w:t xml:space="preserve"> </w:t>
      </w:r>
      <w:r w:rsidRPr="00002D92">
        <w:rPr>
          <w:rFonts w:cs="Times New Roman"/>
          <w:i/>
          <w:spacing w:val="-2"/>
          <w:szCs w:val="24"/>
          <w:lang w:val="sr-Cyrl-RS"/>
        </w:rPr>
        <w:t>The character and effects of fiscal policy in the period 2006–2025, % of GDP</w:t>
      </w:r>
    </w:p>
    <w:p w:rsidR="00C35B74" w:rsidRPr="00002D92" w:rsidRDefault="00C35B74" w:rsidP="001D619D">
      <w:pPr>
        <w:spacing w:after="0"/>
        <w:rPr>
          <w:rFonts w:cs="Times New Roman"/>
          <w:i/>
          <w:spacing w:val="-2"/>
          <w:szCs w:val="24"/>
          <w:lang w:val="sr-Cyrl-RS"/>
        </w:rPr>
      </w:pPr>
    </w:p>
    <w:p w:rsidR="00C033B9" w:rsidRPr="00002D92" w:rsidRDefault="001D619D" w:rsidP="001D619D">
      <w:pPr>
        <w:spacing w:after="0"/>
        <w:rPr>
          <w:rFonts w:cs="Times New Roman"/>
          <w:i/>
          <w:spacing w:val="-2"/>
          <w:szCs w:val="24"/>
          <w:lang w:val="sr-Cyrl-RS"/>
        </w:rPr>
      </w:pPr>
      <w:r w:rsidRPr="00002D92">
        <w:rPr>
          <w:rFonts w:cs="Times New Roman"/>
          <w:noProof/>
        </w:rPr>
        <w:drawing>
          <wp:inline distT="0" distB="0" distL="0" distR="0" wp14:anchorId="22E929DC" wp14:editId="65F7A2FA">
            <wp:extent cx="5731510" cy="2110645"/>
            <wp:effectExtent l="0" t="0" r="2540" b="444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35" w:name="_Toc185342337"/>
    </w:p>
    <w:p w:rsidR="00026699" w:rsidRPr="00002D92" w:rsidRDefault="00026699" w:rsidP="00026699">
      <w:pPr>
        <w:pStyle w:val="Heading11"/>
        <w:spacing w:before="180" w:after="180"/>
        <w:rPr>
          <w:rFonts w:ascii="Times New Roman" w:hAnsi="Times New Roman" w:cs="Times New Roman"/>
          <w:color w:val="auto"/>
          <w:sz w:val="24"/>
          <w:szCs w:val="24"/>
          <w:lang w:val="sr-Latn-RS"/>
        </w:rPr>
      </w:pPr>
      <w:bookmarkStart w:id="36" w:name="_Toc185342338"/>
      <w:bookmarkStart w:id="37" w:name="_Toc221106877"/>
      <w:bookmarkEnd w:id="35"/>
      <w:r w:rsidRPr="00002D92">
        <w:rPr>
          <w:rFonts w:ascii="Times New Roman" w:hAnsi="Times New Roman" w:cs="Times New Roman"/>
          <w:color w:val="auto"/>
          <w:sz w:val="24"/>
          <w:szCs w:val="24"/>
          <w:lang w:val="sr-Latn-RS"/>
        </w:rPr>
        <w:lastRenderedPageBreak/>
        <w:t>4.5. PUBLIC DEBT MANAGEMENT</w:t>
      </w:r>
      <w:bookmarkEnd w:id="37"/>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In line with international practice and pursuant to the Law on Public Debt (“Official Gazette of the Republic of Serbia,” Nos. 61/05, 107/09, 78/11, 68/15, 95/18, 91/19 and 149/20), the Public Debt Management Strategy for the forthcoming medium-term period must be supported by, and consistent with, the Government’s overall medium-term macroeconomic framework and constitutes an integral part of the Fiscal Strategy.The Public Debt Management Strategy is based on principles that define the need for a transparent and predictable borrowing process, coupled with the continuous development of the government securities market and an acceptable level of exposure to financial risks.</w:t>
      </w:r>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At the end of September 2025, the general government debt stood at RSD 4,501.9 billion, or 43.4% of GDP. Of this amount, the Republic of Serbia’s public debt accounted for RSD 4,466.7 billion, while non-guaranteed local government debt amounted to RSD 35.2 billion. The Republic of Serbia’s direct public debt totaled RSD 4,271.3 billion, whereas indirect public debt amounted to RSD 195.4 billion. Domestic public debt stood at RSD 1,321.6 billion, while external public debt amounted to RSD 3,145.1 billion. According to data as of 30 September 2025, the currency composition of general government debt continued to be dominated by euro-denominated obligations, accounting for 58.5% of total general government debt. The next largest shares were the Serbian dinar with 22.9% and the US dollar with 12.3%. The remainder of the debt was denominated in Special Drawing Rights (6.0%) and other currencies (0.3%). As of 30 September 2025, the largest portion of general government debt carried a fixed interest rate (70.2%), while variable-rate debt accounted for 29.8% of total debt. Among variable-rate instruments, Euribor-indexed obligations had the highest share (67.7%), followed by the SDR interest rate (20.0%) and Belibor (12.1%), while the share of other reference rates was 0.1%.</w:t>
      </w:r>
    </w:p>
    <w:p w:rsidR="00026699" w:rsidRPr="00002D92" w:rsidRDefault="00026699" w:rsidP="00026699">
      <w:pPr>
        <w:keepLines/>
        <w:spacing w:after="160" w:line="259" w:lineRule="auto"/>
        <w:rPr>
          <w:rFonts w:eastAsia="Calibri" w:cs="Times New Roman"/>
          <w:szCs w:val="24"/>
          <w:lang w:val="sr-Cyrl-RS" w:eastAsia="ja-JP"/>
        </w:rPr>
      </w:pPr>
      <w:r w:rsidRPr="00002D92">
        <w:rPr>
          <w:rFonts w:eastAsia="Calibri" w:cs="Times New Roman"/>
          <w:szCs w:val="24"/>
          <w:lang w:val="sr-Cyrl-RS" w:eastAsia="ja-JP"/>
        </w:rPr>
        <w:t>Taking into account the projected budget outcome of the Republic of Serbia for the 2026–2028 period, including the volume of credit withdrawals for project financing by budget beneficiaries, as well as the effects of exchange rate movements of the dinar against the euro and the US dollar under the baseline macroeconomic scenario, the public debt of the Republic of Serbia is expected to stand at 43.6% of GDP at the end of 2028.</w:t>
      </w:r>
    </w:p>
    <w:p w:rsidR="00026699" w:rsidRPr="00804B9F" w:rsidRDefault="00CC2A54" w:rsidP="00026699">
      <w:pPr>
        <w:keepLines/>
        <w:spacing w:after="160" w:line="259" w:lineRule="auto"/>
        <w:jc w:val="left"/>
        <w:rPr>
          <w:rFonts w:cs="Times New Roman"/>
          <w:i/>
          <w:szCs w:val="24"/>
          <w:lang w:eastAsia="ja-JP"/>
        </w:rPr>
      </w:pPr>
      <w:r w:rsidRPr="00002D92">
        <w:rPr>
          <w:rFonts w:cs="Times New Roman"/>
          <w:i/>
          <w:szCs w:val="24"/>
          <w:lang w:val="ru-RU" w:eastAsia="ja-JP"/>
        </w:rPr>
        <w:t>Table 11</w:t>
      </w:r>
      <w:r w:rsidRPr="00002D92">
        <w:rPr>
          <w:rFonts w:cs="Times New Roman"/>
          <w:i/>
          <w:szCs w:val="24"/>
          <w:lang w:val="sr-Latn-RS" w:eastAsia="ja-JP"/>
        </w:rPr>
        <w:t>:</w:t>
      </w:r>
      <w:r w:rsidR="00026699" w:rsidRPr="00002D92">
        <w:rPr>
          <w:rFonts w:cs="Times New Roman"/>
          <w:i/>
          <w:szCs w:val="24"/>
          <w:lang w:val="ru-RU" w:eastAsia="ja-JP"/>
        </w:rPr>
        <w:t xml:space="preserve"> Baseline Projection of General </w:t>
      </w:r>
      <w:r w:rsidR="00804B9F">
        <w:rPr>
          <w:rFonts w:cs="Times New Roman"/>
          <w:i/>
          <w:szCs w:val="24"/>
          <w:lang w:val="ru-RU" w:eastAsia="ja-JP"/>
        </w:rPr>
        <w:t>Government Debt Stock until 202</w:t>
      </w:r>
      <w:r w:rsidR="00804B9F">
        <w:rPr>
          <w:rFonts w:cs="Times New Roman"/>
          <w:i/>
          <w:szCs w:val="24"/>
          <w:lang w:eastAsia="ja-JP"/>
        </w:rPr>
        <w:t>8</w:t>
      </w:r>
    </w:p>
    <w:tbl>
      <w:tblPr>
        <w:tblW w:w="5000" w:type="pct"/>
        <w:tblLook w:val="0620" w:firstRow="1" w:lastRow="0" w:firstColumn="0" w:lastColumn="0" w:noHBand="1" w:noVBand="1"/>
      </w:tblPr>
      <w:tblGrid>
        <w:gridCol w:w="4920"/>
        <w:gridCol w:w="1025"/>
        <w:gridCol w:w="1027"/>
        <w:gridCol w:w="1027"/>
        <w:gridCol w:w="1027"/>
      </w:tblGrid>
      <w:tr w:rsidR="00026699" w:rsidRPr="00002D92" w:rsidTr="0098177C">
        <w:trPr>
          <w:trHeight w:val="20"/>
          <w:tblHeader/>
        </w:trPr>
        <w:tc>
          <w:tcPr>
            <w:tcW w:w="2725" w:type="pct"/>
            <w:tcBorders>
              <w:top w:val="single" w:sz="4" w:space="0" w:color="002060"/>
              <w:bottom w:val="single" w:sz="8" w:space="0" w:color="FFFFFF" w:themeColor="background1"/>
            </w:tcBorders>
            <w:noWrap/>
            <w:hideMark/>
          </w:tcPr>
          <w:p w:rsidR="00026699" w:rsidRPr="00002D92" w:rsidRDefault="00026699" w:rsidP="0098177C">
            <w:pPr>
              <w:rPr>
                <w:rFonts w:cs="Times New Roman"/>
                <w:lang w:val="sr-Cyrl-RS"/>
              </w:rPr>
            </w:pPr>
          </w:p>
        </w:tc>
        <w:tc>
          <w:tcPr>
            <w:tcW w:w="568" w:type="pct"/>
            <w:tcBorders>
              <w:top w:val="single" w:sz="4" w:space="0" w:color="002060"/>
              <w:bottom w:val="single" w:sz="4" w:space="0" w:color="002060"/>
            </w:tcBorders>
            <w:noWrap/>
            <w:hideMark/>
          </w:tcPr>
          <w:p w:rsidR="00026699" w:rsidRPr="00002D92" w:rsidRDefault="00026699" w:rsidP="0098177C">
            <w:pPr>
              <w:rPr>
                <w:rFonts w:cs="Times New Roman"/>
              </w:rPr>
            </w:pPr>
            <w:r w:rsidRPr="00002D92">
              <w:rPr>
                <w:rFonts w:cs="Times New Roman"/>
              </w:rPr>
              <w:t>2025 p</w:t>
            </w:r>
          </w:p>
        </w:tc>
        <w:tc>
          <w:tcPr>
            <w:tcW w:w="569" w:type="pct"/>
            <w:tcBorders>
              <w:top w:val="single" w:sz="4" w:space="0" w:color="002060"/>
              <w:bottom w:val="single" w:sz="4" w:space="0" w:color="002060"/>
            </w:tcBorders>
            <w:noWrap/>
            <w:hideMark/>
          </w:tcPr>
          <w:p w:rsidR="00026699" w:rsidRPr="00002D92" w:rsidRDefault="00026699" w:rsidP="0098177C">
            <w:pPr>
              <w:rPr>
                <w:rFonts w:cs="Times New Roman"/>
              </w:rPr>
            </w:pPr>
            <w:r w:rsidRPr="00002D92">
              <w:rPr>
                <w:rFonts w:cs="Times New Roman"/>
              </w:rPr>
              <w:t>2026 p</w:t>
            </w:r>
          </w:p>
        </w:tc>
        <w:tc>
          <w:tcPr>
            <w:tcW w:w="569" w:type="pct"/>
            <w:tcBorders>
              <w:top w:val="single" w:sz="4" w:space="0" w:color="002060"/>
              <w:bottom w:val="single" w:sz="4" w:space="0" w:color="002060"/>
            </w:tcBorders>
            <w:noWrap/>
            <w:hideMark/>
          </w:tcPr>
          <w:p w:rsidR="00026699" w:rsidRPr="00002D92" w:rsidRDefault="00026699" w:rsidP="0098177C">
            <w:pPr>
              <w:rPr>
                <w:rFonts w:cs="Times New Roman"/>
              </w:rPr>
            </w:pPr>
            <w:r w:rsidRPr="00002D92">
              <w:rPr>
                <w:rFonts w:cs="Times New Roman"/>
              </w:rPr>
              <w:t>2027 p</w:t>
            </w:r>
          </w:p>
        </w:tc>
        <w:tc>
          <w:tcPr>
            <w:tcW w:w="569" w:type="pct"/>
            <w:tcBorders>
              <w:top w:val="single" w:sz="4" w:space="0" w:color="002060"/>
              <w:bottom w:val="single" w:sz="4" w:space="0" w:color="002060"/>
            </w:tcBorders>
            <w:noWrap/>
            <w:hideMark/>
          </w:tcPr>
          <w:p w:rsidR="00026699" w:rsidRPr="00002D92" w:rsidRDefault="00026699" w:rsidP="0098177C">
            <w:pPr>
              <w:rPr>
                <w:rFonts w:cs="Times New Roman"/>
              </w:rPr>
            </w:pPr>
            <w:r w:rsidRPr="00002D92">
              <w:rPr>
                <w:rFonts w:cs="Times New Roman"/>
              </w:rPr>
              <w:t>2028 p</w:t>
            </w:r>
          </w:p>
        </w:tc>
      </w:tr>
      <w:tr w:rsidR="00026699" w:rsidRPr="00002D92" w:rsidTr="0098177C">
        <w:trPr>
          <w:trHeight w:val="20"/>
        </w:trPr>
        <w:tc>
          <w:tcPr>
            <w:tcW w:w="2725" w:type="pct"/>
            <w:tcBorders>
              <w:top w:val="nil"/>
              <w:bottom w:val="nil"/>
            </w:tcBorders>
            <w:shd w:val="clear" w:color="auto" w:fill="auto"/>
            <w:noWrap/>
            <w:hideMark/>
          </w:tcPr>
          <w:p w:rsidR="00026699" w:rsidRPr="00002D92" w:rsidRDefault="00026699" w:rsidP="0098177C">
            <w:pPr>
              <w:rPr>
                <w:rFonts w:cs="Times New Roman"/>
              </w:rPr>
            </w:pPr>
            <w:r w:rsidRPr="00002D92">
              <w:rPr>
                <w:rFonts w:cs="Times New Roman"/>
              </w:rPr>
              <w:t>Public debt (central government), RSD billion</w:t>
            </w:r>
          </w:p>
        </w:tc>
        <w:tc>
          <w:tcPr>
            <w:tcW w:w="568" w:type="pct"/>
            <w:tcBorders>
              <w:top w:val="single" w:sz="4" w:space="0" w:color="002060"/>
              <w:bottom w:val="nil"/>
            </w:tcBorders>
            <w:shd w:val="clear" w:color="auto" w:fill="auto"/>
            <w:noWrap/>
            <w:hideMark/>
          </w:tcPr>
          <w:p w:rsidR="00026699" w:rsidRPr="00002D92" w:rsidRDefault="00026699" w:rsidP="0098177C">
            <w:pPr>
              <w:rPr>
                <w:rFonts w:cs="Times New Roman"/>
              </w:rPr>
            </w:pPr>
            <w:r w:rsidRPr="00002D92">
              <w:rPr>
                <w:rFonts w:cs="Times New Roman"/>
              </w:rPr>
              <w:t>4,627.9</w:t>
            </w:r>
          </w:p>
        </w:tc>
        <w:tc>
          <w:tcPr>
            <w:tcW w:w="569" w:type="pct"/>
            <w:tcBorders>
              <w:top w:val="single" w:sz="4" w:space="0" w:color="002060"/>
              <w:bottom w:val="nil"/>
            </w:tcBorders>
            <w:shd w:val="clear" w:color="auto" w:fill="auto"/>
            <w:noWrap/>
            <w:hideMark/>
          </w:tcPr>
          <w:p w:rsidR="00026699" w:rsidRPr="00002D92" w:rsidRDefault="00026699" w:rsidP="0098177C">
            <w:pPr>
              <w:rPr>
                <w:rFonts w:cs="Times New Roman"/>
              </w:rPr>
            </w:pPr>
            <w:r w:rsidRPr="00002D92">
              <w:rPr>
                <w:rFonts w:cs="Times New Roman"/>
              </w:rPr>
              <w:t>4,872.9</w:t>
            </w:r>
          </w:p>
        </w:tc>
        <w:tc>
          <w:tcPr>
            <w:tcW w:w="569" w:type="pct"/>
            <w:tcBorders>
              <w:top w:val="single" w:sz="4" w:space="0" w:color="002060"/>
              <w:bottom w:val="nil"/>
            </w:tcBorders>
            <w:shd w:val="clear" w:color="auto" w:fill="auto"/>
            <w:noWrap/>
            <w:hideMark/>
          </w:tcPr>
          <w:p w:rsidR="00026699" w:rsidRPr="00002D92" w:rsidRDefault="00026699" w:rsidP="0098177C">
            <w:pPr>
              <w:rPr>
                <w:rFonts w:cs="Times New Roman"/>
              </w:rPr>
            </w:pPr>
            <w:r w:rsidRPr="00002D92">
              <w:rPr>
                <w:rFonts w:cs="Times New Roman"/>
              </w:rPr>
              <w:t>5,265.9</w:t>
            </w:r>
          </w:p>
        </w:tc>
        <w:tc>
          <w:tcPr>
            <w:tcW w:w="569" w:type="pct"/>
            <w:tcBorders>
              <w:top w:val="single" w:sz="4" w:space="0" w:color="002060"/>
              <w:bottom w:val="nil"/>
            </w:tcBorders>
            <w:shd w:val="clear" w:color="auto" w:fill="auto"/>
            <w:noWrap/>
            <w:hideMark/>
          </w:tcPr>
          <w:p w:rsidR="00026699" w:rsidRPr="00002D92" w:rsidRDefault="00026699" w:rsidP="0098177C">
            <w:pPr>
              <w:rPr>
                <w:rFonts w:cs="Times New Roman"/>
              </w:rPr>
            </w:pPr>
            <w:r w:rsidRPr="00002D92">
              <w:rPr>
                <w:rFonts w:cs="Times New Roman"/>
              </w:rPr>
              <w:t>5,583.9</w:t>
            </w:r>
          </w:p>
        </w:tc>
      </w:tr>
      <w:tr w:rsidR="00026699" w:rsidRPr="00002D92" w:rsidTr="0098177C">
        <w:trPr>
          <w:trHeight w:val="20"/>
        </w:trPr>
        <w:tc>
          <w:tcPr>
            <w:tcW w:w="2725" w:type="pct"/>
            <w:tcBorders>
              <w:top w:val="nil"/>
              <w:left w:val="nil"/>
              <w:bottom w:val="nil"/>
              <w:right w:val="nil"/>
            </w:tcBorders>
            <w:hideMark/>
          </w:tcPr>
          <w:p w:rsidR="00026699" w:rsidRPr="00002D92" w:rsidRDefault="00026699" w:rsidP="0098177C">
            <w:pPr>
              <w:rPr>
                <w:rFonts w:cs="Times New Roman"/>
              </w:rPr>
            </w:pPr>
            <w:r w:rsidRPr="00002D92">
              <w:rPr>
                <w:rFonts w:cs="Times New Roman"/>
              </w:rPr>
              <w:t>Central government debt, % of GDP</w:t>
            </w:r>
          </w:p>
        </w:tc>
        <w:tc>
          <w:tcPr>
            <w:tcW w:w="568" w:type="pct"/>
            <w:tcBorders>
              <w:top w:val="nil"/>
              <w:left w:val="nil"/>
              <w:bottom w:val="nil"/>
              <w:right w:val="nil"/>
            </w:tcBorders>
            <w:noWrap/>
            <w:hideMark/>
          </w:tcPr>
          <w:p w:rsidR="00026699" w:rsidRPr="00002D92" w:rsidRDefault="00026699" w:rsidP="0098177C">
            <w:pPr>
              <w:rPr>
                <w:rFonts w:cs="Times New Roman"/>
              </w:rPr>
            </w:pPr>
            <w:r w:rsidRPr="00002D92">
              <w:rPr>
                <w:rFonts w:cs="Times New Roman"/>
              </w:rPr>
              <w:t>44.6%</w:t>
            </w:r>
          </w:p>
        </w:tc>
        <w:tc>
          <w:tcPr>
            <w:tcW w:w="569" w:type="pct"/>
            <w:tcBorders>
              <w:top w:val="nil"/>
              <w:left w:val="nil"/>
              <w:bottom w:val="nil"/>
              <w:right w:val="nil"/>
            </w:tcBorders>
            <w:noWrap/>
            <w:hideMark/>
          </w:tcPr>
          <w:p w:rsidR="00026699" w:rsidRPr="00002D92" w:rsidRDefault="00026699" w:rsidP="0098177C">
            <w:pPr>
              <w:rPr>
                <w:rFonts w:cs="Times New Roman"/>
              </w:rPr>
            </w:pPr>
            <w:r w:rsidRPr="00002D92">
              <w:rPr>
                <w:rFonts w:cs="Times New Roman"/>
              </w:rPr>
              <w:t>44.0%</w:t>
            </w:r>
          </w:p>
        </w:tc>
        <w:tc>
          <w:tcPr>
            <w:tcW w:w="569" w:type="pct"/>
            <w:tcBorders>
              <w:top w:val="nil"/>
              <w:left w:val="nil"/>
              <w:bottom w:val="nil"/>
              <w:right w:val="nil"/>
            </w:tcBorders>
            <w:noWrap/>
            <w:hideMark/>
          </w:tcPr>
          <w:p w:rsidR="00026699" w:rsidRPr="00002D92" w:rsidRDefault="00026699" w:rsidP="0098177C">
            <w:pPr>
              <w:rPr>
                <w:rFonts w:cs="Times New Roman"/>
              </w:rPr>
            </w:pPr>
            <w:r w:rsidRPr="00002D92">
              <w:rPr>
                <w:rFonts w:cs="Times New Roman"/>
              </w:rPr>
              <w:t>43.8%</w:t>
            </w:r>
          </w:p>
        </w:tc>
        <w:tc>
          <w:tcPr>
            <w:tcW w:w="569" w:type="pct"/>
            <w:tcBorders>
              <w:top w:val="nil"/>
              <w:left w:val="nil"/>
              <w:bottom w:val="nil"/>
              <w:right w:val="nil"/>
            </w:tcBorders>
            <w:noWrap/>
            <w:hideMark/>
          </w:tcPr>
          <w:p w:rsidR="00026699" w:rsidRPr="00002D92" w:rsidRDefault="00026699" w:rsidP="0098177C">
            <w:pPr>
              <w:rPr>
                <w:rFonts w:cs="Times New Roman"/>
              </w:rPr>
            </w:pPr>
            <w:r w:rsidRPr="00002D92">
              <w:rPr>
                <w:rFonts w:cs="Times New Roman"/>
              </w:rPr>
              <w:t>43.6%</w:t>
            </w:r>
          </w:p>
        </w:tc>
      </w:tr>
      <w:tr w:rsidR="00026699" w:rsidRPr="00002D92" w:rsidTr="0098177C">
        <w:trPr>
          <w:trHeight w:val="20"/>
        </w:trPr>
        <w:tc>
          <w:tcPr>
            <w:tcW w:w="2725" w:type="pct"/>
            <w:tcBorders>
              <w:top w:val="nil"/>
              <w:bottom w:val="nil"/>
            </w:tcBorders>
            <w:shd w:val="clear" w:color="auto" w:fill="auto"/>
            <w:hideMark/>
          </w:tcPr>
          <w:p w:rsidR="00026699" w:rsidRPr="00002D92" w:rsidRDefault="00026699" w:rsidP="0098177C">
            <w:pPr>
              <w:rPr>
                <w:rFonts w:cs="Times New Roman"/>
              </w:rPr>
            </w:pPr>
            <w:r w:rsidRPr="00002D92">
              <w:rPr>
                <w:rFonts w:cs="Times New Roman"/>
              </w:rPr>
              <w:t>Non-guaranteed local government debt*, % of GDP</w:t>
            </w:r>
          </w:p>
        </w:tc>
        <w:tc>
          <w:tcPr>
            <w:tcW w:w="568" w:type="pct"/>
            <w:tcBorders>
              <w:top w:val="nil"/>
              <w:bottom w:val="nil"/>
            </w:tcBorders>
            <w:shd w:val="clear" w:color="auto" w:fill="auto"/>
            <w:noWrap/>
            <w:hideMark/>
          </w:tcPr>
          <w:p w:rsidR="00026699" w:rsidRPr="00002D92" w:rsidRDefault="00026699" w:rsidP="0098177C">
            <w:pPr>
              <w:rPr>
                <w:rFonts w:cs="Times New Roman"/>
              </w:rPr>
            </w:pPr>
            <w:r w:rsidRPr="00002D92">
              <w:rPr>
                <w:rFonts w:cs="Times New Roman"/>
              </w:rPr>
              <w:t>0.4%</w:t>
            </w:r>
          </w:p>
        </w:tc>
        <w:tc>
          <w:tcPr>
            <w:tcW w:w="569" w:type="pct"/>
            <w:tcBorders>
              <w:top w:val="nil"/>
              <w:bottom w:val="nil"/>
            </w:tcBorders>
            <w:shd w:val="clear" w:color="auto" w:fill="auto"/>
            <w:noWrap/>
            <w:hideMark/>
          </w:tcPr>
          <w:p w:rsidR="00026699" w:rsidRPr="00002D92" w:rsidRDefault="00026699" w:rsidP="0098177C">
            <w:pPr>
              <w:rPr>
                <w:rFonts w:cs="Times New Roman"/>
              </w:rPr>
            </w:pPr>
            <w:r w:rsidRPr="00002D92">
              <w:rPr>
                <w:rFonts w:cs="Times New Roman"/>
              </w:rPr>
              <w:t>0.5%</w:t>
            </w:r>
          </w:p>
        </w:tc>
        <w:tc>
          <w:tcPr>
            <w:tcW w:w="569" w:type="pct"/>
            <w:tcBorders>
              <w:top w:val="nil"/>
              <w:bottom w:val="nil"/>
            </w:tcBorders>
            <w:shd w:val="clear" w:color="auto" w:fill="auto"/>
            <w:noWrap/>
            <w:hideMark/>
          </w:tcPr>
          <w:p w:rsidR="00026699" w:rsidRPr="00002D92" w:rsidRDefault="00026699" w:rsidP="0098177C">
            <w:pPr>
              <w:rPr>
                <w:rFonts w:cs="Times New Roman"/>
              </w:rPr>
            </w:pPr>
            <w:r w:rsidRPr="00002D92">
              <w:rPr>
                <w:rFonts w:cs="Times New Roman"/>
              </w:rPr>
              <w:t>0.5%</w:t>
            </w:r>
          </w:p>
        </w:tc>
        <w:tc>
          <w:tcPr>
            <w:tcW w:w="569" w:type="pct"/>
            <w:tcBorders>
              <w:top w:val="nil"/>
              <w:bottom w:val="nil"/>
            </w:tcBorders>
            <w:shd w:val="clear" w:color="auto" w:fill="auto"/>
            <w:noWrap/>
            <w:hideMark/>
          </w:tcPr>
          <w:p w:rsidR="00026699" w:rsidRPr="00002D92" w:rsidRDefault="00026699" w:rsidP="0098177C">
            <w:pPr>
              <w:rPr>
                <w:rFonts w:cs="Times New Roman"/>
              </w:rPr>
            </w:pPr>
            <w:r w:rsidRPr="00002D92">
              <w:rPr>
                <w:rFonts w:cs="Times New Roman"/>
              </w:rPr>
              <w:t>0.5%</w:t>
            </w:r>
          </w:p>
        </w:tc>
      </w:tr>
      <w:tr w:rsidR="00026699" w:rsidRPr="00002D92" w:rsidTr="0098177C">
        <w:trPr>
          <w:trHeight w:val="20"/>
        </w:trPr>
        <w:tc>
          <w:tcPr>
            <w:tcW w:w="2725" w:type="pct"/>
            <w:tcBorders>
              <w:top w:val="nil"/>
              <w:left w:val="nil"/>
              <w:bottom w:val="single" w:sz="4" w:space="0" w:color="002060"/>
              <w:right w:val="nil"/>
            </w:tcBorders>
            <w:hideMark/>
          </w:tcPr>
          <w:p w:rsidR="00026699" w:rsidRPr="00002D92" w:rsidRDefault="00026699" w:rsidP="0098177C">
            <w:pPr>
              <w:rPr>
                <w:rFonts w:cs="Times New Roman"/>
              </w:rPr>
            </w:pPr>
            <w:r w:rsidRPr="00002D92">
              <w:rPr>
                <w:rFonts w:cs="Times New Roman"/>
              </w:rPr>
              <w:t>General government debt, % of GDP</w:t>
            </w:r>
          </w:p>
        </w:tc>
        <w:tc>
          <w:tcPr>
            <w:tcW w:w="568" w:type="pct"/>
            <w:tcBorders>
              <w:top w:val="nil"/>
              <w:left w:val="nil"/>
              <w:bottom w:val="single" w:sz="4" w:space="0" w:color="002060"/>
              <w:right w:val="nil"/>
            </w:tcBorders>
            <w:noWrap/>
            <w:hideMark/>
          </w:tcPr>
          <w:p w:rsidR="00026699" w:rsidRPr="00002D92" w:rsidRDefault="00026699" w:rsidP="0098177C">
            <w:pPr>
              <w:rPr>
                <w:rFonts w:cs="Times New Roman"/>
              </w:rPr>
            </w:pPr>
            <w:r w:rsidRPr="00002D92">
              <w:rPr>
                <w:rFonts w:cs="Times New Roman"/>
              </w:rPr>
              <w:t>45.0%</w:t>
            </w:r>
          </w:p>
        </w:tc>
        <w:tc>
          <w:tcPr>
            <w:tcW w:w="569" w:type="pct"/>
            <w:tcBorders>
              <w:top w:val="nil"/>
              <w:left w:val="nil"/>
              <w:bottom w:val="single" w:sz="4" w:space="0" w:color="002060"/>
              <w:right w:val="nil"/>
            </w:tcBorders>
            <w:noWrap/>
            <w:hideMark/>
          </w:tcPr>
          <w:p w:rsidR="00026699" w:rsidRPr="00002D92" w:rsidRDefault="00026699" w:rsidP="0098177C">
            <w:pPr>
              <w:rPr>
                <w:rFonts w:cs="Times New Roman"/>
              </w:rPr>
            </w:pPr>
            <w:r w:rsidRPr="00002D92">
              <w:rPr>
                <w:rFonts w:cs="Times New Roman"/>
              </w:rPr>
              <w:t>44.5%</w:t>
            </w:r>
          </w:p>
        </w:tc>
        <w:tc>
          <w:tcPr>
            <w:tcW w:w="569" w:type="pct"/>
            <w:tcBorders>
              <w:top w:val="nil"/>
              <w:left w:val="nil"/>
              <w:bottom w:val="single" w:sz="4" w:space="0" w:color="002060"/>
              <w:right w:val="nil"/>
            </w:tcBorders>
            <w:noWrap/>
            <w:hideMark/>
          </w:tcPr>
          <w:p w:rsidR="00026699" w:rsidRPr="00002D92" w:rsidRDefault="00026699" w:rsidP="0098177C">
            <w:pPr>
              <w:rPr>
                <w:rFonts w:cs="Times New Roman"/>
              </w:rPr>
            </w:pPr>
            <w:r w:rsidRPr="00002D92">
              <w:rPr>
                <w:rFonts w:cs="Times New Roman"/>
              </w:rPr>
              <w:t>44.3%</w:t>
            </w:r>
          </w:p>
        </w:tc>
        <w:tc>
          <w:tcPr>
            <w:tcW w:w="569" w:type="pct"/>
            <w:tcBorders>
              <w:top w:val="nil"/>
              <w:left w:val="nil"/>
              <w:bottom w:val="single" w:sz="4" w:space="0" w:color="002060"/>
              <w:right w:val="nil"/>
            </w:tcBorders>
            <w:noWrap/>
            <w:hideMark/>
          </w:tcPr>
          <w:p w:rsidR="00026699" w:rsidRPr="00002D92" w:rsidRDefault="00026699" w:rsidP="0098177C">
            <w:pPr>
              <w:rPr>
                <w:rFonts w:cs="Times New Roman"/>
              </w:rPr>
            </w:pPr>
            <w:r w:rsidRPr="00002D92">
              <w:rPr>
                <w:rFonts w:cs="Times New Roman"/>
              </w:rPr>
              <w:t>44.1%</w:t>
            </w:r>
          </w:p>
        </w:tc>
      </w:tr>
    </w:tbl>
    <w:p w:rsidR="00026699" w:rsidRPr="00002D92" w:rsidRDefault="00026699" w:rsidP="00CC2A54">
      <w:pPr>
        <w:keepLines/>
        <w:spacing w:after="0"/>
        <w:rPr>
          <w:rFonts w:cs="Times New Roman"/>
          <w:bCs/>
          <w:sz w:val="22"/>
          <w:szCs w:val="24"/>
          <w:lang w:eastAsia="ja-JP"/>
        </w:rPr>
      </w:pPr>
      <w:r w:rsidRPr="00002D92">
        <w:rPr>
          <w:rFonts w:cs="Times New Roman"/>
          <w:bCs/>
          <w:sz w:val="22"/>
          <w:szCs w:val="24"/>
          <w:lang w:eastAsia="ja-JP"/>
        </w:rPr>
        <w:t>*</w:t>
      </w:r>
      <w:r w:rsidRPr="00002D92">
        <w:rPr>
          <w:rFonts w:cs="Times New Roman"/>
          <w:sz w:val="22"/>
          <w:szCs w:val="24"/>
          <w:lang w:eastAsia="ja-JP"/>
        </w:rPr>
        <w:t xml:space="preserve"> </w:t>
      </w:r>
      <w:r w:rsidR="003F6C09" w:rsidRPr="003F6C09">
        <w:rPr>
          <w:rFonts w:cs="Times New Roman"/>
          <w:bCs/>
          <w:color w:val="000000" w:themeColor="text1"/>
          <w:sz w:val="22"/>
          <w:szCs w:val="24"/>
          <w:lang w:eastAsia="ja-JP"/>
        </w:rPr>
        <w:t>incl.</w:t>
      </w:r>
      <w:r w:rsidRPr="003F6C09">
        <w:rPr>
          <w:rFonts w:cs="Times New Roman"/>
          <w:bCs/>
          <w:color w:val="000000" w:themeColor="text1"/>
          <w:sz w:val="22"/>
          <w:szCs w:val="24"/>
          <w:lang w:eastAsia="ja-JP"/>
        </w:rPr>
        <w:t xml:space="preserve"> other parts of the government sector</w:t>
      </w:r>
    </w:p>
    <w:p w:rsidR="00026699" w:rsidRPr="00002D92" w:rsidRDefault="00026699" w:rsidP="00CC2A54">
      <w:pPr>
        <w:spacing w:after="0"/>
        <w:rPr>
          <w:rFonts w:cs="Times New Roman"/>
          <w:sz w:val="22"/>
          <w:szCs w:val="24"/>
          <w:lang w:val="sr-Cyrl-RS" w:eastAsia="ja-JP"/>
        </w:rPr>
      </w:pPr>
      <w:r w:rsidRPr="00002D92">
        <w:rPr>
          <w:rFonts w:cs="Times New Roman"/>
          <w:sz w:val="22"/>
          <w:szCs w:val="24"/>
          <w:lang w:val="sr-Cyrl-RS" w:eastAsia="ja-JP"/>
        </w:rPr>
        <w:t>Source: Ministry of Finance</w:t>
      </w:r>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Non-guaranteed local government debt is projected to remain at around 0.5% of GDP until the end of 2028. By the end of 2028, the general government debt is expected to stand at 44.1% of GDP.</w:t>
      </w:r>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 xml:space="preserve">Financial and fiscal risks may lead to an increase in public debt beyond that projected under the baseline scenario. The risks present, which could result in higher indebtedness and debt servicing costs, include: refinancing risk, exchange rate risk, market risk (interest rate risk, </w:t>
      </w:r>
      <w:r w:rsidRPr="00002D92">
        <w:rPr>
          <w:rFonts w:eastAsia="Calibri" w:cs="Times New Roman"/>
          <w:szCs w:val="24"/>
          <w:lang w:val="sr-Cyrl-RS" w:eastAsia="ja-JP"/>
        </w:rPr>
        <w:lastRenderedPageBreak/>
        <w:t>inflation risk), liquidity risk, credit and operational risks, as well as risks related to the distribution of debt servicing costs (debt structure, concentration of obligations).</w:t>
      </w:r>
    </w:p>
    <w:p w:rsidR="00026699" w:rsidRPr="00002D92" w:rsidRDefault="00026699" w:rsidP="00026699">
      <w:pPr>
        <w:keepNext/>
        <w:keepLines/>
        <w:spacing w:after="160" w:line="259" w:lineRule="auto"/>
        <w:rPr>
          <w:rFonts w:eastAsia="Calibri" w:cs="Times New Roman"/>
          <w:szCs w:val="24"/>
          <w:lang w:val="sr-Cyrl-RS" w:eastAsia="ja-JP"/>
        </w:rPr>
      </w:pPr>
      <w:r w:rsidRPr="00002D92">
        <w:rPr>
          <w:rFonts w:eastAsia="Calibri" w:cs="Times New Roman"/>
          <w:szCs w:val="24"/>
          <w:lang w:val="sr-Cyrl-RS" w:eastAsia="ja-JP"/>
        </w:rPr>
        <w:t>Due to the high share of public debt denominated in foreign currency (77.3%), it is evident that exchange rate risk will determine the behavior of the public debt-to-GDP ratio in the upcoming period and will significantly influence the success of fiscal policy measures in consolidating public finances and reducing the share of public debt in GDP.</w:t>
      </w:r>
    </w:p>
    <w:p w:rsidR="00026699" w:rsidRPr="00002D92" w:rsidRDefault="00CC2A54" w:rsidP="00026699">
      <w:pPr>
        <w:keepLines/>
        <w:widowControl w:val="0"/>
        <w:spacing w:after="160" w:line="259" w:lineRule="auto"/>
        <w:jc w:val="left"/>
        <w:rPr>
          <w:rFonts w:cs="Times New Roman"/>
          <w:bCs/>
          <w:szCs w:val="24"/>
          <w:lang w:val="sr-Cyrl-RS" w:eastAsia="ja-JP"/>
        </w:rPr>
      </w:pPr>
      <w:r w:rsidRPr="00002D92">
        <w:rPr>
          <w:rFonts w:cs="Times New Roman"/>
          <w:bCs/>
          <w:i/>
          <w:szCs w:val="24"/>
          <w:lang w:val="sr-Cyrl-RS" w:eastAsia="ja-JP"/>
        </w:rPr>
        <w:t>Chart 13</w:t>
      </w:r>
      <w:r w:rsidRPr="00002D92">
        <w:rPr>
          <w:rFonts w:cs="Times New Roman"/>
          <w:bCs/>
          <w:i/>
          <w:szCs w:val="24"/>
          <w:lang w:val="sr-Latn-RS" w:eastAsia="ja-JP"/>
        </w:rPr>
        <w:t>:</w:t>
      </w:r>
      <w:r w:rsidR="00026699" w:rsidRPr="00002D92">
        <w:rPr>
          <w:rFonts w:cs="Times New Roman"/>
          <w:bCs/>
          <w:i/>
          <w:szCs w:val="24"/>
          <w:lang w:val="sr-Cyrl-RS" w:eastAsia="ja-JP"/>
        </w:rPr>
        <w:t xml:space="preserve"> Impact of Changes in the Dinar Exchange Rate against the Currency Basket of the Public Debt Portfolio on the Public Debt-to-GDP Ratio – Central Government Level</w:t>
      </w:r>
      <w:r w:rsidR="00026699" w:rsidRPr="00002D92">
        <w:rPr>
          <w:rFonts w:cs="Times New Roman"/>
          <w:noProof/>
        </w:rPr>
        <w:drawing>
          <wp:inline distT="0" distB="0" distL="0" distR="0" wp14:anchorId="306E238F" wp14:editId="0C56F25B">
            <wp:extent cx="5731510" cy="2058802"/>
            <wp:effectExtent l="0" t="0" r="2540" b="0"/>
            <wp:docPr id="2044971059" name="Chart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26699" w:rsidRPr="00002D92" w:rsidRDefault="00026699" w:rsidP="00026699">
      <w:pPr>
        <w:rPr>
          <w:rFonts w:cs="Times New Roman"/>
          <w:bCs/>
          <w:sz w:val="22"/>
          <w:szCs w:val="24"/>
          <w:lang w:val="sr-Cyrl-RS" w:eastAsia="ja-JP"/>
        </w:rPr>
      </w:pPr>
      <w:r w:rsidRPr="00002D92">
        <w:rPr>
          <w:rFonts w:cs="Times New Roman"/>
          <w:bCs/>
          <w:sz w:val="22"/>
          <w:szCs w:val="24"/>
          <w:lang w:val="sr-Cyrl-RS" w:eastAsia="ja-JP"/>
        </w:rPr>
        <w:t>Source: Ministry of Finance</w:t>
      </w:r>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The chart illustrates the movement of the central government’s public debt-to-GDP ratio and GDP depending on changes in the dinar exchange rate against a specified currency basket. It presents the baseline projection along with alternative scenarios reflecting appreciation or depreciation of the dinar within a range of 10% appreciation to 10% depreciation against the currency basket. Under these scenarios, the ratio for 2028 would range from 40.2% to 47.0%, while under the baseline scenario it is projected at 43.6%.</w:t>
      </w:r>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The Public Debt Management Strategy for the upcoming medium-term period is based on the assumption that financing will be secured through borrowing in both domestic and international financial markets. Flexibility in choosing the market for borrowing, the currency of issuance, and the financing instrument is one of the essential conditions to ensure the financing of the Republic of Serbia’s budget expenditures. Decisions on annual borrowing are made within the framework of the Budget Law for a given fiscal year. Depending on changes in key fiscal aggregates, adjustments to the borrowing plan may be made during the fiscal year.</w:t>
      </w:r>
    </w:p>
    <w:p w:rsidR="00026699" w:rsidRPr="00002D92" w:rsidRDefault="00026699" w:rsidP="00026699">
      <w:pPr>
        <w:rPr>
          <w:rFonts w:eastAsia="Calibri" w:cs="Times New Roman"/>
          <w:szCs w:val="24"/>
          <w:lang w:val="sr-Cyrl-RS" w:eastAsia="ja-JP"/>
        </w:rPr>
      </w:pPr>
      <w:bookmarkStart w:id="38" w:name="_Toc530635112"/>
      <w:bookmarkEnd w:id="38"/>
      <w:r w:rsidRPr="00002D92">
        <w:rPr>
          <w:rFonts w:eastAsia="Calibri" w:cs="Times New Roman"/>
          <w:szCs w:val="24"/>
          <w:lang w:val="sr-Cyrl-RS" w:eastAsia="ja-JP"/>
        </w:rPr>
        <w:t>In order to optimize the portfolio and achieve more efficient public debt management, an analysis of the costs and risks of alternative borrowing strategies was conducted using the World Bank’s Medium-Term Debt Strategy Model (MTDS), under the baseline scenario as well as under shocks that could alter the baseline scenario: exchange rate movements, changes in interest rates in international and domestic markets, and a combined shock.</w:t>
      </w:r>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Over the past fifteen years, there has been significant development of the government securities market in the Republic of Serbia, primarily through the introduction of new financing instruments and the establishment of a stable, diversified investor base.</w:t>
      </w:r>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 xml:space="preserve">An important step in the internationalization of the market was the inclusion of Serbian “benchmark” bonds in the prestigious J.P. Morgan GBI-EM Global Diversified Index, positioning Serbia among countries with recognizable and competitive instruments. Currently, four bonds are included in the index (ISIN: RSMFRSD55940, RSMFRSD58761, </w:t>
      </w:r>
      <w:r w:rsidRPr="00002D92">
        <w:rPr>
          <w:rFonts w:eastAsia="Calibri" w:cs="Times New Roman"/>
          <w:szCs w:val="24"/>
          <w:lang w:val="sr-Cyrl-RS" w:eastAsia="ja-JP"/>
        </w:rPr>
        <w:lastRenderedPageBreak/>
        <w:t>RSMFRSD34101, and RSMFRSD86176). In 2025, a new 10.5-year “benchmark” bond was issued (ISIN RSMFRSD34101), with an auction held on 23 January, maturing on 27 July 2035, and carrying a 5.250% coupon with semi-annual interest payments.</w:t>
      </w:r>
    </w:p>
    <w:p w:rsidR="00026699" w:rsidRPr="00002D92" w:rsidRDefault="00026699" w:rsidP="00026699">
      <w:pPr>
        <w:rPr>
          <w:rFonts w:eastAsia="Calibri" w:cs="Times New Roman"/>
          <w:szCs w:val="24"/>
          <w:lang w:val="sr-Cyrl-RS" w:eastAsia="ja-JP"/>
        </w:rPr>
      </w:pPr>
      <w:r w:rsidRPr="00002D92">
        <w:rPr>
          <w:rFonts w:eastAsia="Calibri" w:cs="Times New Roman"/>
          <w:szCs w:val="24"/>
          <w:lang w:val="sr-Cyrl-RS" w:eastAsia="ja-JP"/>
        </w:rPr>
        <w:t>An additional boost to market development was provided by the receipt of an investment-grade credit rating of BBB- with stable outlook in October 2024 from Standard &amp; Poor’s. This rating significantly increased investor confidence and enabled access to a broader base of international investors, directly contributing to enhanced liquidity and the deepening of the market.</w:t>
      </w:r>
    </w:p>
    <w:p w:rsidR="00026699" w:rsidRPr="00002D92" w:rsidRDefault="00026699" w:rsidP="00DD35A0">
      <w:pPr>
        <w:rPr>
          <w:rFonts w:eastAsia="Calibri" w:cs="Times New Roman"/>
          <w:szCs w:val="24"/>
          <w:lang w:val="sr-Cyrl-RS" w:eastAsia="ja-JP"/>
        </w:rPr>
      </w:pPr>
      <w:r w:rsidRPr="00002D92">
        <w:rPr>
          <w:rFonts w:eastAsia="Calibri" w:cs="Times New Roman"/>
          <w:szCs w:val="24"/>
          <w:lang w:val="sr-Cyrl-RS" w:eastAsia="ja-JP"/>
        </w:rPr>
        <w:t>Furthermore, Serbia is actively working on aligning regulations and modernizing IT infrastructure to establish an international settlement system (I-Link) between the Central Securities Registry and Euroclear Bank, which will enable efficient settlement of government “benchmark” bonds within the global system.</w:t>
      </w:r>
    </w:p>
    <w:p w:rsidR="00863F79" w:rsidRPr="00002D92" w:rsidRDefault="00863F79" w:rsidP="00863F79">
      <w:pPr>
        <w:pStyle w:val="Heading11"/>
        <w:spacing w:before="180" w:after="180"/>
        <w:rPr>
          <w:rFonts w:ascii="Times New Roman" w:hAnsi="Times New Roman" w:cs="Times New Roman"/>
          <w:color w:val="auto"/>
          <w:sz w:val="24"/>
          <w:szCs w:val="24"/>
          <w:lang w:val="sr-Latn-RS"/>
        </w:rPr>
      </w:pPr>
      <w:bookmarkStart w:id="39" w:name="_Toc221106878"/>
      <w:bookmarkEnd w:id="36"/>
      <w:r w:rsidRPr="00002D92">
        <w:rPr>
          <w:rFonts w:ascii="Times New Roman" w:hAnsi="Times New Roman" w:cs="Times New Roman"/>
          <w:color w:val="auto"/>
          <w:sz w:val="24"/>
          <w:szCs w:val="24"/>
          <w:lang w:val="sr-Latn-RS"/>
        </w:rPr>
        <w:t>4.6. SENSITIVITY ANALYSIS AND COMPARISON WITH THE PREVIOUS PROGRAM</w:t>
      </w:r>
      <w:bookmarkEnd w:id="39"/>
    </w:p>
    <w:p w:rsidR="00863F79" w:rsidRPr="00002D92" w:rsidRDefault="00863F79" w:rsidP="00863F79">
      <w:pPr>
        <w:rPr>
          <w:rFonts w:eastAsia="MS PGothic" w:cs="Times New Roman"/>
          <w:szCs w:val="24"/>
          <w:lang w:val="sr-Cyrl-RS" w:eastAsia="ja-JP"/>
        </w:rPr>
      </w:pPr>
      <w:r w:rsidRPr="00002D92">
        <w:rPr>
          <w:rFonts w:eastAsia="MS PGothic" w:cs="Times New Roman"/>
          <w:szCs w:val="24"/>
          <w:lang w:val="sr-Cyrl-RS" w:eastAsia="ja-JP"/>
        </w:rPr>
        <w:t>Fiscal risks represent the exposure of public finances to certain circumstances that may cause deviations from the projected fiscal framework. Such deviations can occur in revenues, expenditures, the fiscal balance, as well as in the state’s assets and liabilities, compared to what was planned and expected. While the government cannot influence external risks, such as natural disasters or global financial crises, it is possible to define mitigation strategies to reduce their impact (e.g., maintaining stability in good times so that fiscal policy has room to respond adequately during recessions or crises, insurance against natural disasters, etc.). Internal risks, on the other hand, arise from public sector activities, and the likelihood of their materialization can be influenced by government decisions and policies.</w:t>
      </w:r>
    </w:p>
    <w:p w:rsidR="00796BB7" w:rsidRDefault="00863F79" w:rsidP="00796BB7">
      <w:pPr>
        <w:rPr>
          <w:rFonts w:eastAsia="MS PGothic" w:cs="Times New Roman"/>
          <w:szCs w:val="24"/>
          <w:lang w:val="sr-Latn-RS" w:eastAsia="ja-JP"/>
        </w:rPr>
      </w:pPr>
      <w:r w:rsidRPr="00002D92">
        <w:rPr>
          <w:rFonts w:eastAsia="MS PGothic" w:cs="Times New Roman"/>
          <w:szCs w:val="24"/>
          <w:lang w:val="sr-Cyrl-RS" w:eastAsia="ja-JP"/>
        </w:rPr>
        <w:t>Identifying the most significant fiscal risks that may affect public finances over the medium term is a starting point for better fiscal risk management. For certain fiscal risks, detailed data exist, making it relatively straightforward to determine whether and with what probability they may impact fiscal aggregates in the medium term. For others, sufficiently detailed data are not available, but even their identification raises awareness of the possibility that they could lead to deviations from the planned fiscal framework in the upcoming period.</w:t>
      </w:r>
    </w:p>
    <w:p w:rsidR="00796BB7" w:rsidRPr="00796BB7" w:rsidRDefault="00863F79" w:rsidP="00796BB7">
      <w:pPr>
        <w:rPr>
          <w:rFonts w:eastAsia="MS PGothic" w:cs="Times New Roman"/>
          <w:szCs w:val="24"/>
          <w:lang w:val="sr-Cyrl-RS" w:eastAsia="ja-JP"/>
        </w:rPr>
      </w:pPr>
      <w:r w:rsidRPr="00002D92">
        <w:rPr>
          <w:rFonts w:eastAsia="MS PGothic" w:cs="Times New Roman"/>
          <w:szCs w:val="24"/>
          <w:lang w:val="sr-Cyrl-RS" w:eastAsia="ja-JP"/>
        </w:rPr>
        <w:t>The Ministry of Finance plays a leading role in managing fiscal risks. As the key institution for medium-term macroeconomic and fiscal planning, budget formulation, and management, the Ministry of Finance must also take the lead in establishing the institutional and legal framework, as well as in building the capacities necessary for fiscal risk management. The aim of these activities is to identify and assess risks and propose mitigation strategies, thereby assisting the Government in maintaining the stability of public finances, which is a key objective of fiscal policy and one of the fundamental prerequisites for more dynamic economic growth.</w:t>
      </w:r>
      <w:r w:rsidR="00796BB7">
        <w:rPr>
          <w:rFonts w:eastAsia="MS PGothic" w:cs="Times New Roman"/>
          <w:szCs w:val="24"/>
          <w:lang w:val="sr-Latn-RS" w:eastAsia="ja-JP"/>
        </w:rPr>
        <w:t xml:space="preserve"> </w:t>
      </w:r>
      <w:r w:rsidRPr="00002D92">
        <w:rPr>
          <w:rFonts w:eastAsia="MS PGothic" w:cs="Times New Roman"/>
          <w:szCs w:val="24"/>
          <w:lang w:val="sr-Cyrl-RS" w:eastAsia="ja-JP"/>
        </w:rPr>
        <w:t>In order to implement the aforementioned fiscal risk monitoring process, a Unified Methodology was adopted in October 2021, prepared with the assistance of the World Bank. It encompasses four main methodologies: 1) a methodology for monitoring fiscal risks arising from the operations of public enterprises; 2) a methodology for monitoring fiscal risks to the budget of the Republic of Serbia arising from the exercise of local government competencies; 3) a methodology for monitoring fiscal risks stemming from legal proceedings; and 4) a methodology for monitoring fiscal risks resulting from natural disasters.</w:t>
      </w:r>
      <w:r w:rsidR="00796BB7">
        <w:rPr>
          <w:rFonts w:eastAsia="MS PGothic" w:cs="Times New Roman"/>
          <w:szCs w:val="24"/>
          <w:lang w:val="sr-Latn-RS" w:eastAsia="ja-JP"/>
        </w:rPr>
        <w:t xml:space="preserve"> </w:t>
      </w:r>
    </w:p>
    <w:p w:rsidR="00863F79" w:rsidRPr="00002D92" w:rsidRDefault="00BF20B1" w:rsidP="00BF20B1">
      <w:pPr>
        <w:spacing w:after="0" w:line="276" w:lineRule="auto"/>
        <w:rPr>
          <w:rFonts w:eastAsia="Calibri" w:cs="Times New Roman"/>
          <w:i/>
          <w:szCs w:val="24"/>
          <w:lang w:val="sr-Cyrl-RS" w:eastAsia="ja-JP"/>
        </w:rPr>
      </w:pPr>
      <w:r w:rsidRPr="003F6C09">
        <w:t xml:space="preserve">State-issued guarantees affect the level of debt as well as the fiscal deficit, particularly when the state takes over the repayment of a loan from the original debtor. According to the definition set by the Law on Public Debt, issued guarantees are considered part of indirect liabilities and are included in the total public debt. As of August 31, 2025, the total </w:t>
      </w:r>
      <w:r w:rsidR="003F6C09" w:rsidRPr="003F6C09">
        <w:t xml:space="preserve">general government </w:t>
      </w:r>
      <w:r w:rsidRPr="003F6C09">
        <w:t xml:space="preserve">debt </w:t>
      </w:r>
      <w:r w:rsidRPr="003F6C09">
        <w:lastRenderedPageBreak/>
        <w:t>amounted to 4,516.8 billion dinars, which represents 43.5% of GDP, of which indirect liabilities account for 195.5 billion dinars (1.9% of GDP).</w:t>
      </w:r>
    </w:p>
    <w:p w:rsidR="00BF20B1" w:rsidRDefault="00BF20B1" w:rsidP="00BF20B1">
      <w:pPr>
        <w:spacing w:after="0" w:line="276" w:lineRule="auto"/>
        <w:rPr>
          <w:rFonts w:eastAsia="Calibri" w:cs="Times New Roman"/>
          <w:i/>
          <w:szCs w:val="24"/>
          <w:lang w:val="sr-Cyrl-RS" w:eastAsia="ja-JP"/>
        </w:rPr>
      </w:pPr>
    </w:p>
    <w:p w:rsidR="00863F79" w:rsidRPr="00002D92" w:rsidRDefault="00863F79" w:rsidP="00863F79">
      <w:pPr>
        <w:spacing w:after="0" w:line="276" w:lineRule="auto"/>
        <w:jc w:val="left"/>
        <w:rPr>
          <w:rFonts w:eastAsia="Calibri" w:cs="Times New Roman"/>
          <w:szCs w:val="24"/>
          <w:highlight w:val="yellow"/>
          <w:lang w:eastAsia="ja-JP"/>
        </w:rPr>
      </w:pPr>
      <w:r w:rsidRPr="00002D92">
        <w:rPr>
          <w:rFonts w:eastAsia="Calibri" w:cs="Times New Roman"/>
          <w:i/>
          <w:szCs w:val="24"/>
          <w:lang w:val="sr-Cyrl-RS" w:eastAsia="ja-JP"/>
        </w:rPr>
        <w:t>Chart 14. Share of Indirect Debt in General Government Debt</w:t>
      </w:r>
      <w:r w:rsidRPr="00002D92">
        <w:rPr>
          <w:rFonts w:cs="Times New Roman"/>
          <w:noProof/>
        </w:rPr>
        <w:drawing>
          <wp:inline distT="0" distB="0" distL="0" distR="0" wp14:anchorId="77A6F2E5" wp14:editId="5AC14103">
            <wp:extent cx="5731510" cy="2789555"/>
            <wp:effectExtent l="0" t="0" r="2540" b="10795"/>
            <wp:docPr id="16" name="Chart 1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96BB7" w:rsidRDefault="00863F79" w:rsidP="00796BB7">
      <w:pPr>
        <w:spacing w:after="240"/>
        <w:rPr>
          <w:rFonts w:eastAsia="MS PGothic" w:cs="Times New Roman"/>
          <w:szCs w:val="24"/>
          <w:lang w:val="sr-Cyrl-RS" w:eastAsia="ja-JP"/>
        </w:rPr>
      </w:pPr>
      <w:r w:rsidRPr="00002D92">
        <w:rPr>
          <w:rFonts w:eastAsia="MS PGothic" w:cs="Times New Roman"/>
          <w:szCs w:val="20"/>
          <w:lang w:val="sr-Cyrl-RS" w:eastAsia="ja-JP"/>
        </w:rPr>
        <w:t>Restrictions on the issuance of new guarantees over the past ten years have yielded results, with the share of indirect obligations in total public debt declining year by year. Indirect obligations (guarantees issued by the Republic of Serbia) accounted for 9.5% of general government debt at the end of 2015, decreasing to 4.7% by the end of 2024. As of 31 August 2025, indirect obligations represented 4.3% of general government debt.</w:t>
      </w:r>
    </w:p>
    <w:p w:rsidR="00863F79" w:rsidRPr="00796BB7" w:rsidRDefault="00863F79" w:rsidP="00796BB7">
      <w:pPr>
        <w:spacing w:after="240"/>
        <w:rPr>
          <w:rFonts w:eastAsia="MS PGothic" w:cs="Times New Roman"/>
          <w:szCs w:val="24"/>
          <w:lang w:val="sr-Cyrl-RS" w:eastAsia="ja-JP"/>
        </w:rPr>
      </w:pPr>
      <w:r w:rsidRPr="00002D92">
        <w:rPr>
          <w:rFonts w:eastAsia="MS PGothic" w:cs="Times New Roman"/>
          <w:szCs w:val="20"/>
          <w:lang w:val="sr-Cyrl-RS" w:eastAsia="ja-JP"/>
        </w:rPr>
        <w:t>Principal repayments on guaranteed loans serviced from the budget of the Republic of Serbia in 2024 amounted to RSD 30.4 billion (RSD 27.2 billion in 2023), of which RSD 27.9 billion affected the deficit. Under the accounting methodology used until 2014, repayments on guarantees were not included in expenditures.</w:t>
      </w:r>
    </w:p>
    <w:p w:rsidR="007306A8" w:rsidRPr="00002D92" w:rsidRDefault="00863F79" w:rsidP="00863F79">
      <w:pPr>
        <w:spacing w:afterLines="120" w:after="288"/>
        <w:rPr>
          <w:rFonts w:eastAsia="MS PGothic" w:cs="Times New Roman"/>
          <w:szCs w:val="20"/>
          <w:lang w:val="sr-Cyrl-RS" w:eastAsia="ja-JP"/>
        </w:rPr>
      </w:pPr>
      <w:r w:rsidRPr="00002D92">
        <w:rPr>
          <w:rFonts w:eastAsia="MS PGothic" w:cs="Times New Roman"/>
          <w:szCs w:val="20"/>
          <w:lang w:val="sr-Cyrl-RS" w:eastAsia="ja-JP"/>
        </w:rPr>
        <w:t>Since 2014, a portion of these expenditures has been included in the budgetary expenditures. Regardless of the budgetary and accounting presentation, debt for which the state assumes repayment on behalf of the principal debtor increases the overall borrowing requirements.</w:t>
      </w:r>
    </w:p>
    <w:p w:rsidR="00796BB7" w:rsidRDefault="00796BB7">
      <w:pPr>
        <w:spacing w:after="160" w:line="259" w:lineRule="auto"/>
        <w:jc w:val="left"/>
        <w:rPr>
          <w:rFonts w:eastAsia="Calibri" w:cs="Times New Roman"/>
          <w:i/>
          <w:szCs w:val="24"/>
          <w:lang w:val="sr-Cyrl-RS" w:eastAsia="ja-JP"/>
        </w:rPr>
      </w:pPr>
      <w:r>
        <w:rPr>
          <w:rFonts w:eastAsia="Calibri" w:cs="Times New Roman"/>
          <w:i/>
          <w:szCs w:val="24"/>
          <w:lang w:val="sr-Cyrl-RS" w:eastAsia="ja-JP"/>
        </w:rPr>
        <w:br w:type="page"/>
      </w:r>
    </w:p>
    <w:p w:rsidR="00863F79" w:rsidRPr="00002D92" w:rsidRDefault="003B22A7" w:rsidP="00863F79">
      <w:pPr>
        <w:spacing w:afterLines="120" w:after="288"/>
        <w:rPr>
          <w:rFonts w:eastAsia="MS PGothic" w:cs="Times New Roman"/>
          <w:szCs w:val="20"/>
          <w:lang w:val="sr-Cyrl-RS" w:eastAsia="ja-JP"/>
        </w:rPr>
      </w:pPr>
      <w:r w:rsidRPr="00002D92">
        <w:rPr>
          <w:rFonts w:eastAsia="Calibri" w:cs="Times New Roman"/>
          <w:i/>
          <w:szCs w:val="24"/>
          <w:lang w:val="sr-Cyrl-RS" w:eastAsia="ja-JP"/>
        </w:rPr>
        <w:lastRenderedPageBreak/>
        <w:t>Chart 15</w:t>
      </w:r>
      <w:r w:rsidRPr="00002D92">
        <w:rPr>
          <w:rFonts w:eastAsia="Calibri" w:cs="Times New Roman"/>
          <w:i/>
          <w:szCs w:val="24"/>
          <w:lang w:val="sr-Latn-RS" w:eastAsia="ja-JP"/>
        </w:rPr>
        <w:t>:</w:t>
      </w:r>
      <w:r w:rsidR="00863F79" w:rsidRPr="00002D92">
        <w:rPr>
          <w:rFonts w:eastAsia="Calibri" w:cs="Times New Roman"/>
          <w:i/>
          <w:szCs w:val="24"/>
          <w:lang w:val="sr-Cyrl-RS" w:eastAsia="ja-JP"/>
        </w:rPr>
        <w:t xml:space="preserve"> Debt Repayments on Activated Guarantees, RSD Billion</w:t>
      </w:r>
    </w:p>
    <w:p w:rsidR="00863F79" w:rsidRPr="00002D92" w:rsidRDefault="00863F79" w:rsidP="00863F79">
      <w:pPr>
        <w:spacing w:after="0" w:line="276" w:lineRule="auto"/>
        <w:jc w:val="left"/>
        <w:rPr>
          <w:rFonts w:eastAsia="Calibri" w:cs="Times New Roman"/>
          <w:szCs w:val="24"/>
          <w:highlight w:val="yellow"/>
          <w:lang w:val="sr-Cyrl-RS" w:eastAsia="ja-JP"/>
        </w:rPr>
      </w:pPr>
      <w:r w:rsidRPr="00002D92">
        <w:rPr>
          <w:rFonts w:cs="Times New Roman"/>
          <w:noProof/>
        </w:rPr>
        <w:drawing>
          <wp:inline distT="0" distB="0" distL="0" distR="0" wp14:anchorId="42E7F9D0" wp14:editId="586785B7">
            <wp:extent cx="5606281" cy="21541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5282" cy="2319009"/>
                    </a:xfrm>
                    <a:prstGeom prst="rect">
                      <a:avLst/>
                    </a:prstGeom>
                    <a:noFill/>
                    <a:ln>
                      <a:noFill/>
                    </a:ln>
                  </pic:spPr>
                </pic:pic>
              </a:graphicData>
            </a:graphic>
          </wp:inline>
        </w:drawing>
      </w:r>
    </w:p>
    <w:p w:rsidR="00863F79" w:rsidRPr="00002D92" w:rsidRDefault="00863F79" w:rsidP="00863F79">
      <w:pPr>
        <w:spacing w:line="257" w:lineRule="auto"/>
        <w:rPr>
          <w:rFonts w:eastAsia="MS PGothic" w:cs="Times New Roman"/>
          <w:szCs w:val="24"/>
          <w:lang w:val="sr-Cyrl-RS" w:eastAsia="ja-JP"/>
        </w:rPr>
      </w:pPr>
      <w:r w:rsidRPr="00002D92">
        <w:rPr>
          <w:rFonts w:eastAsia="MS PGothic" w:cs="Times New Roman"/>
          <w:szCs w:val="24"/>
          <w:lang w:val="sr-Cyrl-RS" w:eastAsia="ja-JP"/>
        </w:rPr>
        <w:t>Indirect debt, the inclusion of part of guarantee repayments in budgetary expenditures, and the resulting increase in the deficit have raised awareness of the growing fiscal risks arising from issued guarantees. Consequently, measures have been taken to limit the issuance of new guarantees.</w:t>
      </w:r>
    </w:p>
    <w:p w:rsidR="00863F79" w:rsidRPr="00002D92" w:rsidRDefault="00863F79" w:rsidP="00863F79">
      <w:pPr>
        <w:rPr>
          <w:rFonts w:eastAsia="MS PGothic" w:cs="Times New Roman"/>
          <w:szCs w:val="24"/>
          <w:lang w:val="sr-Cyrl-RS" w:eastAsia="ja-JP"/>
        </w:rPr>
      </w:pPr>
      <w:r w:rsidRPr="00002D92">
        <w:rPr>
          <w:rFonts w:eastAsia="MS PGothic" w:cs="Times New Roman"/>
          <w:szCs w:val="24"/>
          <w:lang w:val="sr-Cyrl-RS" w:eastAsia="ja-JP"/>
        </w:rPr>
        <w:t>In addition to restrictions on the issuance of state guarantees, a key step in reducing and mitigating fiscal risks in this area is the reform of state-owned enterprises, the beneficiaries of guarantees, to ensure their ability to service their loans. A number of these enterprises, which are also the largest guarantee beneficiaries, are currently undergoing restructuring or implementing restructuring plans developed in cooperation with international financial institutions.</w:t>
      </w:r>
    </w:p>
    <w:p w:rsidR="00863F79" w:rsidRPr="00002D92" w:rsidRDefault="00863F79" w:rsidP="00863F79">
      <w:pPr>
        <w:rPr>
          <w:rFonts w:eastAsia="MS PGothic" w:cs="Times New Roman"/>
          <w:szCs w:val="24"/>
          <w:lang w:val="sr-Cyrl-RS" w:eastAsia="ja-JP"/>
        </w:rPr>
      </w:pPr>
      <w:r w:rsidRPr="00002D92">
        <w:rPr>
          <w:rFonts w:eastAsia="MS PGothic" w:cs="Times New Roman"/>
          <w:szCs w:val="24"/>
          <w:lang w:val="sr-Cyrl-RS" w:eastAsia="ja-JP"/>
        </w:rPr>
        <w:t>Structural reforms of public and state-owned enterprises, enhancing their capacity to compete in the market and achieve financial sustainability on the one hand, and the limited and targeted issuance of new guarantees on the other, will contribute to reducing fiscal risks in this area and maintaining expenditures within the planned, i.e., projected, framework over the upcoming medium-term period.</w:t>
      </w:r>
    </w:p>
    <w:p w:rsidR="00863F79" w:rsidRPr="00002D92" w:rsidRDefault="00863F79" w:rsidP="00863F79">
      <w:pPr>
        <w:rPr>
          <w:rFonts w:eastAsia="MS PGothic" w:cs="Times New Roman"/>
          <w:szCs w:val="24"/>
          <w:lang w:val="sr-Cyrl-RS" w:eastAsia="ja-JP"/>
        </w:rPr>
      </w:pPr>
      <w:r w:rsidRPr="00002D92">
        <w:rPr>
          <w:rFonts w:eastAsia="MS PGothic" w:cs="Times New Roman"/>
          <w:szCs w:val="24"/>
          <w:lang w:val="sr-Cyrl-RS" w:eastAsia="ja-JP"/>
        </w:rPr>
        <w:t>The operations of state-owned enterprises represent a significant source of fiscal risks, affecting both budget revenues and expenditures. These enterprises face numerous challenges in their operations, ranging from the collection of receivables to the regular settlement of obligations toward creditors, the state, and employees, among others. As the founder and sole owner, the state is responsible for their operations and serves as their primary support in cases of illiquidity. Fiscal risks related to the operations of state-owned enterprises can materialize through several channels. The largest, though not the only, risk stems from state guarantees provided for the enterprises’ loans. The sustainability, efficiency, and profitability of state-owned enterprises directly impact budget revenues, specifically the amount of profit they transfer to the budget. Additionally, the quality of products and services provided by these enterprises affects the efficiency and profitability of the private sector and, ultimately, the level of taxes paid into the budget.</w:t>
      </w:r>
    </w:p>
    <w:p w:rsidR="00863F79" w:rsidRPr="00002D92" w:rsidRDefault="00863F79" w:rsidP="00863F79">
      <w:pPr>
        <w:rPr>
          <w:rFonts w:eastAsia="MS PGothic" w:cs="Times New Roman"/>
          <w:szCs w:val="24"/>
          <w:lang w:val="sr-Cyrl-RS" w:eastAsia="ja-JP"/>
        </w:rPr>
      </w:pPr>
      <w:r w:rsidRPr="00002D92">
        <w:rPr>
          <w:rFonts w:eastAsia="MS PGothic" w:cs="Times New Roman"/>
          <w:szCs w:val="24"/>
          <w:lang w:val="sr-Cyrl-RS" w:eastAsia="ja-JP"/>
        </w:rPr>
        <w:t>Within the Ministry of Finance, the operations of 36 strategic enterprises, which are majority-owned by the Republic of Serbia and represent a significant segment of the Serbian economy, are monitored. At the end of 2024, these enterprises employed approximately 66,000 people. Their operations are regulated by the Law on the Management of Companies Owned by the Republic of Serbia, as well as by subsector-specific laws that define areas not covered by the Law on Public Enterprises (such as the Energy Law, the Companies Law, etc.).</w:t>
      </w:r>
    </w:p>
    <w:p w:rsidR="00863F79" w:rsidRPr="00002D92" w:rsidRDefault="00863F79" w:rsidP="00863F79">
      <w:pPr>
        <w:rPr>
          <w:rFonts w:cs="Times New Roman"/>
          <w:szCs w:val="24"/>
          <w:highlight w:val="yellow"/>
          <w:lang w:val="sr-Cyrl-RS"/>
        </w:rPr>
      </w:pPr>
      <w:r w:rsidRPr="00002D92">
        <w:rPr>
          <w:rFonts w:eastAsia="MS PGothic" w:cs="Times New Roman"/>
          <w:szCs w:val="24"/>
          <w:lang w:val="sr-Cyrl-RS" w:eastAsia="ja-JP"/>
        </w:rPr>
        <w:lastRenderedPageBreak/>
        <w:t>During the autumn of 2021, disruptions occurred in the global energy market. The energy sector crisis compounded the existing crisis caused by the COVID-19 pandemic. Due to increased demand driven by post-pandemic economic recovery and supply constraints—namely insufficient supply and low stock levels—natural gas prices reached historic highs. This, in turn, fueled demand for other energy sources, whose prices also rose sharply. High prices of other energy sources, coupled with reduced wind power generation in Europe and elevated CO₂ emission permit costs, led to electricity prices reaching historic highs as well. Under these conditions, coal-fired electricity generation increased, as it was more cost-effective than gas-based production.</w:t>
      </w:r>
    </w:p>
    <w:p w:rsidR="00863F79" w:rsidRPr="00002D92" w:rsidRDefault="00863F79" w:rsidP="00863F79">
      <w:pPr>
        <w:rPr>
          <w:rFonts w:cs="Times New Roman"/>
          <w:spacing w:val="-4"/>
          <w:szCs w:val="24"/>
          <w:lang w:val="sr-Cyrl-RS"/>
        </w:rPr>
      </w:pPr>
      <w:r w:rsidRPr="00002D92">
        <w:rPr>
          <w:rFonts w:cs="Times New Roman"/>
          <w:spacing w:val="-4"/>
          <w:szCs w:val="24"/>
          <w:lang w:val="sr-Cyrl-RS"/>
        </w:rPr>
        <w:t xml:space="preserve">It has been repeatedly demonstrated that increases in the prices of key energy commodities, such as oil and gas, lead to rises in other market prices. This already challenging situation was further compounded by the crisis in Ukraine, making energy security and Europe’s dependence on Russian fossil fuels a key concern. This sequence of events caused global electricity and natural gas prices to reach levels significantly higher than those seen in recent years. The energy crisis inevitably affected Serbia as well, with energy companies—primarily AD “Elektroprivreda Srbije” and </w:t>
      </w:r>
      <w:r w:rsidR="00152486">
        <w:rPr>
          <w:rFonts w:cs="Times New Roman"/>
          <w:spacing w:val="-4"/>
          <w:szCs w:val="24"/>
          <w:lang w:val="sr-Cyrl-RS"/>
        </w:rPr>
        <w:t>PE</w:t>
      </w:r>
      <w:r w:rsidRPr="00002D92">
        <w:rPr>
          <w:rFonts w:cs="Times New Roman"/>
          <w:spacing w:val="-4"/>
          <w:szCs w:val="24"/>
          <w:lang w:val="sr-Cyrl-RS"/>
        </w:rPr>
        <w:t xml:space="preserve"> “Srbijagas”—being the most impacted.</w:t>
      </w:r>
    </w:p>
    <w:p w:rsidR="00863F79" w:rsidRPr="00002D92" w:rsidRDefault="00863F79" w:rsidP="00863F79">
      <w:pPr>
        <w:rPr>
          <w:rFonts w:eastAsia="MS PGothic" w:cs="Times New Roman"/>
          <w:szCs w:val="24"/>
          <w:lang w:val="sr-Cyrl-RS" w:eastAsia="ja-JP"/>
        </w:rPr>
      </w:pPr>
      <w:r w:rsidRPr="00002D92">
        <w:rPr>
          <w:rFonts w:eastAsia="MS PGothic" w:cs="Times New Roman"/>
          <w:szCs w:val="24"/>
          <w:lang w:val="sr-Cyrl-RS" w:eastAsia="ja-JP"/>
        </w:rPr>
        <w:t xml:space="preserve">Due to high electricity prices in the preceding period, which threatened the operations of business entities in the Republic of Serbia as well as energy companies engaged in electricity transmission and distribution (related to electricity procurement for losses), it was recommended that AD “Elektroprivreda Srbije” supply these entities at prices below market levels. As a result, AD “Elektroprivreda Srbije” was exposed to financial risk, meaning that the full risk of price increases was effectively transferred to AD “Elektroprivreda Srbije.” </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 xml:space="preserve">At the end of 2024, </w:t>
      </w:r>
      <w:r w:rsidR="003B22A7" w:rsidRPr="00002D92">
        <w:rPr>
          <w:rFonts w:eastAsia="MS PGothic" w:cs="Times New Roman"/>
          <w:szCs w:val="20"/>
          <w:lang w:val="sr-Latn-RS" w:eastAsia="ja-JP"/>
        </w:rPr>
        <w:t>JSC</w:t>
      </w:r>
      <w:r w:rsidRPr="00002D92">
        <w:rPr>
          <w:rFonts w:eastAsia="MS PGothic" w:cs="Times New Roman"/>
          <w:szCs w:val="20"/>
          <w:lang w:val="sr-Cyrl-RS" w:eastAsia="ja-JP"/>
        </w:rPr>
        <w:t xml:space="preserve"> “Elektroprivreda Srbije” recorded a net profit of RSD 24.4 billion. In 2024, the company carried out significant investments in the energy sector, including the commissioning of the newly constructed B3 unit at the “Kostolac” thermal power plant, which increased the total generation capacity, providing additional security for Serbia’s electricity sector. Additionally, in the previous year, the flue-gas desulfurization facility at TENT A was completed and put into operation, contributing to a reduction in sulfur dioxide emissions and ensuring compliance with European and domestic environmental standards. During 2025, all construction works for the flue-gas desulfurization facility at TENT B were also completed.</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 xml:space="preserve">In the first half of 2025, the construction of the Petka solar power plant, with a capacity of 9.75 MW, was completed, and the first EPS wind farm in Kostolac, with a capacity of 66 MW, is nearing completion. This will enable </w:t>
      </w:r>
      <w:r w:rsidR="003B22A7" w:rsidRPr="00002D92">
        <w:rPr>
          <w:rFonts w:eastAsia="MS PGothic" w:cs="Times New Roman"/>
          <w:szCs w:val="20"/>
          <w:lang w:val="sr-Latn-RS" w:eastAsia="ja-JP"/>
        </w:rPr>
        <w:t>JSC</w:t>
      </w:r>
      <w:r w:rsidRPr="00002D92">
        <w:rPr>
          <w:rFonts w:eastAsia="MS PGothic" w:cs="Times New Roman"/>
          <w:szCs w:val="20"/>
          <w:lang w:val="sr-Cyrl-RS" w:eastAsia="ja-JP"/>
        </w:rPr>
        <w:t xml:space="preserve"> “Elektroprivreda Srbije” to increase its generation capacity by an additional 76 MW of green energy by the end of 2025.</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The Board of the Energy Agency of the Republic of Serbia approved the decision on the electricity price for guaranteed supply, effective from 1 October 2025. The average electricity price for customers entitled to guaranteed supply at regulated prices (households and small consumers) is 6.6% higher compared to the existing average price, reflecting the increase in transmission and distribution system access costs. The threshold between the red and blue zones was also lowered from 1,600 to 1,200 kWh.</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 xml:space="preserve">In 2024, </w:t>
      </w:r>
      <w:r w:rsidR="003B22A7" w:rsidRPr="00002D92">
        <w:rPr>
          <w:rFonts w:eastAsia="MS PGothic" w:cs="Times New Roman"/>
          <w:szCs w:val="20"/>
          <w:lang w:val="sr-Latn-RS" w:eastAsia="ja-JP"/>
        </w:rPr>
        <w:t>JSC</w:t>
      </w:r>
      <w:r w:rsidRPr="00002D92">
        <w:rPr>
          <w:rFonts w:eastAsia="MS PGothic" w:cs="Times New Roman"/>
          <w:szCs w:val="20"/>
          <w:lang w:val="sr-Cyrl-RS" w:eastAsia="ja-JP"/>
        </w:rPr>
        <w:t xml:space="preserve"> “Elektroprivreda Srbije” adopted a Transformation Plan, which defines changes to the organizational structure and improvements to operational and financial processes.</w:t>
      </w:r>
    </w:p>
    <w:p w:rsidR="00796BB7" w:rsidRDefault="00863F79" w:rsidP="00863F79">
      <w:pPr>
        <w:rPr>
          <w:rFonts w:eastAsia="MS PGothic" w:cs="Times New Roman"/>
          <w:szCs w:val="24"/>
          <w:lang w:val="sr-Cyrl-RS" w:eastAsia="ja-JP"/>
        </w:rPr>
      </w:pPr>
      <w:r w:rsidRPr="00002D92">
        <w:rPr>
          <w:rFonts w:eastAsia="MS PGothic" w:cs="Times New Roman"/>
          <w:szCs w:val="20"/>
          <w:lang w:val="sr-Cyrl-RS" w:eastAsia="ja-JP"/>
        </w:rPr>
        <w:t>Although positive progress has been made in operations, the main challenge for the upcoming period is the continuation of ongoing reforms, as well as the energy transition, which will enable a gradual shift toward increased renewable energy production. This will undoubtedly require financial consolidation and substantial investment.</w:t>
      </w:r>
    </w:p>
    <w:p w:rsidR="00863F79" w:rsidRPr="00796BB7" w:rsidRDefault="00863F79" w:rsidP="00863F79">
      <w:pPr>
        <w:rPr>
          <w:rFonts w:eastAsia="MS PGothic" w:cs="Times New Roman"/>
          <w:szCs w:val="24"/>
          <w:highlight w:val="yellow"/>
          <w:lang w:val="sr-Cyrl-RS" w:eastAsia="ja-JP"/>
        </w:rPr>
      </w:pPr>
      <w:r w:rsidRPr="00002D92">
        <w:rPr>
          <w:rFonts w:eastAsia="MS PGothic" w:cs="Times New Roman"/>
          <w:szCs w:val="20"/>
          <w:lang w:val="sr-Cyrl-RS" w:eastAsia="ja-JP"/>
        </w:rPr>
        <w:lastRenderedPageBreak/>
        <w:t xml:space="preserve">Another key company for energy stability is “Elektrodistribucija Srbije” LLC (EDS), which has operated independently since 2021 (previously part of </w:t>
      </w:r>
      <w:r w:rsidR="003B22A7" w:rsidRPr="00002D92">
        <w:rPr>
          <w:rFonts w:eastAsia="MS PGothic" w:cs="Times New Roman"/>
          <w:szCs w:val="20"/>
          <w:lang w:val="sr-Latn-RS" w:eastAsia="ja-JP"/>
        </w:rPr>
        <w:t xml:space="preserve">JSC </w:t>
      </w:r>
      <w:r w:rsidR="003B22A7" w:rsidRPr="00002D92">
        <w:rPr>
          <w:rFonts w:eastAsia="MS PGothic" w:cs="Times New Roman"/>
          <w:szCs w:val="20"/>
          <w:lang w:val="sr-Cyrl-RS" w:eastAsia="ja-JP"/>
        </w:rPr>
        <w:t>EPS</w:t>
      </w:r>
      <w:r w:rsidRPr="00002D92">
        <w:rPr>
          <w:rFonts w:eastAsia="MS PGothic" w:cs="Times New Roman"/>
          <w:szCs w:val="20"/>
          <w:lang w:val="sr-Cyrl-RS" w:eastAsia="ja-JP"/>
        </w:rPr>
        <w:t xml:space="preserve">). In 2024, EDS’s primary revenues from network fees were insufficient to sustain operations. Operating revenues were not enough to cover current operating expenses, reflecting the impact of cost-side inflation while tariffs for access to and use of the distribution system remained unchanged. EDS closed 2024 with a net loss of RSD 6.9 billion. The Board of the Energy Agency of the Republic of Serbia approved the decisions on system access prices for transmission and distribution, effective from 1 October 2025. The total increase in the approved transmission price in 2025 compared to the approved price as of 1 October 2021 amounts to 10%, while the total increase in the approved electricity distribution price, relative to the approved price as of 1 October 2021 and calculated for the 2025 balance, amounts to 16%. </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Although EDS faced numerous challenges in the previous period, a positive aspect of its operations has been significant investment. In 2024, the Distribution Network Reconstruction project was completed, replacing over 34,000 wooden poles with concrete ones as part of the low-voltage network modernization. In 2025, EDS began the second phase of the major low-voltage network reconstruction, investing RSD 6.2 billion in the installation of new concrete poles and self-supporting cable bundles, with a plan to renovate a total of 2,200 kilometers of low-voltage network and install 33,000 concrete poles by spring 2026. Under the “Smart Meters” project, approximately 600,000 smart meters have already been installed, with EDS providing an additional 150,000 meters from its own funds. From October 2025, the replacement of 200,000 smart meters financed through an EBRD loan and EU donation will begin, and EDS plans to have 950,000 smart meters installed on the network by the end of 2026. Additionally, the Medium-Voltage Distribution Network Automation project continues, implemented in cooperation with Schneider Electric.</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The aforementioned investment projects will address one of EDS’s main structural challenges by significantly improving the distribution networks, thereby contributing to a reduction in network losses. The Republic of Serbia has recognized the challenges facing this enterprise and, for 2025, plans to continue support through the provision of guarantees amounting to up to RSD 18.2 billion.</w:t>
      </w:r>
    </w:p>
    <w:p w:rsidR="00863F79" w:rsidRPr="00002D92" w:rsidRDefault="00863F79" w:rsidP="00863F79">
      <w:pPr>
        <w:rPr>
          <w:rFonts w:cs="Times New Roman"/>
          <w:lang w:val="sr-Cyrl-RS"/>
        </w:rPr>
      </w:pPr>
      <w:r w:rsidRPr="00002D92">
        <w:rPr>
          <w:rFonts w:eastAsia="MS PGothic" w:cs="Times New Roman"/>
          <w:szCs w:val="20"/>
          <w:lang w:val="sr-Cyrl-RS" w:eastAsia="ja-JP"/>
        </w:rPr>
        <w:t xml:space="preserve">Regarding </w:t>
      </w:r>
      <w:r w:rsidR="00152486">
        <w:rPr>
          <w:rFonts w:eastAsia="MS PGothic" w:cs="Times New Roman"/>
          <w:szCs w:val="20"/>
          <w:lang w:val="sr-Cyrl-RS" w:eastAsia="ja-JP"/>
        </w:rPr>
        <w:t>PE</w:t>
      </w:r>
      <w:r w:rsidRPr="00002D92">
        <w:rPr>
          <w:rFonts w:eastAsia="MS PGothic" w:cs="Times New Roman"/>
          <w:szCs w:val="20"/>
          <w:lang w:val="sr-Cyrl-RS" w:eastAsia="ja-JP"/>
        </w:rPr>
        <w:t xml:space="preserve"> “Srbijagas,” adverse market developments in 2021 and 2022, along with the financial position of the natural gas distributor, prompted the Republic of Serbia to participate in financing the procurement of reserve gas volumes as well as co-financing regular purchases. Through a proactive operational approach since 2022, additional gas storage capacities have been secured in Hungary, from which stored quantities were occasionally withdrawn during the winter season of 2023/2024, while the remaining volumes provided additional supply security for the market during the 2024/2025 winter season. The last adjustment of the gas selling price was made at the end of 2023. In 2024, activities continued on the construction of gas pipelines within the territory of the Republic of Serbia and on creating conditions for the diversification of supply routes, adequate gas infrastructure, and the future reliable supply of consumers with natural gas. In 2025, </w:t>
      </w:r>
      <w:r w:rsidR="003B22A7" w:rsidRPr="00002D92">
        <w:rPr>
          <w:rFonts w:eastAsia="MS PGothic" w:cs="Times New Roman"/>
          <w:szCs w:val="20"/>
          <w:lang w:val="sr-Latn-RS" w:eastAsia="ja-JP"/>
        </w:rPr>
        <w:t>PE</w:t>
      </w:r>
      <w:r w:rsidRPr="00002D92">
        <w:rPr>
          <w:rFonts w:eastAsia="MS PGothic" w:cs="Times New Roman"/>
          <w:szCs w:val="20"/>
          <w:lang w:val="sr-Cyrl-RS" w:eastAsia="ja-JP"/>
        </w:rPr>
        <w:t xml:space="preserve"> “Srbijagas” continued implementing energy security and reliable gas supply policies, consistently acting within its public service obligations. Special focus was placed on executing investment activities, particularly strategic infrastructure projects, which form the basis for further development of the gas sector, strengthen the country’s energy stability, and represent an important factor for sustainable economic growth in the Republic of Serbia. Continued investment in gas infrastructure is expected in the coming period.</w:t>
      </w:r>
    </w:p>
    <w:p w:rsidR="00863F79" w:rsidRPr="00002D92" w:rsidRDefault="00863F79" w:rsidP="00863F79">
      <w:pPr>
        <w:spacing w:after="0"/>
        <w:rPr>
          <w:rFonts w:eastAsia="MS PGothic" w:cs="Times New Roman"/>
          <w:szCs w:val="20"/>
          <w:lang w:val="sr-Cyrl-RS" w:eastAsia="ja-JP"/>
        </w:rPr>
      </w:pPr>
      <w:r w:rsidRPr="00002D92">
        <w:rPr>
          <w:rFonts w:eastAsia="MS PGothic" w:cs="Times New Roman"/>
          <w:szCs w:val="20"/>
          <w:lang w:val="sr-Cyrl-RS" w:eastAsia="ja-JP"/>
        </w:rPr>
        <w:t xml:space="preserve">The railway sector remains one of the priority areas for public investment, given its strategic importance for transport connectivity, economic development, and energy efficiency. In 2025, </w:t>
      </w:r>
      <w:r w:rsidRPr="00002D92">
        <w:rPr>
          <w:rFonts w:eastAsia="MS PGothic" w:cs="Times New Roman"/>
          <w:szCs w:val="20"/>
          <w:lang w:val="sr-Cyrl-RS" w:eastAsia="ja-JP"/>
        </w:rPr>
        <w:lastRenderedPageBreak/>
        <w:t>investments continue in the modernization of railway infrastructure, procurement of new rolling stock, and digitalization of railway systems, supported by both international financial sources and national budget funds. Planned projects, such as the continuation of Corridor X modernization and the construction of high-speed lines to regional centers, aim to increase capacity, safety, and the attractiveness of rail transport, contributing to cost reduction and lower greenhouse gas emissions in line with the green transition. At the same time, careful management of fiscal risks arising from the level of borrowing for large railway projects and high subsidies is required, particularly under the challenges posed by the global economic crisis.</w:t>
      </w:r>
    </w:p>
    <w:p w:rsidR="00863F79" w:rsidRPr="00002D92" w:rsidRDefault="00152486" w:rsidP="00863F79">
      <w:pPr>
        <w:spacing w:after="0"/>
        <w:rPr>
          <w:rFonts w:eastAsia="Times New Roman" w:cs="Times New Roman"/>
          <w:szCs w:val="20"/>
          <w:lang w:val="sr-Cyrl-RS"/>
        </w:rPr>
      </w:pPr>
      <w:r>
        <w:rPr>
          <w:rFonts w:cs="Times New Roman"/>
          <w:lang w:val="sr-Cyrl-RS"/>
        </w:rPr>
        <w:t>PE</w:t>
      </w:r>
      <w:r w:rsidR="00863F79" w:rsidRPr="00002D92">
        <w:rPr>
          <w:rFonts w:cs="Times New Roman"/>
          <w:lang w:val="sr-Cyrl-RS"/>
        </w:rPr>
        <w:t xml:space="preserve"> “Putevi Srbije” represents one of the most important public enterprises in the maintenance and development of road infrastructure in the Republic of Serbia, with a role in ensuring high-quality, safe, and sustainable roads, directly impacting the country’s economic development as well as regional and international connectivity. Rising energy and construction material prices in the previous period have increased the costs of maintaining and building road infrastructure, placing additional pressure on the company’s financial resources. The majority of </w:t>
      </w:r>
      <w:r>
        <w:rPr>
          <w:rFonts w:cs="Times New Roman"/>
          <w:lang w:val="sr-Cyrl-RS"/>
        </w:rPr>
        <w:t>PE</w:t>
      </w:r>
      <w:r w:rsidR="00863F79" w:rsidRPr="00002D92">
        <w:rPr>
          <w:rFonts w:cs="Times New Roman"/>
          <w:lang w:val="sr-Cyrl-RS"/>
        </w:rPr>
        <w:t xml:space="preserve"> “Putevi Srbije”’s revenues come from toll collection, providing a reliable source of funding for regular operations. Given the scope of ongoing maintenance and investment projects, in some cases additional funds from the Republic of Serbia’s budget, in the form of subsidies or transfers, are necessary to efficiently implement planned activities and maintain financial stability. With the planned toll increase, higher budget inflows, and measures to rationalize expenditures in 2025, improvements in liquidity and the company’s financial position are expected. In this context, </w:t>
      </w:r>
      <w:r>
        <w:rPr>
          <w:rFonts w:cs="Times New Roman"/>
          <w:lang w:val="sr-Cyrl-RS"/>
        </w:rPr>
        <w:t>PE</w:t>
      </w:r>
      <w:r w:rsidR="00863F79" w:rsidRPr="00002D92">
        <w:rPr>
          <w:rFonts w:cs="Times New Roman"/>
          <w:lang w:val="sr-Cyrl-RS"/>
        </w:rPr>
        <w:t xml:space="preserve"> “Putevi Srbije” will continue implementing projects focused on road safety maintenance and infrastructure modernization.</w:t>
      </w:r>
    </w:p>
    <w:p w:rsidR="00863F79" w:rsidRPr="00002D92" w:rsidRDefault="00863F79" w:rsidP="00863F79">
      <w:pPr>
        <w:spacing w:after="0"/>
        <w:rPr>
          <w:rFonts w:eastAsia="Times New Roman" w:cs="Times New Roman"/>
          <w:sz w:val="8"/>
          <w:szCs w:val="20"/>
          <w:lang w:val="sr-Cyrl-RS"/>
        </w:rPr>
      </w:pPr>
    </w:p>
    <w:p w:rsidR="00863F79" w:rsidRPr="00002D92" w:rsidRDefault="00863F79" w:rsidP="00863F79">
      <w:pPr>
        <w:rPr>
          <w:rFonts w:cs="Times New Roman"/>
          <w:lang w:val="sr-Cyrl-RS"/>
        </w:rPr>
      </w:pPr>
      <w:r w:rsidRPr="00002D92">
        <w:rPr>
          <w:rFonts w:cs="Times New Roman"/>
          <w:lang w:val="sr-Cyrl-RS"/>
        </w:rPr>
        <w:t xml:space="preserve">In addition to </w:t>
      </w:r>
      <w:r w:rsidR="00152486">
        <w:rPr>
          <w:rFonts w:cs="Times New Roman"/>
          <w:lang w:val="sr-Cyrl-RS"/>
        </w:rPr>
        <w:t>PE</w:t>
      </w:r>
      <w:r w:rsidRPr="00002D92">
        <w:rPr>
          <w:rFonts w:cs="Times New Roman"/>
          <w:lang w:val="sr-Cyrl-RS"/>
        </w:rPr>
        <w:t xml:space="preserve"> “Putevi Srbije,” the company </w:t>
      </w:r>
      <w:r w:rsidR="00FD4160">
        <w:rPr>
          <w:rFonts w:cs="Times New Roman"/>
          <w:lang w:val="sr-Latn-RS"/>
        </w:rPr>
        <w:t xml:space="preserve">LLS </w:t>
      </w:r>
      <w:r w:rsidR="00FD4160">
        <w:rPr>
          <w:rFonts w:cs="Times New Roman"/>
          <w:lang w:val="sr-Cyrl-RS"/>
        </w:rPr>
        <w:t xml:space="preserve">“Koridori Srbije” </w:t>
      </w:r>
      <w:r w:rsidRPr="00002D92">
        <w:rPr>
          <w:rFonts w:cs="Times New Roman"/>
          <w:lang w:val="sr-Cyrl-RS"/>
        </w:rPr>
        <w:t>plays a significant role in the development of road infrastructure, with its operations partially financed by state funds, which ensures continuity in implementing infrastructure projects and supports the stability of its operations.</w:t>
      </w:r>
    </w:p>
    <w:p w:rsidR="00863F79" w:rsidRPr="00002D92" w:rsidRDefault="00863F79" w:rsidP="00863F79">
      <w:pPr>
        <w:rPr>
          <w:rFonts w:eastAsia="MS PGothic" w:cs="Times New Roman"/>
          <w:szCs w:val="24"/>
          <w:lang w:val="sr-Cyrl-RS" w:eastAsia="ja-JP"/>
        </w:rPr>
      </w:pPr>
      <w:r w:rsidRPr="00002D92">
        <w:rPr>
          <w:rFonts w:eastAsia="MS PGothic" w:cs="Times New Roman"/>
          <w:szCs w:val="20"/>
          <w:lang w:val="sr-Cyrl-RS" w:eastAsia="ja-JP"/>
        </w:rPr>
        <w:t>At the end of 2024, the total assets of state-owned enterprises amounted to RSD 3,652 billion, consisting predominantly of fixed assets, which accounted for 87.4%, reflecting that most state enterprises operate in capital-intensive sectors. Total liabilities, which include loans, payables to suppliers, and other obligations, increased significantly between 2021 and 2022, in line with the occurrence of energy market shocks. At the end of 2024, loan obligations represented 37.1% of total liabilities of the enterprises, slightly decreasing to 36.8% by the end of the second quarter of 2025.</w:t>
      </w:r>
    </w:p>
    <w:p w:rsidR="00863F79" w:rsidRPr="00002D92" w:rsidRDefault="00CC2A54" w:rsidP="00863F79">
      <w:pPr>
        <w:spacing w:after="80" w:line="276" w:lineRule="auto"/>
        <w:jc w:val="left"/>
        <w:rPr>
          <w:rFonts w:eastAsia="Calibri" w:cs="Times New Roman"/>
          <w:i/>
          <w:szCs w:val="24"/>
          <w:lang w:val="sr-Cyrl-RS" w:eastAsia="ja-JP"/>
        </w:rPr>
      </w:pPr>
      <w:r w:rsidRPr="00002D92">
        <w:rPr>
          <w:rFonts w:eastAsia="Calibri" w:cs="Times New Roman"/>
          <w:i/>
          <w:szCs w:val="24"/>
          <w:lang w:val="sr-Cyrl-RS" w:eastAsia="ja-JP"/>
        </w:rPr>
        <w:t>Table 12</w:t>
      </w:r>
      <w:r w:rsidRPr="00002D92">
        <w:rPr>
          <w:rFonts w:eastAsia="Calibri" w:cs="Times New Roman"/>
          <w:i/>
          <w:szCs w:val="24"/>
          <w:lang w:val="sr-Latn-RS" w:eastAsia="ja-JP"/>
        </w:rPr>
        <w:t>:</w:t>
      </w:r>
      <w:r w:rsidR="00863F79" w:rsidRPr="00002D92">
        <w:rPr>
          <w:rFonts w:eastAsia="Calibri" w:cs="Times New Roman"/>
          <w:i/>
          <w:szCs w:val="24"/>
          <w:lang w:val="sr-Cyrl-RS" w:eastAsia="ja-JP"/>
        </w:rPr>
        <w:t xml:space="preserve"> Key Financial Indicators of State-Owned Enterprises, RSD billion</w:t>
      </w:r>
    </w:p>
    <w:tbl>
      <w:tblPr>
        <w:tblW w:w="8957" w:type="dxa"/>
        <w:tblLook w:val="04A0" w:firstRow="1" w:lastRow="0" w:firstColumn="1" w:lastColumn="0" w:noHBand="0" w:noVBand="1"/>
      </w:tblPr>
      <w:tblGrid>
        <w:gridCol w:w="3294"/>
        <w:gridCol w:w="1273"/>
        <w:gridCol w:w="1273"/>
        <w:gridCol w:w="1263"/>
        <w:gridCol w:w="1854"/>
      </w:tblGrid>
      <w:tr w:rsidR="00863F79" w:rsidRPr="00002D92" w:rsidTr="0098177C">
        <w:trPr>
          <w:trHeight w:val="25"/>
        </w:trPr>
        <w:tc>
          <w:tcPr>
            <w:tcW w:w="3294" w:type="dxa"/>
            <w:tcBorders>
              <w:top w:val="single" w:sz="4" w:space="0" w:color="002060"/>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rPr>
                <w:rFonts w:eastAsia="Times New Roman" w:cs="Times New Roman"/>
                <w:b/>
                <w:bCs/>
                <w:szCs w:val="24"/>
              </w:rPr>
            </w:pPr>
            <w:r w:rsidRPr="00002D92">
              <w:rPr>
                <w:rFonts w:eastAsia="Times New Roman" w:cs="Times New Roman"/>
                <w:b/>
                <w:bCs/>
                <w:szCs w:val="24"/>
              </w:rPr>
              <w:t>Description</w:t>
            </w:r>
          </w:p>
        </w:tc>
        <w:tc>
          <w:tcPr>
            <w:tcW w:w="1273" w:type="dxa"/>
            <w:tcBorders>
              <w:top w:val="single" w:sz="4" w:space="0" w:color="002060"/>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rPr>
              <w:t>202</w:t>
            </w:r>
            <w:r w:rsidRPr="00002D92">
              <w:rPr>
                <w:rFonts w:eastAsia="Times New Roman" w:cs="Times New Roman"/>
                <w:b/>
                <w:bCs/>
                <w:szCs w:val="24"/>
                <w:lang w:val="sr-Cyrl-RS"/>
              </w:rPr>
              <w:t>2</w:t>
            </w:r>
          </w:p>
        </w:tc>
        <w:tc>
          <w:tcPr>
            <w:tcW w:w="1273" w:type="dxa"/>
            <w:tcBorders>
              <w:top w:val="single" w:sz="4" w:space="0" w:color="002060"/>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rPr>
              <w:t>202</w:t>
            </w:r>
            <w:r w:rsidRPr="00002D92">
              <w:rPr>
                <w:rFonts w:eastAsia="Times New Roman" w:cs="Times New Roman"/>
                <w:b/>
                <w:bCs/>
                <w:szCs w:val="24"/>
                <w:lang w:val="sr-Cyrl-RS"/>
              </w:rPr>
              <w:t>3</w:t>
            </w:r>
          </w:p>
        </w:tc>
        <w:tc>
          <w:tcPr>
            <w:tcW w:w="1263" w:type="dxa"/>
            <w:tcBorders>
              <w:top w:val="single" w:sz="4" w:space="0" w:color="002060"/>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rPr>
              <w:t>202</w:t>
            </w:r>
            <w:r w:rsidRPr="00002D92">
              <w:rPr>
                <w:rFonts w:eastAsia="Times New Roman" w:cs="Times New Roman"/>
                <w:b/>
                <w:bCs/>
                <w:szCs w:val="24"/>
                <w:lang w:val="sr-Cyrl-RS"/>
              </w:rPr>
              <w:t>4</w:t>
            </w:r>
          </w:p>
        </w:tc>
        <w:tc>
          <w:tcPr>
            <w:tcW w:w="1854" w:type="dxa"/>
            <w:tcBorders>
              <w:top w:val="single" w:sz="4" w:space="0" w:color="002060"/>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rPr>
              <w:t>Q</w:t>
            </w:r>
            <w:r w:rsidRPr="00002D92">
              <w:rPr>
                <w:rFonts w:eastAsia="Times New Roman" w:cs="Times New Roman"/>
                <w:b/>
                <w:bCs/>
                <w:szCs w:val="24"/>
                <w:lang w:val="sr-Cyrl-RS"/>
              </w:rPr>
              <w:t>2</w:t>
            </w:r>
            <w:r w:rsidRPr="00002D92">
              <w:rPr>
                <w:rFonts w:eastAsia="Times New Roman" w:cs="Times New Roman"/>
                <w:b/>
                <w:bCs/>
                <w:szCs w:val="24"/>
              </w:rPr>
              <w:t xml:space="preserve"> 202</w:t>
            </w:r>
            <w:r w:rsidRPr="00002D92">
              <w:rPr>
                <w:rFonts w:eastAsia="Times New Roman" w:cs="Times New Roman"/>
                <w:b/>
                <w:bCs/>
                <w:szCs w:val="24"/>
                <w:lang w:val="sr-Cyrl-RS"/>
              </w:rPr>
              <w:t>5</w:t>
            </w:r>
          </w:p>
        </w:tc>
      </w:tr>
      <w:tr w:rsidR="00863F79" w:rsidRPr="00002D92" w:rsidTr="0098177C">
        <w:trPr>
          <w:trHeight w:val="25"/>
        </w:trPr>
        <w:tc>
          <w:tcPr>
            <w:tcW w:w="3294" w:type="dxa"/>
            <w:tcBorders>
              <w:top w:val="nil"/>
              <w:left w:val="nil"/>
              <w:bottom w:val="nil"/>
              <w:right w:val="nil"/>
            </w:tcBorders>
            <w:shd w:val="clear" w:color="000000" w:fill="FFFFFF"/>
            <w:noWrap/>
            <w:vAlign w:val="center"/>
            <w:hideMark/>
          </w:tcPr>
          <w:p w:rsidR="00863F79" w:rsidRPr="00002D92" w:rsidRDefault="00863F79" w:rsidP="0098177C">
            <w:pPr>
              <w:spacing w:after="0"/>
              <w:rPr>
                <w:rFonts w:eastAsia="Times New Roman" w:cs="Times New Roman"/>
                <w:b/>
                <w:bCs/>
                <w:szCs w:val="24"/>
              </w:rPr>
            </w:pPr>
            <w:r w:rsidRPr="00002D92">
              <w:rPr>
                <w:rFonts w:eastAsia="Times New Roman" w:cs="Times New Roman"/>
                <w:b/>
                <w:bCs/>
                <w:szCs w:val="24"/>
              </w:rPr>
              <w:t>Total assets</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3</w:t>
            </w:r>
            <w:r w:rsidRPr="00002D92">
              <w:rPr>
                <w:rFonts w:eastAsia="Times New Roman" w:cs="Times New Roman"/>
                <w:b/>
                <w:szCs w:val="24"/>
              </w:rPr>
              <w:t>,</w:t>
            </w:r>
            <w:r w:rsidRPr="00002D92">
              <w:rPr>
                <w:rFonts w:eastAsia="Times New Roman" w:cs="Times New Roman"/>
                <w:b/>
                <w:szCs w:val="24"/>
                <w:lang w:val="sr-Cyrl-RS"/>
              </w:rPr>
              <w:t>454</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3</w:t>
            </w:r>
            <w:r w:rsidRPr="00002D92">
              <w:rPr>
                <w:rFonts w:eastAsia="Times New Roman" w:cs="Times New Roman"/>
                <w:b/>
                <w:szCs w:val="24"/>
              </w:rPr>
              <w:t>,</w:t>
            </w:r>
            <w:r w:rsidRPr="00002D92">
              <w:rPr>
                <w:rFonts w:eastAsia="Times New Roman" w:cs="Times New Roman"/>
                <w:b/>
                <w:szCs w:val="24"/>
                <w:lang w:val="sr-Cyrl-RS"/>
              </w:rPr>
              <w:t>587</w:t>
            </w:r>
          </w:p>
        </w:tc>
        <w:tc>
          <w:tcPr>
            <w:tcW w:w="126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3</w:t>
            </w:r>
            <w:r w:rsidRPr="00002D92">
              <w:rPr>
                <w:rFonts w:eastAsia="Times New Roman" w:cs="Times New Roman"/>
                <w:b/>
                <w:szCs w:val="24"/>
              </w:rPr>
              <w:t>,</w:t>
            </w:r>
            <w:r w:rsidRPr="00002D92">
              <w:rPr>
                <w:rFonts w:eastAsia="Times New Roman" w:cs="Times New Roman"/>
                <w:b/>
                <w:szCs w:val="24"/>
                <w:lang w:val="sr-Cyrl-RS"/>
              </w:rPr>
              <w:t>652</w:t>
            </w:r>
          </w:p>
        </w:tc>
        <w:tc>
          <w:tcPr>
            <w:tcW w:w="1854"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3</w:t>
            </w:r>
            <w:r w:rsidRPr="00002D92">
              <w:rPr>
                <w:rFonts w:eastAsia="Times New Roman" w:cs="Times New Roman"/>
                <w:b/>
                <w:szCs w:val="24"/>
              </w:rPr>
              <w:t>,</w:t>
            </w:r>
            <w:r w:rsidRPr="00002D92">
              <w:rPr>
                <w:rFonts w:eastAsia="Times New Roman" w:cs="Times New Roman"/>
                <w:b/>
                <w:szCs w:val="24"/>
                <w:lang w:val="sr-Cyrl-RS"/>
              </w:rPr>
              <w:t>646</w:t>
            </w:r>
          </w:p>
        </w:tc>
      </w:tr>
      <w:tr w:rsidR="00863F79" w:rsidRPr="00002D92" w:rsidTr="0098177C">
        <w:trPr>
          <w:trHeight w:val="25"/>
        </w:trPr>
        <w:tc>
          <w:tcPr>
            <w:tcW w:w="3294" w:type="dxa"/>
            <w:tcBorders>
              <w:top w:val="nil"/>
              <w:left w:val="nil"/>
              <w:bottom w:val="nil"/>
              <w:right w:val="nil"/>
            </w:tcBorders>
            <w:shd w:val="clear" w:color="000000" w:fill="FFFFFF"/>
            <w:noWrap/>
            <w:vAlign w:val="center"/>
            <w:hideMark/>
          </w:tcPr>
          <w:p w:rsidR="00863F79" w:rsidRPr="00002D92" w:rsidRDefault="00863F79" w:rsidP="0098177C">
            <w:pPr>
              <w:spacing w:after="0"/>
              <w:rPr>
                <w:rFonts w:eastAsia="Times New Roman" w:cs="Times New Roman"/>
                <w:szCs w:val="24"/>
              </w:rPr>
            </w:pPr>
            <w:r w:rsidRPr="00002D92">
              <w:rPr>
                <w:rFonts w:eastAsia="Times New Roman" w:cs="Times New Roman"/>
                <w:szCs w:val="24"/>
              </w:rPr>
              <w:t>Fixed assets</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2</w:t>
            </w:r>
            <w:r w:rsidRPr="00002D92">
              <w:rPr>
                <w:rFonts w:eastAsia="Times New Roman" w:cs="Times New Roman"/>
                <w:szCs w:val="24"/>
              </w:rPr>
              <w:t>,</w:t>
            </w:r>
            <w:r w:rsidRPr="00002D92">
              <w:rPr>
                <w:rFonts w:eastAsia="Times New Roman" w:cs="Times New Roman"/>
                <w:szCs w:val="24"/>
                <w:lang w:val="sr-Cyrl-RS"/>
              </w:rPr>
              <w:t>936</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3</w:t>
            </w:r>
            <w:r w:rsidRPr="00002D92">
              <w:rPr>
                <w:rFonts w:eastAsia="Times New Roman" w:cs="Times New Roman"/>
                <w:szCs w:val="24"/>
              </w:rPr>
              <w:t>,</w:t>
            </w:r>
            <w:r w:rsidRPr="00002D92">
              <w:rPr>
                <w:rFonts w:eastAsia="Times New Roman" w:cs="Times New Roman"/>
                <w:szCs w:val="24"/>
                <w:lang w:val="sr-Cyrl-RS"/>
              </w:rPr>
              <w:t>074</w:t>
            </w:r>
          </w:p>
        </w:tc>
        <w:tc>
          <w:tcPr>
            <w:tcW w:w="126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3</w:t>
            </w:r>
            <w:r w:rsidRPr="00002D92">
              <w:rPr>
                <w:rFonts w:eastAsia="Times New Roman" w:cs="Times New Roman"/>
                <w:szCs w:val="24"/>
              </w:rPr>
              <w:t>,</w:t>
            </w:r>
            <w:r w:rsidRPr="00002D92">
              <w:rPr>
                <w:rFonts w:eastAsia="Times New Roman" w:cs="Times New Roman"/>
                <w:szCs w:val="24"/>
                <w:lang w:val="sr-Cyrl-RS"/>
              </w:rPr>
              <w:t>194</w:t>
            </w:r>
          </w:p>
        </w:tc>
        <w:tc>
          <w:tcPr>
            <w:tcW w:w="1854"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3</w:t>
            </w:r>
            <w:r w:rsidRPr="00002D92">
              <w:rPr>
                <w:rFonts w:eastAsia="Times New Roman" w:cs="Times New Roman"/>
                <w:szCs w:val="24"/>
              </w:rPr>
              <w:t>,</w:t>
            </w:r>
            <w:r w:rsidRPr="00002D92">
              <w:rPr>
                <w:rFonts w:eastAsia="Times New Roman" w:cs="Times New Roman"/>
                <w:szCs w:val="24"/>
                <w:lang w:val="sr-Cyrl-RS"/>
              </w:rPr>
              <w:t>231</w:t>
            </w:r>
          </w:p>
        </w:tc>
      </w:tr>
      <w:tr w:rsidR="00863F79" w:rsidRPr="00002D92" w:rsidTr="0098177C">
        <w:trPr>
          <w:trHeight w:val="25"/>
        </w:trPr>
        <w:tc>
          <w:tcPr>
            <w:tcW w:w="3294" w:type="dxa"/>
            <w:tcBorders>
              <w:top w:val="nil"/>
              <w:left w:val="nil"/>
              <w:bottom w:val="nil"/>
              <w:right w:val="nil"/>
            </w:tcBorders>
            <w:shd w:val="clear" w:color="000000" w:fill="FFFFFF"/>
            <w:noWrap/>
            <w:vAlign w:val="center"/>
            <w:hideMark/>
          </w:tcPr>
          <w:p w:rsidR="00863F79" w:rsidRPr="00002D92" w:rsidRDefault="00863F79" w:rsidP="0098177C">
            <w:pPr>
              <w:spacing w:after="0"/>
              <w:rPr>
                <w:rFonts w:eastAsia="Times New Roman" w:cs="Times New Roman"/>
                <w:szCs w:val="24"/>
              </w:rPr>
            </w:pPr>
            <w:r w:rsidRPr="00002D92">
              <w:rPr>
                <w:rFonts w:eastAsia="Times New Roman" w:cs="Times New Roman"/>
                <w:szCs w:val="24"/>
              </w:rPr>
              <w:t>Current assets</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513</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507</w:t>
            </w:r>
          </w:p>
        </w:tc>
        <w:tc>
          <w:tcPr>
            <w:tcW w:w="126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456</w:t>
            </w:r>
          </w:p>
        </w:tc>
        <w:tc>
          <w:tcPr>
            <w:tcW w:w="1854"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412</w:t>
            </w:r>
          </w:p>
        </w:tc>
      </w:tr>
      <w:tr w:rsidR="00863F79" w:rsidRPr="00002D92" w:rsidTr="0098177C">
        <w:trPr>
          <w:trHeight w:val="25"/>
        </w:trPr>
        <w:tc>
          <w:tcPr>
            <w:tcW w:w="3294" w:type="dxa"/>
            <w:tcBorders>
              <w:top w:val="nil"/>
              <w:left w:val="nil"/>
              <w:bottom w:val="nil"/>
              <w:right w:val="nil"/>
            </w:tcBorders>
            <w:shd w:val="clear" w:color="000000" w:fill="FFFFFF"/>
            <w:noWrap/>
            <w:vAlign w:val="center"/>
            <w:hideMark/>
          </w:tcPr>
          <w:p w:rsidR="00863F79" w:rsidRPr="00002D92" w:rsidRDefault="00863F79" w:rsidP="0098177C">
            <w:pPr>
              <w:spacing w:after="0"/>
              <w:rPr>
                <w:rFonts w:eastAsia="Times New Roman" w:cs="Times New Roman"/>
                <w:b/>
                <w:bCs/>
                <w:szCs w:val="24"/>
              </w:rPr>
            </w:pPr>
            <w:r w:rsidRPr="00002D92">
              <w:rPr>
                <w:rFonts w:eastAsia="Times New Roman" w:cs="Times New Roman"/>
                <w:b/>
                <w:bCs/>
                <w:szCs w:val="24"/>
              </w:rPr>
              <w:t>Total equity</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1</w:t>
            </w:r>
            <w:r w:rsidRPr="00002D92">
              <w:rPr>
                <w:rFonts w:eastAsia="Times New Roman" w:cs="Times New Roman"/>
                <w:b/>
                <w:szCs w:val="24"/>
              </w:rPr>
              <w:t>,</w:t>
            </w:r>
            <w:r w:rsidRPr="00002D92">
              <w:rPr>
                <w:rFonts w:eastAsia="Times New Roman" w:cs="Times New Roman"/>
                <w:b/>
                <w:szCs w:val="24"/>
                <w:lang w:val="sr-Cyrl-RS"/>
              </w:rPr>
              <w:t>896</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2</w:t>
            </w:r>
            <w:r w:rsidRPr="00002D92">
              <w:rPr>
                <w:rFonts w:eastAsia="Times New Roman" w:cs="Times New Roman"/>
                <w:b/>
                <w:szCs w:val="24"/>
              </w:rPr>
              <w:t>,</w:t>
            </w:r>
            <w:r w:rsidRPr="00002D92">
              <w:rPr>
                <w:rFonts w:eastAsia="Times New Roman" w:cs="Times New Roman"/>
                <w:b/>
                <w:szCs w:val="24"/>
                <w:lang w:val="sr-Cyrl-RS"/>
              </w:rPr>
              <w:t>048</w:t>
            </w:r>
          </w:p>
        </w:tc>
        <w:tc>
          <w:tcPr>
            <w:tcW w:w="126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2</w:t>
            </w:r>
            <w:r w:rsidRPr="00002D92">
              <w:rPr>
                <w:rFonts w:eastAsia="Times New Roman" w:cs="Times New Roman"/>
                <w:b/>
                <w:szCs w:val="24"/>
              </w:rPr>
              <w:t>,</w:t>
            </w:r>
            <w:r w:rsidRPr="00002D92">
              <w:rPr>
                <w:rFonts w:eastAsia="Times New Roman" w:cs="Times New Roman"/>
                <w:b/>
                <w:szCs w:val="24"/>
                <w:lang w:val="sr-Cyrl-RS"/>
              </w:rPr>
              <w:t>056</w:t>
            </w:r>
          </w:p>
        </w:tc>
        <w:tc>
          <w:tcPr>
            <w:tcW w:w="1854"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2</w:t>
            </w:r>
            <w:r w:rsidRPr="00002D92">
              <w:rPr>
                <w:rFonts w:eastAsia="Times New Roman" w:cs="Times New Roman"/>
                <w:b/>
                <w:szCs w:val="24"/>
              </w:rPr>
              <w:t>,</w:t>
            </w:r>
            <w:r w:rsidRPr="00002D92">
              <w:rPr>
                <w:rFonts w:eastAsia="Times New Roman" w:cs="Times New Roman"/>
                <w:b/>
                <w:szCs w:val="24"/>
                <w:lang w:val="sr-Cyrl-RS"/>
              </w:rPr>
              <w:t>076</w:t>
            </w:r>
          </w:p>
        </w:tc>
      </w:tr>
      <w:tr w:rsidR="00863F79" w:rsidRPr="00002D92" w:rsidTr="0098177C">
        <w:trPr>
          <w:trHeight w:val="25"/>
        </w:trPr>
        <w:tc>
          <w:tcPr>
            <w:tcW w:w="3294" w:type="dxa"/>
            <w:tcBorders>
              <w:top w:val="nil"/>
              <w:left w:val="nil"/>
              <w:bottom w:val="nil"/>
              <w:right w:val="nil"/>
            </w:tcBorders>
            <w:shd w:val="clear" w:color="000000" w:fill="FFFFFF"/>
            <w:noWrap/>
            <w:vAlign w:val="center"/>
            <w:hideMark/>
          </w:tcPr>
          <w:p w:rsidR="00863F79" w:rsidRPr="00002D92" w:rsidRDefault="00863F79" w:rsidP="0098177C">
            <w:pPr>
              <w:spacing w:after="0"/>
              <w:rPr>
                <w:rFonts w:eastAsia="Times New Roman" w:cs="Times New Roman"/>
                <w:b/>
                <w:bCs/>
                <w:szCs w:val="24"/>
              </w:rPr>
            </w:pPr>
            <w:r w:rsidRPr="00002D92">
              <w:rPr>
                <w:rFonts w:eastAsia="Times New Roman" w:cs="Times New Roman"/>
                <w:b/>
                <w:bCs/>
                <w:szCs w:val="24"/>
              </w:rPr>
              <w:t>Total liabilities</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1</w:t>
            </w:r>
            <w:r w:rsidRPr="00002D92">
              <w:rPr>
                <w:rFonts w:eastAsia="Times New Roman" w:cs="Times New Roman"/>
                <w:b/>
                <w:szCs w:val="24"/>
              </w:rPr>
              <w:t>,</w:t>
            </w:r>
            <w:r w:rsidRPr="00002D92">
              <w:rPr>
                <w:rFonts w:eastAsia="Times New Roman" w:cs="Times New Roman"/>
                <w:b/>
                <w:szCs w:val="24"/>
                <w:lang w:val="sr-Cyrl-RS"/>
              </w:rPr>
              <w:t>559</w:t>
            </w:r>
          </w:p>
        </w:tc>
        <w:tc>
          <w:tcPr>
            <w:tcW w:w="127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1</w:t>
            </w:r>
            <w:r w:rsidRPr="00002D92">
              <w:rPr>
                <w:rFonts w:eastAsia="Times New Roman" w:cs="Times New Roman"/>
                <w:b/>
                <w:szCs w:val="24"/>
              </w:rPr>
              <w:t>,</w:t>
            </w:r>
            <w:r w:rsidRPr="00002D92">
              <w:rPr>
                <w:rFonts w:eastAsia="Times New Roman" w:cs="Times New Roman"/>
                <w:b/>
                <w:szCs w:val="24"/>
                <w:lang w:val="sr-Cyrl-RS"/>
              </w:rPr>
              <w:t>539</w:t>
            </w:r>
          </w:p>
        </w:tc>
        <w:tc>
          <w:tcPr>
            <w:tcW w:w="1263"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1</w:t>
            </w:r>
            <w:r w:rsidRPr="00002D92">
              <w:rPr>
                <w:rFonts w:eastAsia="Times New Roman" w:cs="Times New Roman"/>
                <w:b/>
                <w:szCs w:val="24"/>
              </w:rPr>
              <w:t>,</w:t>
            </w:r>
            <w:r w:rsidRPr="00002D92">
              <w:rPr>
                <w:rFonts w:eastAsia="Times New Roman" w:cs="Times New Roman"/>
                <w:b/>
                <w:szCs w:val="24"/>
                <w:lang w:val="sr-Cyrl-RS"/>
              </w:rPr>
              <w:t>597</w:t>
            </w:r>
          </w:p>
        </w:tc>
        <w:tc>
          <w:tcPr>
            <w:tcW w:w="1854" w:type="dxa"/>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szCs w:val="24"/>
                <w:lang w:val="sr-Cyrl-RS"/>
              </w:rPr>
            </w:pPr>
            <w:r w:rsidRPr="00002D92">
              <w:rPr>
                <w:rFonts w:eastAsia="Times New Roman" w:cs="Times New Roman"/>
                <w:b/>
                <w:szCs w:val="24"/>
                <w:lang w:val="sr-Cyrl-RS"/>
              </w:rPr>
              <w:t>1</w:t>
            </w:r>
            <w:r w:rsidRPr="00002D92">
              <w:rPr>
                <w:rFonts w:eastAsia="Times New Roman" w:cs="Times New Roman"/>
                <w:b/>
                <w:szCs w:val="24"/>
              </w:rPr>
              <w:t>,</w:t>
            </w:r>
            <w:r w:rsidRPr="00002D92">
              <w:rPr>
                <w:rFonts w:eastAsia="Times New Roman" w:cs="Times New Roman"/>
                <w:b/>
                <w:szCs w:val="24"/>
                <w:lang w:val="sr-Cyrl-RS"/>
              </w:rPr>
              <w:t>570</w:t>
            </w:r>
          </w:p>
        </w:tc>
      </w:tr>
      <w:tr w:rsidR="00863F79" w:rsidRPr="00002D92" w:rsidTr="0098177C">
        <w:trPr>
          <w:trHeight w:val="25"/>
        </w:trPr>
        <w:tc>
          <w:tcPr>
            <w:tcW w:w="3294" w:type="dxa"/>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rPr>
                <w:rFonts w:eastAsia="Times New Roman" w:cs="Times New Roman"/>
                <w:szCs w:val="24"/>
              </w:rPr>
            </w:pPr>
            <w:r w:rsidRPr="00002D92">
              <w:rPr>
                <w:rFonts w:eastAsia="Times New Roman" w:cs="Times New Roman"/>
                <w:szCs w:val="24"/>
              </w:rPr>
              <w:t>Loan obligations</w:t>
            </w:r>
          </w:p>
        </w:tc>
        <w:tc>
          <w:tcPr>
            <w:tcW w:w="1273" w:type="dxa"/>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650</w:t>
            </w:r>
          </w:p>
        </w:tc>
        <w:tc>
          <w:tcPr>
            <w:tcW w:w="1273" w:type="dxa"/>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596</w:t>
            </w:r>
          </w:p>
        </w:tc>
        <w:tc>
          <w:tcPr>
            <w:tcW w:w="1263" w:type="dxa"/>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592</w:t>
            </w:r>
          </w:p>
        </w:tc>
        <w:tc>
          <w:tcPr>
            <w:tcW w:w="1854" w:type="dxa"/>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578</w:t>
            </w:r>
          </w:p>
        </w:tc>
      </w:tr>
    </w:tbl>
    <w:p w:rsidR="00863F79" w:rsidRPr="00002D92" w:rsidRDefault="00863F79" w:rsidP="00863F79">
      <w:pPr>
        <w:spacing w:line="276" w:lineRule="auto"/>
        <w:rPr>
          <w:rFonts w:eastAsia="Calibri" w:cs="Times New Roman"/>
          <w:bCs/>
          <w:sz w:val="22"/>
          <w:szCs w:val="24"/>
          <w:lang w:val="sr-Cyrl-RS" w:eastAsia="ja-JP"/>
        </w:rPr>
      </w:pPr>
      <w:r w:rsidRPr="00002D92">
        <w:rPr>
          <w:rFonts w:eastAsia="Calibri" w:cs="Times New Roman"/>
          <w:bCs/>
          <w:sz w:val="22"/>
          <w:szCs w:val="24"/>
          <w:lang w:val="sr-Cyrl-RS" w:eastAsia="ja-JP"/>
        </w:rPr>
        <w:t xml:space="preserve"> Source: Financial reports (APR) and quarterly report for 2025.</w:t>
      </w:r>
    </w:p>
    <w:p w:rsidR="00863F79" w:rsidRPr="00002D92" w:rsidRDefault="00863F79" w:rsidP="00863F79">
      <w:pPr>
        <w:rPr>
          <w:rFonts w:eastAsia="MS PGothic" w:cs="Times New Roman"/>
          <w:szCs w:val="24"/>
          <w:lang w:val="sr-Cyrl-RS" w:eastAsia="ja-JP"/>
        </w:rPr>
      </w:pPr>
      <w:r w:rsidRPr="00002D92">
        <w:rPr>
          <w:rFonts w:eastAsia="MS PGothic" w:cs="Times New Roman"/>
          <w:szCs w:val="20"/>
          <w:lang w:val="sr-Cyrl-RS" w:eastAsia="ja-JP"/>
        </w:rPr>
        <w:t xml:space="preserve">The total net result determined in the second quarter of 2025 amounted to a profit of RSD 18.9 billion. The current year’s result was adjusted for depreciation expenses of </w:t>
      </w:r>
      <w:r w:rsidR="00152486">
        <w:rPr>
          <w:rFonts w:eastAsia="MS PGothic" w:cs="Times New Roman"/>
          <w:szCs w:val="20"/>
          <w:lang w:val="sr-Cyrl-RS" w:eastAsia="ja-JP"/>
        </w:rPr>
        <w:t>PE</w:t>
      </w:r>
      <w:r w:rsidRPr="00002D92">
        <w:rPr>
          <w:rFonts w:eastAsia="MS PGothic" w:cs="Times New Roman"/>
          <w:szCs w:val="20"/>
          <w:lang w:val="sr-Cyrl-RS" w:eastAsia="ja-JP"/>
        </w:rPr>
        <w:t xml:space="preserve"> “Putevi Srbije,” as the enterprise records these expenses in full only at the end of the year.</w:t>
      </w:r>
      <w:r w:rsidRPr="00002D92">
        <w:rPr>
          <w:rFonts w:eastAsia="MS PGothic" w:cs="Times New Roman"/>
          <w:szCs w:val="24"/>
          <w:lang w:val="sr-Cyrl-RS" w:eastAsia="ja-JP"/>
        </w:rPr>
        <w:t xml:space="preserve"> </w:t>
      </w:r>
    </w:p>
    <w:p w:rsidR="00863F79" w:rsidRPr="00002D92" w:rsidRDefault="00863F79" w:rsidP="003B22A7">
      <w:pPr>
        <w:rPr>
          <w:rFonts w:eastAsia="MS PGothic" w:cs="Times New Roman"/>
          <w:szCs w:val="20"/>
          <w:lang w:val="sr-Cyrl-RS" w:eastAsia="ja-JP"/>
        </w:rPr>
      </w:pPr>
      <w:r w:rsidRPr="00002D92">
        <w:rPr>
          <w:rFonts w:eastAsia="MS PGothic" w:cs="Times New Roman"/>
          <w:szCs w:val="20"/>
          <w:lang w:val="sr-Cyrl-RS" w:eastAsia="ja-JP"/>
        </w:rPr>
        <w:lastRenderedPageBreak/>
        <w:t>The net result at the end of 2024 was a positive RSD 10.9 billion, representing an improvement compared to 2022, when state-owned enterprises recorded a negative net result. The net result for 2023 should be considered separately from other years, taking into account the historic profit achieved by “Elektroprivreda Srbije” AD that year (RSD 112.4 billion). When analyzing quarterly financial performance, it is important to consider that a number of enterprises have a seasonal component in their operations.</w:t>
      </w:r>
    </w:p>
    <w:p w:rsidR="00863F79" w:rsidRPr="00002D92" w:rsidRDefault="00CC2A54" w:rsidP="00863F79">
      <w:pPr>
        <w:keepNext/>
        <w:spacing w:after="80" w:line="276" w:lineRule="auto"/>
        <w:jc w:val="left"/>
        <w:rPr>
          <w:rFonts w:eastAsia="Calibri" w:cs="Times New Roman"/>
          <w:i/>
          <w:szCs w:val="24"/>
          <w:lang w:val="sr-Cyrl-RS" w:eastAsia="ja-JP"/>
        </w:rPr>
      </w:pPr>
      <w:r w:rsidRPr="00002D92">
        <w:rPr>
          <w:rFonts w:eastAsia="Calibri" w:cs="Times New Roman"/>
          <w:i/>
          <w:szCs w:val="24"/>
          <w:lang w:eastAsia="ja-JP"/>
        </w:rPr>
        <w:t>Table 13:</w:t>
      </w:r>
      <w:r w:rsidR="00863F79" w:rsidRPr="00002D92">
        <w:rPr>
          <w:rFonts w:eastAsia="Calibri" w:cs="Times New Roman"/>
          <w:i/>
          <w:szCs w:val="24"/>
          <w:lang w:eastAsia="ja-JP"/>
        </w:rPr>
        <w:t xml:space="preserve"> </w:t>
      </w:r>
      <w:r w:rsidR="00863F79" w:rsidRPr="00002D92">
        <w:rPr>
          <w:rFonts w:eastAsia="Calibri" w:cs="Times New Roman"/>
          <w:i/>
          <w:szCs w:val="24"/>
          <w:lang w:val="sr-Cyrl-RS" w:eastAsia="ja-JP"/>
        </w:rPr>
        <w:t>Key Business Indicators of State-Owned Enterprises as of 30.06.2025, in Billion Dinars</w:t>
      </w:r>
    </w:p>
    <w:tbl>
      <w:tblPr>
        <w:tblW w:w="5000" w:type="pct"/>
        <w:jc w:val="center"/>
        <w:tblLook w:val="04A0" w:firstRow="1" w:lastRow="0" w:firstColumn="1" w:lastColumn="0" w:noHBand="0" w:noVBand="1"/>
      </w:tblPr>
      <w:tblGrid>
        <w:gridCol w:w="4298"/>
        <w:gridCol w:w="1123"/>
        <w:gridCol w:w="1123"/>
        <w:gridCol w:w="1123"/>
        <w:gridCol w:w="1359"/>
      </w:tblGrid>
      <w:tr w:rsidR="00863F79" w:rsidRPr="00002D92" w:rsidTr="0098177C">
        <w:trPr>
          <w:trHeight w:val="20"/>
          <w:jc w:val="center"/>
        </w:trPr>
        <w:tc>
          <w:tcPr>
            <w:tcW w:w="2381" w:type="pct"/>
            <w:tcBorders>
              <w:top w:val="single" w:sz="4" w:space="0" w:color="002060"/>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jc w:val="center"/>
              <w:rPr>
                <w:rFonts w:eastAsia="Times New Roman" w:cs="Times New Roman"/>
                <w:b/>
                <w:bCs/>
                <w:szCs w:val="24"/>
              </w:rPr>
            </w:pPr>
            <w:r w:rsidRPr="00002D92">
              <w:rPr>
                <w:rFonts w:eastAsia="Times New Roman" w:cs="Times New Roman"/>
                <w:b/>
                <w:bCs/>
                <w:szCs w:val="24"/>
              </w:rPr>
              <w:t>Description</w:t>
            </w:r>
          </w:p>
        </w:tc>
        <w:tc>
          <w:tcPr>
            <w:tcW w:w="622"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2022</w:t>
            </w:r>
          </w:p>
        </w:tc>
        <w:tc>
          <w:tcPr>
            <w:tcW w:w="622"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2023</w:t>
            </w:r>
          </w:p>
        </w:tc>
        <w:tc>
          <w:tcPr>
            <w:tcW w:w="622"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2024</w:t>
            </w:r>
          </w:p>
        </w:tc>
        <w:tc>
          <w:tcPr>
            <w:tcW w:w="753"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Q2 2025</w:t>
            </w:r>
          </w:p>
        </w:tc>
      </w:tr>
      <w:tr w:rsidR="00863F79" w:rsidRPr="00002D92" w:rsidTr="0098177C">
        <w:trPr>
          <w:trHeight w:val="20"/>
          <w:jc w:val="center"/>
        </w:trPr>
        <w:tc>
          <w:tcPr>
            <w:tcW w:w="2381"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szCs w:val="24"/>
              </w:rPr>
            </w:pPr>
            <w:r w:rsidRPr="00002D92">
              <w:rPr>
                <w:rFonts w:eastAsia="Times New Roman" w:cs="Times New Roman"/>
                <w:szCs w:val="24"/>
              </w:rPr>
              <w:t>Operating income</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905</w:t>
            </w:r>
            <w:r w:rsidRPr="00002D92">
              <w:rPr>
                <w:rFonts w:eastAsia="Times New Roman" w:cs="Times New Roman"/>
                <w:szCs w:val="24"/>
              </w:rPr>
              <w:t>.</w:t>
            </w:r>
            <w:r w:rsidRPr="00002D92">
              <w:rPr>
                <w:rFonts w:eastAsia="Times New Roman" w:cs="Times New Roman"/>
                <w:szCs w:val="24"/>
                <w:lang w:val="sr-Cyrl-RS"/>
              </w:rPr>
              <w:t xml:space="preserve">2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w:t>
            </w:r>
            <w:r w:rsidRPr="00002D92">
              <w:rPr>
                <w:rFonts w:eastAsia="Times New Roman" w:cs="Times New Roman"/>
                <w:szCs w:val="24"/>
              </w:rPr>
              <w:t>,</w:t>
            </w:r>
            <w:r w:rsidRPr="00002D92">
              <w:rPr>
                <w:rFonts w:eastAsia="Times New Roman" w:cs="Times New Roman"/>
                <w:szCs w:val="24"/>
                <w:lang w:val="sr-Cyrl-RS"/>
              </w:rPr>
              <w:t>018</w:t>
            </w:r>
            <w:r w:rsidRPr="00002D92">
              <w:rPr>
                <w:rFonts w:eastAsia="Times New Roman" w:cs="Times New Roman"/>
                <w:szCs w:val="24"/>
              </w:rPr>
              <w:t>.</w:t>
            </w:r>
            <w:r w:rsidRPr="00002D92">
              <w:rPr>
                <w:rFonts w:eastAsia="Times New Roman" w:cs="Times New Roman"/>
                <w:szCs w:val="24"/>
                <w:lang w:val="sr-Cyrl-RS"/>
              </w:rPr>
              <w:t xml:space="preserve">5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971</w:t>
            </w:r>
            <w:r w:rsidRPr="00002D92">
              <w:rPr>
                <w:rFonts w:eastAsia="Times New Roman" w:cs="Times New Roman"/>
                <w:szCs w:val="24"/>
              </w:rPr>
              <w:t>.</w:t>
            </w:r>
            <w:r w:rsidRPr="00002D92">
              <w:rPr>
                <w:rFonts w:eastAsia="Times New Roman" w:cs="Times New Roman"/>
                <w:szCs w:val="24"/>
                <w:lang w:val="sr-Cyrl-RS"/>
              </w:rPr>
              <w:t xml:space="preserve">9 </w:t>
            </w:r>
          </w:p>
        </w:tc>
        <w:tc>
          <w:tcPr>
            <w:tcW w:w="753"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478</w:t>
            </w:r>
            <w:r w:rsidRPr="00002D92">
              <w:rPr>
                <w:rFonts w:eastAsia="Times New Roman" w:cs="Times New Roman"/>
                <w:szCs w:val="24"/>
              </w:rPr>
              <w:t>.</w:t>
            </w:r>
            <w:r w:rsidRPr="00002D92">
              <w:rPr>
                <w:rFonts w:eastAsia="Times New Roman" w:cs="Times New Roman"/>
                <w:szCs w:val="24"/>
                <w:lang w:val="sr-Cyrl-RS"/>
              </w:rPr>
              <w:t xml:space="preserve">5 </w:t>
            </w:r>
          </w:p>
        </w:tc>
      </w:tr>
      <w:tr w:rsidR="00863F79" w:rsidRPr="00002D92" w:rsidTr="0098177C">
        <w:trPr>
          <w:trHeight w:val="20"/>
          <w:jc w:val="center"/>
        </w:trPr>
        <w:tc>
          <w:tcPr>
            <w:tcW w:w="2381"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szCs w:val="24"/>
              </w:rPr>
            </w:pPr>
            <w:r w:rsidRPr="00002D92">
              <w:rPr>
                <w:rFonts w:eastAsia="Times New Roman" w:cs="Times New Roman"/>
                <w:szCs w:val="24"/>
              </w:rPr>
              <w:t>Operating expenses</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950</w:t>
            </w:r>
            <w:r w:rsidRPr="00002D92">
              <w:rPr>
                <w:rFonts w:eastAsia="Times New Roman" w:cs="Times New Roman"/>
                <w:szCs w:val="24"/>
              </w:rPr>
              <w:t>.</w:t>
            </w:r>
            <w:r w:rsidRPr="00002D92">
              <w:rPr>
                <w:rFonts w:eastAsia="Times New Roman" w:cs="Times New Roman"/>
                <w:szCs w:val="24"/>
                <w:lang w:val="sr-Cyrl-RS"/>
              </w:rPr>
              <w:t xml:space="preserve">9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871</w:t>
            </w:r>
            <w:r w:rsidRPr="00002D92">
              <w:rPr>
                <w:rFonts w:eastAsia="Times New Roman" w:cs="Times New Roman"/>
                <w:szCs w:val="24"/>
              </w:rPr>
              <w:t>.</w:t>
            </w:r>
            <w:r w:rsidRPr="00002D92">
              <w:rPr>
                <w:rFonts w:eastAsia="Times New Roman" w:cs="Times New Roman"/>
                <w:szCs w:val="24"/>
                <w:lang w:val="sr-Cyrl-RS"/>
              </w:rPr>
              <w:t xml:space="preserve">0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920</w:t>
            </w:r>
            <w:r w:rsidRPr="00002D92">
              <w:rPr>
                <w:rFonts w:eastAsia="Times New Roman" w:cs="Times New Roman"/>
                <w:szCs w:val="24"/>
              </w:rPr>
              <w:t>.</w:t>
            </w:r>
            <w:r w:rsidRPr="00002D92">
              <w:rPr>
                <w:rFonts w:eastAsia="Times New Roman" w:cs="Times New Roman"/>
                <w:szCs w:val="24"/>
                <w:lang w:val="sr-Cyrl-RS"/>
              </w:rPr>
              <w:t xml:space="preserve">8 </w:t>
            </w:r>
          </w:p>
        </w:tc>
        <w:tc>
          <w:tcPr>
            <w:tcW w:w="753"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453</w:t>
            </w:r>
            <w:r w:rsidRPr="00002D92">
              <w:rPr>
                <w:rFonts w:eastAsia="Times New Roman" w:cs="Times New Roman"/>
                <w:szCs w:val="24"/>
              </w:rPr>
              <w:t>.</w:t>
            </w:r>
            <w:r w:rsidRPr="00002D92">
              <w:rPr>
                <w:rFonts w:eastAsia="Times New Roman" w:cs="Times New Roman"/>
                <w:szCs w:val="24"/>
                <w:lang w:val="sr-Cyrl-RS"/>
              </w:rPr>
              <w:t xml:space="preserve">8 </w:t>
            </w:r>
          </w:p>
        </w:tc>
      </w:tr>
      <w:tr w:rsidR="00863F79" w:rsidRPr="00002D92" w:rsidTr="0098177C">
        <w:trPr>
          <w:trHeight w:val="20"/>
          <w:jc w:val="center"/>
        </w:trPr>
        <w:tc>
          <w:tcPr>
            <w:tcW w:w="2381" w:type="pct"/>
            <w:tcBorders>
              <w:top w:val="nil"/>
              <w:left w:val="nil"/>
              <w:bottom w:val="nil"/>
              <w:right w:val="nil"/>
            </w:tcBorders>
            <w:shd w:val="clear" w:color="000000" w:fill="FFFFFF"/>
            <w:noWrap/>
            <w:vAlign w:val="center"/>
            <w:hideMark/>
          </w:tcPr>
          <w:p w:rsidR="00863F79" w:rsidRPr="00002D92" w:rsidRDefault="00863F79" w:rsidP="0098177C">
            <w:pPr>
              <w:spacing w:after="0"/>
              <w:ind w:firstLineChars="100" w:firstLine="240"/>
              <w:jc w:val="left"/>
              <w:rPr>
                <w:rFonts w:eastAsia="Times New Roman" w:cs="Times New Roman"/>
                <w:szCs w:val="24"/>
              </w:rPr>
            </w:pPr>
            <w:r w:rsidRPr="00002D92">
              <w:rPr>
                <w:rFonts w:eastAsia="Times New Roman" w:cs="Times New Roman"/>
                <w:szCs w:val="24"/>
              </w:rPr>
              <w:t>Wages expenses*</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118</w:t>
            </w:r>
            <w:r w:rsidRPr="00002D92">
              <w:rPr>
                <w:rFonts w:eastAsia="Times New Roman" w:cs="Times New Roman"/>
                <w:szCs w:val="24"/>
              </w:rPr>
              <w:t>.</w:t>
            </w:r>
            <w:r w:rsidRPr="00002D92">
              <w:rPr>
                <w:rFonts w:eastAsia="Times New Roman" w:cs="Times New Roman"/>
                <w:szCs w:val="24"/>
                <w:lang w:val="sr-Cyrl-RS"/>
              </w:rPr>
              <w:t xml:space="preserve">5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128</w:t>
            </w:r>
            <w:r w:rsidRPr="00002D92">
              <w:rPr>
                <w:rFonts w:eastAsia="Times New Roman" w:cs="Times New Roman"/>
                <w:szCs w:val="24"/>
              </w:rPr>
              <w:t>.</w:t>
            </w:r>
            <w:r w:rsidRPr="00002D92">
              <w:rPr>
                <w:rFonts w:eastAsia="Times New Roman" w:cs="Times New Roman"/>
                <w:szCs w:val="24"/>
                <w:lang w:val="sr-Cyrl-RS"/>
              </w:rPr>
              <w:t xml:space="preserve">1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140</w:t>
            </w:r>
            <w:r w:rsidRPr="00002D92">
              <w:rPr>
                <w:rFonts w:eastAsia="Times New Roman" w:cs="Times New Roman"/>
                <w:szCs w:val="24"/>
              </w:rPr>
              <w:t>.</w:t>
            </w:r>
            <w:r w:rsidRPr="00002D92">
              <w:rPr>
                <w:rFonts w:eastAsia="Times New Roman" w:cs="Times New Roman"/>
                <w:szCs w:val="24"/>
                <w:lang w:val="sr-Cyrl-RS"/>
              </w:rPr>
              <w:t xml:space="preserve">0 </w:t>
            </w:r>
          </w:p>
        </w:tc>
        <w:tc>
          <w:tcPr>
            <w:tcW w:w="753"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73</w:t>
            </w:r>
            <w:r w:rsidRPr="00002D92">
              <w:rPr>
                <w:rFonts w:eastAsia="Times New Roman" w:cs="Times New Roman"/>
                <w:szCs w:val="24"/>
              </w:rPr>
              <w:t>.</w:t>
            </w:r>
            <w:r w:rsidRPr="00002D92">
              <w:rPr>
                <w:rFonts w:eastAsia="Times New Roman" w:cs="Times New Roman"/>
                <w:szCs w:val="24"/>
                <w:lang w:val="sr-Cyrl-RS"/>
              </w:rPr>
              <w:t xml:space="preserve">9 </w:t>
            </w:r>
          </w:p>
        </w:tc>
      </w:tr>
      <w:tr w:rsidR="00863F79" w:rsidRPr="00002D92" w:rsidTr="0098177C">
        <w:trPr>
          <w:trHeight w:val="20"/>
          <w:jc w:val="center"/>
        </w:trPr>
        <w:tc>
          <w:tcPr>
            <w:tcW w:w="2381"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szCs w:val="24"/>
              </w:rPr>
            </w:pPr>
            <w:r w:rsidRPr="00002D92">
              <w:rPr>
                <w:rFonts w:eastAsia="Times New Roman" w:cs="Times New Roman"/>
                <w:szCs w:val="24"/>
              </w:rPr>
              <w:t>EBIT (Operating Result)</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(45</w:t>
            </w:r>
            <w:r w:rsidRPr="00002D92">
              <w:rPr>
                <w:rFonts w:eastAsia="Times New Roman" w:cs="Times New Roman"/>
                <w:szCs w:val="24"/>
              </w:rPr>
              <w:t>.</w:t>
            </w:r>
            <w:r w:rsidRPr="00002D92">
              <w:rPr>
                <w:rFonts w:eastAsia="Times New Roman" w:cs="Times New Roman"/>
                <w:szCs w:val="24"/>
                <w:lang w:val="sr-Cyrl-RS"/>
              </w:rPr>
              <w:t>7)</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147</w:t>
            </w:r>
            <w:r w:rsidRPr="00002D92">
              <w:rPr>
                <w:rFonts w:eastAsia="Times New Roman" w:cs="Times New Roman"/>
                <w:szCs w:val="24"/>
              </w:rPr>
              <w:t>.</w:t>
            </w:r>
            <w:r w:rsidRPr="00002D92">
              <w:rPr>
                <w:rFonts w:eastAsia="Times New Roman" w:cs="Times New Roman"/>
                <w:szCs w:val="24"/>
                <w:lang w:val="sr-Cyrl-RS"/>
              </w:rPr>
              <w:t xml:space="preserve">4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51</w:t>
            </w:r>
            <w:r w:rsidRPr="00002D92">
              <w:rPr>
                <w:rFonts w:eastAsia="Times New Roman" w:cs="Times New Roman"/>
                <w:szCs w:val="24"/>
              </w:rPr>
              <w:t>.</w:t>
            </w:r>
            <w:r w:rsidRPr="00002D92">
              <w:rPr>
                <w:rFonts w:eastAsia="Times New Roman" w:cs="Times New Roman"/>
                <w:szCs w:val="24"/>
                <w:lang w:val="sr-Cyrl-RS"/>
              </w:rPr>
              <w:t xml:space="preserve">7 </w:t>
            </w:r>
          </w:p>
        </w:tc>
        <w:tc>
          <w:tcPr>
            <w:tcW w:w="753"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24</w:t>
            </w:r>
            <w:r w:rsidRPr="00002D92">
              <w:rPr>
                <w:rFonts w:eastAsia="Times New Roman" w:cs="Times New Roman"/>
                <w:szCs w:val="24"/>
              </w:rPr>
              <w:t>.</w:t>
            </w:r>
            <w:r w:rsidRPr="00002D92">
              <w:rPr>
                <w:rFonts w:eastAsia="Times New Roman" w:cs="Times New Roman"/>
                <w:szCs w:val="24"/>
                <w:lang w:val="sr-Cyrl-RS"/>
              </w:rPr>
              <w:t xml:space="preserve">8 </w:t>
            </w:r>
          </w:p>
        </w:tc>
      </w:tr>
      <w:tr w:rsidR="00863F79" w:rsidRPr="00002D92" w:rsidTr="0098177C">
        <w:trPr>
          <w:trHeight w:val="20"/>
          <w:jc w:val="center"/>
        </w:trPr>
        <w:tc>
          <w:tcPr>
            <w:tcW w:w="2381"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szCs w:val="24"/>
              </w:rPr>
            </w:pPr>
            <w:r w:rsidRPr="00002D92">
              <w:rPr>
                <w:rFonts w:eastAsia="Times New Roman" w:cs="Times New Roman"/>
                <w:szCs w:val="24"/>
              </w:rPr>
              <w:t>Total revenue</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937</w:t>
            </w:r>
            <w:r w:rsidRPr="00002D92">
              <w:rPr>
                <w:rFonts w:eastAsia="Times New Roman" w:cs="Times New Roman"/>
                <w:szCs w:val="24"/>
              </w:rPr>
              <w:t>.</w:t>
            </w:r>
            <w:r w:rsidRPr="00002D92">
              <w:rPr>
                <w:rFonts w:eastAsia="Times New Roman" w:cs="Times New Roman"/>
                <w:szCs w:val="24"/>
                <w:lang w:val="sr-Cyrl-RS"/>
              </w:rPr>
              <w:t xml:space="preserve">7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w:t>
            </w:r>
            <w:r w:rsidRPr="00002D92">
              <w:rPr>
                <w:rFonts w:eastAsia="Times New Roman" w:cs="Times New Roman"/>
                <w:szCs w:val="24"/>
              </w:rPr>
              <w:t>,</w:t>
            </w:r>
            <w:r w:rsidRPr="00002D92">
              <w:rPr>
                <w:rFonts w:eastAsia="Times New Roman" w:cs="Times New Roman"/>
                <w:szCs w:val="24"/>
                <w:lang w:val="sr-Cyrl-RS"/>
              </w:rPr>
              <w:t>057</w:t>
            </w:r>
            <w:r w:rsidRPr="00002D92">
              <w:rPr>
                <w:rFonts w:eastAsia="Times New Roman" w:cs="Times New Roman"/>
                <w:szCs w:val="24"/>
              </w:rPr>
              <w:t>.</w:t>
            </w:r>
            <w:r w:rsidRPr="00002D92">
              <w:rPr>
                <w:rFonts w:eastAsia="Times New Roman" w:cs="Times New Roman"/>
                <w:szCs w:val="24"/>
                <w:lang w:val="sr-Cyrl-RS"/>
              </w:rPr>
              <w:t xml:space="preserve">4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w:t>
            </w:r>
            <w:r w:rsidRPr="00002D92">
              <w:rPr>
                <w:rFonts w:eastAsia="Times New Roman" w:cs="Times New Roman"/>
                <w:szCs w:val="24"/>
              </w:rPr>
              <w:t>,</w:t>
            </w:r>
            <w:r w:rsidRPr="00002D92">
              <w:rPr>
                <w:rFonts w:eastAsia="Times New Roman" w:cs="Times New Roman"/>
                <w:szCs w:val="24"/>
                <w:lang w:val="sr-Cyrl-RS"/>
              </w:rPr>
              <w:t>007</w:t>
            </w:r>
            <w:r w:rsidRPr="00002D92">
              <w:rPr>
                <w:rFonts w:eastAsia="Times New Roman" w:cs="Times New Roman"/>
                <w:szCs w:val="24"/>
              </w:rPr>
              <w:t>.</w:t>
            </w:r>
            <w:r w:rsidRPr="00002D92">
              <w:rPr>
                <w:rFonts w:eastAsia="Times New Roman" w:cs="Times New Roman"/>
                <w:szCs w:val="24"/>
                <w:lang w:val="sr-Cyrl-RS"/>
              </w:rPr>
              <w:t xml:space="preserve">8 </w:t>
            </w:r>
          </w:p>
        </w:tc>
        <w:tc>
          <w:tcPr>
            <w:tcW w:w="753"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503</w:t>
            </w:r>
            <w:r w:rsidRPr="00002D92">
              <w:rPr>
                <w:rFonts w:eastAsia="Times New Roman" w:cs="Times New Roman"/>
                <w:szCs w:val="24"/>
              </w:rPr>
              <w:t>.</w:t>
            </w:r>
            <w:r w:rsidRPr="00002D92">
              <w:rPr>
                <w:rFonts w:eastAsia="Times New Roman" w:cs="Times New Roman"/>
                <w:szCs w:val="24"/>
                <w:lang w:val="sr-Cyrl-RS"/>
              </w:rPr>
              <w:t xml:space="preserve">2 </w:t>
            </w:r>
          </w:p>
        </w:tc>
      </w:tr>
      <w:tr w:rsidR="00863F79" w:rsidRPr="00002D92" w:rsidTr="0098177C">
        <w:trPr>
          <w:trHeight w:val="20"/>
          <w:jc w:val="center"/>
        </w:trPr>
        <w:tc>
          <w:tcPr>
            <w:tcW w:w="2381"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szCs w:val="24"/>
              </w:rPr>
            </w:pPr>
            <w:r w:rsidRPr="00002D92">
              <w:rPr>
                <w:rFonts w:eastAsia="Times New Roman" w:cs="Times New Roman"/>
                <w:szCs w:val="24"/>
              </w:rPr>
              <w:t>Total expenses</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w:t>
            </w:r>
            <w:r w:rsidRPr="00002D92">
              <w:rPr>
                <w:rFonts w:eastAsia="Times New Roman" w:cs="Times New Roman"/>
                <w:szCs w:val="24"/>
              </w:rPr>
              <w:t>,</w:t>
            </w:r>
            <w:r w:rsidRPr="00002D92">
              <w:rPr>
                <w:rFonts w:eastAsia="Times New Roman" w:cs="Times New Roman"/>
                <w:szCs w:val="24"/>
                <w:lang w:val="sr-Cyrl-RS"/>
              </w:rPr>
              <w:t>006</w:t>
            </w:r>
            <w:r w:rsidRPr="00002D92">
              <w:rPr>
                <w:rFonts w:eastAsia="Times New Roman" w:cs="Times New Roman"/>
                <w:szCs w:val="24"/>
              </w:rPr>
              <w:t>.</w:t>
            </w:r>
            <w:r w:rsidRPr="00002D92">
              <w:rPr>
                <w:rFonts w:eastAsia="Times New Roman" w:cs="Times New Roman"/>
                <w:szCs w:val="24"/>
                <w:lang w:val="sr-Cyrl-RS"/>
              </w:rPr>
              <w:t xml:space="preserve">0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924</w:t>
            </w:r>
            <w:r w:rsidRPr="00002D92">
              <w:rPr>
                <w:rFonts w:eastAsia="Times New Roman" w:cs="Times New Roman"/>
                <w:szCs w:val="24"/>
              </w:rPr>
              <w:t>.</w:t>
            </w:r>
            <w:r w:rsidRPr="00002D92">
              <w:rPr>
                <w:rFonts w:eastAsia="Times New Roman" w:cs="Times New Roman"/>
                <w:szCs w:val="24"/>
                <w:lang w:val="sr-Cyrl-RS"/>
              </w:rPr>
              <w:t xml:space="preserve">7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982</w:t>
            </w:r>
            <w:r w:rsidRPr="00002D92">
              <w:rPr>
                <w:rFonts w:eastAsia="Times New Roman" w:cs="Times New Roman"/>
                <w:szCs w:val="24"/>
              </w:rPr>
              <w:t>.</w:t>
            </w:r>
            <w:r w:rsidRPr="00002D92">
              <w:rPr>
                <w:rFonts w:eastAsia="Times New Roman" w:cs="Times New Roman"/>
                <w:szCs w:val="24"/>
                <w:lang w:val="sr-Cyrl-RS"/>
              </w:rPr>
              <w:t xml:space="preserve">0 </w:t>
            </w:r>
          </w:p>
        </w:tc>
        <w:tc>
          <w:tcPr>
            <w:tcW w:w="753"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477</w:t>
            </w:r>
            <w:r w:rsidRPr="00002D92">
              <w:rPr>
                <w:rFonts w:eastAsia="Times New Roman" w:cs="Times New Roman"/>
                <w:szCs w:val="24"/>
              </w:rPr>
              <w:t>.</w:t>
            </w:r>
            <w:r w:rsidRPr="00002D92">
              <w:rPr>
                <w:rFonts w:eastAsia="Times New Roman" w:cs="Times New Roman"/>
                <w:szCs w:val="24"/>
                <w:lang w:val="sr-Cyrl-RS"/>
              </w:rPr>
              <w:t xml:space="preserve">6 </w:t>
            </w:r>
          </w:p>
        </w:tc>
      </w:tr>
      <w:tr w:rsidR="00863F79" w:rsidRPr="00002D92" w:rsidTr="0098177C">
        <w:trPr>
          <w:trHeight w:val="20"/>
          <w:jc w:val="center"/>
        </w:trPr>
        <w:tc>
          <w:tcPr>
            <w:tcW w:w="2381"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b/>
                <w:bCs/>
                <w:szCs w:val="24"/>
              </w:rPr>
            </w:pPr>
            <w:r w:rsidRPr="00002D92">
              <w:rPr>
                <w:rFonts w:eastAsia="Times New Roman" w:cs="Times New Roman"/>
                <w:b/>
                <w:bCs/>
                <w:szCs w:val="24"/>
              </w:rPr>
              <w:t>Net result</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(68</w:t>
            </w:r>
            <w:r w:rsidRPr="00002D92">
              <w:rPr>
                <w:rFonts w:eastAsia="Times New Roman" w:cs="Times New Roman"/>
                <w:szCs w:val="24"/>
              </w:rPr>
              <w:t>.</w:t>
            </w:r>
            <w:r w:rsidRPr="00002D92">
              <w:rPr>
                <w:rFonts w:eastAsia="Times New Roman" w:cs="Times New Roman"/>
                <w:szCs w:val="24"/>
                <w:lang w:val="sr-Cyrl-RS"/>
              </w:rPr>
              <w:t>8)</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113</w:t>
            </w:r>
            <w:r w:rsidRPr="00002D92">
              <w:rPr>
                <w:rFonts w:eastAsia="Times New Roman" w:cs="Times New Roman"/>
                <w:szCs w:val="24"/>
              </w:rPr>
              <w:t>.</w:t>
            </w:r>
            <w:r w:rsidRPr="00002D92">
              <w:rPr>
                <w:rFonts w:eastAsia="Times New Roman" w:cs="Times New Roman"/>
                <w:szCs w:val="24"/>
                <w:lang w:val="sr-Cyrl-RS"/>
              </w:rPr>
              <w:t xml:space="preserve">7 </w:t>
            </w:r>
          </w:p>
        </w:tc>
        <w:tc>
          <w:tcPr>
            <w:tcW w:w="622"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10</w:t>
            </w:r>
            <w:r w:rsidRPr="00002D92">
              <w:rPr>
                <w:rFonts w:eastAsia="Times New Roman" w:cs="Times New Roman"/>
                <w:szCs w:val="24"/>
              </w:rPr>
              <w:t>.</w:t>
            </w:r>
            <w:r w:rsidRPr="00002D92">
              <w:rPr>
                <w:rFonts w:eastAsia="Times New Roman" w:cs="Times New Roman"/>
                <w:szCs w:val="24"/>
                <w:lang w:val="sr-Cyrl-RS"/>
              </w:rPr>
              <w:t xml:space="preserve">9 </w:t>
            </w:r>
          </w:p>
        </w:tc>
        <w:tc>
          <w:tcPr>
            <w:tcW w:w="753"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18</w:t>
            </w:r>
            <w:r w:rsidRPr="00002D92">
              <w:rPr>
                <w:rFonts w:eastAsia="Times New Roman" w:cs="Times New Roman"/>
                <w:szCs w:val="24"/>
              </w:rPr>
              <w:t>.</w:t>
            </w:r>
            <w:r w:rsidRPr="00002D92">
              <w:rPr>
                <w:rFonts w:eastAsia="Times New Roman" w:cs="Times New Roman"/>
                <w:szCs w:val="24"/>
                <w:lang w:val="sr-Cyrl-RS"/>
              </w:rPr>
              <w:t xml:space="preserve">9 </w:t>
            </w:r>
          </w:p>
        </w:tc>
      </w:tr>
      <w:tr w:rsidR="00863F79" w:rsidRPr="00002D92" w:rsidTr="0098177C">
        <w:trPr>
          <w:trHeight w:val="20"/>
          <w:jc w:val="center"/>
        </w:trPr>
        <w:tc>
          <w:tcPr>
            <w:tcW w:w="2381" w:type="pct"/>
            <w:tcBorders>
              <w:top w:val="single" w:sz="4" w:space="0" w:color="002060"/>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jc w:val="left"/>
              <w:rPr>
                <w:rFonts w:eastAsia="Times New Roman" w:cs="Times New Roman"/>
                <w:b/>
                <w:bCs/>
                <w:szCs w:val="24"/>
              </w:rPr>
            </w:pPr>
            <w:r w:rsidRPr="00002D92">
              <w:rPr>
                <w:rFonts w:eastAsia="Times New Roman" w:cs="Times New Roman"/>
                <w:b/>
                <w:bCs/>
                <w:szCs w:val="24"/>
              </w:rPr>
              <w:t>Number of profitable SOEs</w:t>
            </w:r>
          </w:p>
        </w:tc>
        <w:tc>
          <w:tcPr>
            <w:tcW w:w="622"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 xml:space="preserve">25 </w:t>
            </w:r>
          </w:p>
        </w:tc>
        <w:tc>
          <w:tcPr>
            <w:tcW w:w="622"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 xml:space="preserve">28 </w:t>
            </w:r>
          </w:p>
        </w:tc>
        <w:tc>
          <w:tcPr>
            <w:tcW w:w="622"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27</w:t>
            </w:r>
          </w:p>
        </w:tc>
        <w:tc>
          <w:tcPr>
            <w:tcW w:w="753"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20</w:t>
            </w:r>
          </w:p>
        </w:tc>
      </w:tr>
      <w:tr w:rsidR="00863F79" w:rsidRPr="00002D92" w:rsidTr="0098177C">
        <w:trPr>
          <w:trHeight w:val="20"/>
          <w:jc w:val="center"/>
        </w:trPr>
        <w:tc>
          <w:tcPr>
            <w:tcW w:w="2381" w:type="pct"/>
            <w:tcBorders>
              <w:top w:val="nil"/>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jc w:val="left"/>
              <w:rPr>
                <w:rFonts w:eastAsia="Times New Roman" w:cs="Times New Roman"/>
                <w:b/>
                <w:bCs/>
                <w:szCs w:val="24"/>
              </w:rPr>
            </w:pPr>
            <w:r w:rsidRPr="00002D92">
              <w:rPr>
                <w:rFonts w:eastAsia="Times New Roman" w:cs="Times New Roman"/>
                <w:b/>
                <w:bCs/>
                <w:szCs w:val="24"/>
              </w:rPr>
              <w:t>Number of loss-making SOEs</w:t>
            </w:r>
          </w:p>
        </w:tc>
        <w:tc>
          <w:tcPr>
            <w:tcW w:w="622" w:type="pct"/>
            <w:tcBorders>
              <w:top w:val="nil"/>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11</w:t>
            </w:r>
          </w:p>
        </w:tc>
        <w:tc>
          <w:tcPr>
            <w:tcW w:w="622" w:type="pct"/>
            <w:tcBorders>
              <w:top w:val="nil"/>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8</w:t>
            </w:r>
          </w:p>
        </w:tc>
        <w:tc>
          <w:tcPr>
            <w:tcW w:w="622" w:type="pct"/>
            <w:tcBorders>
              <w:top w:val="nil"/>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9</w:t>
            </w:r>
          </w:p>
        </w:tc>
        <w:tc>
          <w:tcPr>
            <w:tcW w:w="753" w:type="pct"/>
            <w:tcBorders>
              <w:top w:val="nil"/>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16</w:t>
            </w:r>
          </w:p>
        </w:tc>
      </w:tr>
    </w:tbl>
    <w:p w:rsidR="00863F79" w:rsidRPr="00002D92" w:rsidRDefault="00863F79" w:rsidP="00CC2A54">
      <w:pPr>
        <w:spacing w:after="0"/>
        <w:rPr>
          <w:rFonts w:eastAsia="MS PGothic" w:cs="Times New Roman"/>
          <w:sz w:val="22"/>
          <w:szCs w:val="24"/>
          <w:lang w:eastAsia="ja-JP"/>
        </w:rPr>
      </w:pPr>
      <w:r w:rsidRPr="00002D92">
        <w:rPr>
          <w:rFonts w:eastAsia="MS PGothic" w:cs="Times New Roman"/>
          <w:sz w:val="22"/>
          <w:szCs w:val="24"/>
          <w:lang w:eastAsia="ja-JP"/>
        </w:rPr>
        <w:t>*Wages, wage supplements, and other personnel expenses</w:t>
      </w:r>
    </w:p>
    <w:p w:rsidR="00863F79" w:rsidRPr="00002D92" w:rsidRDefault="00863F79" w:rsidP="00CC2A54">
      <w:pPr>
        <w:spacing w:after="0"/>
        <w:rPr>
          <w:rFonts w:eastAsia="MS PGothic" w:cs="Times New Roman"/>
          <w:sz w:val="22"/>
          <w:szCs w:val="24"/>
          <w:lang w:eastAsia="ja-JP"/>
        </w:rPr>
      </w:pPr>
      <w:r w:rsidRPr="00002D92">
        <w:rPr>
          <w:rFonts w:eastAsia="MS PGothic" w:cs="Times New Roman"/>
          <w:sz w:val="22"/>
          <w:szCs w:val="24"/>
          <w:lang w:eastAsia="ja-JP"/>
        </w:rPr>
        <w:t>Source: Financial Statements (APR) and Quarterly Report for 2025</w:t>
      </w:r>
    </w:p>
    <w:p w:rsidR="00CC2A54" w:rsidRPr="00002D92" w:rsidRDefault="00CC2A54" w:rsidP="00CC2A54">
      <w:pPr>
        <w:spacing w:after="0"/>
        <w:rPr>
          <w:rFonts w:eastAsia="MS PGothic" w:cs="Times New Roman"/>
          <w:sz w:val="22"/>
          <w:szCs w:val="24"/>
          <w:lang w:eastAsia="ja-JP"/>
        </w:rPr>
      </w:pPr>
    </w:p>
    <w:p w:rsidR="00863F79" w:rsidRPr="00002D92" w:rsidRDefault="00863F79" w:rsidP="00863F79">
      <w:pPr>
        <w:spacing w:after="240"/>
        <w:rPr>
          <w:rFonts w:eastAsia="MS PGothic" w:cs="Times New Roman"/>
          <w:i/>
          <w:szCs w:val="24"/>
          <w:lang w:val="sr-Cyrl-RS" w:eastAsia="ja-JP"/>
        </w:rPr>
      </w:pPr>
      <w:r w:rsidRPr="00002D92">
        <w:rPr>
          <w:rFonts w:eastAsia="MS PGothic" w:cs="Times New Roman"/>
          <w:szCs w:val="20"/>
          <w:lang w:val="sr-Cyrl-RS" w:eastAsia="ja-JP"/>
        </w:rPr>
        <w:t>The majority of subsidies are primarily used by enterprises for capital projects, while a certain number of enterprises also use them to maintain current liquidity. The share of disbursed subsidies in total budget expenditures ranges from 3% to 4% annually.</w:t>
      </w:r>
    </w:p>
    <w:p w:rsidR="00863F79" w:rsidRPr="00002D92" w:rsidRDefault="00863F79" w:rsidP="00863F79">
      <w:pPr>
        <w:spacing w:after="240"/>
        <w:rPr>
          <w:rFonts w:eastAsia="MS PGothic" w:cs="Times New Roman"/>
          <w:szCs w:val="20"/>
          <w:lang w:val="sr-Cyrl-RS" w:eastAsia="ja-JP"/>
        </w:rPr>
      </w:pPr>
      <w:r w:rsidRPr="00002D92">
        <w:rPr>
          <w:rFonts w:eastAsia="MS PGothic" w:cs="Times New Roman"/>
          <w:i/>
          <w:szCs w:val="24"/>
          <w:lang w:eastAsia="ja-JP"/>
        </w:rPr>
        <w:t>Table</w:t>
      </w:r>
      <w:r w:rsidR="00CC2A54" w:rsidRPr="00002D92">
        <w:rPr>
          <w:rFonts w:eastAsia="MS PGothic" w:cs="Times New Roman"/>
          <w:i/>
          <w:szCs w:val="24"/>
          <w:lang w:val="sr-Cyrl-RS" w:eastAsia="ja-JP"/>
        </w:rPr>
        <w:t xml:space="preserve"> 14</w:t>
      </w:r>
      <w:r w:rsidR="00CC2A54" w:rsidRPr="00002D92">
        <w:rPr>
          <w:rFonts w:eastAsia="MS PGothic" w:cs="Times New Roman"/>
          <w:i/>
          <w:szCs w:val="24"/>
          <w:lang w:val="sr-Latn-RS" w:eastAsia="ja-JP"/>
        </w:rPr>
        <w:t>:</w:t>
      </w:r>
      <w:r w:rsidRPr="00002D92">
        <w:rPr>
          <w:rFonts w:eastAsia="MS PGothic" w:cs="Times New Roman"/>
          <w:i/>
          <w:szCs w:val="24"/>
          <w:lang w:val="sr-Cyrl-RS" w:eastAsia="ja-JP"/>
        </w:rPr>
        <w:t xml:space="preserve"> Overview of subsidy recipients (36 SOEs) and their share in total budget expenditures of the Republic of Serbia</w:t>
      </w:r>
    </w:p>
    <w:tbl>
      <w:tblPr>
        <w:tblW w:w="5000" w:type="pct"/>
        <w:tblLook w:val="04A0" w:firstRow="1" w:lastRow="0" w:firstColumn="1" w:lastColumn="0" w:noHBand="0" w:noVBand="1"/>
      </w:tblPr>
      <w:tblGrid>
        <w:gridCol w:w="4743"/>
        <w:gridCol w:w="1070"/>
        <w:gridCol w:w="1071"/>
        <w:gridCol w:w="1071"/>
        <w:gridCol w:w="1071"/>
      </w:tblGrid>
      <w:tr w:rsidR="00863F79" w:rsidRPr="00002D92" w:rsidTr="0098177C">
        <w:trPr>
          <w:trHeight w:val="20"/>
        </w:trPr>
        <w:tc>
          <w:tcPr>
            <w:tcW w:w="2488" w:type="pct"/>
            <w:tcBorders>
              <w:top w:val="single" w:sz="4" w:space="0" w:color="002060"/>
              <w:left w:val="nil"/>
              <w:bottom w:val="single" w:sz="4" w:space="0" w:color="002060"/>
              <w:right w:val="nil"/>
            </w:tcBorders>
            <w:shd w:val="clear" w:color="auto" w:fill="FFFFFF" w:themeFill="background1"/>
            <w:noWrap/>
            <w:vAlign w:val="center"/>
            <w:hideMark/>
          </w:tcPr>
          <w:p w:rsidR="00863F79" w:rsidRPr="00002D92" w:rsidRDefault="00863F79" w:rsidP="0098177C">
            <w:pPr>
              <w:spacing w:after="0"/>
              <w:jc w:val="center"/>
              <w:rPr>
                <w:rFonts w:eastAsia="Times New Roman" w:cs="Times New Roman"/>
                <w:b/>
                <w:bCs/>
                <w:szCs w:val="24"/>
              </w:rPr>
            </w:pPr>
            <w:r w:rsidRPr="00002D92">
              <w:rPr>
                <w:rFonts w:eastAsia="Times New Roman" w:cs="Times New Roman"/>
                <w:b/>
                <w:bCs/>
                <w:szCs w:val="24"/>
              </w:rPr>
              <w:t>Year</w:t>
            </w:r>
          </w:p>
        </w:tc>
        <w:tc>
          <w:tcPr>
            <w:tcW w:w="628"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2021</w:t>
            </w:r>
          </w:p>
        </w:tc>
        <w:tc>
          <w:tcPr>
            <w:tcW w:w="628"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2022</w:t>
            </w:r>
          </w:p>
        </w:tc>
        <w:tc>
          <w:tcPr>
            <w:tcW w:w="628"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2023</w:t>
            </w:r>
          </w:p>
        </w:tc>
        <w:tc>
          <w:tcPr>
            <w:tcW w:w="628" w:type="pct"/>
            <w:tcBorders>
              <w:top w:val="single" w:sz="4" w:space="0" w:color="002060"/>
              <w:left w:val="nil"/>
              <w:bottom w:val="single" w:sz="4" w:space="0" w:color="002060"/>
              <w:right w:val="nil"/>
            </w:tcBorders>
            <w:noWrap/>
            <w:vAlign w:val="center"/>
            <w:hideMark/>
          </w:tcPr>
          <w:p w:rsidR="00863F79" w:rsidRPr="00002D92" w:rsidRDefault="00863F79" w:rsidP="0098177C">
            <w:pPr>
              <w:spacing w:after="0"/>
              <w:jc w:val="center"/>
              <w:rPr>
                <w:rFonts w:eastAsia="Times New Roman" w:cs="Times New Roman"/>
                <w:b/>
                <w:bCs/>
                <w:szCs w:val="24"/>
                <w:lang w:val="sr-Cyrl-RS"/>
              </w:rPr>
            </w:pPr>
            <w:r w:rsidRPr="00002D92">
              <w:rPr>
                <w:rFonts w:eastAsia="Times New Roman" w:cs="Times New Roman"/>
                <w:b/>
                <w:bCs/>
                <w:szCs w:val="24"/>
                <w:lang w:val="sr-Cyrl-RS"/>
              </w:rPr>
              <w:t>2024</w:t>
            </w:r>
          </w:p>
        </w:tc>
      </w:tr>
      <w:tr w:rsidR="00863F79" w:rsidRPr="00002D92" w:rsidTr="0098177C">
        <w:trPr>
          <w:trHeight w:val="20"/>
        </w:trPr>
        <w:tc>
          <w:tcPr>
            <w:tcW w:w="2488"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szCs w:val="24"/>
              </w:rPr>
            </w:pPr>
            <w:r w:rsidRPr="00002D92">
              <w:rPr>
                <w:rFonts w:eastAsia="Times New Roman" w:cs="Times New Roman"/>
                <w:szCs w:val="24"/>
              </w:rPr>
              <w:t>Number of subsidy recipients (out of 36 SOEs)</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25</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25</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27</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27</w:t>
            </w:r>
          </w:p>
        </w:tc>
      </w:tr>
      <w:tr w:rsidR="00863F79" w:rsidRPr="00002D92" w:rsidTr="0098177C">
        <w:trPr>
          <w:trHeight w:val="20"/>
        </w:trPr>
        <w:tc>
          <w:tcPr>
            <w:tcW w:w="2488"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szCs w:val="24"/>
              </w:rPr>
            </w:pPr>
            <w:r w:rsidRPr="00002D92">
              <w:rPr>
                <w:rFonts w:eastAsia="Times New Roman" w:cs="Times New Roman"/>
                <w:szCs w:val="24"/>
              </w:rPr>
              <w:t>Subsidies paid (RSD billion)</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67</w:t>
            </w:r>
            <w:r w:rsidRPr="00002D92">
              <w:rPr>
                <w:rFonts w:eastAsia="Times New Roman" w:cs="Times New Roman"/>
                <w:szCs w:val="24"/>
              </w:rPr>
              <w:t>.</w:t>
            </w:r>
            <w:r w:rsidRPr="00002D92">
              <w:rPr>
                <w:rFonts w:eastAsia="Times New Roman" w:cs="Times New Roman"/>
                <w:szCs w:val="24"/>
                <w:lang w:val="sr-Cyrl-RS"/>
              </w:rPr>
              <w:t>2</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56</w:t>
            </w:r>
            <w:r w:rsidRPr="00002D92">
              <w:rPr>
                <w:rFonts w:eastAsia="Times New Roman" w:cs="Times New Roman"/>
                <w:szCs w:val="24"/>
              </w:rPr>
              <w:t>.</w:t>
            </w:r>
            <w:r w:rsidRPr="00002D92">
              <w:rPr>
                <w:rFonts w:eastAsia="Times New Roman" w:cs="Times New Roman"/>
                <w:szCs w:val="24"/>
                <w:lang w:val="sr-Cyrl-RS"/>
              </w:rPr>
              <w:t>0</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67</w:t>
            </w:r>
            <w:r w:rsidRPr="00002D92">
              <w:rPr>
                <w:rFonts w:eastAsia="Times New Roman" w:cs="Times New Roman"/>
                <w:szCs w:val="24"/>
              </w:rPr>
              <w:t>.</w:t>
            </w:r>
            <w:r w:rsidRPr="00002D92">
              <w:rPr>
                <w:rFonts w:eastAsia="Times New Roman" w:cs="Times New Roman"/>
                <w:szCs w:val="24"/>
                <w:lang w:val="sr-Cyrl-RS"/>
              </w:rPr>
              <w:t>9</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62</w:t>
            </w:r>
            <w:r w:rsidRPr="00002D92">
              <w:rPr>
                <w:rFonts w:eastAsia="Times New Roman" w:cs="Times New Roman"/>
                <w:szCs w:val="24"/>
              </w:rPr>
              <w:t>.</w:t>
            </w:r>
            <w:r w:rsidRPr="00002D92">
              <w:rPr>
                <w:rFonts w:eastAsia="Times New Roman" w:cs="Times New Roman"/>
                <w:szCs w:val="24"/>
                <w:lang w:val="sr-Cyrl-RS"/>
              </w:rPr>
              <w:t>3</w:t>
            </w:r>
          </w:p>
        </w:tc>
      </w:tr>
      <w:tr w:rsidR="00863F79" w:rsidRPr="00002D92" w:rsidTr="0098177C">
        <w:trPr>
          <w:trHeight w:val="20"/>
        </w:trPr>
        <w:tc>
          <w:tcPr>
            <w:tcW w:w="2488" w:type="pct"/>
            <w:tcBorders>
              <w:top w:val="nil"/>
              <w:left w:val="nil"/>
              <w:bottom w:val="nil"/>
              <w:right w:val="nil"/>
            </w:tcBorders>
            <w:shd w:val="clear" w:color="000000" w:fill="FFFFFF"/>
            <w:noWrap/>
            <w:vAlign w:val="center"/>
            <w:hideMark/>
          </w:tcPr>
          <w:p w:rsidR="00863F79" w:rsidRPr="00002D92" w:rsidRDefault="00863F79" w:rsidP="0098177C">
            <w:pPr>
              <w:spacing w:after="0"/>
              <w:jc w:val="left"/>
              <w:rPr>
                <w:rFonts w:eastAsia="Times New Roman" w:cs="Times New Roman"/>
                <w:szCs w:val="24"/>
              </w:rPr>
            </w:pPr>
            <w:r w:rsidRPr="00002D92">
              <w:rPr>
                <w:rFonts w:eastAsia="Times New Roman" w:cs="Times New Roman"/>
                <w:szCs w:val="24"/>
              </w:rPr>
              <w:t>Total budget expenditures (RSD billion)</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w:t>
            </w:r>
            <w:r w:rsidRPr="00002D92">
              <w:rPr>
                <w:rFonts w:eastAsia="Times New Roman" w:cs="Times New Roman"/>
                <w:szCs w:val="24"/>
              </w:rPr>
              <w:t>,</w:t>
            </w:r>
            <w:r w:rsidRPr="00002D92">
              <w:rPr>
                <w:rFonts w:eastAsia="Times New Roman" w:cs="Times New Roman"/>
                <w:szCs w:val="24"/>
                <w:lang w:val="sr-Cyrl-RS"/>
              </w:rPr>
              <w:t>751</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1</w:t>
            </w:r>
            <w:r w:rsidRPr="00002D92">
              <w:rPr>
                <w:rFonts w:eastAsia="Times New Roman" w:cs="Times New Roman"/>
                <w:szCs w:val="24"/>
              </w:rPr>
              <w:t>,</w:t>
            </w:r>
            <w:r w:rsidRPr="00002D92">
              <w:rPr>
                <w:rFonts w:eastAsia="Times New Roman" w:cs="Times New Roman"/>
                <w:szCs w:val="24"/>
                <w:lang w:val="sr-Cyrl-RS"/>
              </w:rPr>
              <w:t>915</w:t>
            </w:r>
          </w:p>
        </w:tc>
        <w:tc>
          <w:tcPr>
            <w:tcW w:w="628" w:type="pct"/>
            <w:tcBorders>
              <w:top w:val="nil"/>
              <w:left w:val="nil"/>
              <w:bottom w:val="nil"/>
              <w:right w:val="nil"/>
            </w:tcBorders>
            <w:shd w:val="clear" w:color="000000" w:fill="FFFFFF"/>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2</w:t>
            </w:r>
            <w:r w:rsidRPr="00002D92">
              <w:rPr>
                <w:rFonts w:eastAsia="Times New Roman" w:cs="Times New Roman"/>
                <w:szCs w:val="24"/>
              </w:rPr>
              <w:t>,</w:t>
            </w:r>
            <w:r w:rsidRPr="00002D92">
              <w:rPr>
                <w:rFonts w:eastAsia="Times New Roman" w:cs="Times New Roman"/>
                <w:szCs w:val="24"/>
                <w:lang w:val="sr-Cyrl-RS"/>
              </w:rPr>
              <w:t>068</w:t>
            </w:r>
          </w:p>
        </w:tc>
        <w:tc>
          <w:tcPr>
            <w:tcW w:w="628" w:type="pct"/>
            <w:tcBorders>
              <w:top w:val="nil"/>
              <w:left w:val="nil"/>
              <w:bottom w:val="nil"/>
              <w:right w:val="nil"/>
            </w:tcBorders>
            <w:noWrap/>
            <w:vAlign w:val="center"/>
            <w:hideMark/>
          </w:tcPr>
          <w:p w:rsidR="00863F79" w:rsidRPr="00002D92" w:rsidRDefault="00863F79" w:rsidP="0098177C">
            <w:pPr>
              <w:spacing w:after="0"/>
              <w:jc w:val="center"/>
              <w:rPr>
                <w:rFonts w:eastAsia="Times New Roman" w:cs="Times New Roman"/>
                <w:szCs w:val="24"/>
                <w:lang w:val="sr-Cyrl-RS"/>
              </w:rPr>
            </w:pPr>
            <w:r w:rsidRPr="00002D92">
              <w:rPr>
                <w:rFonts w:eastAsia="Times New Roman" w:cs="Times New Roman"/>
                <w:szCs w:val="24"/>
                <w:lang w:val="sr-Cyrl-RS"/>
              </w:rPr>
              <w:t>2</w:t>
            </w:r>
            <w:r w:rsidRPr="00002D92">
              <w:rPr>
                <w:rFonts w:eastAsia="Times New Roman" w:cs="Times New Roman"/>
                <w:szCs w:val="24"/>
              </w:rPr>
              <w:t>,</w:t>
            </w:r>
            <w:r w:rsidRPr="00002D92">
              <w:rPr>
                <w:rFonts w:eastAsia="Times New Roman" w:cs="Times New Roman"/>
                <w:szCs w:val="24"/>
                <w:lang w:val="sr-Cyrl-RS"/>
              </w:rPr>
              <w:t>354</w:t>
            </w:r>
          </w:p>
        </w:tc>
      </w:tr>
      <w:tr w:rsidR="00863F79" w:rsidRPr="00002D92" w:rsidTr="0098177C">
        <w:trPr>
          <w:trHeight w:val="20"/>
        </w:trPr>
        <w:tc>
          <w:tcPr>
            <w:tcW w:w="2488" w:type="pct"/>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left"/>
              <w:rPr>
                <w:rFonts w:eastAsia="Times New Roman" w:cs="Times New Roman"/>
                <w:b/>
                <w:bCs/>
                <w:i/>
                <w:iCs/>
                <w:szCs w:val="24"/>
              </w:rPr>
            </w:pPr>
            <w:r w:rsidRPr="00002D92">
              <w:rPr>
                <w:rFonts w:eastAsia="Times New Roman" w:cs="Times New Roman"/>
                <w:b/>
                <w:bCs/>
                <w:i/>
                <w:iCs/>
                <w:szCs w:val="24"/>
              </w:rPr>
              <w:t>% of subsidies paid / budget expenditures</w:t>
            </w:r>
          </w:p>
        </w:tc>
        <w:tc>
          <w:tcPr>
            <w:tcW w:w="628" w:type="pct"/>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bCs/>
                <w:i/>
                <w:iCs/>
                <w:szCs w:val="24"/>
                <w:lang w:val="sr-Cyrl-RS"/>
              </w:rPr>
            </w:pPr>
            <w:r w:rsidRPr="00002D92">
              <w:rPr>
                <w:rFonts w:eastAsia="Times New Roman" w:cs="Times New Roman"/>
                <w:b/>
                <w:bCs/>
                <w:i/>
                <w:iCs/>
                <w:szCs w:val="24"/>
                <w:lang w:val="sr-Cyrl-RS"/>
              </w:rPr>
              <w:t>3</w:t>
            </w:r>
            <w:r w:rsidRPr="00002D92">
              <w:rPr>
                <w:rFonts w:eastAsia="Times New Roman" w:cs="Times New Roman"/>
                <w:b/>
                <w:bCs/>
                <w:i/>
                <w:iCs/>
                <w:szCs w:val="24"/>
              </w:rPr>
              <w:t>.</w:t>
            </w:r>
            <w:r w:rsidRPr="00002D92">
              <w:rPr>
                <w:rFonts w:eastAsia="Times New Roman" w:cs="Times New Roman"/>
                <w:b/>
                <w:bCs/>
                <w:i/>
                <w:iCs/>
                <w:szCs w:val="24"/>
                <w:lang w:val="sr-Cyrl-RS"/>
              </w:rPr>
              <w:t>8%</w:t>
            </w:r>
          </w:p>
        </w:tc>
        <w:tc>
          <w:tcPr>
            <w:tcW w:w="628" w:type="pct"/>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bCs/>
                <w:i/>
                <w:iCs/>
                <w:szCs w:val="24"/>
                <w:lang w:val="sr-Cyrl-RS"/>
              </w:rPr>
            </w:pPr>
            <w:r w:rsidRPr="00002D92">
              <w:rPr>
                <w:rFonts w:eastAsia="Times New Roman" w:cs="Times New Roman"/>
                <w:b/>
                <w:bCs/>
                <w:i/>
                <w:iCs/>
                <w:szCs w:val="24"/>
                <w:lang w:val="sr-Cyrl-RS"/>
              </w:rPr>
              <w:t>2</w:t>
            </w:r>
            <w:r w:rsidRPr="00002D92">
              <w:rPr>
                <w:rFonts w:eastAsia="Times New Roman" w:cs="Times New Roman"/>
                <w:b/>
                <w:bCs/>
                <w:i/>
                <w:iCs/>
                <w:szCs w:val="24"/>
              </w:rPr>
              <w:t>.</w:t>
            </w:r>
            <w:r w:rsidRPr="00002D92">
              <w:rPr>
                <w:rFonts w:eastAsia="Times New Roman" w:cs="Times New Roman"/>
                <w:b/>
                <w:bCs/>
                <w:i/>
                <w:iCs/>
                <w:szCs w:val="24"/>
                <w:lang w:val="sr-Cyrl-RS"/>
              </w:rPr>
              <w:t>9%</w:t>
            </w:r>
          </w:p>
        </w:tc>
        <w:tc>
          <w:tcPr>
            <w:tcW w:w="628" w:type="pct"/>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bCs/>
                <w:i/>
                <w:iCs/>
                <w:szCs w:val="24"/>
                <w:lang w:val="sr-Cyrl-RS"/>
              </w:rPr>
            </w:pPr>
            <w:r w:rsidRPr="00002D92">
              <w:rPr>
                <w:rFonts w:eastAsia="Times New Roman" w:cs="Times New Roman"/>
                <w:b/>
                <w:bCs/>
                <w:i/>
                <w:iCs/>
                <w:szCs w:val="24"/>
                <w:lang w:val="sr-Cyrl-RS"/>
              </w:rPr>
              <w:t>3</w:t>
            </w:r>
            <w:r w:rsidRPr="00002D92">
              <w:rPr>
                <w:rFonts w:eastAsia="Times New Roman" w:cs="Times New Roman"/>
                <w:b/>
                <w:bCs/>
                <w:i/>
                <w:iCs/>
                <w:szCs w:val="24"/>
              </w:rPr>
              <w:t>.</w:t>
            </w:r>
            <w:r w:rsidRPr="00002D92">
              <w:rPr>
                <w:rFonts w:eastAsia="Times New Roman" w:cs="Times New Roman"/>
                <w:b/>
                <w:bCs/>
                <w:i/>
                <w:iCs/>
                <w:szCs w:val="24"/>
                <w:lang w:val="sr-Cyrl-RS"/>
              </w:rPr>
              <w:t>3%</w:t>
            </w:r>
          </w:p>
        </w:tc>
        <w:tc>
          <w:tcPr>
            <w:tcW w:w="628" w:type="pct"/>
            <w:tcBorders>
              <w:top w:val="nil"/>
              <w:left w:val="nil"/>
              <w:bottom w:val="single" w:sz="4" w:space="0" w:color="002060"/>
              <w:right w:val="nil"/>
            </w:tcBorders>
            <w:shd w:val="clear" w:color="000000" w:fill="FFFFFF"/>
            <w:noWrap/>
            <w:vAlign w:val="center"/>
            <w:hideMark/>
          </w:tcPr>
          <w:p w:rsidR="00863F79" w:rsidRPr="00002D92" w:rsidRDefault="00863F79" w:rsidP="0098177C">
            <w:pPr>
              <w:spacing w:after="0"/>
              <w:jc w:val="center"/>
              <w:rPr>
                <w:rFonts w:eastAsia="Times New Roman" w:cs="Times New Roman"/>
                <w:b/>
                <w:bCs/>
                <w:i/>
                <w:iCs/>
                <w:szCs w:val="24"/>
                <w:lang w:val="sr-Cyrl-RS"/>
              </w:rPr>
            </w:pPr>
            <w:r w:rsidRPr="00002D92">
              <w:rPr>
                <w:rFonts w:eastAsia="Times New Roman" w:cs="Times New Roman"/>
                <w:b/>
                <w:bCs/>
                <w:i/>
                <w:iCs/>
                <w:szCs w:val="24"/>
                <w:lang w:val="sr-Cyrl-RS"/>
              </w:rPr>
              <w:t>2</w:t>
            </w:r>
            <w:r w:rsidRPr="00002D92">
              <w:rPr>
                <w:rFonts w:eastAsia="Times New Roman" w:cs="Times New Roman"/>
                <w:b/>
                <w:bCs/>
                <w:i/>
                <w:iCs/>
                <w:szCs w:val="24"/>
              </w:rPr>
              <w:t>.</w:t>
            </w:r>
            <w:r w:rsidRPr="00002D92">
              <w:rPr>
                <w:rFonts w:eastAsia="Times New Roman" w:cs="Times New Roman"/>
                <w:b/>
                <w:bCs/>
                <w:i/>
                <w:iCs/>
                <w:szCs w:val="24"/>
                <w:lang w:val="sr-Cyrl-RS"/>
              </w:rPr>
              <w:t>6%</w:t>
            </w:r>
          </w:p>
        </w:tc>
      </w:tr>
    </w:tbl>
    <w:p w:rsidR="00863F79" w:rsidRPr="00002D92" w:rsidRDefault="00863F79" w:rsidP="00863F79">
      <w:pPr>
        <w:spacing w:before="40" w:after="180" w:line="276" w:lineRule="auto"/>
        <w:rPr>
          <w:rFonts w:eastAsia="MS PGothic" w:cs="Times New Roman"/>
          <w:sz w:val="22"/>
          <w:szCs w:val="24"/>
          <w:lang w:eastAsia="ja-JP"/>
        </w:rPr>
      </w:pPr>
      <w:r w:rsidRPr="00002D92">
        <w:rPr>
          <w:rFonts w:eastAsia="MS PGothic" w:cs="Times New Roman"/>
          <w:sz w:val="22"/>
          <w:szCs w:val="24"/>
          <w:lang w:eastAsia="ja-JP"/>
        </w:rPr>
        <w:t xml:space="preserve"> Source: Ministry of Finance</w:t>
      </w:r>
    </w:p>
    <w:p w:rsidR="00863F79" w:rsidRPr="00002D92" w:rsidRDefault="00863F79" w:rsidP="00863F79">
      <w:pPr>
        <w:rPr>
          <w:rFonts w:eastAsia="MS PGothic" w:cs="Times New Roman"/>
          <w:szCs w:val="24"/>
          <w:lang w:val="sr-Cyrl-RS" w:eastAsia="ja-JP"/>
        </w:rPr>
      </w:pPr>
      <w:r w:rsidRPr="00002D92">
        <w:rPr>
          <w:rFonts w:eastAsia="MS PGothic" w:cs="Times New Roman"/>
          <w:szCs w:val="24"/>
          <w:lang w:val="sr-Cyrl-RS" w:eastAsia="ja-JP"/>
        </w:rPr>
        <w:t>The Budget Sector – Fiscal Risk Monitoring Department, in cooperation with the World Bank, conducted a review of the Altman Z-score model used to assess the fiscal risks of state-owned enterprises during 2024 and 2025.</w:t>
      </w:r>
    </w:p>
    <w:p w:rsidR="00863F79" w:rsidRPr="00002D92" w:rsidRDefault="00863F79" w:rsidP="00863F79">
      <w:pPr>
        <w:spacing w:before="160"/>
        <w:rPr>
          <w:rFonts w:eastAsia="MS PGothic" w:cs="Times New Roman"/>
          <w:szCs w:val="20"/>
          <w:lang w:val="sr-Cyrl-RS" w:eastAsia="ja-JP"/>
        </w:rPr>
      </w:pPr>
      <w:r w:rsidRPr="00002D92">
        <w:rPr>
          <w:rFonts w:eastAsia="MS PGothic" w:cs="Times New Roman"/>
          <w:szCs w:val="20"/>
          <w:lang w:val="sr-Cyrl-RS" w:eastAsia="ja-JP"/>
        </w:rPr>
        <w:t>According to the official financial statements submitted as of 31 December 2024, out of 36 state-owned enterprises, the application of this model identified 16.7% of enterprises as high-risk, 27.8% as medium-risk, while the remaining 55.5% were assessed as low-risk in their operations. The state-owned enterprises classified as medium-risk operate in the energy sector, railway transport, and construction-technical industries. Observed over annual periods, the downward trend of high-risk enterprises continues, with 10 high-risk enterprises in 2021, decreasing to 6 by the end of 2024.</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 xml:space="preserve">The quantification of risk represents one of the main challenges in risk assessment and its material expression. According to the model applied by the Budget Sector – Fiscal Risks Monitoring Department, risk quantification involves identifying and presenting potential </w:t>
      </w:r>
      <w:r w:rsidRPr="00002D92">
        <w:rPr>
          <w:rFonts w:eastAsia="MS PGothic" w:cs="Times New Roman"/>
          <w:szCs w:val="20"/>
          <w:lang w:val="sr-Cyrl-RS" w:eastAsia="ja-JP"/>
        </w:rPr>
        <w:lastRenderedPageBreak/>
        <w:t>expenditures that may arise for individual enterprises, which constitute a potential threat to the budget of the Republic of Serbia, as they may lead to unplanned interventions in the repayment of obligations by state-owned enterprises. These expenditures are most commonly referred to as “expected expenditures” and represent a statistical calculation that combines the probability of an expenditure occurring with the magnitude of annual obligations under loans, considered among the most sensitive and significant expenditures that may require budgetary support.</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According to the model results, the total fiscal risk, i.e., the expected expenditure for 36 state-owned enterprises for 2025, is estimated at approximately RSD 8.1 billion. These results highlight the necessity of continuous monitoring and risk management to mitigate potential financial consequences for public finances, while simultaneously developing measures to strengthen the stability of these enterprises.</w:t>
      </w:r>
    </w:p>
    <w:p w:rsidR="00863F79" w:rsidRPr="00002D92" w:rsidRDefault="00863F79" w:rsidP="00863F79">
      <w:pPr>
        <w:rPr>
          <w:rFonts w:eastAsia="MS PGothic" w:cs="Times New Roman"/>
          <w:szCs w:val="20"/>
          <w:lang w:val="sr-Cyrl-RS" w:eastAsia="ja-JP"/>
        </w:rPr>
      </w:pPr>
      <w:r w:rsidRPr="00002D92">
        <w:rPr>
          <w:rFonts w:eastAsia="MS PGothic" w:cs="Times New Roman"/>
          <w:szCs w:val="20"/>
          <w:lang w:val="sr-Cyrl-RS" w:eastAsia="ja-JP"/>
        </w:rPr>
        <w:t>Estimates for the next three years indicate that the total fiscal risk will amount to RSD 9.6 billion in 2026, RSD 7.6 billion in 2027, and is expected to decrease to RSD 3.5 billion in 2028. Considering that the size of the expected expenditure is directly influenced by the annual loan obligations, any new borrowing by enterprises would lead to an increase in the expected expenditure, underscoring the importance of debt control and sustainable management of financial liabilities.</w:t>
      </w:r>
    </w:p>
    <w:p w:rsidR="00863F79" w:rsidRPr="00002D92" w:rsidRDefault="00863F79" w:rsidP="00863F79">
      <w:pPr>
        <w:rPr>
          <w:rFonts w:eastAsia="MS PGothic" w:cs="Times New Roman"/>
          <w:szCs w:val="24"/>
          <w:lang w:val="sr-Cyrl-RS" w:eastAsia="ja-JP"/>
        </w:rPr>
      </w:pPr>
      <w:r w:rsidRPr="00002D92">
        <w:rPr>
          <w:rFonts w:eastAsia="MS PGothic" w:cs="Times New Roman"/>
          <w:szCs w:val="20"/>
          <w:lang w:val="sr-Cyrl-RS" w:eastAsia="ja-JP"/>
        </w:rPr>
        <w:t>The Ministry of Finance will continue to further enhance analyses, collect qualitative information, and improve the model in the upcoming period, all with the aim of making the model more comprehensive and precise, thereby providing a reliable basis for risk management and supporting the sustainability of public finances.</w:t>
      </w:r>
    </w:p>
    <w:p w:rsidR="00863F79" w:rsidRPr="00002D92" w:rsidRDefault="00863F79" w:rsidP="00863F79">
      <w:pPr>
        <w:rPr>
          <w:rFonts w:eastAsia="MS PGothic" w:cs="Times New Roman"/>
          <w:color w:val="44546A"/>
          <w:szCs w:val="24"/>
          <w:lang w:val="sr-Cyrl-RS" w:eastAsia="ja-JP"/>
        </w:rPr>
      </w:pPr>
      <w:r w:rsidRPr="00002D92">
        <w:rPr>
          <w:rFonts w:cs="Times New Roman"/>
          <w:szCs w:val="24"/>
          <w:lang w:val="sr-Cyrl-RS" w:eastAsia="ja-JP"/>
        </w:rPr>
        <w:t>The payment of profits by public enterprises and dividends from companies in which the state holds ownership represents a significant portion of non-tax revenues. Business entities founded by the Republic of Serbia, or in which the Republic of Serbia holds an ownership stake, are obliged to transfer to the budget of the Republic of Serbia, no later than November 30 of the current budget year, at least 50% of the proportional share of profits according to the financial statements for the previous year, which, in accordance with the law governing business entities, belongs to the Republic of Serbia as a member of the company. In 2024, 36 state-owned enterprises paid a total of 1.6 billion dinars to the budget of the Republic of Serbia on this basis.</w:t>
      </w:r>
    </w:p>
    <w:p w:rsidR="00863F79" w:rsidRPr="00002D92" w:rsidRDefault="00863F79" w:rsidP="00863F79">
      <w:pPr>
        <w:rPr>
          <w:rFonts w:cs="Times New Roman"/>
          <w:szCs w:val="24"/>
          <w:lang w:val="sr-Cyrl-RS" w:eastAsia="ja-JP"/>
        </w:rPr>
      </w:pPr>
      <w:r w:rsidRPr="00002D92">
        <w:rPr>
          <w:rFonts w:cs="Times New Roman"/>
          <w:szCs w:val="24"/>
          <w:lang w:val="sr-Cyrl-RS" w:eastAsia="ja-JP"/>
        </w:rPr>
        <w:t>There are significant fiscal risks arising from court decisions, both domestic and international, as well as fines and compensation for damages imposed by state authorities. Between 2009 and 2020, the Republic of Serbia paid a total of 121 billion dinars from the national budget on the basis of monetary fines, penalties determined by court rulings, and compensation for damages or harm caused by state authorities. In 2021, 16.6 billion dinars were paid from the budget of the Republic of Serbia on this basis; in 2022, 26.8 billion dinars; in 2023, 25.4 billion dinars; and in 2024, 24.6 billion dinars. In the first three quarters of 2025, 20.4 billion dinars were paid on this basis.Based on the existing trend in the execution of the national budget from 2019 to 2024, it is expected that over the next three years, expenditures of the national budget related to court proceedings, based on projections derived from the constant growth rate observed during this period, will range between 26.4 and 30.2 billion dinars, i.e., approximately 28.3 billion dinars on average per year. In 2025, efforts continue to improve the system for monitoring fiscal risks arising from court proceedings, with the aim of identifying and assessing these risks. Special attention is being paid to available databases and to enhancing the quality and accessibility of the data they contain, all with the purpose of conducting fiscal risk analysis and quantifying these expenditures in the coming period.</w:t>
      </w:r>
    </w:p>
    <w:p w:rsidR="00863F79" w:rsidRPr="00002D92" w:rsidRDefault="00863F79" w:rsidP="00863F79">
      <w:pPr>
        <w:rPr>
          <w:rFonts w:eastAsia="MS PGothic" w:cs="Times New Roman"/>
          <w:szCs w:val="24"/>
          <w:lang w:val="sr-Cyrl-RS" w:eastAsia="ja-JP"/>
        </w:rPr>
      </w:pPr>
      <w:r w:rsidRPr="00002D92">
        <w:rPr>
          <w:rFonts w:cs="Times New Roman"/>
          <w:szCs w:val="24"/>
          <w:lang w:val="sr-Cyrl-RS" w:eastAsia="ja-JP"/>
        </w:rPr>
        <w:t xml:space="preserve">The constant risk of natural disasters and extreme weather events necessitates investment in prevention programs to reduce potential fiscal costs associated with the resulting damages. </w:t>
      </w:r>
      <w:r w:rsidRPr="00002D92">
        <w:rPr>
          <w:rFonts w:cs="Times New Roman"/>
          <w:szCs w:val="24"/>
          <w:lang w:val="sr-Cyrl-RS" w:eastAsia="ja-JP"/>
        </w:rPr>
        <w:lastRenderedPageBreak/>
        <w:t>Prevention includes the use of a broader range of financial instruments—such as reserve funds, potential credit lines, and especially insurance—that should be available to the state. In 2014, the Republic of Serbia faced the catastrophic consequences of floods, with total damages (including losses) estimated at over €1.7 billion. In response, the government adopted the National Program for Disaster Risk Management in December 2014, to be implemented in cooperation with the World Bank, the United Nations, and the EU. As part of this program, in November 2018, an overarching law was enacted addressing the issues of natural disasters and emergencies: the Law on Disaster Risk Reduction and Emergency Management.</w:t>
      </w:r>
      <w:r w:rsidRPr="00002D92">
        <w:rPr>
          <w:rFonts w:eastAsia="MS PGothic" w:cs="Times New Roman"/>
          <w:szCs w:val="24"/>
          <w:lang w:val="sr-Cyrl-RS" w:eastAsia="ja-JP"/>
        </w:rPr>
        <w:t xml:space="preserve"> </w:t>
      </w:r>
    </w:p>
    <w:p w:rsidR="00863F79" w:rsidRPr="00002D92" w:rsidRDefault="00863F79" w:rsidP="00863F79">
      <w:pPr>
        <w:rPr>
          <w:rFonts w:eastAsia="MS PGothic" w:cs="Times New Roman"/>
          <w:szCs w:val="24"/>
          <w:lang w:val="sr-Cyrl-RS" w:eastAsia="ja-JP"/>
        </w:rPr>
      </w:pPr>
      <w:r w:rsidRPr="00002D92">
        <w:rPr>
          <w:rFonts w:eastAsia="MS PGothic" w:cs="Times New Roman"/>
          <w:szCs w:val="24"/>
          <w:lang w:val="sr-Cyrl-RS" w:eastAsia="ja-JP"/>
        </w:rPr>
        <w:t xml:space="preserve">The increasing frequency and intensity of natural and other disasters, as well as the rising costs of addressing their consequences, highlight the need for constant vigilance regarding this type of fiscal risk. In 2021, a Unified Methodology for Monitoring Fiscal Risks in the Republic of Serbia was adopted, which, among other things, includes a methodology for monitoring fiscal risks arising from natural disasters. During 2022, in cooperation with the World Bank, a model for assessing fiscal risks from natural disasters was also developed. This model provides a quantified assessment of the negative impact of a natural disaster on the country’s gross domestic product, fiscal deficit, and, consequently, public debt. </w:t>
      </w:r>
    </w:p>
    <w:p w:rsidR="00863F79" w:rsidRPr="00002D92" w:rsidRDefault="00863F79" w:rsidP="003B22A7">
      <w:pPr>
        <w:rPr>
          <w:rFonts w:eastAsia="MS PGothic" w:cs="Times New Roman"/>
          <w:szCs w:val="24"/>
          <w:lang w:val="sr-Cyrl-RS" w:eastAsia="ja-JP"/>
        </w:rPr>
      </w:pPr>
      <w:r w:rsidRPr="00002D92">
        <w:rPr>
          <w:rFonts w:eastAsia="MS PGothic" w:cs="Times New Roman"/>
          <w:szCs w:val="24"/>
          <w:lang w:val="sr-Cyrl-RS" w:eastAsia="ja-JP"/>
        </w:rPr>
        <w:t>Accordingly, estimates based on data from the risk modeling company Applied Research Institute Worldwide Corporation—using the so-called “AIR” model—indicate that potential damages in the Republic of Serbia in 2025 related to floods, depending on their intensity and probability of occurrence, could range from $150 million to $6.4 billion. Although earthquake risks are considered moderate, the same estimates suggest that earthquake-related damages could range from $160 million up to $8.5 billion. Depending on the type and intensity of the natural disaster, the expected contraction of GDP also varies, meaning that GDP growth in the year a disaster occurs could be lower compared to the growth that would have been achieved if the disaster had not taken place.</w:t>
      </w:r>
    </w:p>
    <w:p w:rsidR="00863F79" w:rsidRPr="00002D92" w:rsidRDefault="00863F79" w:rsidP="003B22A7">
      <w:pPr>
        <w:rPr>
          <w:rFonts w:eastAsia="MS PGothic" w:cs="Times New Roman"/>
          <w:szCs w:val="24"/>
          <w:lang w:val="sr-Cyrl-RS" w:eastAsia="ja-JP"/>
        </w:rPr>
      </w:pPr>
      <w:r w:rsidRPr="00002D92">
        <w:rPr>
          <w:rFonts w:eastAsia="MS PGothic" w:cs="Times New Roman"/>
          <w:szCs w:val="24"/>
          <w:lang w:val="sr-Cyrl-RS" w:eastAsia="ja-JP"/>
        </w:rPr>
        <w:t xml:space="preserve">When it comes to future expected costs, the fiscal effects of natural disasters—in terms of their impact on the fiscal deficit and, consequently, on public debt—are even more pronounced, reflecting the scale of the expected negative effect of such shocks on the country’s macroeconomic stability, should these disasters occur. </w:t>
      </w:r>
    </w:p>
    <w:p w:rsidR="00863F79" w:rsidRPr="00002D92" w:rsidRDefault="00863F79" w:rsidP="00863F79">
      <w:pPr>
        <w:rPr>
          <w:rFonts w:eastAsia="MS PGothic" w:cs="Times New Roman"/>
          <w:szCs w:val="24"/>
          <w:lang w:val="sr-Cyrl-RS" w:eastAsia="ja-JP"/>
        </w:rPr>
      </w:pPr>
      <w:r w:rsidRPr="00002D92">
        <w:rPr>
          <w:rFonts w:eastAsia="MS PGothic" w:cs="Times New Roman"/>
          <w:szCs w:val="20"/>
          <w:lang w:val="sr-Cyrl-RS" w:eastAsia="ja-JP"/>
        </w:rPr>
        <w:t>Based on the model for assessing fiscal risks from natural disasters in the Republic of Serbia, it can be concluded that in the event of an earthquake occurring in 2025, the fiscal deficit could increase by up to 2.4% of GDP annually, which could further lead to an increase in public debt of up to 8.6% of 2025 GDP in the years following the shock caused by a high-intensity earthquake. In the case of floods occurring in 2025, a similar situation is expected: the fiscal deficit could rise by up to 1.8% of GDP annually, which would affect public debt growth by up to 6.5% of 2025 GDP in the years following a large-scale flood shock.</w:t>
      </w:r>
    </w:p>
    <w:p w:rsidR="003B22A7" w:rsidRPr="00002D92" w:rsidRDefault="003B22A7">
      <w:pPr>
        <w:spacing w:after="160" w:line="259" w:lineRule="auto"/>
        <w:jc w:val="left"/>
        <w:rPr>
          <w:rFonts w:eastAsia="MS PGothic" w:cs="Times New Roman"/>
          <w:i/>
          <w:szCs w:val="24"/>
          <w:lang w:eastAsia="ja-JP"/>
        </w:rPr>
      </w:pPr>
      <w:r w:rsidRPr="00002D92">
        <w:rPr>
          <w:rFonts w:eastAsia="MS PGothic" w:cs="Times New Roman"/>
          <w:i/>
          <w:szCs w:val="24"/>
          <w:lang w:eastAsia="ja-JP"/>
        </w:rPr>
        <w:br w:type="page"/>
      </w:r>
    </w:p>
    <w:p w:rsidR="00863F79" w:rsidRPr="00002D92" w:rsidRDefault="00863F79" w:rsidP="00863F79">
      <w:pPr>
        <w:widowControl w:val="0"/>
        <w:rPr>
          <w:rFonts w:eastAsia="MS PGothic" w:cs="Times New Roman"/>
          <w:i/>
          <w:szCs w:val="24"/>
          <w:lang w:val="sr-Cyrl-RS" w:eastAsia="ja-JP"/>
        </w:rPr>
      </w:pPr>
      <w:r w:rsidRPr="00002D92">
        <w:rPr>
          <w:rFonts w:eastAsia="MS PGothic" w:cs="Times New Roman"/>
          <w:i/>
          <w:szCs w:val="24"/>
          <w:lang w:eastAsia="ja-JP"/>
        </w:rPr>
        <w:lastRenderedPageBreak/>
        <w:t>Table</w:t>
      </w:r>
      <w:r w:rsidRPr="00002D92">
        <w:rPr>
          <w:rFonts w:eastAsia="MS PGothic" w:cs="Times New Roman"/>
          <w:i/>
          <w:szCs w:val="24"/>
          <w:lang w:val="sr-Cyrl-RS" w:eastAsia="ja-JP"/>
        </w:rPr>
        <w:t xml:space="preserve"> 1</w:t>
      </w:r>
      <w:r w:rsidRPr="00002D92">
        <w:rPr>
          <w:rFonts w:eastAsia="MS PGothic" w:cs="Times New Roman"/>
          <w:i/>
          <w:szCs w:val="24"/>
          <w:lang w:val="sr-Latn-RS" w:eastAsia="ja-JP"/>
        </w:rPr>
        <w:t>5</w:t>
      </w:r>
      <w:r w:rsidR="003B22A7" w:rsidRPr="00002D92">
        <w:rPr>
          <w:rFonts w:eastAsia="MS PGothic" w:cs="Times New Roman"/>
          <w:i/>
          <w:szCs w:val="24"/>
          <w:lang w:val="sr-Latn-RS" w:eastAsia="ja-JP"/>
        </w:rPr>
        <w:t>:</w:t>
      </w:r>
      <w:r w:rsidRPr="00002D92">
        <w:rPr>
          <w:rFonts w:eastAsia="MS PGothic" w:cs="Times New Roman"/>
          <w:i/>
          <w:szCs w:val="24"/>
          <w:lang w:val="sr-Cyrl-RS" w:eastAsia="ja-JP"/>
        </w:rPr>
        <w:t xml:space="preserve"> Changes in fiscal variables expressed as % of GDP for 2025, for the period 2025–2030, depending on the type of natural disasters</w:t>
      </w:r>
    </w:p>
    <w:tbl>
      <w:tblPr>
        <w:tblW w:w="8852" w:type="dxa"/>
        <w:tblLook w:val="04A0" w:firstRow="1" w:lastRow="0" w:firstColumn="1" w:lastColumn="0" w:noHBand="0" w:noVBand="1"/>
      </w:tblPr>
      <w:tblGrid>
        <w:gridCol w:w="945"/>
        <w:gridCol w:w="1146"/>
        <w:gridCol w:w="1265"/>
        <w:gridCol w:w="916"/>
        <w:gridCol w:w="916"/>
        <w:gridCol w:w="916"/>
        <w:gridCol w:w="916"/>
        <w:gridCol w:w="916"/>
        <w:gridCol w:w="916"/>
      </w:tblGrid>
      <w:tr w:rsidR="00863F79" w:rsidRPr="00002D92" w:rsidTr="00863F79">
        <w:trPr>
          <w:trHeight w:val="500"/>
          <w:tblHeader/>
        </w:trPr>
        <w:tc>
          <w:tcPr>
            <w:tcW w:w="2091" w:type="dxa"/>
            <w:gridSpan w:val="2"/>
            <w:vMerge w:val="restart"/>
            <w:tcBorders>
              <w:top w:val="nil"/>
              <w:left w:val="nil"/>
              <w:bottom w:val="nil"/>
              <w:right w:val="nil"/>
            </w:tcBorders>
            <w:shd w:val="clear" w:color="auto" w:fill="auto"/>
            <w:noWrap/>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Scenario</w:t>
            </w:r>
          </w:p>
        </w:tc>
        <w:tc>
          <w:tcPr>
            <w:tcW w:w="1265" w:type="dxa"/>
            <w:vMerge w:val="restart"/>
            <w:tcBorders>
              <w:top w:val="nil"/>
              <w:left w:val="nil"/>
              <w:bottom w:val="single" w:sz="4" w:space="0" w:color="000000"/>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Event Probability</w:t>
            </w:r>
          </w:p>
        </w:tc>
        <w:tc>
          <w:tcPr>
            <w:tcW w:w="916" w:type="dxa"/>
            <w:vMerge w:val="restart"/>
            <w:tcBorders>
              <w:top w:val="nil"/>
              <w:left w:val="nil"/>
              <w:bottom w:val="single" w:sz="4" w:space="0" w:color="000000"/>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2025</w:t>
            </w:r>
          </w:p>
        </w:tc>
        <w:tc>
          <w:tcPr>
            <w:tcW w:w="916" w:type="dxa"/>
            <w:vMerge w:val="restart"/>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2026</w:t>
            </w:r>
          </w:p>
        </w:tc>
        <w:tc>
          <w:tcPr>
            <w:tcW w:w="916" w:type="dxa"/>
            <w:vMerge w:val="restart"/>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2027</w:t>
            </w:r>
          </w:p>
        </w:tc>
        <w:tc>
          <w:tcPr>
            <w:tcW w:w="916" w:type="dxa"/>
            <w:vMerge w:val="restart"/>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2028</w:t>
            </w:r>
          </w:p>
        </w:tc>
        <w:tc>
          <w:tcPr>
            <w:tcW w:w="916" w:type="dxa"/>
            <w:vMerge w:val="restart"/>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2029</w:t>
            </w:r>
          </w:p>
        </w:tc>
        <w:tc>
          <w:tcPr>
            <w:tcW w:w="916" w:type="dxa"/>
            <w:vMerge w:val="restart"/>
            <w:tcBorders>
              <w:top w:val="nil"/>
              <w:left w:val="nil"/>
              <w:bottom w:val="single" w:sz="4" w:space="0" w:color="000000"/>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2030</w:t>
            </w:r>
          </w:p>
        </w:tc>
      </w:tr>
      <w:tr w:rsidR="00863F79" w:rsidRPr="00002D92" w:rsidTr="00863F79">
        <w:trPr>
          <w:trHeight w:val="500"/>
        </w:trPr>
        <w:tc>
          <w:tcPr>
            <w:tcW w:w="2091" w:type="dxa"/>
            <w:gridSpan w:val="2"/>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vMerge/>
            <w:tcBorders>
              <w:top w:val="nil"/>
              <w:left w:val="nil"/>
              <w:bottom w:val="single" w:sz="4" w:space="0" w:color="000000"/>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single" w:sz="4" w:space="0" w:color="000000"/>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single" w:sz="4" w:space="0" w:color="000000"/>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r>
      <w:tr w:rsidR="00863F79" w:rsidRPr="00002D92" w:rsidTr="00863F79">
        <w:trPr>
          <w:trHeight w:val="500"/>
        </w:trPr>
        <w:tc>
          <w:tcPr>
            <w:tcW w:w="2091" w:type="dxa"/>
            <w:gridSpan w:val="2"/>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vMerge/>
            <w:tcBorders>
              <w:top w:val="nil"/>
              <w:left w:val="nil"/>
              <w:bottom w:val="single" w:sz="4" w:space="0" w:color="000000"/>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single" w:sz="4" w:space="0" w:color="000000"/>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nil"/>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916" w:type="dxa"/>
            <w:vMerge/>
            <w:tcBorders>
              <w:top w:val="nil"/>
              <w:left w:val="nil"/>
              <w:bottom w:val="single" w:sz="4" w:space="0" w:color="000000"/>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r>
      <w:tr w:rsidR="00863F79" w:rsidRPr="00002D92" w:rsidTr="00863F79">
        <w:trPr>
          <w:trHeight w:val="215"/>
        </w:trPr>
        <w:tc>
          <w:tcPr>
            <w:tcW w:w="945" w:type="dxa"/>
            <w:vMerge w:val="restart"/>
            <w:tcBorders>
              <w:top w:val="single" w:sz="4" w:space="0" w:color="auto"/>
              <w:left w:val="nil"/>
              <w:bottom w:val="single" w:sz="4" w:space="0" w:color="000000"/>
              <w:right w:val="single" w:sz="4" w:space="0" w:color="auto"/>
            </w:tcBorders>
            <w:shd w:val="clear" w:color="auto" w:fill="auto"/>
            <w:noWrap/>
            <w:textDirection w:val="btLr"/>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EARTHQUAKES</w:t>
            </w:r>
          </w:p>
        </w:tc>
        <w:tc>
          <w:tcPr>
            <w:tcW w:w="1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Fiscal balance</w:t>
            </w:r>
          </w:p>
        </w:tc>
        <w:tc>
          <w:tcPr>
            <w:tcW w:w="1265" w:type="dxa"/>
            <w:tcBorders>
              <w:top w:val="single" w:sz="4" w:space="0" w:color="auto"/>
              <w:left w:val="nil"/>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8"/>
                <w:szCs w:val="18"/>
              </w:rPr>
            </w:pPr>
            <w:r w:rsidRPr="00002D92">
              <w:rPr>
                <w:rFonts w:eastAsia="Times New Roman" w:cs="Times New Roman"/>
                <w:color w:val="000000"/>
                <w:sz w:val="18"/>
                <w:szCs w:val="18"/>
              </w:rPr>
              <w:t>Annual</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nil"/>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50%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nil"/>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nil"/>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-0.3</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-0.4</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r>
      <w:tr w:rsidR="00863F79" w:rsidRPr="00002D92" w:rsidTr="00863F79">
        <w:trPr>
          <w:trHeight w:val="61"/>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nil"/>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-0.5</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-0.3</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r>
      <w:tr w:rsidR="00863F79" w:rsidRPr="00002D92" w:rsidTr="00863F79">
        <w:trPr>
          <w:trHeight w:val="61"/>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nil"/>
              <w:bottom w:val="single" w:sz="4" w:space="0" w:color="auto"/>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0.40%</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-2.1</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-2.4</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-1.5</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-1.1</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val="restart"/>
            <w:tcBorders>
              <w:top w:val="nil"/>
              <w:left w:val="single" w:sz="4" w:space="0" w:color="auto"/>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Public debt</w:t>
            </w: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8"/>
                <w:szCs w:val="18"/>
              </w:rPr>
            </w:pPr>
            <w:r w:rsidRPr="00002D92">
              <w:rPr>
                <w:rFonts w:eastAsia="Times New Roman" w:cs="Times New Roman"/>
                <w:color w:val="000000"/>
                <w:sz w:val="18"/>
                <w:szCs w:val="18"/>
              </w:rPr>
              <w:t>Annual</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50%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-0.3</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-1.3</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-1.4</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-1.4</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-1.9</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-2.5</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-2.7</w:t>
            </w:r>
          </w:p>
        </w:tc>
      </w:tr>
      <w:tr w:rsidR="00863F79" w:rsidRPr="00002D92" w:rsidTr="00863F79">
        <w:trPr>
          <w:trHeight w:val="215"/>
        </w:trPr>
        <w:tc>
          <w:tcPr>
            <w:tcW w:w="945" w:type="dxa"/>
            <w:vMerge/>
            <w:tcBorders>
              <w:top w:val="single" w:sz="4" w:space="0" w:color="auto"/>
              <w:left w:val="nil"/>
              <w:bottom w:val="single" w:sz="4" w:space="0" w:color="000000"/>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0.40%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-4.6</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-6.1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-7.2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-7.9</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-8.6</w:t>
            </w:r>
          </w:p>
        </w:tc>
      </w:tr>
      <w:tr w:rsidR="00863F79" w:rsidRPr="00002D92" w:rsidTr="00863F79">
        <w:trPr>
          <w:trHeight w:val="215"/>
        </w:trPr>
        <w:tc>
          <w:tcPr>
            <w:tcW w:w="945" w:type="dxa"/>
            <w:vMerge w:val="restart"/>
            <w:tcBorders>
              <w:top w:val="single" w:sz="4" w:space="0" w:color="auto"/>
              <w:left w:val="nil"/>
              <w:bottom w:val="nil"/>
              <w:right w:val="single" w:sz="4" w:space="0" w:color="auto"/>
            </w:tcBorders>
            <w:shd w:val="clear" w:color="auto" w:fill="auto"/>
            <w:noWrap/>
            <w:textDirection w:val="btLr"/>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FLOODS</w:t>
            </w:r>
          </w:p>
        </w:tc>
        <w:tc>
          <w:tcPr>
            <w:tcW w:w="1145" w:type="dxa"/>
            <w:vMerge w:val="restart"/>
            <w:tcBorders>
              <w:top w:val="nil"/>
              <w:left w:val="single" w:sz="4" w:space="0" w:color="auto"/>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Fiscal balance</w:t>
            </w:r>
          </w:p>
        </w:tc>
        <w:tc>
          <w:tcPr>
            <w:tcW w:w="1265" w:type="dxa"/>
            <w:tcBorders>
              <w:top w:val="single" w:sz="4" w:space="0" w:color="auto"/>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8"/>
                <w:szCs w:val="18"/>
              </w:rPr>
            </w:pPr>
            <w:r w:rsidRPr="00002D92">
              <w:rPr>
                <w:rFonts w:eastAsia="Times New Roman" w:cs="Times New Roman"/>
                <w:color w:val="000000"/>
                <w:sz w:val="18"/>
                <w:szCs w:val="18"/>
              </w:rPr>
              <w:t>Annual</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50%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-0.6</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-0.4</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-0.3</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-0.5</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-0.3</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-0.3</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nil"/>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0.40%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-1.6</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-1.8</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-0.8</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-0.5</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-0.5</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val="restart"/>
            <w:tcBorders>
              <w:top w:val="single" w:sz="4" w:space="0" w:color="auto"/>
              <w:left w:val="single" w:sz="4" w:space="0" w:color="auto"/>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20"/>
                <w:szCs w:val="20"/>
              </w:rPr>
            </w:pPr>
            <w:r w:rsidRPr="00002D92">
              <w:rPr>
                <w:rFonts w:eastAsia="Times New Roman" w:cs="Times New Roman"/>
                <w:color w:val="000000"/>
                <w:sz w:val="20"/>
                <w:szCs w:val="20"/>
              </w:rPr>
              <w:t>Public debt</w:t>
            </w:r>
          </w:p>
        </w:tc>
        <w:tc>
          <w:tcPr>
            <w:tcW w:w="1265" w:type="dxa"/>
            <w:tcBorders>
              <w:top w:val="single" w:sz="4" w:space="0" w:color="auto"/>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8"/>
                <w:szCs w:val="18"/>
              </w:rPr>
            </w:pPr>
            <w:r w:rsidRPr="00002D92">
              <w:rPr>
                <w:rFonts w:eastAsia="Times New Roman" w:cs="Times New Roman"/>
                <w:color w:val="000000"/>
                <w:sz w:val="18"/>
                <w:szCs w:val="18"/>
              </w:rPr>
              <w:t>Annual</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-0.3</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-0.5</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-0.5</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-0.6</w:t>
            </w:r>
          </w:p>
        </w:tc>
        <w:tc>
          <w:tcPr>
            <w:tcW w:w="916" w:type="dxa"/>
            <w:tcBorders>
              <w:top w:val="single" w:sz="4" w:space="0" w:color="auto"/>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-0.6</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single" w:sz="4" w:space="0" w:color="auto"/>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16"/>
                <w:szCs w:val="16"/>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50%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single" w:sz="4" w:space="0" w:color="auto"/>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16"/>
                <w:szCs w:val="16"/>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-0.4</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-0.5</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-0.6</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-0.7</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20"/>
                <w:szCs w:val="20"/>
              </w:rPr>
            </w:pPr>
          </w:p>
        </w:tc>
        <w:tc>
          <w:tcPr>
            <w:tcW w:w="1145" w:type="dxa"/>
            <w:vMerge/>
            <w:tcBorders>
              <w:top w:val="single" w:sz="4" w:space="0" w:color="auto"/>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16"/>
                <w:szCs w:val="16"/>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-0.6</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-1.3</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-1.8</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-2.1</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-2.3</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-2.5</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16"/>
                <w:szCs w:val="16"/>
              </w:rPr>
            </w:pPr>
          </w:p>
        </w:tc>
        <w:tc>
          <w:tcPr>
            <w:tcW w:w="1145" w:type="dxa"/>
            <w:vMerge/>
            <w:tcBorders>
              <w:top w:val="single" w:sz="4" w:space="0" w:color="auto"/>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16"/>
                <w:szCs w:val="16"/>
              </w:rPr>
            </w:pPr>
          </w:p>
        </w:tc>
        <w:tc>
          <w:tcPr>
            <w:tcW w:w="1265" w:type="dxa"/>
            <w:tcBorders>
              <w:top w:val="nil"/>
              <w:left w:val="single" w:sz="4" w:space="0" w:color="auto"/>
              <w:bottom w:val="nil"/>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-1.0</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-2.2</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-2.9</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-3.4</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-3.8</w:t>
            </w:r>
          </w:p>
        </w:tc>
        <w:tc>
          <w:tcPr>
            <w:tcW w:w="916" w:type="dxa"/>
            <w:tcBorders>
              <w:top w:val="nil"/>
              <w:left w:val="nil"/>
              <w:bottom w:val="nil"/>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-4.1</w:t>
            </w:r>
          </w:p>
        </w:tc>
      </w:tr>
      <w:tr w:rsidR="00863F79" w:rsidRPr="00002D92" w:rsidTr="00863F79">
        <w:trPr>
          <w:trHeight w:val="215"/>
        </w:trPr>
        <w:tc>
          <w:tcPr>
            <w:tcW w:w="945" w:type="dxa"/>
            <w:vMerge/>
            <w:tcBorders>
              <w:top w:val="single" w:sz="4" w:space="0" w:color="auto"/>
              <w:left w:val="nil"/>
              <w:bottom w:val="nil"/>
              <w:right w:val="single" w:sz="4" w:space="0" w:color="auto"/>
            </w:tcBorders>
            <w:vAlign w:val="center"/>
            <w:hideMark/>
          </w:tcPr>
          <w:p w:rsidR="00863F79" w:rsidRPr="00002D92" w:rsidRDefault="00863F79" w:rsidP="0098177C">
            <w:pPr>
              <w:spacing w:after="0"/>
              <w:jc w:val="left"/>
              <w:rPr>
                <w:rFonts w:eastAsia="Times New Roman" w:cs="Times New Roman"/>
                <w:color w:val="000000"/>
                <w:sz w:val="16"/>
                <w:szCs w:val="16"/>
              </w:rPr>
            </w:pPr>
          </w:p>
        </w:tc>
        <w:tc>
          <w:tcPr>
            <w:tcW w:w="1145" w:type="dxa"/>
            <w:vMerge/>
            <w:tcBorders>
              <w:top w:val="single" w:sz="4" w:space="0" w:color="auto"/>
              <w:left w:val="single" w:sz="4" w:space="0" w:color="auto"/>
              <w:bottom w:val="single" w:sz="4" w:space="0" w:color="auto"/>
              <w:right w:val="nil"/>
            </w:tcBorders>
            <w:vAlign w:val="center"/>
            <w:hideMark/>
          </w:tcPr>
          <w:p w:rsidR="00863F79" w:rsidRPr="00002D92" w:rsidRDefault="00863F79" w:rsidP="0098177C">
            <w:pPr>
              <w:spacing w:after="0"/>
              <w:jc w:val="left"/>
              <w:rPr>
                <w:rFonts w:eastAsia="Times New Roman" w:cs="Times New Roman"/>
                <w:color w:val="000000"/>
                <w:sz w:val="16"/>
                <w:szCs w:val="16"/>
              </w:rPr>
            </w:pPr>
          </w:p>
        </w:tc>
        <w:tc>
          <w:tcPr>
            <w:tcW w:w="1265" w:type="dxa"/>
            <w:tcBorders>
              <w:top w:val="nil"/>
              <w:left w:val="single" w:sz="4" w:space="0" w:color="auto"/>
              <w:bottom w:val="single" w:sz="4" w:space="0" w:color="auto"/>
              <w:right w:val="single" w:sz="4" w:space="0" w:color="auto"/>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0.40%</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-1.6</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-3.4</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-4.6</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-5.4</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-6.0</w:t>
            </w:r>
          </w:p>
        </w:tc>
        <w:tc>
          <w:tcPr>
            <w:tcW w:w="916" w:type="dxa"/>
            <w:tcBorders>
              <w:top w:val="nil"/>
              <w:left w:val="nil"/>
              <w:bottom w:val="single" w:sz="4" w:space="0" w:color="auto"/>
              <w:right w:val="nil"/>
            </w:tcBorders>
            <w:shd w:val="clear" w:color="auto" w:fill="auto"/>
            <w:vAlign w:val="center"/>
            <w:hideMark/>
          </w:tcPr>
          <w:p w:rsidR="00863F79" w:rsidRPr="00002D92" w:rsidRDefault="00863F79" w:rsidP="0098177C">
            <w:pPr>
              <w:spacing w:after="0"/>
              <w:jc w:val="center"/>
              <w:rPr>
                <w:rFonts w:eastAsia="Times New Roman" w:cs="Times New Roman"/>
                <w:color w:val="000000"/>
                <w:sz w:val="16"/>
                <w:szCs w:val="16"/>
              </w:rPr>
            </w:pPr>
            <w:r w:rsidRPr="00002D92">
              <w:rPr>
                <w:rFonts w:eastAsia="Times New Roman" w:cs="Times New Roman"/>
                <w:color w:val="000000"/>
                <w:sz w:val="16"/>
                <w:szCs w:val="16"/>
              </w:rPr>
              <w:t>-6.5</w:t>
            </w:r>
          </w:p>
        </w:tc>
      </w:tr>
    </w:tbl>
    <w:p w:rsidR="00863F79" w:rsidRPr="00002D92" w:rsidRDefault="00863F79" w:rsidP="00863F79">
      <w:pPr>
        <w:spacing w:after="180"/>
        <w:rPr>
          <w:rFonts w:cs="Times New Roman"/>
          <w:sz w:val="22"/>
          <w:lang w:val="sr-Cyrl-RS" w:eastAsia="ja-JP"/>
        </w:rPr>
      </w:pPr>
      <w:r w:rsidRPr="00002D92">
        <w:rPr>
          <w:rFonts w:cs="Times New Roman"/>
          <w:sz w:val="22"/>
          <w:lang w:val="sr-Cyrl-RS" w:eastAsia="ja-JP"/>
        </w:rPr>
        <w:t>Source: Fiscal Risk Assessment Model for Natural Disasters for the Republic of Serbia</w:t>
      </w:r>
    </w:p>
    <w:p w:rsidR="00863F79" w:rsidRPr="00002D92" w:rsidRDefault="00863F79" w:rsidP="00863F79">
      <w:pPr>
        <w:spacing w:after="180"/>
        <w:rPr>
          <w:rFonts w:cs="Times New Roman"/>
          <w:szCs w:val="24"/>
          <w:lang w:val="sr-Cyrl-RS" w:eastAsia="ja-JP"/>
        </w:rPr>
      </w:pPr>
      <w:r w:rsidRPr="00002D92">
        <w:rPr>
          <w:rFonts w:cs="Times New Roman"/>
          <w:szCs w:val="24"/>
          <w:lang w:val="sr-Cyrl-RS" w:eastAsia="ja-JP"/>
        </w:rPr>
        <w:t>Payments of profits by state-owned enterprises and dividends from capital companies in which the state holds ownership represent a significant portion of non-tax revenues. Business entities founded by the Republic of Serbia, or in which the Republic of Serbia holds an ownership stake, are required to transfer to the budget of the Republic of Serbia by no later than November 30 of the current fiscal year at least 50% of the proportional share of the profit for the previous year, as determined in the annual financial statements, which, in accordance with the law governing business entities, belongs to the Republic of Serbia as a shareholder. In 2024, a total of 1.6 billion dinars was paid into the budget under this provision by the 36 state-owned enterprises.</w:t>
      </w:r>
    </w:p>
    <w:p w:rsidR="00863F79" w:rsidRPr="00002D92" w:rsidRDefault="00863F79" w:rsidP="00863F79">
      <w:pPr>
        <w:spacing w:after="180"/>
        <w:rPr>
          <w:rFonts w:cs="Times New Roman"/>
          <w:szCs w:val="24"/>
          <w:lang w:eastAsia="ja-JP"/>
        </w:rPr>
      </w:pPr>
      <w:r w:rsidRPr="00002D92">
        <w:rPr>
          <w:rFonts w:cs="Times New Roman"/>
          <w:szCs w:val="24"/>
          <w:lang w:eastAsia="ja-JP"/>
        </w:rPr>
        <w:t>Local self-government units are responsible for matters that can be effectively managed within their own territories, and certain issues within the competence of the Republic of Serbia may also be delegated to them if deemed appropriate. Considering the complexity of the functions performed by local self-government units, as well as their financing system, it is necessary to identify fiscal risks whose realization could have negative effects both on the budgets of the local self-government units themselves and on the budget of the Republic of Serbia.</w:t>
      </w:r>
    </w:p>
    <w:p w:rsidR="00863F79" w:rsidRPr="00002D92" w:rsidRDefault="00863F79" w:rsidP="00863F79">
      <w:pPr>
        <w:spacing w:after="180"/>
        <w:rPr>
          <w:rFonts w:cs="Times New Roman"/>
          <w:szCs w:val="24"/>
          <w:lang w:val="sr-Cyrl-RS" w:eastAsia="ja-JP"/>
        </w:rPr>
      </w:pPr>
      <w:r w:rsidRPr="00002D92">
        <w:rPr>
          <w:rFonts w:cs="Times New Roman"/>
          <w:szCs w:val="24"/>
          <w:lang w:val="sr-Cyrl-RS" w:eastAsia="ja-JP"/>
        </w:rPr>
        <w:t xml:space="preserve">Given that the Ministry of Finance, within its competencies, prepares the Guidelines for the preparation of local government budget decisions, which are provided to local authorities for the current and upcoming budget year, reviews the compliance of local government budget decisions with these guidelines, and grants prior approvals to local authorities for borrowing, a </w:t>
      </w:r>
      <w:r w:rsidRPr="00002D92">
        <w:rPr>
          <w:rFonts w:cs="Times New Roman"/>
          <w:szCs w:val="24"/>
          <w:lang w:val="sr-Cyrl-RS" w:eastAsia="ja-JP"/>
        </w:rPr>
        <w:lastRenderedPageBreak/>
        <w:t>decision was made to start monitoring fiscal risks for local self-government units from November 2024. Accordingly, in cooperation with the World Bank, a review of the model for the analysis, assessment, and monitoring of fiscal risks for local self-government units was carried out, in line with the Methodology for Monitoring Fiscal Risks of the Budget of the Republic of Serbia.</w:t>
      </w:r>
      <w:r w:rsidRPr="00002D92">
        <w:rPr>
          <w:rStyle w:val="FootnoteReference"/>
          <w:rFonts w:cs="Times New Roman"/>
          <w:szCs w:val="24"/>
          <w:lang w:val="sr-Cyrl-RS" w:eastAsia="ja-JP"/>
        </w:rPr>
        <w:footnoteReference w:id="10"/>
      </w:r>
      <w:r w:rsidRPr="00002D92">
        <w:rPr>
          <w:rFonts w:cs="Times New Roman"/>
          <w:szCs w:val="24"/>
          <w:lang w:val="sr-Cyrl-RS" w:eastAsia="ja-JP"/>
        </w:rPr>
        <w:t xml:space="preserve"> </w:t>
      </w:r>
    </w:p>
    <w:p w:rsidR="00863F79" w:rsidRPr="00002D92" w:rsidRDefault="00863F79" w:rsidP="00863F79">
      <w:pPr>
        <w:rPr>
          <w:rFonts w:eastAsia="MS PGothic" w:cs="Times New Roman"/>
          <w:b/>
          <w:szCs w:val="24"/>
          <w:lang w:val="sr-Cyrl-RS" w:eastAsia="ja-JP"/>
        </w:rPr>
      </w:pPr>
      <w:r w:rsidRPr="00002D92">
        <w:rPr>
          <w:rFonts w:eastAsia="MS PGothic" w:cs="Times New Roman"/>
          <w:b/>
          <w:szCs w:val="24"/>
          <w:lang w:val="sr-Cyrl-RS" w:eastAsia="ja-JP"/>
        </w:rPr>
        <w:t>Alternative fiscal scenario for the period 2025–2028.</w:t>
      </w:r>
    </w:p>
    <w:p w:rsidR="00863F79" w:rsidRPr="00002D92" w:rsidRDefault="00863F79" w:rsidP="00863F79">
      <w:pPr>
        <w:keepNext/>
        <w:rPr>
          <w:rFonts w:cs="Times New Roman"/>
          <w:szCs w:val="24"/>
          <w:lang w:val="sr-Cyrl-RS" w:eastAsia="ja-JP"/>
        </w:rPr>
      </w:pPr>
      <w:r w:rsidRPr="00002D92">
        <w:rPr>
          <w:rFonts w:cs="Times New Roman"/>
          <w:szCs w:val="24"/>
          <w:lang w:val="sr-Cyrl-RS" w:eastAsia="ja-JP"/>
        </w:rPr>
        <w:t>The following chart shows the trends in the share of the deficit and public debt in GDP based on the alternative macroeconomic scenario, which assumes growth rates of 2%, 3%, and 2% over the next three-year period.</w:t>
      </w:r>
    </w:p>
    <w:p w:rsidR="00863F79" w:rsidRPr="00002D92" w:rsidRDefault="003B22A7" w:rsidP="00863F79">
      <w:pPr>
        <w:jc w:val="left"/>
        <w:rPr>
          <w:rFonts w:cs="Times New Roman"/>
          <w:noProof/>
        </w:rPr>
      </w:pPr>
      <w:r w:rsidRPr="00002D92">
        <w:rPr>
          <w:rFonts w:cs="Times New Roman"/>
          <w:i/>
          <w:szCs w:val="24"/>
          <w:lang w:val="sr-Cyrl-RS" w:eastAsia="ja-JP"/>
        </w:rPr>
        <w:t>Chart 16</w:t>
      </w:r>
      <w:r w:rsidRPr="00002D92">
        <w:rPr>
          <w:rFonts w:cs="Times New Roman"/>
          <w:i/>
          <w:szCs w:val="24"/>
          <w:lang w:val="sr-Latn-RS" w:eastAsia="ja-JP"/>
        </w:rPr>
        <w:t>:</w:t>
      </w:r>
      <w:r w:rsidR="00863F79" w:rsidRPr="00002D92">
        <w:rPr>
          <w:rFonts w:cs="Times New Roman"/>
          <w:i/>
          <w:szCs w:val="24"/>
          <w:lang w:val="sr-Cyrl-RS" w:eastAsia="ja-JP"/>
        </w:rPr>
        <w:t xml:space="preserve"> Baseline and alternative fiscal scenarios for the period 2025–2028.</w:t>
      </w:r>
    </w:p>
    <w:p w:rsidR="00863F79" w:rsidRPr="00002D92" w:rsidRDefault="00863F79" w:rsidP="00863F79">
      <w:pPr>
        <w:jc w:val="left"/>
        <w:rPr>
          <w:rFonts w:cs="Times New Roman"/>
          <w:szCs w:val="24"/>
          <w:lang w:val="sr-Cyrl-RS" w:eastAsia="ja-JP"/>
        </w:rPr>
      </w:pPr>
      <w:r w:rsidRPr="00002D92">
        <w:rPr>
          <w:rFonts w:cs="Times New Roman"/>
          <w:noProof/>
        </w:rPr>
        <w:drawing>
          <wp:inline distT="0" distB="0" distL="0" distR="0" wp14:anchorId="0D177AF7" wp14:editId="58D51DF6">
            <wp:extent cx="5731510" cy="3046131"/>
            <wp:effectExtent l="0" t="0" r="2540"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63F79" w:rsidRPr="00002D92" w:rsidRDefault="00863F79" w:rsidP="00002D92">
      <w:pPr>
        <w:rPr>
          <w:rFonts w:cs="Times New Roman"/>
          <w:bCs/>
          <w:szCs w:val="24"/>
          <w:lang w:val="sr-Cyrl-RS"/>
        </w:rPr>
      </w:pPr>
      <w:r w:rsidRPr="00002D92">
        <w:rPr>
          <w:rFonts w:cs="Times New Roman"/>
          <w:bCs/>
          <w:szCs w:val="24"/>
          <w:lang w:val="sr-Cyrl-RS"/>
        </w:rPr>
        <w:t>Slower growth would affect, through its components, the achievement of fiscal aggregates, primarily on the revenue side, especially revenues from labor and consumption taxes. Such a GDP dynamic would lead to higher levels of deficit and public debt compared to the baseline scenario, with deficit and debt levels at the end of the period exceeding those of 2024. The assumption in this scenario is that the policy regarding wages and pensions would remain the same as in the baseline scenario; however, given the medium-term targeted outcome, adjustments would be required either on the revenue or expenditure side to bring the fiscal result back to the level prescribed by the fiscal rules.</w:t>
      </w:r>
    </w:p>
    <w:p w:rsidR="00863F79" w:rsidRPr="00002D92" w:rsidRDefault="00863F79" w:rsidP="00863F79">
      <w:pPr>
        <w:rPr>
          <w:rFonts w:cs="Times New Roman"/>
          <w:b/>
          <w:bCs/>
          <w:szCs w:val="24"/>
          <w:lang w:val="sr-Cyrl-RS"/>
        </w:rPr>
      </w:pPr>
      <w:bookmarkStart w:id="40" w:name="_Toc91769802"/>
      <w:bookmarkStart w:id="41" w:name="_Toc185342339"/>
      <w:r w:rsidRPr="00002D92">
        <w:rPr>
          <w:rFonts w:cs="Times New Roman"/>
          <w:b/>
          <w:bCs/>
          <w:szCs w:val="24"/>
          <w:lang w:val="sr-Cyrl-RS"/>
        </w:rPr>
        <w:t>Comparison with the previous program</w:t>
      </w:r>
    </w:p>
    <w:p w:rsidR="00863F79" w:rsidRPr="00002D92" w:rsidRDefault="00863F79" w:rsidP="00863F79">
      <w:pPr>
        <w:rPr>
          <w:rFonts w:cs="Times New Roman"/>
          <w:szCs w:val="24"/>
          <w:lang w:val="sr-Cyrl-RS"/>
        </w:rPr>
      </w:pPr>
      <w:r w:rsidRPr="00002D92">
        <w:rPr>
          <w:rFonts w:cs="Times New Roman"/>
          <w:bCs/>
          <w:szCs w:val="24"/>
          <w:lang w:val="sr-Cyrl-RS"/>
        </w:rPr>
        <w:t>The medium-term fiscal framework has not changed compared to the previous document regarding the targeted deficits for the upcoming period. The level of public sector debt is lower than in the previous program, as in 2025 financing relied more on deposit funds than on new borrowing.</w:t>
      </w:r>
    </w:p>
    <w:p w:rsidR="00796BB7" w:rsidRDefault="00796BB7">
      <w:pPr>
        <w:spacing w:after="160" w:line="259" w:lineRule="auto"/>
        <w:jc w:val="left"/>
        <w:rPr>
          <w:rFonts w:cs="Times New Roman"/>
          <w:i/>
          <w:szCs w:val="24"/>
          <w:lang w:val="sr-Cyrl-RS" w:eastAsia="ja-JP"/>
        </w:rPr>
      </w:pPr>
      <w:r>
        <w:rPr>
          <w:rFonts w:cs="Times New Roman"/>
          <w:i/>
          <w:szCs w:val="24"/>
          <w:lang w:val="sr-Cyrl-RS" w:eastAsia="ja-JP"/>
        </w:rPr>
        <w:br w:type="page"/>
      </w:r>
    </w:p>
    <w:p w:rsidR="00863F79" w:rsidRPr="00002D92" w:rsidRDefault="00321644" w:rsidP="00863F79">
      <w:pPr>
        <w:keepLines/>
        <w:rPr>
          <w:rFonts w:cs="Times New Roman"/>
          <w:i/>
          <w:szCs w:val="24"/>
          <w:lang w:val="sr-Cyrl-RS" w:eastAsia="ja-JP"/>
        </w:rPr>
      </w:pPr>
      <w:r w:rsidRPr="00002D92">
        <w:rPr>
          <w:rFonts w:cs="Times New Roman"/>
          <w:i/>
          <w:szCs w:val="24"/>
          <w:lang w:val="sr-Cyrl-RS" w:eastAsia="ja-JP"/>
        </w:rPr>
        <w:lastRenderedPageBreak/>
        <w:t>Table 16</w:t>
      </w:r>
      <w:r w:rsidRPr="00002D92">
        <w:rPr>
          <w:rFonts w:cs="Times New Roman"/>
          <w:i/>
          <w:szCs w:val="24"/>
          <w:lang w:val="sr-Latn-RS" w:eastAsia="ja-JP"/>
        </w:rPr>
        <w:t>:</w:t>
      </w:r>
      <w:r w:rsidR="00863F79" w:rsidRPr="00002D92">
        <w:rPr>
          <w:rFonts w:cs="Times New Roman"/>
          <w:i/>
          <w:szCs w:val="24"/>
          <w:lang w:val="sr-Cyrl-RS" w:eastAsia="ja-JP"/>
        </w:rPr>
        <w:t xml:space="preserve"> Comparison of fiscal indicators between the two programs, in % of GDP.</w:t>
      </w:r>
    </w:p>
    <w:tbl>
      <w:tblPr>
        <w:tblW w:w="8675" w:type="dxa"/>
        <w:tblLook w:val="04A0" w:firstRow="1" w:lastRow="0" w:firstColumn="1" w:lastColumn="0" w:noHBand="0" w:noVBand="1"/>
      </w:tblPr>
      <w:tblGrid>
        <w:gridCol w:w="3485"/>
        <w:gridCol w:w="1038"/>
        <w:gridCol w:w="1038"/>
        <w:gridCol w:w="1038"/>
        <w:gridCol w:w="1038"/>
        <w:gridCol w:w="1038"/>
      </w:tblGrid>
      <w:tr w:rsidR="00863F79" w:rsidRPr="00002D92" w:rsidTr="00863F79">
        <w:trPr>
          <w:trHeight w:val="270"/>
        </w:trPr>
        <w:tc>
          <w:tcPr>
            <w:tcW w:w="3485"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lang w:val="sr-Cyrl-RS"/>
              </w:rPr>
            </w:pP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2024</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2025</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2026</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2027</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rPr>
              <w:t>202</w:t>
            </w:r>
            <w:r w:rsidRPr="00002D92">
              <w:rPr>
                <w:rFonts w:eastAsia="Times New Roman" w:cs="Times New Roman"/>
                <w:color w:val="000000"/>
                <w:szCs w:val="24"/>
                <w:lang w:val="sr-Cyrl-RS"/>
              </w:rPr>
              <w:t>8</w:t>
            </w:r>
          </w:p>
        </w:tc>
      </w:tr>
      <w:tr w:rsidR="00863F79" w:rsidRPr="00002D92" w:rsidTr="00863F79">
        <w:trPr>
          <w:trHeight w:val="270"/>
        </w:trPr>
        <w:tc>
          <w:tcPr>
            <w:tcW w:w="3485"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b/>
                <w:color w:val="000000"/>
                <w:szCs w:val="24"/>
              </w:rPr>
            </w:pPr>
            <w:r w:rsidRPr="00002D92">
              <w:rPr>
                <w:rFonts w:eastAsia="Times New Roman" w:cs="Times New Roman"/>
                <w:b/>
                <w:color w:val="000000"/>
                <w:szCs w:val="24"/>
              </w:rPr>
              <w:t xml:space="preserve">Fiscal balance </w:t>
            </w:r>
          </w:p>
        </w:tc>
        <w:tc>
          <w:tcPr>
            <w:tcW w:w="1038"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color w:val="000000"/>
                <w:szCs w:val="24"/>
              </w:rPr>
            </w:pPr>
          </w:p>
        </w:tc>
        <w:tc>
          <w:tcPr>
            <w:tcW w:w="1038"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rPr>
            </w:pPr>
          </w:p>
        </w:tc>
        <w:tc>
          <w:tcPr>
            <w:tcW w:w="1038"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rPr>
            </w:pPr>
          </w:p>
        </w:tc>
        <w:tc>
          <w:tcPr>
            <w:tcW w:w="1038"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rPr>
            </w:pPr>
          </w:p>
        </w:tc>
        <w:tc>
          <w:tcPr>
            <w:tcW w:w="1038"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rPr>
            </w:pPr>
          </w:p>
        </w:tc>
      </w:tr>
      <w:tr w:rsidR="00863F79" w:rsidRPr="00002D92" w:rsidTr="00863F79">
        <w:trPr>
          <w:trHeight w:val="270"/>
        </w:trPr>
        <w:tc>
          <w:tcPr>
            <w:tcW w:w="3485"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color w:val="000000"/>
                <w:szCs w:val="24"/>
              </w:rPr>
            </w:pPr>
            <w:r w:rsidRPr="00002D92">
              <w:rPr>
                <w:rFonts w:eastAsia="Times New Roman" w:cs="Times New Roman"/>
                <w:color w:val="000000"/>
                <w:szCs w:val="24"/>
              </w:rPr>
              <w:t>Previous program</w:t>
            </w:r>
            <w:r w:rsidRPr="00002D92">
              <w:rPr>
                <w:rFonts w:eastAsia="Times New Roman" w:cs="Times New Roman"/>
                <w:color w:val="000000"/>
                <w:szCs w:val="24"/>
                <w:vertAlign w:val="superscript"/>
              </w:rPr>
              <w:footnoteReference w:id="11"/>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-2.7</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-3.0</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-3.0</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-3.0</w:t>
            </w:r>
          </w:p>
        </w:tc>
        <w:tc>
          <w:tcPr>
            <w:tcW w:w="1038"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w:t>
            </w:r>
          </w:p>
        </w:tc>
      </w:tr>
      <w:tr w:rsidR="00863F79" w:rsidRPr="00002D92" w:rsidTr="00863F79">
        <w:trPr>
          <w:trHeight w:val="270"/>
        </w:trPr>
        <w:tc>
          <w:tcPr>
            <w:tcW w:w="3485" w:type="dxa"/>
            <w:tcBorders>
              <w:top w:val="nil"/>
              <w:left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color w:val="000000"/>
                <w:szCs w:val="24"/>
              </w:rPr>
            </w:pPr>
            <w:r w:rsidRPr="00002D92">
              <w:rPr>
                <w:rFonts w:eastAsia="Times New Roman" w:cs="Times New Roman"/>
                <w:color w:val="000000"/>
                <w:szCs w:val="24"/>
              </w:rPr>
              <w:t>Current program</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rPr>
              <w:t>-2.</w:t>
            </w:r>
            <w:r w:rsidRPr="00002D92">
              <w:rPr>
                <w:rFonts w:eastAsia="Times New Roman" w:cs="Times New Roman"/>
                <w:color w:val="000000"/>
                <w:szCs w:val="24"/>
                <w:lang w:val="sr-Cyrl-RS"/>
              </w:rPr>
              <w:t>0</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rPr>
              <w:t>-</w:t>
            </w:r>
            <w:r w:rsidRPr="00002D92">
              <w:rPr>
                <w:rFonts w:eastAsia="Times New Roman" w:cs="Times New Roman"/>
                <w:color w:val="000000"/>
                <w:szCs w:val="24"/>
                <w:lang w:val="sr-Cyrl-RS"/>
              </w:rPr>
              <w:t>3</w:t>
            </w:r>
            <w:r w:rsidRPr="00002D92">
              <w:rPr>
                <w:rFonts w:eastAsia="Times New Roman" w:cs="Times New Roman"/>
                <w:color w:val="000000"/>
                <w:szCs w:val="24"/>
              </w:rPr>
              <w:t>.</w:t>
            </w:r>
            <w:r w:rsidRPr="00002D92">
              <w:rPr>
                <w:rFonts w:eastAsia="Times New Roman" w:cs="Times New Roman"/>
                <w:color w:val="000000"/>
                <w:szCs w:val="24"/>
                <w:lang w:val="sr-Cyrl-RS"/>
              </w:rPr>
              <w:t>0</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-3.0</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-3.0</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rPr>
              <w:t>-</w:t>
            </w:r>
            <w:r w:rsidRPr="00002D92">
              <w:rPr>
                <w:rFonts w:eastAsia="Times New Roman" w:cs="Times New Roman"/>
                <w:color w:val="000000"/>
                <w:szCs w:val="24"/>
                <w:lang w:val="sr-Cyrl-RS"/>
              </w:rPr>
              <w:t>2</w:t>
            </w:r>
            <w:r w:rsidRPr="00002D92">
              <w:rPr>
                <w:rFonts w:eastAsia="Times New Roman" w:cs="Times New Roman"/>
                <w:color w:val="000000"/>
                <w:szCs w:val="24"/>
              </w:rPr>
              <w:t>.</w:t>
            </w:r>
            <w:r w:rsidRPr="00002D92">
              <w:rPr>
                <w:rFonts w:eastAsia="Times New Roman" w:cs="Times New Roman"/>
                <w:color w:val="000000"/>
                <w:szCs w:val="24"/>
                <w:lang w:val="sr-Cyrl-RS"/>
              </w:rPr>
              <w:t>5</w:t>
            </w:r>
          </w:p>
        </w:tc>
      </w:tr>
      <w:tr w:rsidR="00863F79" w:rsidRPr="00002D92" w:rsidTr="00863F79">
        <w:trPr>
          <w:trHeight w:val="270"/>
        </w:trPr>
        <w:tc>
          <w:tcPr>
            <w:tcW w:w="3485"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color w:val="000000"/>
                <w:szCs w:val="24"/>
              </w:rPr>
            </w:pPr>
            <w:r w:rsidRPr="00002D92">
              <w:rPr>
                <w:rFonts w:eastAsia="Times New Roman" w:cs="Times New Roman"/>
                <w:color w:val="000000"/>
                <w:szCs w:val="24"/>
              </w:rPr>
              <w:t>Difference</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0.7</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0</w:t>
            </w:r>
            <w:r w:rsidRPr="00002D92">
              <w:rPr>
                <w:rFonts w:eastAsia="Times New Roman" w:cs="Times New Roman"/>
                <w:color w:val="000000"/>
                <w:szCs w:val="24"/>
              </w:rPr>
              <w:t>.</w:t>
            </w:r>
            <w:r w:rsidRPr="00002D92">
              <w:rPr>
                <w:rFonts w:eastAsia="Times New Roman" w:cs="Times New Roman"/>
                <w:color w:val="000000"/>
                <w:szCs w:val="24"/>
                <w:lang w:val="sr-Cyrl-RS"/>
              </w:rPr>
              <w:t>0</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0</w:t>
            </w:r>
            <w:r w:rsidRPr="00002D92">
              <w:rPr>
                <w:rFonts w:eastAsia="Times New Roman" w:cs="Times New Roman"/>
                <w:color w:val="000000"/>
                <w:szCs w:val="24"/>
              </w:rPr>
              <w:t>.</w:t>
            </w:r>
            <w:r w:rsidRPr="00002D92">
              <w:rPr>
                <w:rFonts w:eastAsia="Times New Roman" w:cs="Times New Roman"/>
                <w:color w:val="000000"/>
                <w:szCs w:val="24"/>
                <w:lang w:val="sr-Cyrl-RS"/>
              </w:rPr>
              <w:t>0</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0</w:t>
            </w:r>
            <w:r w:rsidRPr="00002D92">
              <w:rPr>
                <w:rFonts w:eastAsia="Times New Roman" w:cs="Times New Roman"/>
                <w:color w:val="000000"/>
                <w:szCs w:val="24"/>
              </w:rPr>
              <w:t>.</w:t>
            </w:r>
            <w:r w:rsidRPr="00002D92">
              <w:rPr>
                <w:rFonts w:eastAsia="Times New Roman" w:cs="Times New Roman"/>
                <w:color w:val="000000"/>
                <w:szCs w:val="24"/>
                <w:lang w:val="sr-Cyrl-RS"/>
              </w:rPr>
              <w:t>0</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w:t>
            </w:r>
          </w:p>
        </w:tc>
      </w:tr>
      <w:tr w:rsidR="00863F79" w:rsidRPr="00002D92" w:rsidTr="00863F79">
        <w:trPr>
          <w:trHeight w:val="270"/>
        </w:trPr>
        <w:tc>
          <w:tcPr>
            <w:tcW w:w="3485" w:type="dxa"/>
            <w:tcBorders>
              <w:top w:val="single" w:sz="4" w:space="0" w:color="auto"/>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b/>
                <w:color w:val="000000"/>
                <w:szCs w:val="24"/>
              </w:rPr>
            </w:pPr>
            <w:r w:rsidRPr="00002D92">
              <w:rPr>
                <w:rFonts w:eastAsia="Times New Roman" w:cs="Times New Roman"/>
                <w:b/>
                <w:color w:val="000000"/>
                <w:szCs w:val="24"/>
              </w:rPr>
              <w:t>Public sector debt</w:t>
            </w:r>
          </w:p>
        </w:tc>
        <w:tc>
          <w:tcPr>
            <w:tcW w:w="1038" w:type="dxa"/>
            <w:tcBorders>
              <w:top w:val="single" w:sz="4" w:space="0" w:color="auto"/>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color w:val="000000"/>
                <w:szCs w:val="24"/>
              </w:rPr>
            </w:pPr>
          </w:p>
        </w:tc>
        <w:tc>
          <w:tcPr>
            <w:tcW w:w="1038" w:type="dxa"/>
            <w:tcBorders>
              <w:top w:val="single" w:sz="4" w:space="0" w:color="auto"/>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rPr>
            </w:pPr>
          </w:p>
        </w:tc>
        <w:tc>
          <w:tcPr>
            <w:tcW w:w="1038" w:type="dxa"/>
            <w:tcBorders>
              <w:top w:val="single" w:sz="4" w:space="0" w:color="auto"/>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rPr>
            </w:pPr>
          </w:p>
        </w:tc>
        <w:tc>
          <w:tcPr>
            <w:tcW w:w="1038" w:type="dxa"/>
            <w:tcBorders>
              <w:top w:val="single" w:sz="4" w:space="0" w:color="auto"/>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rPr>
            </w:pPr>
          </w:p>
        </w:tc>
        <w:tc>
          <w:tcPr>
            <w:tcW w:w="1038" w:type="dxa"/>
            <w:tcBorders>
              <w:top w:val="single" w:sz="4" w:space="0" w:color="auto"/>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szCs w:val="24"/>
              </w:rPr>
            </w:pPr>
          </w:p>
        </w:tc>
      </w:tr>
      <w:tr w:rsidR="00863F79" w:rsidRPr="00002D92" w:rsidTr="00863F79">
        <w:trPr>
          <w:trHeight w:val="270"/>
        </w:trPr>
        <w:tc>
          <w:tcPr>
            <w:tcW w:w="3485"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color w:val="000000"/>
                <w:szCs w:val="24"/>
              </w:rPr>
            </w:pPr>
            <w:r w:rsidRPr="00002D92">
              <w:rPr>
                <w:rFonts w:eastAsia="Times New Roman" w:cs="Times New Roman"/>
                <w:color w:val="000000"/>
                <w:szCs w:val="24"/>
              </w:rPr>
              <w:t>Previous program</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47.9</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47.5</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47.0</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rPr>
            </w:pPr>
            <w:r w:rsidRPr="00002D92">
              <w:rPr>
                <w:rFonts w:eastAsia="Times New Roman" w:cs="Times New Roman"/>
                <w:color w:val="000000"/>
                <w:szCs w:val="24"/>
              </w:rPr>
              <w:t>46,5</w:t>
            </w:r>
          </w:p>
        </w:tc>
        <w:tc>
          <w:tcPr>
            <w:tcW w:w="1038" w:type="dxa"/>
            <w:tcBorders>
              <w:top w:val="nil"/>
              <w:left w:val="nil"/>
              <w:bottom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w:t>
            </w:r>
          </w:p>
        </w:tc>
      </w:tr>
      <w:tr w:rsidR="00863F79" w:rsidRPr="00002D92" w:rsidTr="00863F79">
        <w:trPr>
          <w:trHeight w:val="270"/>
        </w:trPr>
        <w:tc>
          <w:tcPr>
            <w:tcW w:w="3485" w:type="dxa"/>
            <w:tcBorders>
              <w:top w:val="nil"/>
              <w:left w:val="nil"/>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color w:val="000000"/>
                <w:szCs w:val="24"/>
              </w:rPr>
            </w:pPr>
            <w:r w:rsidRPr="00002D92">
              <w:rPr>
                <w:rFonts w:eastAsia="Times New Roman" w:cs="Times New Roman"/>
                <w:color w:val="000000"/>
                <w:szCs w:val="24"/>
              </w:rPr>
              <w:t>Current program</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46</w:t>
            </w:r>
            <w:r w:rsidRPr="00002D92">
              <w:rPr>
                <w:rFonts w:eastAsia="Times New Roman" w:cs="Times New Roman"/>
                <w:color w:val="000000"/>
                <w:szCs w:val="24"/>
              </w:rPr>
              <w:t>.</w:t>
            </w:r>
            <w:r w:rsidRPr="00002D92">
              <w:rPr>
                <w:rFonts w:eastAsia="Times New Roman" w:cs="Times New Roman"/>
                <w:color w:val="000000"/>
                <w:szCs w:val="24"/>
                <w:lang w:val="sr-Cyrl-RS"/>
              </w:rPr>
              <w:t>9</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45</w:t>
            </w:r>
            <w:r w:rsidRPr="00002D92">
              <w:rPr>
                <w:rFonts w:eastAsia="Times New Roman" w:cs="Times New Roman"/>
                <w:color w:val="000000"/>
                <w:szCs w:val="24"/>
              </w:rPr>
              <w:t>.</w:t>
            </w:r>
            <w:r w:rsidRPr="00002D92">
              <w:rPr>
                <w:rFonts w:eastAsia="Times New Roman" w:cs="Times New Roman"/>
                <w:color w:val="000000"/>
                <w:szCs w:val="24"/>
                <w:lang w:val="sr-Cyrl-RS"/>
              </w:rPr>
              <w:t>0</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44</w:t>
            </w:r>
            <w:r w:rsidRPr="00002D92">
              <w:rPr>
                <w:rFonts w:eastAsia="Times New Roman" w:cs="Times New Roman"/>
                <w:color w:val="000000"/>
                <w:szCs w:val="24"/>
              </w:rPr>
              <w:t>.</w:t>
            </w:r>
            <w:r w:rsidRPr="00002D92">
              <w:rPr>
                <w:rFonts w:eastAsia="Times New Roman" w:cs="Times New Roman"/>
                <w:color w:val="000000"/>
                <w:szCs w:val="24"/>
                <w:lang w:val="sr-Cyrl-RS"/>
              </w:rPr>
              <w:t>5</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44</w:t>
            </w:r>
            <w:r w:rsidRPr="00002D92">
              <w:rPr>
                <w:rFonts w:eastAsia="Times New Roman" w:cs="Times New Roman"/>
                <w:color w:val="000000"/>
                <w:szCs w:val="24"/>
              </w:rPr>
              <w:t>.</w:t>
            </w:r>
            <w:r w:rsidRPr="00002D92">
              <w:rPr>
                <w:rFonts w:eastAsia="Times New Roman" w:cs="Times New Roman"/>
                <w:color w:val="000000"/>
                <w:szCs w:val="24"/>
                <w:lang w:val="sr-Cyrl-RS"/>
              </w:rPr>
              <w:t>3</w:t>
            </w:r>
          </w:p>
        </w:tc>
        <w:tc>
          <w:tcPr>
            <w:tcW w:w="1038" w:type="dxa"/>
            <w:tcBorders>
              <w:top w:val="nil"/>
              <w:left w:val="nil"/>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44</w:t>
            </w:r>
            <w:r w:rsidRPr="00002D92">
              <w:rPr>
                <w:rFonts w:eastAsia="Times New Roman" w:cs="Times New Roman"/>
                <w:color w:val="000000"/>
                <w:szCs w:val="24"/>
              </w:rPr>
              <w:t>.</w:t>
            </w:r>
            <w:r w:rsidRPr="00002D92">
              <w:rPr>
                <w:rFonts w:eastAsia="Times New Roman" w:cs="Times New Roman"/>
                <w:color w:val="000000"/>
                <w:szCs w:val="24"/>
                <w:lang w:val="sr-Cyrl-RS"/>
              </w:rPr>
              <w:t>1</w:t>
            </w:r>
          </w:p>
        </w:tc>
      </w:tr>
      <w:tr w:rsidR="00863F79" w:rsidRPr="00002D92" w:rsidTr="00863F79">
        <w:trPr>
          <w:trHeight w:val="270"/>
        </w:trPr>
        <w:tc>
          <w:tcPr>
            <w:tcW w:w="3485"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left"/>
              <w:rPr>
                <w:rFonts w:eastAsia="Times New Roman" w:cs="Times New Roman"/>
                <w:color w:val="000000"/>
                <w:szCs w:val="24"/>
              </w:rPr>
            </w:pPr>
            <w:r w:rsidRPr="00002D92">
              <w:rPr>
                <w:rFonts w:eastAsia="Times New Roman" w:cs="Times New Roman"/>
                <w:color w:val="000000"/>
                <w:szCs w:val="24"/>
              </w:rPr>
              <w:t>Difference</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rPr>
              <w:t>-</w:t>
            </w:r>
            <w:r w:rsidRPr="00002D92">
              <w:rPr>
                <w:rFonts w:eastAsia="Times New Roman" w:cs="Times New Roman"/>
                <w:color w:val="000000"/>
                <w:szCs w:val="24"/>
                <w:lang w:val="sr-Cyrl-RS"/>
              </w:rPr>
              <w:t>1</w:t>
            </w:r>
            <w:r w:rsidRPr="00002D92">
              <w:rPr>
                <w:rFonts w:eastAsia="Times New Roman" w:cs="Times New Roman"/>
                <w:color w:val="000000"/>
                <w:szCs w:val="24"/>
              </w:rPr>
              <w:t>.</w:t>
            </w:r>
            <w:r w:rsidRPr="00002D92">
              <w:rPr>
                <w:rFonts w:eastAsia="Times New Roman" w:cs="Times New Roman"/>
                <w:color w:val="000000"/>
                <w:szCs w:val="24"/>
                <w:lang w:val="sr-Cyrl-RS"/>
              </w:rPr>
              <w:t>0</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rPr>
              <w:t>-</w:t>
            </w:r>
            <w:r w:rsidRPr="00002D92">
              <w:rPr>
                <w:rFonts w:eastAsia="Times New Roman" w:cs="Times New Roman"/>
                <w:color w:val="000000"/>
                <w:szCs w:val="24"/>
                <w:lang w:val="sr-Cyrl-RS"/>
              </w:rPr>
              <w:t>2</w:t>
            </w:r>
            <w:r w:rsidRPr="00002D92">
              <w:rPr>
                <w:rFonts w:eastAsia="Times New Roman" w:cs="Times New Roman"/>
                <w:color w:val="000000"/>
                <w:szCs w:val="24"/>
              </w:rPr>
              <w:t>.</w:t>
            </w:r>
            <w:r w:rsidRPr="00002D92">
              <w:rPr>
                <w:rFonts w:eastAsia="Times New Roman" w:cs="Times New Roman"/>
                <w:color w:val="000000"/>
                <w:szCs w:val="24"/>
                <w:lang w:val="sr-Cyrl-RS"/>
              </w:rPr>
              <w:t>5</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rPr>
              <w:t>-</w:t>
            </w:r>
            <w:r w:rsidRPr="00002D92">
              <w:rPr>
                <w:rFonts w:eastAsia="Times New Roman" w:cs="Times New Roman"/>
                <w:color w:val="000000"/>
                <w:szCs w:val="24"/>
                <w:lang w:val="sr-Cyrl-RS"/>
              </w:rPr>
              <w:t>2</w:t>
            </w:r>
            <w:r w:rsidRPr="00002D92">
              <w:rPr>
                <w:rFonts w:eastAsia="Times New Roman" w:cs="Times New Roman"/>
                <w:color w:val="000000"/>
                <w:szCs w:val="24"/>
              </w:rPr>
              <w:t>.</w:t>
            </w:r>
            <w:r w:rsidRPr="00002D92">
              <w:rPr>
                <w:rFonts w:eastAsia="Times New Roman" w:cs="Times New Roman"/>
                <w:color w:val="000000"/>
                <w:szCs w:val="24"/>
                <w:lang w:val="sr-Cyrl-RS"/>
              </w:rPr>
              <w:t>5</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rPr>
              <w:t>-</w:t>
            </w:r>
            <w:r w:rsidRPr="00002D92">
              <w:rPr>
                <w:rFonts w:eastAsia="Times New Roman" w:cs="Times New Roman"/>
                <w:color w:val="000000"/>
                <w:szCs w:val="24"/>
                <w:lang w:val="sr-Cyrl-RS"/>
              </w:rPr>
              <w:t>2</w:t>
            </w:r>
            <w:r w:rsidRPr="00002D92">
              <w:rPr>
                <w:rFonts w:eastAsia="Times New Roman" w:cs="Times New Roman"/>
                <w:color w:val="000000"/>
                <w:szCs w:val="24"/>
              </w:rPr>
              <w:t>.</w:t>
            </w:r>
            <w:r w:rsidRPr="00002D92">
              <w:rPr>
                <w:rFonts w:eastAsia="Times New Roman" w:cs="Times New Roman"/>
                <w:color w:val="000000"/>
                <w:szCs w:val="24"/>
                <w:lang w:val="sr-Cyrl-RS"/>
              </w:rPr>
              <w:t>2</w:t>
            </w:r>
          </w:p>
        </w:tc>
        <w:tc>
          <w:tcPr>
            <w:tcW w:w="1038" w:type="dxa"/>
            <w:tcBorders>
              <w:top w:val="nil"/>
              <w:left w:val="nil"/>
              <w:bottom w:val="single" w:sz="4" w:space="0" w:color="auto"/>
              <w:right w:val="nil"/>
            </w:tcBorders>
            <w:shd w:val="clear" w:color="auto" w:fill="auto"/>
            <w:noWrap/>
            <w:vAlign w:val="bottom"/>
            <w:hideMark/>
          </w:tcPr>
          <w:p w:rsidR="00863F79" w:rsidRPr="00002D92" w:rsidRDefault="00863F79" w:rsidP="00863F79">
            <w:pPr>
              <w:keepLines/>
              <w:spacing w:after="0"/>
              <w:jc w:val="right"/>
              <w:rPr>
                <w:rFonts w:eastAsia="Times New Roman" w:cs="Times New Roman"/>
                <w:color w:val="000000"/>
                <w:szCs w:val="24"/>
                <w:lang w:val="sr-Cyrl-RS"/>
              </w:rPr>
            </w:pPr>
            <w:r w:rsidRPr="00002D92">
              <w:rPr>
                <w:rFonts w:eastAsia="Times New Roman" w:cs="Times New Roman"/>
                <w:color w:val="000000"/>
                <w:szCs w:val="24"/>
                <w:lang w:val="sr-Cyrl-RS"/>
              </w:rPr>
              <w:t>-</w:t>
            </w:r>
          </w:p>
        </w:tc>
      </w:tr>
    </w:tbl>
    <w:p w:rsidR="00863F79" w:rsidRPr="00DD35A0" w:rsidRDefault="00863F79" w:rsidP="00DD35A0">
      <w:pPr>
        <w:rPr>
          <w:rFonts w:eastAsia="Calibri" w:cs="Times New Roman"/>
          <w:spacing w:val="-2"/>
          <w:szCs w:val="20"/>
          <w:lang w:val="sr-Cyrl-CS" w:eastAsia="ja-JP"/>
        </w:rPr>
      </w:pPr>
      <w:r w:rsidRPr="00DD35A0">
        <w:rPr>
          <w:rFonts w:eastAsia="Calibri" w:cs="Times New Roman"/>
          <w:spacing w:val="-2"/>
          <w:szCs w:val="20"/>
          <w:lang w:val="sr-Cyrl-CS" w:eastAsia="ja-JP"/>
        </w:rPr>
        <w:t xml:space="preserve">Source: Ministry of Finance </w:t>
      </w:r>
    </w:p>
    <w:p w:rsidR="00C033B9" w:rsidRPr="00002D92" w:rsidRDefault="00C033B9" w:rsidP="00C033B9">
      <w:pPr>
        <w:pStyle w:val="Heading11"/>
        <w:spacing w:before="180" w:after="180"/>
        <w:rPr>
          <w:rFonts w:ascii="Times New Roman" w:hAnsi="Times New Roman" w:cs="Times New Roman"/>
          <w:color w:val="auto"/>
          <w:sz w:val="24"/>
          <w:szCs w:val="24"/>
          <w:lang w:val="sr-Latn-RS"/>
        </w:rPr>
      </w:pPr>
      <w:bookmarkStart w:id="42" w:name="_Toc221106879"/>
      <w:r w:rsidRPr="00002D92">
        <w:rPr>
          <w:rFonts w:ascii="Times New Roman" w:hAnsi="Times New Roman" w:cs="Times New Roman"/>
          <w:color w:val="auto"/>
          <w:sz w:val="24"/>
          <w:szCs w:val="24"/>
          <w:lang w:val="sr-Latn-RS"/>
        </w:rPr>
        <w:t xml:space="preserve">4.7. </w:t>
      </w:r>
      <w:bookmarkEnd w:id="40"/>
      <w:bookmarkEnd w:id="41"/>
      <w:r w:rsidR="00712E4A" w:rsidRPr="00002D92">
        <w:rPr>
          <w:rFonts w:ascii="Times New Roman" w:hAnsi="Times New Roman" w:cs="Times New Roman"/>
          <w:color w:val="auto"/>
          <w:sz w:val="24"/>
          <w:szCs w:val="24"/>
          <w:lang w:val="sr-Latn-RS"/>
        </w:rPr>
        <w:t>QUALITY OF PUBLIC FINANCES</w:t>
      </w:r>
      <w:bookmarkEnd w:id="42"/>
    </w:p>
    <w:p w:rsidR="003B22A7" w:rsidRPr="00002D92" w:rsidRDefault="003B22A7" w:rsidP="003B22A7">
      <w:pPr>
        <w:rPr>
          <w:rFonts w:eastAsia="Calibri" w:cs="Times New Roman"/>
          <w:spacing w:val="-2"/>
          <w:szCs w:val="20"/>
          <w:lang w:val="sr-Cyrl-CS" w:eastAsia="ja-JP"/>
        </w:rPr>
      </w:pPr>
      <w:bookmarkStart w:id="43" w:name="_Toc91769803"/>
      <w:r w:rsidRPr="00002D92">
        <w:rPr>
          <w:rFonts w:eastAsia="Calibri" w:cs="Times New Roman"/>
          <w:spacing w:val="-2"/>
          <w:szCs w:val="20"/>
          <w:lang w:val="sr-Cyrl-CS" w:eastAsia="ja-JP"/>
        </w:rPr>
        <w:t xml:space="preserve">On 9 December 2024, the Republic of Serbia concluded with the IMF a new arrangement – a non-financial Policy Coordination Instrument (PCI) lasting three years. The agreed program aims to preserve macroeconomic and financial stability, continue the implementation of public investments while maintaining fiscal discipline and further reducing public debt, as well as to foster inclusive and sustainable growth in the medium term through the implementation of an ambitious structural reform program. Particular emphasis is placed on further strengthening the resilience of the energy sector and creating the conditions for the realization of significant investments in this area. </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In the upcoming period, reforms in the areas of employment, human resource management and the wage system in the general government are expected to continue. The goal of fiscal policy in the medium term is to keep employee compensation expenditures at a sustainable level, with an adequate employee structure, in order to ensure higher quality of services provided. The existing employment system, overseen by the Government Commission for granting approval for new employment and additional work engagement at public funds beneficiaries, will continue to function during the transitional period, that is, until the new system becomes fully operational. At the end of 2020, amendments to the Law on the Budget System were adopted to allow institutions, during the transitional period (until the end of 2026), to hire new staff up to the level of 70% of those leaving the institution or retiring, while the Commission’s approval is required if the number of newly employed exceeds 70%. The purpose of this measure is to ensure greater flexibility in hiring at the level of the institutions themselves, in line with their needs for new staff. The central information system for calculating public sector employee earnings, “Iskra”, currently covers all direct budget beneficiaries, institutions in the fields of culture, the judiciary, labor and social protection, and education (except higher education institutions), institutions in the field of healthcare, and local self-government units with their indirect beneficiaries (preschool institutions, institutions of culture, sports and social protection). The essence of this system is better planning, execution and control of wage expenditures, greater transparency and better human resource management in conditions of increasing competition from the private sector, which negatively affects the attraction and retention of employees in the public sector, especially given the attractiveness of salaries in the private sector, which may lead to significant staff outflow if these reforms are not implemented. The only employees who will remain outside the system at this stage are those in the defence, security and internal affairs sectors, as well as higher education institutions.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lastRenderedPageBreak/>
        <w:t>Based on this system, a report has been prepared in which data on the number of employees and the range of salaries are published, which will help in guiding future employment policies in the public sector. The report contains data both on the occupancy of systematized positions and on the amounts of salaries by pay grades, by specific types of work, functions (state administration, education, healthcare, etc.), as well as other data of statistical significance (median, maximum and minimum salaries, salaries by percentiles, historical data series), all of which can assist reforms in this area.</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The crisis in Ukraine, through its negative impact on the energy market, has particularly highlighted all the challenges and problems faced by the energy sector in Serbia. Additional challenges arise from the tightening of sanctions against the Russian Federation, which significantly jeopardize the supply of energy to the market of the Republic of Serbia. The identified problems can be resolved only through the implementation of comprehensive reforms and diversification in energy supply, which are conditions both for ensuring energy security and for fiscal and external sustainability. Priority is given to the restructuring of large state-owned energy companies in order to increase their efficiency and reduce budget support and the fiscal risks arising from their operations. The phased increase in energy prices (gas and electricity) was a necessary measure to compensate for the high exogenously driven costs of their procurement. As of 1 May last year, lower electricity prices for commercial customers were ensured—by around 20%—which is in line with electricity price movements in the region. The methodology has been amended to protect customers from sudden price shocks in the electricity market, while simultaneously combining price levels for regulated and non-regulated sectors so that total revenues can cover total costs, including funds needed for investments in new production capacities. Ensuring energy affordability for households remains a priority. The application of block tariffs continues in order to enable more favorable electricity prices for consumption below a certain threshold. Taking into account the real increase in disposable income and the stability of regulated energy prices in the previous period, it is planned that support be directed to approximately 75,000 of the most vulnerable households.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The implementation of the EPS restructuring plan continues, which includes improvements in management, organizational structure, audit processes, internal controls and regulatory compliance. The plan also contains financial projections based on assumptions regarding the adjustment of regulated tariffs. An acceleration of the implementation of this restructuring plan is envisaged. In accordance with the principle of transparency, JSC EPS and the PE “Srbijagas” will publish their financial plans. Also, instead of 20, data on the 50 largest debtors to these two companies are published on a monthly basis. To improve the financial position of “Elektrodistribucija Srbije” (EDS), an analysis of the network usage fees paid by EDS, as well as the fees that EDS and EMS pay to EPS for network losses, was completed in May 2025.</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The Integrated National Energy and Climate Plan of Serbia for the period until 2030, with projections until 2050, was adopted in July last year, marking the beginning of a new stage in the development of the energy sector of the Republic of Serbia, which should contribute to greater security of supply, an increased share of clean energy sources, and better environmental protection. The Integrated National Energy and Climate Plan is the key strategic document that defines the strategic goals and the timeline for their achievement in the process of energy transition. The policies and measures for achieving the goals of this plan are grouped into five key dimensions: decarbonization, energy efficiency, energy security, the internal energy market, and research, innovation and competitiveness.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 xml:space="preserve">At the end of November 2024, the Energy Development Strategy of the Republic of Serbia until 2040 with projections until 2050 was adopted. The Programme for the Implementation of the Energy Development Strategy of the Republic of Serbia until 2040 with projections until 2050 </w:t>
      </w:r>
      <w:r w:rsidRPr="00002D92">
        <w:rPr>
          <w:rFonts w:eastAsia="Calibri" w:cs="Times New Roman"/>
          <w:spacing w:val="-2"/>
          <w:szCs w:val="20"/>
          <w:lang w:val="sr-Cyrl-CS" w:eastAsia="ja-JP"/>
        </w:rPr>
        <w:lastRenderedPageBreak/>
        <w:t>is in the process of public consultation, and its adoption is expected by the end of 2025. The energy sector of the Republic of Serbia is facing fundamental structural changes driven by both global and national circumstances, including economic, technological and environmental changes, as well as internationally and nationally accepted development goals. In May 2025, the Government adopted Amendments to the Baseline Framework for the Development Plan of Energy Infrastructure and Energy Efficiency Measures for the period until 2028, with projections until 2030. For projects whose value exceeds 20 million euros, key information is included, such as expected returns, contributions to the green transition, potential sources of financing, and other essential characteristics of the project.</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The increases in gas prices during 2022 and 2023 contributed to the stabilization of the financial situation at the PE “</w:t>
      </w:r>
      <w:r w:rsidR="00002D92">
        <w:rPr>
          <w:rFonts w:eastAsia="Calibri" w:cs="Times New Roman"/>
          <w:spacing w:val="-2"/>
          <w:szCs w:val="20"/>
          <w:lang w:val="sr-Cyrl-CS" w:eastAsia="ja-JP"/>
        </w:rPr>
        <w:t>Srbijagas</w:t>
      </w:r>
      <w:r w:rsidRPr="00002D92">
        <w:rPr>
          <w:rFonts w:eastAsia="Calibri" w:cs="Times New Roman"/>
          <w:spacing w:val="-2"/>
          <w:szCs w:val="20"/>
          <w:lang w:val="sr-Cyrl-CS" w:eastAsia="ja-JP"/>
        </w:rPr>
        <w:t>”</w:t>
      </w:r>
      <w:r w:rsidR="00002D92">
        <w:rPr>
          <w:rFonts w:eastAsia="Calibri" w:cs="Times New Roman"/>
          <w:spacing w:val="-2"/>
          <w:szCs w:val="20"/>
          <w:lang w:val="sr-Latn-RS" w:eastAsia="ja-JP"/>
        </w:rPr>
        <w:t>.</w:t>
      </w:r>
      <w:r w:rsidRPr="00002D92">
        <w:rPr>
          <w:rFonts w:eastAsia="Calibri" w:cs="Times New Roman"/>
          <w:spacing w:val="-2"/>
          <w:szCs w:val="20"/>
          <w:lang w:val="sr-Cyrl-CS" w:eastAsia="ja-JP"/>
        </w:rPr>
        <w:t xml:space="preserve"> That company recorded a positive financial result in 2024. At the beginning of the 2024/25 heating season, the PE “Srbijagas” implemented a new pricing system for the non-regulated market. This reform included the introduction of new types of contracts and an incre</w:t>
      </w:r>
      <w:r w:rsidR="00002D92">
        <w:rPr>
          <w:rFonts w:eastAsia="Calibri" w:cs="Times New Roman"/>
          <w:spacing w:val="-2"/>
          <w:szCs w:val="20"/>
          <w:lang w:val="sr-Cyrl-CS" w:eastAsia="ja-JP"/>
        </w:rPr>
        <w:t>ase in the margin of “Srbijagas</w:t>
      </w:r>
      <w:r w:rsidRPr="00002D92">
        <w:rPr>
          <w:rFonts w:eastAsia="Calibri" w:cs="Times New Roman"/>
          <w:spacing w:val="-2"/>
          <w:szCs w:val="20"/>
          <w:lang w:val="sr-Cyrl-CS" w:eastAsia="ja-JP"/>
        </w:rPr>
        <w:t>” aimed at supporting future investment needs. As part of the restructuring process, the certification of the company “Transportgas Serbia” as an independent gas transmission system operator was successfully completed, thereby formally achie</w:t>
      </w:r>
      <w:r w:rsidR="00002D92">
        <w:rPr>
          <w:rFonts w:eastAsia="Calibri" w:cs="Times New Roman"/>
          <w:spacing w:val="-2"/>
          <w:szCs w:val="20"/>
          <w:lang w:val="sr-Cyrl-CS" w:eastAsia="ja-JP"/>
        </w:rPr>
        <w:t>ving separation from “Srbijagas</w:t>
      </w:r>
      <w:r w:rsidRPr="00002D92">
        <w:rPr>
          <w:rFonts w:eastAsia="Calibri" w:cs="Times New Roman"/>
          <w:spacing w:val="-2"/>
          <w:szCs w:val="20"/>
          <w:lang w:val="sr-Cyrl-CS" w:eastAsia="ja-JP"/>
        </w:rPr>
        <w:t>”</w:t>
      </w:r>
      <w:r w:rsidR="00002D92">
        <w:rPr>
          <w:rFonts w:eastAsia="Calibri" w:cs="Times New Roman"/>
          <w:spacing w:val="-2"/>
          <w:szCs w:val="20"/>
          <w:lang w:val="sr-Latn-RS" w:eastAsia="ja-JP"/>
        </w:rPr>
        <w:t>,</w:t>
      </w:r>
      <w:r w:rsidRPr="00002D92">
        <w:rPr>
          <w:rFonts w:eastAsia="Calibri" w:cs="Times New Roman"/>
          <w:spacing w:val="-2"/>
          <w:szCs w:val="20"/>
          <w:lang w:val="sr-Cyrl-CS" w:eastAsia="ja-JP"/>
        </w:rPr>
        <w:t xml:space="preserve"> The completion of this process represents an important step toward full compliance with obligations undertaken under European energy regulations. A reduction in gas prices for the economy by approximately 15% has been in effect since 1 May last year. In May 2025, the existing gas supply contract with the company “Gazprom Neft” was extended; the conclusion of a new contract is expected in the upcoming period, although further cooperation is conditioned by geopolitical factors. In the meantime, investments are being made in key energy infrastructure, including new gas, oil and electricity interconnections with neighboring countries.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The Oil Industry of Serbia (NIS), a company of significant macroeconomic importance, has been under U.S. sanctions since 8 October this year due to factors not directly under the control of the state. Modalities are being sought to overcome the resulting crisis and mitigate the consequences brought by the sanctions. The Ministry of Mining and Energy, in cooperation with the competent institutions, is analyzing the possible effects of the sanctions and taking measures to alleviate the impact on supply, fiscal revenues, and economic activity.</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The implementation of the green growth agenda continues as support for sustainable development. In preparation for the application of the CBAM (EU Carbon Border Adjustment Mechanism), the Republic of Serbia will adopt the relevant legislative acts—the Law on Greenhouse Gas Emissions Tax and the Law on the Import Tax of Carbon-Intensive Products. The Integrated National Energy and Climate Plan has been adopted, defining objectives in the areas of emission reduction, renewable energy sources, and energy efficiency. The continuation of incentives for private investments in renewable energy sources is planned. It should be noted that in 2025, the second auctions were held, which, together with the first auctions, bring a total of 1.2 GW of new private investments. In this context, it is highlighted that JSC EPS has entered a strong cycle of green investments with its portfolio of 1.2 GW.</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 xml:space="preserve">The Government, with the support of the European Bank for Reconstruction and Development (hereinafter: EBRD), adopted the Strategy of State Ownership and Management of Enterprises Owned by the Republic of Serbia for the period 2021–2027 as a single act providing a strategic vision and guidance regarding ownership management objectives, financial and public policy goals, as well as principles of corporate governance and oversight in accordance with international standards and best practices. In April last year, the Action Plan for the implementation of this strategy was adopted. The Law on the Management of Enterprises Owned by the Republic of Serbia entered into force in September 2023 and began to be applied in </w:t>
      </w:r>
      <w:r w:rsidRPr="00002D92">
        <w:rPr>
          <w:rFonts w:eastAsia="Calibri" w:cs="Times New Roman"/>
          <w:spacing w:val="-2"/>
          <w:szCs w:val="20"/>
          <w:lang w:val="sr-Cyrl-CS" w:eastAsia="ja-JP"/>
        </w:rPr>
        <w:lastRenderedPageBreak/>
        <w:t>September 2024. The Government remains committed to limiting the issuance of state guarantees. No new guarantees are planned for liquidity support to PE, nor for enterprises that were under the jurisdiction of the Privatization Agency. The issuance of guarantees will be limited to project loans from multilateral institutions that are in line with investment and reform priorities.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For enterprises that constitute strategic companies from the portfolio of the former Privatization Agency, the solution is found either through privatization tenders or through bankruptcy. The budget provides sufficient funds to support PEU “Resavica” in a transparent manner, and it is ensured that in the future there will be no further accumulation of arrears in payments to JSC EPS, while the company itself faces the challenge of finding solutions for economically unsustainable mines that are nearing depletion of remaining coal reserves, as well as a plan for the rationalization of production and operations in parts of the system where analysis shows they can be economically viable, with an indication of the privatization of some of its parts. If privatization is not acceptable, the company will be managed in accordance with the new Law on the Management of Enterprises Owned by the Republic of Serbia.</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Improving public finance management is necessary not only as support for fiscal stabilization measures and structural reforms, but also as a process that enhances the quality of public administration and ensures an attractive environment for investors. During the preparation of this document, the Public Finance Management Reform Program for the period 2026–2030 is being finalized, with its adoption expected by the end of this year.</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 xml:space="preserve">In order to improve the public investment management system, and particularly taking into account the development </w:t>
      </w:r>
      <w:r w:rsidR="00002D92">
        <w:rPr>
          <w:rFonts w:eastAsia="Calibri" w:cs="Times New Roman"/>
          <w:spacing w:val="-2"/>
          <w:szCs w:val="20"/>
          <w:lang w:val="sr-Cyrl-CS" w:eastAsia="ja-JP"/>
        </w:rPr>
        <w:t>plan “Leap into the Future 2027</w:t>
      </w:r>
      <w:r w:rsidRPr="00002D92">
        <w:rPr>
          <w:rFonts w:eastAsia="Calibri" w:cs="Times New Roman"/>
          <w:spacing w:val="-2"/>
          <w:szCs w:val="20"/>
          <w:lang w:val="sr-Cyrl-CS" w:eastAsia="ja-JP"/>
        </w:rPr>
        <w:t>”</w:t>
      </w:r>
      <w:r w:rsidR="00002D92">
        <w:rPr>
          <w:rFonts w:eastAsia="Calibri" w:cs="Times New Roman"/>
          <w:spacing w:val="-2"/>
          <w:szCs w:val="20"/>
          <w:lang w:val="sr-Latn-RS" w:eastAsia="ja-JP"/>
        </w:rPr>
        <w:t>,</w:t>
      </w:r>
      <w:r w:rsidRPr="00002D92">
        <w:rPr>
          <w:rFonts w:eastAsia="Calibri" w:cs="Times New Roman"/>
          <w:spacing w:val="-2"/>
          <w:szCs w:val="20"/>
          <w:lang w:val="sr-Cyrl-CS" w:eastAsia="ja-JP"/>
        </w:rPr>
        <w:t xml:space="preserve"> which includes capital projects in the areas of transport infrastructure, EXPO 2027, and the construction of communal infrastructure, with a total value of approximately EUR 14.6 billion, the Ministry of Finance continued during 2025 to implement the established legal framework to enable the execution of the project cycle. The applicable legal framework continued to provide the prerequisites for the proper selection of capital projects, thereby ensuring that only ready capital projects are included in the budget projection, which allows for adequate planning and more efficient use of budgetary funds.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During 2025, the Document on Policies in the Field of Public Investment Management was prepared in accordance with obligations undertaken under the Strategic Policy Dialogue. In the upcoming period, the Ministry of Finance, in consultation with the European Commission, will work on the preparation of a supporting Action Plan so that both documents can be proposed for adoption by the Government within the established deadlines. Parallel to work on improving the legal framework, efforts were made to upgrade the Centralized Capital Projects Database (Public Investment Management Information System – hereinafter: PIMIS), which has been adapted to the new legal framework. An information system was created to enable comprehensive and transparent implementation of the project cycle defined by the Regulation on Capital Projects. The establishment and operationalization of PIMIS achieved: improvement in the speed and efficiency of business processes in the area of capital project monitoring, easier access and approval system, with minimization of errors in data entry and the entry of project documentation at all stages of the project cycle.</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 xml:space="preserve">The new Action Plan for the Transformation of the Tax Administration for the period 2021–2025 is being successfully implemented. It was adopted in May 2021 and defines the strategic guidelines and timelines for activities necessary to create a modern tax administration, which, by using modern electronic processes, will provide better and more comprehensive services to taxpayers, improve revenue control and collection, and promote the fight against the shadow economy, together with the reform and modernization of inspection supervision. The reform of the Tax Administration continues with the implementation of IMF recommendations and with </w:t>
      </w:r>
      <w:r w:rsidRPr="00002D92">
        <w:rPr>
          <w:rFonts w:eastAsia="Calibri" w:cs="Times New Roman"/>
          <w:spacing w:val="-2"/>
          <w:szCs w:val="20"/>
          <w:lang w:val="sr-Cyrl-CS" w:eastAsia="ja-JP"/>
        </w:rPr>
        <w:lastRenderedPageBreak/>
        <w:t>the support of the World Bank. In May 2022, a new fiscalization model (e-fiscalization) was introduced, based on which the first round of audits was carried out. The new system contributed to a reduction in taxpayer non-compliance and a lower number of negative audit opinions. The electronic invoice exchange system (e-invoice) was the next step, implemented at the beginning of 2023. Procurement of a new commercial software system within the Tax Administration Modernization Project, implemented with the support of the World Bank, has been completed, and its implementation is expected to begin soon. The operation of the system will be supported by a new human resources management information system, expected to be introduced by the end of 2025, as well as by document and archive management systems. Continuous work is being carried out to monitor and analyze the VAT gap and the corporate income tax gap, where deficiencies in data and adjustments to analytical tools are currently being addressed. The Tax Administration publishes lists of the largest taxpayers, i.e., notifications on the amount of tax debt for taxpayers whose debt exceeds 20 million dinars, and will continue this practice at least once a year. With the adoption of the Law on the Determination of the Origin of Assets and Special Tax, and the establishment of a special organizational unit within the Tax Administration, conditions were created for cross-analysis of individuals’ assets and income, and the first audit cases were completed during the past year. Strengthening of this organizational unit will continue. Resolving personnel issues in the Tax Administration represents an urgent and important task. The Tax Administration faces employee turnover due to retirements and the need to prepare staff for the new IT system. Activities are underway to increase the number of employees in the Tax Administration, including public campaigns, significantly higher hiring quotas for 2025, and more open recruitment procedures. In addition, hiring procedures and challenges in this process are being analyzed, with the announcement of the upcoming adoption of the Human Resources Plan for 2025–2028.</w:t>
      </w:r>
    </w:p>
    <w:p w:rsidR="00A37E8D" w:rsidRPr="00002D92" w:rsidRDefault="00A37E8D" w:rsidP="003B22A7">
      <w:pPr>
        <w:rPr>
          <w:rFonts w:eastAsia="Calibri" w:cs="Times New Roman"/>
          <w:spacing w:val="-2"/>
          <w:szCs w:val="20"/>
          <w:lang w:val="sr-Cyrl-CS" w:eastAsia="ja-JP"/>
        </w:rPr>
      </w:pPr>
      <w:r w:rsidRPr="00002D92">
        <w:rPr>
          <w:rFonts w:eastAsia="Calibri" w:cs="Times New Roman"/>
          <w:spacing w:val="-2"/>
          <w:szCs w:val="20"/>
          <w:lang w:val="sr-Cyrl-CS" w:eastAsia="ja-JP"/>
        </w:rPr>
        <w:t>From January 1, 2026, the European Union will fully implement the Carbon Border Adjustment Mechanism (CBAM), which represents one of the central instruments of the European Green Deal. The aim of CBAM is to prevent “carbon leakage” — the relocation of production to countries with lower environmental standards — and to ensure an equal carbon price for products from the EU and those that are imported. Under this mechanism, importers into the EU will be required to pay so-called CBAM certificates, the value of which corresponds to the amount of CO₂ emissions generated during the production of imported goods such as: cement, iron, steel, aluminum, synthetic fertilizers, hydrogen, and electricity. The value of the certificates is based on the carbon price within the European Emissions Trading System (EU ETS), thereby effectively extending the application of European climate policy beyond the EU’s borders.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As of 1 January 2026, the Republic of Serbia will introduce a tax on greenhouse gas (GHG) emissions as a central instrument of climate and fiscal policy. This measure represents a direct tax response to the implementation of the European Union Carbon Border Adjustment Mechanism (CBAM), which from the same year will begin to apply to the import of carbon-intensive products such as cement, iron, steel, aluminum, synthetic fertilizers, and electricity.</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 xml:space="preserve">The purpose of the Law on the Tax on Greenhouse Gas Emissions is to reduce GHG emissions by introducing the “polluter pays” principle and creating a financial incentive for the transition to low-carbon technologies. At the same time, this tax aims to preserve the competitiveness of domestic industry in the European Union market. By establishing a national mechanism for determining the carbon price, the Republic of Serbia ensures that this tax is recognized as an equivalent instrument to CBAM. The tax applies to emissions of carbon dioxide (CO₂), nitrous oxide (N₂O), and perfluorocarbons (PFCs) arising from activities with the largest share of total emissions in the country. Revenues collected from this tax are directed to the budget of the </w:t>
      </w:r>
      <w:r w:rsidRPr="00002D92">
        <w:rPr>
          <w:rFonts w:eastAsia="Calibri" w:cs="Times New Roman"/>
          <w:spacing w:val="-2"/>
          <w:szCs w:val="20"/>
          <w:lang w:val="sr-Cyrl-CS" w:eastAsia="ja-JP"/>
        </w:rPr>
        <w:lastRenderedPageBreak/>
        <w:t>Republic of Serbia and are used to finance the green transition — the development of renewable energy sources, energy efficiency, industrial decarbonization, and a just energy transition.</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In addition to this law, the adoption of the Law on the Tax on the Import of Carbon-Intensive Products is also planned, which aims to establish a symmetrical mechanism in relation to the EU CBAM. This law introduces a fiscal measure that ensures that when importing high-carbon-footprint products into Serbia, a tax adjustment is applied in accordance with the amount of emissions generated during production in the country of origin. In this way, “carbon leakage” is prevented, and domestic production, which is subject to the national emissions tax, is protected. The law also aims to encourage importers to transition to more environmentally friendly suppliers and technologies, as well as to create equal conditions for domestic and foreign products on the Serbian market.</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By adopting the Law on the Tax on Greenhouse Gas Emissions and the Law on the Tax on the Import of Carbon-Intensive Products, the state establishes a dual system of fiscal protection: a domestic carbon price that encourages emission reduction and a border tax that ensures fair market competition. With these measures, the Republic of Serbia aligns itself with European climate policies (Chapter 27, European Green Deal, Paris Agreement) and gradually approaches an emissions trading system (EU ETS). Although in the short term the tax will increase production costs for a large number of energy-intensive economic entities, in the medium and long term it promotes technological advancement, energy efficiency, and access to European green economy funds.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In conclusion, Serbia’s tax policy on CBAM corresponds to a preventive introduction of a domestic GHG emissions tax, thereby simultaneously improving environmental responsibility, strengthening fiscal sustainability, and ensuring a level playing field for domestic industry under the new European trade rules.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Currently, both draft laws are in the public consultation procedure. Their effects are not yet included in the medium-term macroeconomic and fiscal framework, but they will be analyzed and incorporated into the Fiscal Strategy for 2027 with projections for 2028 and 2029, when their full implementation and assessment of impacts on revenues, the economy, and public finances are expected.</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With technical support from the IMF, an analysis of tax expenditures is being conducted, and the first report on this topic is scheduled to be completed and published in 2026. In February 2025, a Fiscal Transparency Evaluation (FTE) was carried out in cooperation with the IMF. Based on the results obtained, consultations with the IMF are planned to continue in order to improve the transparency of fiscal data. This includes the publication of additional information on financial relations between the state and public enterprises, fiscal data at the municipal level, public-private partnerships (PPPs), fees for the exploitation of mineral resources, and subsidies to state-owned enterprises.</w:t>
      </w:r>
    </w:p>
    <w:p w:rsidR="003B22A7" w:rsidRPr="00002D92" w:rsidRDefault="003B22A7" w:rsidP="003B22A7">
      <w:pPr>
        <w:rPr>
          <w:rFonts w:eastAsia="Calibri" w:cs="Times New Roman"/>
          <w:spacing w:val="-2"/>
          <w:szCs w:val="20"/>
          <w:lang w:val="sr-Cyrl-CS" w:eastAsia="ja-JP"/>
        </w:rPr>
      </w:pPr>
      <w:r w:rsidRPr="00002D92">
        <w:rPr>
          <w:rFonts w:eastAsia="Calibri" w:cs="Times New Roman"/>
          <w:spacing w:val="-2"/>
          <w:szCs w:val="20"/>
          <w:lang w:val="sr-Cyrl-CS" w:eastAsia="ja-JP"/>
        </w:rPr>
        <w:t>Next year, a revision of the Law on Public-Private Partnerships and Concessions is expected, so that all PPPs at the local level exceeding EUR 50 million must obtain approval from the Ministry of Finance. Starting with the Budget Law for 2026, Annexes 2 and 3 (Reports on the Execution of the Budget of the Republic of Serbia) will be expanded to include data on revenues, expenditures, and financing for the previous two years.</w:t>
      </w:r>
      <w:bookmarkStart w:id="44" w:name="_Toc185342340"/>
    </w:p>
    <w:p w:rsidR="00C033B9" w:rsidRPr="00165976" w:rsidRDefault="00C033B9" w:rsidP="00165976">
      <w:pPr>
        <w:pStyle w:val="Heading11"/>
        <w:spacing w:before="180" w:after="180"/>
        <w:rPr>
          <w:rFonts w:ascii="Times New Roman" w:hAnsi="Times New Roman" w:cs="Times New Roman"/>
          <w:color w:val="auto"/>
          <w:sz w:val="24"/>
          <w:szCs w:val="24"/>
          <w:lang w:val="sr-Latn-RS"/>
        </w:rPr>
      </w:pPr>
      <w:bookmarkStart w:id="45" w:name="_Toc221106880"/>
      <w:r w:rsidRPr="00165976">
        <w:rPr>
          <w:rFonts w:ascii="Times New Roman" w:hAnsi="Times New Roman" w:cs="Times New Roman"/>
          <w:color w:val="auto"/>
          <w:sz w:val="24"/>
          <w:szCs w:val="24"/>
          <w:lang w:val="sr-Latn-RS"/>
        </w:rPr>
        <w:t xml:space="preserve">4.8. </w:t>
      </w:r>
      <w:bookmarkEnd w:id="43"/>
      <w:bookmarkEnd w:id="44"/>
      <w:r w:rsidR="00A37E8D" w:rsidRPr="00165976">
        <w:rPr>
          <w:rFonts w:ascii="Times New Roman" w:hAnsi="Times New Roman" w:cs="Times New Roman"/>
          <w:color w:val="auto"/>
          <w:sz w:val="24"/>
          <w:szCs w:val="24"/>
          <w:lang w:val="sr-Latn-RS"/>
        </w:rPr>
        <w:t>FISCAL GOVERNANCE AND BUDGETARY FRAMEWORKS</w:t>
      </w:r>
      <w:bookmarkEnd w:id="45"/>
    </w:p>
    <w:p w:rsidR="008044E6" w:rsidRPr="00002D92" w:rsidRDefault="008044E6" w:rsidP="008044E6">
      <w:pPr>
        <w:rPr>
          <w:rFonts w:cs="Times New Roman"/>
          <w:szCs w:val="24"/>
          <w:lang w:val="sr-Cyrl-RS" w:eastAsia="ja-JP"/>
        </w:rPr>
      </w:pPr>
      <w:r w:rsidRPr="00002D92">
        <w:rPr>
          <w:rFonts w:cs="Times New Roman"/>
          <w:szCs w:val="24"/>
          <w:lang w:val="sr-Cyrl-RS" w:eastAsia="ja-JP"/>
        </w:rPr>
        <w:t xml:space="preserve">Fiscal rules were amended by the Law on Amendments to the Law on the Budget System in December 2022. The component limiting the deficit in relation to the level of public debt has been postponed until 2029, while in the meantime the targets set by the Fiscal Strategy will </w:t>
      </w:r>
      <w:r w:rsidRPr="00002D92">
        <w:rPr>
          <w:rFonts w:cs="Times New Roman"/>
          <w:szCs w:val="24"/>
          <w:lang w:val="sr-Cyrl-RS" w:eastAsia="ja-JP"/>
        </w:rPr>
        <w:lastRenderedPageBreak/>
        <w:t>apply. This is necessary due to the new investment cycle in the upcoming medium-term period (“Leap into the Future – Serbia 2027” program), which envisions significant new investments in transport infrastructure, energy, agriculture, healthcare, education, culture, environmental protection, regional development, security, etc. The program implements a comprehensive modernization of the state and increases the standard of living of citizens, thus contributing to GDP growth. The medium-term plan envisages that the general government deficits will amount to 3% of GDP annually in the period 2025–2027, and 2.5% of GDP in</w:t>
      </w:r>
      <w:r w:rsidR="00BF20B1">
        <w:rPr>
          <w:rFonts w:cs="Times New Roman"/>
          <w:szCs w:val="24"/>
          <w:lang w:val="sr-Cyrl-RS" w:eastAsia="ja-JP"/>
        </w:rPr>
        <w:t xml:space="preserve"> 2028, which ensures </w:t>
      </w:r>
      <w:r w:rsidR="00BF20B1" w:rsidRPr="003F6C09">
        <w:rPr>
          <w:rFonts w:cs="Times New Roman"/>
          <w:szCs w:val="24"/>
          <w:lang w:val="sr-Cyrl-RS" w:eastAsia="ja-JP"/>
        </w:rPr>
        <w:t>that</w:t>
      </w:r>
      <w:r w:rsidR="003F6C09" w:rsidRPr="003F6C09">
        <w:rPr>
          <w:rFonts w:cs="Times New Roman"/>
          <w:szCs w:val="24"/>
          <w:lang w:eastAsia="ja-JP"/>
        </w:rPr>
        <w:t xml:space="preserve"> g</w:t>
      </w:r>
      <w:r w:rsidR="00BF20B1" w:rsidRPr="003F6C09">
        <w:rPr>
          <w:rFonts w:cs="Times New Roman"/>
          <w:szCs w:val="24"/>
          <w:lang w:eastAsia="ja-JP"/>
        </w:rPr>
        <w:t>eneral government</w:t>
      </w:r>
      <w:r w:rsidRPr="003F6C09">
        <w:rPr>
          <w:rFonts w:cs="Times New Roman"/>
          <w:szCs w:val="24"/>
          <w:lang w:val="sr-Cyrl-RS" w:eastAsia="ja-JP"/>
        </w:rPr>
        <w:t xml:space="preserve"> debt</w:t>
      </w:r>
      <w:r w:rsidRPr="00002D92">
        <w:rPr>
          <w:rFonts w:cs="Times New Roman"/>
          <w:szCs w:val="24"/>
          <w:lang w:val="sr-Cyrl-RS" w:eastAsia="ja-JP"/>
        </w:rPr>
        <w:t xml:space="preserve"> remains on a downward path (from 45% of GDP projected at the end of this year to around 44% of GDP at the end of 2028), and far below the 60% of GDP threshold (including restitution liabilities) defined by the fiscal rule. Specific fiscal rules regulating the growth of wages in the general government and pensions have been in force since 2023, and in line with this, wage and pension increases have been planned in the 2026 budget. Since the fiscal rules relate to the general government, it was necessary to regulate the procedure and dynamics for including new entities in the scope of the general government, in accordance with the special sector classification methodology established by the SORS, in line with the agreement between SORS, the NBS and the Ministry of Finance. Additionally, the fiscal rules for local governments continue to be applied in the same way as defined in 2010, when fiscal rules were first introduced in the Republic of Serbia.</w:t>
      </w:r>
    </w:p>
    <w:p w:rsidR="008044E6" w:rsidRPr="00002D92" w:rsidRDefault="008044E6" w:rsidP="008044E6">
      <w:pPr>
        <w:rPr>
          <w:rFonts w:cs="Times New Roman"/>
          <w:szCs w:val="24"/>
          <w:lang w:val="sr-Cyrl-RS" w:eastAsia="ja-JP"/>
        </w:rPr>
      </w:pPr>
      <w:r w:rsidRPr="00002D92">
        <w:rPr>
          <w:rFonts w:cs="Times New Roman"/>
          <w:szCs w:val="24"/>
          <w:lang w:val="sr-Cyrl-RS" w:eastAsia="ja-JP"/>
        </w:rPr>
        <w:t>The process of strengthening the importance of the medium-term budget framework continues, in accordance with the Action Plan for the Improvement of the Medium-Term Budget Framework, adopted in September 2023. The aim is to make medium-term budgeting more effective and more binding, and to increase budget transparency. For the budget cycle, the medium-term limits set during the previous budget cycle are of great importance, as they serve as a starting point in discussions with line ministries, and the ministries themselves are increasingly familiar with this approach to budgeting, which improves the quality of their estimates and projections, and thereby the overall budget process. In May 2025, a methodology for developing the baseline budget scenario was adopted, prepared with technical assistance from the IMF, and applied in the 2026 budget cycle. It is expected that the assessment of fiscal space will become increasingly reliable as budget users gain experience in applying the new processes and as data quality improves. After recently conducted testing, data exchange has been enabled between the system for collecting financial plans of budget beneficiaries and the analytical platform for planning and reporting. Starting with the 2026 budget, the inclusion of a reconciliation table is planned in order to more clearly present changes in budget frameworks. The concept of green budgeting is being introduced. In the 2025 budget cycle, the new methodology for marking “green” expenditures was applied for the first time, which was adopted in 2024, and the “green budget” was published for the first time. The next steps include the integration of the “green annex” into the SPIRI system (System for Budget Preparation, Execution, Accounting and Reporting), the application of green tagging in the budgets of local self-government units, as well as additional training for budget beneficiaries to more accurately identify projects considered relevant to climate objectives.</w:t>
      </w:r>
    </w:p>
    <w:p w:rsidR="00BF20B1" w:rsidRDefault="008044E6" w:rsidP="00BF20B1">
      <w:r w:rsidRPr="00002D92">
        <w:rPr>
          <w:rFonts w:cs="Times New Roman"/>
          <w:szCs w:val="24"/>
          <w:lang w:val="sr-Cyrl-RS" w:eastAsia="ja-JP"/>
        </w:rPr>
        <w:t xml:space="preserve">The improvement of the quality and transparency of government finance statistics is being carried out through the enhancement of comprehensive, timely and automatic data exchange between the competent institutions – the Statistical Office of the Republic of Serbia, the National Bank of Serbia and the Ministry of Finance, in accordance with the Cooperation Agreement in the area of national accounts statistics of the general government sector and related statistics. In April 2018, the Statistical Office of the Republic of Serbia published the list of institutions that constitute the general government sector, as well as other sectors, in accordance with the European System of National and Regional Accounts (ESA 2010), the System of National Accounts (SNA 2008) and the Manual on Government Deficit and Debt, </w:t>
      </w:r>
      <w:r w:rsidRPr="00002D92">
        <w:rPr>
          <w:rFonts w:cs="Times New Roman"/>
          <w:szCs w:val="24"/>
          <w:lang w:val="sr-Cyrl-RS" w:eastAsia="ja-JP"/>
        </w:rPr>
        <w:lastRenderedPageBreak/>
        <w:t>which was prepared in cooperation with the National Bank of Serbia and the Ministry of Finance. Since mid-2021, the Public Debt Administration has been publishing quarterly data on the Maastricht debt, which is produced by the National Bank of Serbia in accordance with ESA 2010. A project is underway in cooperation with the IMF, aiming to build, within the Treasury Administration as the central information system and comprehensive database, a system that will enable the collection and consolidation of data for the general government sector both under the national methodology and under the GFSM 2014 methodology</w:t>
      </w:r>
      <w:r w:rsidRPr="003F6C09">
        <w:rPr>
          <w:rFonts w:cs="Times New Roman"/>
          <w:szCs w:val="24"/>
          <w:lang w:val="sr-Cyrl-RS" w:eastAsia="ja-JP"/>
        </w:rPr>
        <w:t>,</w:t>
      </w:r>
      <w:r w:rsidR="00BF20B1" w:rsidRPr="003F6C09">
        <w:rPr>
          <w:rFonts w:cs="Times New Roman"/>
          <w:szCs w:val="24"/>
          <w:lang w:eastAsia="ja-JP"/>
        </w:rPr>
        <w:t xml:space="preserve"> including</w:t>
      </w:r>
      <w:r w:rsidRPr="003F6C09">
        <w:rPr>
          <w:rFonts w:cs="Times New Roman"/>
          <w:szCs w:val="24"/>
          <w:lang w:val="sr-Cyrl-RS" w:eastAsia="ja-JP"/>
        </w:rPr>
        <w:t xml:space="preserve"> </w:t>
      </w:r>
      <w:r w:rsidR="00BF20B1" w:rsidRPr="003F6C09">
        <w:t xml:space="preserve">reporting on </w:t>
      </w:r>
      <w:r w:rsidR="003F6C09" w:rsidRPr="003F6C09">
        <w:t xml:space="preserve">general government </w:t>
      </w:r>
      <w:r w:rsidR="00BF20B1" w:rsidRPr="003F6C09">
        <w:t>debt according to the agreed frequency, through t</w:t>
      </w:r>
      <w:r w:rsidR="00BF20B1">
        <w:t>he gradual inclusion of institutions within its scope.</w:t>
      </w:r>
    </w:p>
    <w:p w:rsidR="00EC66CC" w:rsidRPr="00165976" w:rsidRDefault="00EC66CC" w:rsidP="00165976">
      <w:pPr>
        <w:pStyle w:val="Heading11"/>
        <w:spacing w:before="180" w:after="180"/>
        <w:rPr>
          <w:rFonts w:ascii="Times New Roman" w:hAnsi="Times New Roman" w:cs="Times New Roman"/>
          <w:color w:val="auto"/>
          <w:sz w:val="24"/>
          <w:szCs w:val="24"/>
          <w:lang w:val="sr-Latn-RS"/>
        </w:rPr>
      </w:pPr>
      <w:bookmarkStart w:id="46" w:name="_Toc221106881"/>
      <w:r w:rsidRPr="00165976">
        <w:rPr>
          <w:rFonts w:ascii="Times New Roman" w:hAnsi="Times New Roman" w:cs="Times New Roman"/>
          <w:color w:val="auto"/>
          <w:sz w:val="24"/>
          <w:szCs w:val="24"/>
          <w:lang w:val="sr-Latn-RS"/>
        </w:rPr>
        <w:t>4.9</w:t>
      </w:r>
      <w:r w:rsidR="003757C0" w:rsidRPr="00165976">
        <w:rPr>
          <w:rFonts w:ascii="Times New Roman" w:hAnsi="Times New Roman" w:cs="Times New Roman"/>
          <w:color w:val="auto"/>
          <w:sz w:val="24"/>
          <w:szCs w:val="24"/>
          <w:lang w:val="sr-Latn-RS"/>
        </w:rPr>
        <w:t xml:space="preserve"> SUSTAINABILITY OF PUBLIC FINANCES</w:t>
      </w:r>
      <w:bookmarkEnd w:id="46"/>
    </w:p>
    <w:p w:rsidR="00686773" w:rsidRDefault="00686773" w:rsidP="00EC66CC">
      <w:pPr>
        <w:rPr>
          <w:rFonts w:cs="Times New Roman"/>
          <w:lang w:val="sr-Cyrl-RS"/>
        </w:rPr>
      </w:pPr>
      <w:r w:rsidRPr="00002D92">
        <w:rPr>
          <w:rFonts w:cs="Times New Roman"/>
          <w:lang w:val="sr-Cyrl-RS"/>
        </w:rPr>
        <w:t>A comprehensive actuarial analysis of the pension system in the Republic of Serbia is currently underway, and its publication is planned for the upcoming period. The analysis will assess the long-term financial sustainability of the system and its ability to provide an adequate standard of living for pensioners, while simultaneously managing the fiscal pressures arising from population ageing. Various macroeconomic and demographic scenarios will be covered. In parallel, a pension model has been developed that can be updated with new data in order to assess the impact of economic and demographic changes, as well as changes in system parameters, on the actuarial outlook of the pension system.</w:t>
      </w:r>
    </w:p>
    <w:p w:rsidR="004D65F1" w:rsidRDefault="004D65F1" w:rsidP="004D65F1">
      <w:pPr>
        <w:pStyle w:val="Heading1"/>
        <w:spacing w:after="240"/>
        <w:rPr>
          <w:rFonts w:ascii="Times New Roman" w:eastAsiaTheme="minorHAnsi" w:hAnsi="Times New Roman" w:cs="Times New Roman"/>
          <w:b/>
          <w:color w:val="auto"/>
          <w:sz w:val="24"/>
          <w:szCs w:val="24"/>
          <w:lang w:val="sr-Latn-RS"/>
        </w:rPr>
      </w:pPr>
      <w:bookmarkStart w:id="47" w:name="_Toc192759985"/>
    </w:p>
    <w:p w:rsidR="00165976" w:rsidRDefault="00165976">
      <w:pPr>
        <w:spacing w:after="160" w:line="259" w:lineRule="auto"/>
        <w:jc w:val="left"/>
        <w:rPr>
          <w:rFonts w:cs="Times New Roman"/>
          <w:b/>
          <w:szCs w:val="24"/>
          <w:lang w:val="sr-Latn-RS"/>
        </w:rPr>
      </w:pPr>
      <w:r>
        <w:rPr>
          <w:rFonts w:cs="Times New Roman"/>
          <w:b/>
          <w:szCs w:val="24"/>
          <w:lang w:val="sr-Latn-RS"/>
        </w:rPr>
        <w:br w:type="page"/>
      </w:r>
    </w:p>
    <w:p w:rsidR="004D65F1" w:rsidRPr="00933940" w:rsidRDefault="004D65F1" w:rsidP="004D65F1">
      <w:pPr>
        <w:pStyle w:val="Heading1"/>
        <w:spacing w:after="240"/>
        <w:rPr>
          <w:rFonts w:ascii="Times New Roman" w:eastAsiaTheme="minorHAnsi" w:hAnsi="Times New Roman" w:cs="Times New Roman"/>
          <w:b/>
          <w:color w:val="auto"/>
          <w:sz w:val="24"/>
          <w:szCs w:val="24"/>
          <w:lang w:val="sr-Latn-RS"/>
        </w:rPr>
      </w:pPr>
      <w:bookmarkStart w:id="48" w:name="_Toc221106882"/>
      <w:r w:rsidRPr="00E25CAC">
        <w:rPr>
          <w:rFonts w:ascii="Times New Roman" w:eastAsiaTheme="minorHAnsi" w:hAnsi="Times New Roman" w:cs="Times New Roman"/>
          <w:b/>
          <w:color w:val="auto"/>
          <w:sz w:val="24"/>
          <w:szCs w:val="24"/>
          <w:lang w:val="sr-Latn-RS"/>
        </w:rPr>
        <w:lastRenderedPageBreak/>
        <w:t>5</w:t>
      </w:r>
      <w:r w:rsidRPr="00933940">
        <w:rPr>
          <w:rFonts w:ascii="Times New Roman" w:eastAsiaTheme="minorHAnsi" w:hAnsi="Times New Roman" w:cs="Times New Roman"/>
          <w:b/>
          <w:color w:val="auto"/>
          <w:sz w:val="24"/>
          <w:szCs w:val="24"/>
          <w:lang w:val="sr-Latn-RS"/>
        </w:rPr>
        <w:t xml:space="preserve">A. </w:t>
      </w:r>
      <w:r w:rsidRPr="00CB565B">
        <w:rPr>
          <w:rFonts w:ascii="Times New Roman" w:eastAsiaTheme="minorHAnsi" w:hAnsi="Times New Roman" w:cs="Times New Roman"/>
          <w:b/>
          <w:color w:val="auto"/>
          <w:sz w:val="24"/>
          <w:szCs w:val="24"/>
          <w:lang w:val="sr-Latn-RS"/>
        </w:rPr>
        <w:t>COMPLIANCE OF THE REFORM AGENDA WITH THE MACROFISCAL FRAMEWORK OF THE ERP</w:t>
      </w:r>
      <w:bookmarkEnd w:id="47"/>
      <w:bookmarkEnd w:id="48"/>
    </w:p>
    <w:p w:rsidR="004D65F1" w:rsidRDefault="004D65F1" w:rsidP="004D65F1">
      <w:pPr>
        <w:spacing w:before="120" w:after="0"/>
        <w:rPr>
          <w:rFonts w:cs="Times New Roman"/>
          <w:b/>
          <w:bCs/>
          <w:szCs w:val="24"/>
          <w:lang w:val="sr-Cyrl-RS"/>
        </w:rPr>
      </w:pPr>
      <w:r w:rsidRPr="00CB565B">
        <w:rPr>
          <w:rFonts w:cs="Times New Roman"/>
          <w:szCs w:val="24"/>
          <w:lang w:val="sr-Cyrl-RS"/>
        </w:rPr>
        <w:t>The Reform Agenda of the Republic of Serbia, as a central part of the EU Growth Plan for the Western Balkans, represents a strategic framework for accelerating reforms that contribute to economic and social convergence with the European Union. It focuses on four main areas: improving the business environment and private sector development, green and digital trans</w:t>
      </w:r>
      <w:r>
        <w:rPr>
          <w:rFonts w:cs="Times New Roman"/>
          <w:szCs w:val="24"/>
          <w:lang w:val="sr-Cyrl-RS"/>
        </w:rPr>
        <w:t>itions, improving human capital</w:t>
      </w:r>
      <w:r w:rsidRPr="00CB565B">
        <w:rPr>
          <w:rFonts w:cs="Times New Roman"/>
          <w:szCs w:val="24"/>
          <w:lang w:val="sr-Cyrl-RS"/>
        </w:rPr>
        <w:t xml:space="preserve"> and fundamental reforms covering the rule of law, transparency and the fight against corruption. With the engagement of the Government and stakeholders, Serbia will work to address priority challenges, implement structural reforms, and preserve fiscal and macroeconomic stability.</w:t>
      </w:r>
    </w:p>
    <w:p w:rsidR="004D65F1" w:rsidRDefault="004D65F1" w:rsidP="004D65F1">
      <w:pPr>
        <w:spacing w:before="120" w:after="0"/>
        <w:rPr>
          <w:rFonts w:cs="Times New Roman"/>
          <w:b/>
          <w:bCs/>
          <w:szCs w:val="24"/>
          <w:lang w:val="sr-Cyrl-RS"/>
        </w:rPr>
      </w:pPr>
      <w:r w:rsidRPr="00CB565B">
        <w:rPr>
          <w:rFonts w:cs="Times New Roman"/>
          <w:b/>
          <w:bCs/>
          <w:szCs w:val="24"/>
          <w:lang w:val="sr-Cyrl-RS"/>
        </w:rPr>
        <w:t>Overview of reforms and goals:</w:t>
      </w:r>
    </w:p>
    <w:p w:rsidR="004D65F1" w:rsidRPr="00AD7E7D" w:rsidRDefault="004D65F1" w:rsidP="004D65F1">
      <w:pPr>
        <w:spacing w:before="120" w:after="0"/>
        <w:rPr>
          <w:rFonts w:cs="Times New Roman"/>
          <w:b/>
          <w:bCs/>
          <w:szCs w:val="24"/>
        </w:rPr>
      </w:pPr>
      <w:r>
        <w:rPr>
          <w:rFonts w:cs="Times New Roman"/>
          <w:b/>
          <w:bCs/>
          <w:szCs w:val="24"/>
        </w:rPr>
        <w:t xml:space="preserve">1. </w:t>
      </w:r>
      <w:r w:rsidRPr="00CB565B">
        <w:rPr>
          <w:rFonts w:cs="Times New Roman"/>
          <w:b/>
          <w:bCs/>
          <w:szCs w:val="24"/>
          <w:lang w:val="sr-Cyrl-RS"/>
        </w:rPr>
        <w:t>Business environment and private sector development</w:t>
      </w:r>
    </w:p>
    <w:p w:rsidR="004D65F1" w:rsidRPr="00AD7E7D" w:rsidRDefault="004D65F1" w:rsidP="004D65F1">
      <w:pPr>
        <w:numPr>
          <w:ilvl w:val="0"/>
          <w:numId w:val="34"/>
        </w:numPr>
        <w:spacing w:before="120" w:after="0"/>
        <w:jc w:val="left"/>
        <w:rPr>
          <w:rFonts w:eastAsia="Times New Roman" w:cs="Times New Roman"/>
          <w:szCs w:val="24"/>
        </w:rPr>
      </w:pPr>
      <w:r w:rsidRPr="00CB565B">
        <w:rPr>
          <w:rFonts w:cs="Times New Roman"/>
          <w:b/>
          <w:bCs/>
          <w:szCs w:val="24"/>
          <w:lang w:val="sr-Cyrl-RS"/>
        </w:rPr>
        <w:t>Business environment</w:t>
      </w:r>
      <w:r w:rsidRPr="00AD7E7D">
        <w:rPr>
          <w:rFonts w:eastAsia="Times New Roman" w:cs="Times New Roman"/>
          <w:b/>
          <w:bCs/>
          <w:szCs w:val="24"/>
        </w:rPr>
        <w:t>:</w:t>
      </w:r>
    </w:p>
    <w:p w:rsidR="004D65F1" w:rsidRPr="006B6A89" w:rsidRDefault="004D65F1" w:rsidP="004D65F1">
      <w:pPr>
        <w:numPr>
          <w:ilvl w:val="1"/>
          <w:numId w:val="34"/>
        </w:numPr>
        <w:spacing w:before="120" w:after="0"/>
        <w:rPr>
          <w:rFonts w:eastAsia="Times New Roman" w:cs="Times New Roman"/>
          <w:szCs w:val="24"/>
        </w:rPr>
      </w:pPr>
      <w:r w:rsidRPr="00CB565B">
        <w:rPr>
          <w:rFonts w:eastAsia="Times New Roman" w:cs="Times New Roman"/>
          <w:szCs w:val="24"/>
        </w:rPr>
        <w:t>Improving public investment management and sustainable and efficient management of business entities owned by the Republic of Serbia.</w:t>
      </w:r>
    </w:p>
    <w:p w:rsidR="004D65F1" w:rsidRPr="00AD7E7D" w:rsidRDefault="004D65F1" w:rsidP="004D65F1">
      <w:pPr>
        <w:numPr>
          <w:ilvl w:val="0"/>
          <w:numId w:val="34"/>
        </w:numPr>
        <w:spacing w:before="120" w:after="0"/>
        <w:rPr>
          <w:rFonts w:eastAsia="Times New Roman" w:cs="Times New Roman"/>
          <w:szCs w:val="24"/>
        </w:rPr>
      </w:pPr>
      <w:r>
        <w:rPr>
          <w:rFonts w:cs="Times New Roman"/>
          <w:b/>
          <w:bCs/>
          <w:szCs w:val="24"/>
          <w:lang w:val="sr-Latn-RS"/>
        </w:rPr>
        <w:t>P</w:t>
      </w:r>
      <w:r w:rsidRPr="00CB565B">
        <w:rPr>
          <w:rFonts w:cs="Times New Roman"/>
          <w:b/>
          <w:bCs/>
          <w:szCs w:val="24"/>
          <w:lang w:val="sr-Cyrl-RS"/>
        </w:rPr>
        <w:t>rivate sector development</w:t>
      </w:r>
      <w:r w:rsidRPr="00AD7E7D">
        <w:rPr>
          <w:rFonts w:eastAsia="Times New Roman" w:cs="Times New Roman"/>
          <w:b/>
          <w:bCs/>
          <w:szCs w:val="24"/>
        </w:rPr>
        <w:t>:</w:t>
      </w:r>
    </w:p>
    <w:p w:rsidR="004D65F1" w:rsidRPr="00CB565B" w:rsidRDefault="004D65F1" w:rsidP="004D65F1">
      <w:pPr>
        <w:numPr>
          <w:ilvl w:val="1"/>
          <w:numId w:val="34"/>
        </w:numPr>
        <w:spacing w:before="120" w:after="0"/>
        <w:rPr>
          <w:rFonts w:eastAsia="Times New Roman" w:cs="Times New Roman"/>
          <w:szCs w:val="24"/>
        </w:rPr>
      </w:pPr>
      <w:r w:rsidRPr="00CB565B">
        <w:rPr>
          <w:rFonts w:eastAsia="Times New Roman" w:cs="Times New Roman"/>
          <w:szCs w:val="24"/>
          <w:lang w:val="sr-Cyrl-RS"/>
        </w:rPr>
        <w:t>Improving investment and development opportunities for entrepreneurs and the private sector.</w:t>
      </w:r>
    </w:p>
    <w:p w:rsidR="004D65F1" w:rsidRPr="00AD7E7D" w:rsidRDefault="004D65F1" w:rsidP="004D65F1">
      <w:pPr>
        <w:numPr>
          <w:ilvl w:val="1"/>
          <w:numId w:val="34"/>
        </w:numPr>
        <w:spacing w:before="120" w:after="0"/>
        <w:rPr>
          <w:rFonts w:eastAsia="Times New Roman" w:cs="Times New Roman"/>
          <w:szCs w:val="24"/>
        </w:rPr>
      </w:pPr>
      <w:r w:rsidRPr="00CB565B">
        <w:rPr>
          <w:rFonts w:eastAsia="Times New Roman" w:cs="Times New Roman"/>
          <w:szCs w:val="24"/>
          <w:lang w:val="sr-Cyrl-RS"/>
        </w:rPr>
        <w:t>Further development of the scientific and innovation ecosyste</w:t>
      </w:r>
      <w:r>
        <w:rPr>
          <w:rFonts w:eastAsia="Times New Roman" w:cs="Times New Roman"/>
          <w:szCs w:val="24"/>
          <w:lang w:val="sr-Cyrl-RS"/>
        </w:rPr>
        <w:t>m for a knowledge-based economy.</w:t>
      </w:r>
    </w:p>
    <w:p w:rsidR="004D65F1" w:rsidRPr="00AD7E7D" w:rsidRDefault="004D65F1" w:rsidP="004D65F1">
      <w:pPr>
        <w:numPr>
          <w:ilvl w:val="0"/>
          <w:numId w:val="34"/>
        </w:numPr>
        <w:spacing w:before="120" w:after="0"/>
        <w:rPr>
          <w:rFonts w:eastAsia="Times New Roman" w:cs="Times New Roman"/>
          <w:szCs w:val="24"/>
        </w:rPr>
      </w:pPr>
      <w:r w:rsidRPr="00CB565B">
        <w:rPr>
          <w:rFonts w:eastAsia="Times New Roman" w:cs="Times New Roman"/>
          <w:b/>
          <w:bCs/>
          <w:szCs w:val="24"/>
        </w:rPr>
        <w:t>Business sector competitiveness</w:t>
      </w:r>
      <w:r w:rsidRPr="00AD7E7D">
        <w:rPr>
          <w:rFonts w:eastAsia="Times New Roman" w:cs="Times New Roman"/>
          <w:b/>
          <w:bCs/>
          <w:szCs w:val="24"/>
        </w:rPr>
        <w:t>:</w:t>
      </w:r>
    </w:p>
    <w:p w:rsidR="004D65F1" w:rsidRPr="00A92544" w:rsidRDefault="004D65F1" w:rsidP="004D65F1">
      <w:pPr>
        <w:numPr>
          <w:ilvl w:val="1"/>
          <w:numId w:val="34"/>
        </w:numPr>
        <w:spacing w:before="120" w:after="0"/>
        <w:rPr>
          <w:rFonts w:eastAsia="Times New Roman" w:cs="Times New Roman"/>
          <w:szCs w:val="24"/>
        </w:rPr>
      </w:pPr>
      <w:r>
        <w:rPr>
          <w:rFonts w:eastAsia="Times New Roman" w:cs="Times New Roman"/>
          <w:szCs w:val="24"/>
          <w:lang w:val="sr-Latn-RS"/>
        </w:rPr>
        <w:t>Improving competitivness of agricultural sector</w:t>
      </w:r>
      <w:r>
        <w:rPr>
          <w:rFonts w:eastAsia="Times New Roman" w:cs="Times New Roman"/>
          <w:szCs w:val="24"/>
          <w:lang w:val="sr-Cyrl-RS"/>
        </w:rPr>
        <w:t>.</w:t>
      </w:r>
    </w:p>
    <w:p w:rsidR="004D65F1" w:rsidRPr="00FF1531" w:rsidRDefault="004D65F1" w:rsidP="004D65F1">
      <w:pPr>
        <w:spacing w:before="120" w:after="0"/>
        <w:rPr>
          <w:rFonts w:cs="Times New Roman"/>
          <w:szCs w:val="24"/>
          <w:lang w:val="sr-Cyrl-RS"/>
        </w:rPr>
      </w:pPr>
      <w:r w:rsidRPr="00FF1531">
        <w:rPr>
          <w:rFonts w:cs="Times New Roman"/>
          <w:szCs w:val="24"/>
          <w:lang w:val="sr-Cyrl-RS"/>
        </w:rPr>
        <w:t>Objective: Improving the efficient management of business entities owned by the Republic of Serbia, improving the overall management of capital projects, improving investment and development opportunities for entrepreneurs and the private sector through better implementation of state aid and public procurement rules, improved identification of parafiscal levies, increasing the competitiveness of the agricultural sector and developing the scientific and innovation ecosystem necessary for the further development of a knowledge-based economy.</w:t>
      </w:r>
    </w:p>
    <w:p w:rsidR="004D65F1" w:rsidRDefault="004D65F1" w:rsidP="004D65F1">
      <w:pPr>
        <w:spacing w:before="120" w:after="0"/>
        <w:rPr>
          <w:rFonts w:eastAsia="Calibri" w:cs="Times New Roman"/>
          <w:b/>
          <w:bCs/>
          <w:szCs w:val="24"/>
        </w:rPr>
      </w:pPr>
    </w:p>
    <w:p w:rsidR="004D65F1" w:rsidRPr="00AD7E7D" w:rsidRDefault="004D65F1" w:rsidP="004D65F1">
      <w:pPr>
        <w:spacing w:before="120" w:after="0"/>
        <w:rPr>
          <w:rFonts w:eastAsia="Calibri" w:cs="Times New Roman"/>
          <w:b/>
          <w:bCs/>
          <w:szCs w:val="24"/>
        </w:rPr>
      </w:pPr>
      <w:r w:rsidRPr="00AD7E7D">
        <w:rPr>
          <w:rFonts w:eastAsia="Calibri" w:cs="Times New Roman"/>
          <w:b/>
          <w:bCs/>
          <w:szCs w:val="24"/>
        </w:rPr>
        <w:t xml:space="preserve">2. </w:t>
      </w:r>
      <w:r>
        <w:rPr>
          <w:rFonts w:eastAsia="Calibri" w:cs="Times New Roman"/>
          <w:b/>
          <w:bCs/>
          <w:szCs w:val="24"/>
        </w:rPr>
        <w:t>Green and digital transition</w:t>
      </w:r>
    </w:p>
    <w:p w:rsidR="004D65F1" w:rsidRPr="00AD7E7D" w:rsidRDefault="004D65F1" w:rsidP="004D65F1">
      <w:pPr>
        <w:numPr>
          <w:ilvl w:val="0"/>
          <w:numId w:val="35"/>
        </w:numPr>
        <w:spacing w:before="120" w:after="0"/>
        <w:jc w:val="left"/>
        <w:rPr>
          <w:rFonts w:eastAsia="Times New Roman" w:cs="Times New Roman"/>
          <w:szCs w:val="24"/>
        </w:rPr>
      </w:pPr>
      <w:r w:rsidRPr="00C83FE3">
        <w:rPr>
          <w:rFonts w:eastAsia="Times New Roman" w:cs="Times New Roman"/>
          <w:b/>
          <w:bCs/>
          <w:szCs w:val="24"/>
        </w:rPr>
        <w:t>Transformation of the energy sector</w:t>
      </w:r>
      <w:r w:rsidRPr="00AD7E7D">
        <w:rPr>
          <w:rFonts w:eastAsia="Times New Roman" w:cs="Times New Roman"/>
          <w:b/>
          <w:bCs/>
          <w:szCs w:val="24"/>
        </w:rPr>
        <w:t>:</w:t>
      </w:r>
    </w:p>
    <w:p w:rsidR="004D65F1" w:rsidRPr="00C83FE3" w:rsidRDefault="004D65F1" w:rsidP="004D65F1">
      <w:pPr>
        <w:numPr>
          <w:ilvl w:val="1"/>
          <w:numId w:val="35"/>
        </w:numPr>
        <w:spacing w:before="120" w:after="0"/>
        <w:rPr>
          <w:rFonts w:eastAsia="Times New Roman" w:cs="Times New Roman"/>
          <w:szCs w:val="24"/>
        </w:rPr>
      </w:pPr>
      <w:r w:rsidRPr="00C83FE3">
        <w:t>Implementation of the Third Energy Package for gas and transmission, as well as the implementation of the electricity integration package.</w:t>
      </w:r>
    </w:p>
    <w:p w:rsidR="004D65F1" w:rsidRPr="00C83FE3" w:rsidRDefault="004D65F1" w:rsidP="004D65F1">
      <w:pPr>
        <w:numPr>
          <w:ilvl w:val="1"/>
          <w:numId w:val="35"/>
        </w:numPr>
        <w:spacing w:before="120" w:after="0"/>
        <w:rPr>
          <w:rFonts w:eastAsia="Times New Roman" w:cs="Times New Roman"/>
          <w:szCs w:val="24"/>
        </w:rPr>
      </w:pPr>
      <w:r w:rsidRPr="00C83FE3">
        <w:t xml:space="preserve">Gradual adjustment of tariffs </w:t>
      </w:r>
      <w:r>
        <w:t>until</w:t>
      </w:r>
      <w:r w:rsidRPr="00C83FE3">
        <w:t xml:space="preserve"> cost recovery levels with measures to address energy poverty if and when necessary.</w:t>
      </w:r>
    </w:p>
    <w:p w:rsidR="004D65F1" w:rsidRPr="00AD7E7D" w:rsidRDefault="004D65F1" w:rsidP="004D65F1">
      <w:pPr>
        <w:numPr>
          <w:ilvl w:val="1"/>
          <w:numId w:val="35"/>
        </w:numPr>
        <w:spacing w:before="120" w:after="0"/>
        <w:rPr>
          <w:rFonts w:eastAsia="Times New Roman" w:cs="Times New Roman"/>
          <w:szCs w:val="24"/>
        </w:rPr>
      </w:pPr>
      <w:r w:rsidRPr="00C83FE3">
        <w:t xml:space="preserve">Implementation of </w:t>
      </w:r>
      <w:r>
        <w:t>the Just Transition Action Plan</w:t>
      </w:r>
      <w:r>
        <w:rPr>
          <w:lang w:val="sr-Cyrl-RS"/>
        </w:rPr>
        <w:t>.</w:t>
      </w:r>
    </w:p>
    <w:p w:rsidR="004D65F1" w:rsidRPr="00D3192C" w:rsidRDefault="004D65F1" w:rsidP="004D65F1">
      <w:pPr>
        <w:numPr>
          <w:ilvl w:val="1"/>
          <w:numId w:val="35"/>
        </w:numPr>
        <w:spacing w:before="120" w:after="0"/>
        <w:rPr>
          <w:rFonts w:eastAsia="Times New Roman" w:cs="Times New Roman"/>
          <w:szCs w:val="24"/>
        </w:rPr>
      </w:pPr>
      <w:r w:rsidRPr="00C83FE3">
        <w:t>Ensuring transparent and competitive procedures for the i</w:t>
      </w:r>
      <w:r>
        <w:t>ntroduction of renewable energy</w:t>
      </w:r>
      <w:r>
        <w:rPr>
          <w:lang w:val="sr-Cyrl-RS"/>
        </w:rPr>
        <w:t>.</w:t>
      </w:r>
    </w:p>
    <w:p w:rsidR="004D65F1" w:rsidRDefault="004D65F1" w:rsidP="004D65F1">
      <w:pPr>
        <w:numPr>
          <w:ilvl w:val="1"/>
          <w:numId w:val="35"/>
        </w:numPr>
        <w:spacing w:before="120" w:after="0"/>
        <w:rPr>
          <w:rFonts w:eastAsia="Times New Roman" w:cs="Times New Roman"/>
          <w:szCs w:val="24"/>
        </w:rPr>
      </w:pPr>
      <w:r w:rsidRPr="00C83FE3">
        <w:t>Implementation of the Renewable Energy Directive (permits, g</w:t>
      </w:r>
      <w:r>
        <w:t>uarantees of origin, prosumers)</w:t>
      </w:r>
      <w:r>
        <w:rPr>
          <w:lang w:val="sr-Cyrl-RS"/>
        </w:rPr>
        <w:t>.</w:t>
      </w:r>
    </w:p>
    <w:p w:rsidR="004D65F1" w:rsidRPr="00D3192C" w:rsidRDefault="004D65F1" w:rsidP="004D65F1">
      <w:pPr>
        <w:numPr>
          <w:ilvl w:val="1"/>
          <w:numId w:val="35"/>
        </w:numPr>
        <w:spacing w:before="120" w:after="0"/>
        <w:rPr>
          <w:rFonts w:eastAsia="Times New Roman" w:cs="Times New Roman"/>
          <w:szCs w:val="24"/>
        </w:rPr>
      </w:pPr>
      <w:r>
        <w:lastRenderedPageBreak/>
        <w:t>Implementation of the MRVA22 package</w:t>
      </w:r>
      <w:r>
        <w:rPr>
          <w:lang w:val="sr-Cyrl-RS"/>
        </w:rPr>
        <w:t>.</w:t>
      </w:r>
    </w:p>
    <w:p w:rsidR="004D65F1" w:rsidRPr="00D3192C" w:rsidRDefault="004D65F1" w:rsidP="004D65F1">
      <w:pPr>
        <w:numPr>
          <w:ilvl w:val="1"/>
          <w:numId w:val="35"/>
        </w:numPr>
        <w:spacing w:before="120" w:after="0"/>
        <w:rPr>
          <w:rFonts w:eastAsia="Times New Roman" w:cs="Times New Roman"/>
          <w:szCs w:val="24"/>
        </w:rPr>
      </w:pPr>
      <w:r w:rsidRPr="00C83FE3">
        <w:t>Implementation of the Energy Efficiency Directive, the Energy Performance of Buildings Directive, eco-design and energy labelling regulations.</w:t>
      </w:r>
    </w:p>
    <w:p w:rsidR="004D65F1" w:rsidRPr="00AD7E7D" w:rsidRDefault="004D65F1" w:rsidP="004D65F1">
      <w:pPr>
        <w:numPr>
          <w:ilvl w:val="0"/>
          <w:numId w:val="35"/>
        </w:numPr>
        <w:spacing w:before="120" w:after="0"/>
        <w:jc w:val="left"/>
        <w:rPr>
          <w:rFonts w:eastAsia="Times New Roman" w:cs="Times New Roman"/>
          <w:szCs w:val="24"/>
        </w:rPr>
      </w:pPr>
      <w:r>
        <w:rPr>
          <w:rFonts w:eastAsia="Times New Roman" w:cs="Times New Roman"/>
          <w:b/>
          <w:bCs/>
          <w:szCs w:val="24"/>
        </w:rPr>
        <w:t>Digitalisation</w:t>
      </w:r>
      <w:r w:rsidRPr="00AD7E7D">
        <w:rPr>
          <w:rFonts w:eastAsia="Times New Roman" w:cs="Times New Roman"/>
          <w:b/>
          <w:bCs/>
          <w:szCs w:val="24"/>
        </w:rPr>
        <w:t>:</w:t>
      </w:r>
    </w:p>
    <w:p w:rsidR="004D65F1" w:rsidRPr="009D7952" w:rsidRDefault="004D65F1" w:rsidP="004D65F1">
      <w:pPr>
        <w:numPr>
          <w:ilvl w:val="1"/>
          <w:numId w:val="35"/>
        </w:numPr>
        <w:spacing w:before="120" w:after="0"/>
        <w:jc w:val="left"/>
        <w:rPr>
          <w:rFonts w:eastAsia="Times New Roman" w:cs="Times New Roman"/>
          <w:szCs w:val="24"/>
        </w:rPr>
      </w:pPr>
      <w:r w:rsidRPr="009D7952">
        <w:t>Development of secure and sustainable digital infrastructure, including the development of broadband access in rural areas and 5G networks.</w:t>
      </w:r>
    </w:p>
    <w:p w:rsidR="004D65F1" w:rsidRPr="009D7952" w:rsidRDefault="004D65F1" w:rsidP="004D65F1">
      <w:pPr>
        <w:numPr>
          <w:ilvl w:val="1"/>
          <w:numId w:val="35"/>
        </w:numPr>
        <w:spacing w:before="120" w:after="0"/>
        <w:rPr>
          <w:rStyle w:val="rynqvb"/>
          <w:rFonts w:eastAsia="Times New Roman" w:cs="Times New Roman"/>
          <w:szCs w:val="24"/>
        </w:rPr>
      </w:pPr>
      <w:r>
        <w:rPr>
          <w:rStyle w:val="rynqvb"/>
          <w:lang w:val="en"/>
        </w:rPr>
        <w:t xml:space="preserve">Further digitalisation of public services and administrative procedures for businesses and citizens. </w:t>
      </w:r>
    </w:p>
    <w:p w:rsidR="004D65F1" w:rsidRPr="009D7952" w:rsidRDefault="004D65F1" w:rsidP="004D65F1">
      <w:pPr>
        <w:numPr>
          <w:ilvl w:val="1"/>
          <w:numId w:val="35"/>
        </w:numPr>
        <w:spacing w:before="120" w:after="0"/>
        <w:rPr>
          <w:rStyle w:val="rynqvb"/>
          <w:rFonts w:eastAsia="Times New Roman" w:cs="Times New Roman"/>
          <w:szCs w:val="24"/>
        </w:rPr>
      </w:pPr>
      <w:r>
        <w:rPr>
          <w:rStyle w:val="rynqvb"/>
          <w:lang w:val="en"/>
        </w:rPr>
        <w:t xml:space="preserve">Strengthening adult education, training and relevant opportunities for improving digital skills and literacy. </w:t>
      </w:r>
    </w:p>
    <w:p w:rsidR="004D65F1" w:rsidRPr="009D7952" w:rsidRDefault="004D65F1" w:rsidP="004D65F1">
      <w:pPr>
        <w:numPr>
          <w:ilvl w:val="1"/>
          <w:numId w:val="35"/>
        </w:numPr>
        <w:spacing w:before="120" w:after="0"/>
        <w:rPr>
          <w:rStyle w:val="rynqvb"/>
          <w:rFonts w:eastAsia="Times New Roman" w:cs="Times New Roman"/>
          <w:szCs w:val="24"/>
        </w:rPr>
      </w:pPr>
      <w:r>
        <w:rPr>
          <w:rStyle w:val="rynqvb"/>
          <w:lang w:val="en"/>
        </w:rPr>
        <w:t>Establishing a comprehensive framework for information security and artificial intelligence.</w:t>
      </w:r>
    </w:p>
    <w:p w:rsidR="004D65F1" w:rsidRPr="00AD7E7D" w:rsidRDefault="004D65F1" w:rsidP="004D65F1">
      <w:pPr>
        <w:numPr>
          <w:ilvl w:val="1"/>
          <w:numId w:val="35"/>
        </w:numPr>
        <w:spacing w:before="120" w:after="0"/>
        <w:rPr>
          <w:rFonts w:eastAsia="Times New Roman" w:cs="Times New Roman"/>
          <w:szCs w:val="24"/>
        </w:rPr>
      </w:pPr>
      <w:r w:rsidRPr="009D7952">
        <w:t>Introducing an intelligent transport system and an electronic freight transport system</w:t>
      </w:r>
      <w:r>
        <w:t>.</w:t>
      </w:r>
    </w:p>
    <w:p w:rsidR="004D65F1" w:rsidRPr="00FF1531" w:rsidRDefault="004D65F1" w:rsidP="004D65F1">
      <w:pPr>
        <w:spacing w:before="120" w:after="0"/>
        <w:rPr>
          <w:rFonts w:cs="Times New Roman"/>
          <w:szCs w:val="24"/>
          <w:lang w:val="sr-Cyrl-RS"/>
        </w:rPr>
      </w:pPr>
      <w:r w:rsidRPr="009D7952">
        <w:rPr>
          <w:rFonts w:cs="Times New Roman"/>
          <w:szCs w:val="24"/>
          <w:lang w:val="sr-Cyrl-RS"/>
        </w:rPr>
        <w:t>Objective: In the energy sector, the objectives are to ensure the transformation of the energy sector in accordance with European rules governing the energy sector and to ensure the decarbonization process, while ensuring energy security, integrating the energy market of the Republic of Serbia with the single European market, and ensuring affordable electricity prices. In the field of digitalization, the objectives are to develop a secure and sustainable digital infrastructure, including the introduction of rural broadband and 5G networks, further digitalization of public services and administrative procedures for citizens and businesses, strengthen</w:t>
      </w:r>
      <w:r>
        <w:rPr>
          <w:rFonts w:cs="Times New Roman"/>
          <w:szCs w:val="24"/>
          <w:lang w:val="sr-Cyrl-RS"/>
        </w:rPr>
        <w:t>ing digital skills and literacy</w:t>
      </w:r>
      <w:r w:rsidRPr="009D7952">
        <w:rPr>
          <w:rFonts w:cs="Times New Roman"/>
          <w:szCs w:val="24"/>
          <w:lang w:val="sr-Cyrl-RS"/>
        </w:rPr>
        <w:t xml:space="preserve"> and establishing a comprehensive framework for information security and the development of an intelligent transport system and eFreight.</w:t>
      </w:r>
    </w:p>
    <w:p w:rsidR="004D65F1" w:rsidRDefault="004D65F1" w:rsidP="004D65F1">
      <w:pPr>
        <w:spacing w:before="120" w:after="0"/>
        <w:rPr>
          <w:rFonts w:eastAsia="Calibri" w:cs="Times New Roman"/>
          <w:b/>
          <w:bCs/>
          <w:szCs w:val="24"/>
        </w:rPr>
      </w:pPr>
    </w:p>
    <w:p w:rsidR="004D65F1" w:rsidRPr="00AD7E7D" w:rsidRDefault="004D65F1" w:rsidP="004D65F1">
      <w:pPr>
        <w:spacing w:before="120" w:after="0"/>
        <w:rPr>
          <w:rFonts w:eastAsia="Calibri" w:cs="Times New Roman"/>
          <w:b/>
          <w:bCs/>
          <w:szCs w:val="24"/>
        </w:rPr>
      </w:pPr>
      <w:r w:rsidRPr="00AD7E7D">
        <w:rPr>
          <w:rFonts w:eastAsia="Calibri" w:cs="Times New Roman"/>
          <w:b/>
          <w:bCs/>
          <w:szCs w:val="24"/>
        </w:rPr>
        <w:t xml:space="preserve">3. </w:t>
      </w:r>
      <w:r>
        <w:rPr>
          <w:rFonts w:eastAsia="Calibri" w:cs="Times New Roman"/>
          <w:b/>
          <w:bCs/>
          <w:szCs w:val="24"/>
        </w:rPr>
        <w:t>Human capital</w:t>
      </w:r>
    </w:p>
    <w:p w:rsidR="004D65F1" w:rsidRPr="007661B3" w:rsidRDefault="004D65F1" w:rsidP="004D65F1">
      <w:pPr>
        <w:numPr>
          <w:ilvl w:val="0"/>
          <w:numId w:val="36"/>
        </w:numPr>
        <w:spacing w:before="120" w:after="0"/>
        <w:rPr>
          <w:rFonts w:eastAsia="Times New Roman" w:cs="Times New Roman"/>
          <w:b/>
          <w:szCs w:val="24"/>
        </w:rPr>
      </w:pPr>
      <w:r>
        <w:rPr>
          <w:rFonts w:eastAsia="Times New Roman" w:cs="Times New Roman"/>
          <w:b/>
          <w:szCs w:val="24"/>
          <w:lang w:val="sr-Latn-RS"/>
        </w:rPr>
        <w:t>Labour market</w:t>
      </w:r>
    </w:p>
    <w:p w:rsidR="004D65F1" w:rsidRPr="00AD7E7D" w:rsidRDefault="004D65F1" w:rsidP="004D65F1">
      <w:pPr>
        <w:numPr>
          <w:ilvl w:val="1"/>
          <w:numId w:val="36"/>
        </w:numPr>
        <w:spacing w:before="120" w:after="0"/>
        <w:rPr>
          <w:rFonts w:eastAsia="Times New Roman" w:cs="Times New Roman"/>
          <w:szCs w:val="24"/>
        </w:rPr>
      </w:pPr>
      <w:r w:rsidRPr="009D7952">
        <w:t>Improving labour market conditions, including ensuring adequate financial and institutional resources and capacity for activation in the field of employment and</w:t>
      </w:r>
      <w:r>
        <w:t xml:space="preserve"> social policies</w:t>
      </w:r>
      <w:r w:rsidRPr="00AD7E7D">
        <w:rPr>
          <w:rFonts w:eastAsia="Times New Roman" w:cs="Times New Roman"/>
          <w:szCs w:val="24"/>
        </w:rPr>
        <w:t>.</w:t>
      </w:r>
    </w:p>
    <w:p w:rsidR="004D65F1" w:rsidRDefault="004D65F1" w:rsidP="004D65F1">
      <w:pPr>
        <w:numPr>
          <w:ilvl w:val="1"/>
          <w:numId w:val="36"/>
        </w:numPr>
        <w:spacing w:before="120" w:after="0"/>
        <w:rPr>
          <w:rFonts w:eastAsia="Times New Roman" w:cs="Times New Roman"/>
          <w:szCs w:val="24"/>
        </w:rPr>
      </w:pPr>
      <w:r w:rsidRPr="009D7952">
        <w:t xml:space="preserve">Implementing training and skills development programmes in critical sectors such as teacher education, to proactively address key factors affecting the skills and retention </w:t>
      </w:r>
      <w:r>
        <w:t>of the workforce in these areas</w:t>
      </w:r>
      <w:r w:rsidRPr="00AD7E7D">
        <w:rPr>
          <w:rFonts w:eastAsia="Times New Roman" w:cs="Times New Roman"/>
          <w:szCs w:val="24"/>
        </w:rPr>
        <w:t>.</w:t>
      </w:r>
    </w:p>
    <w:p w:rsidR="004D65F1" w:rsidRPr="007661B3" w:rsidRDefault="004D65F1" w:rsidP="004D65F1">
      <w:pPr>
        <w:pStyle w:val="ListParagraph"/>
        <w:numPr>
          <w:ilvl w:val="0"/>
          <w:numId w:val="36"/>
        </w:numPr>
        <w:spacing w:before="120" w:after="0" w:line="240" w:lineRule="auto"/>
        <w:rPr>
          <w:rFonts w:eastAsia="Times New Roman" w:cs="Times New Roman"/>
          <w:b/>
          <w:sz w:val="24"/>
          <w:szCs w:val="24"/>
          <w:lang w:val="sr-Cyrl-RS"/>
        </w:rPr>
      </w:pPr>
      <w:r w:rsidRPr="009D7952">
        <w:rPr>
          <w:rFonts w:eastAsia="Times New Roman" w:cs="Times New Roman"/>
          <w:b/>
          <w:sz w:val="24"/>
          <w:szCs w:val="24"/>
          <w:lang w:val="sr-Cyrl-RS"/>
        </w:rPr>
        <w:t>Education and skills</w:t>
      </w:r>
    </w:p>
    <w:p w:rsidR="004D65F1" w:rsidRPr="009D7952" w:rsidRDefault="004D65F1" w:rsidP="004D65F1">
      <w:pPr>
        <w:numPr>
          <w:ilvl w:val="1"/>
          <w:numId w:val="36"/>
        </w:numPr>
        <w:spacing w:before="120" w:after="0"/>
        <w:rPr>
          <w:rFonts w:eastAsia="Times New Roman" w:cs="Times New Roman"/>
          <w:szCs w:val="24"/>
        </w:rPr>
      </w:pPr>
      <w:r w:rsidRPr="009D7952">
        <w:t>Improving the quality of teaching and learning, equity and accessibility at all levels of education.</w:t>
      </w:r>
    </w:p>
    <w:p w:rsidR="004D65F1" w:rsidRPr="00A92544" w:rsidRDefault="004D65F1" w:rsidP="004D65F1">
      <w:pPr>
        <w:numPr>
          <w:ilvl w:val="1"/>
          <w:numId w:val="36"/>
        </w:numPr>
        <w:spacing w:before="120" w:after="0"/>
        <w:rPr>
          <w:rFonts w:eastAsia="Times New Roman" w:cs="Times New Roman"/>
          <w:szCs w:val="24"/>
        </w:rPr>
      </w:pPr>
      <w:r w:rsidRPr="009D7952">
        <w:t>Reducing skills mismatches in the labour market and facilitating the transition f</w:t>
      </w:r>
      <w:r>
        <w:t>rom school to work, including improvement of</w:t>
      </w:r>
      <w:r w:rsidRPr="009D7952">
        <w:t xml:space="preserve"> further </w:t>
      </w:r>
      <w:r>
        <w:t>primary and secondary education</w:t>
      </w:r>
      <w:r w:rsidRPr="009D7952">
        <w:t xml:space="preserve">, including dual </w:t>
      </w:r>
      <w:r>
        <w:t>primary and secondary education</w:t>
      </w:r>
      <w:r w:rsidRPr="009D7952">
        <w:t>, strengthening education, training and</w:t>
      </w:r>
      <w:r>
        <w:t xml:space="preserve"> relevant upskilling for adults</w:t>
      </w:r>
      <w:r>
        <w:rPr>
          <w:lang w:val="sr-Cyrl-RS"/>
        </w:rPr>
        <w:t>.</w:t>
      </w:r>
    </w:p>
    <w:p w:rsidR="004D65F1" w:rsidRDefault="004D65F1" w:rsidP="004D65F1">
      <w:pPr>
        <w:spacing w:before="120" w:after="0"/>
        <w:rPr>
          <w:rFonts w:cs="Times New Roman"/>
          <w:szCs w:val="24"/>
          <w:lang w:val="sr-Cyrl-RS"/>
        </w:rPr>
      </w:pPr>
      <w:r>
        <w:rPr>
          <w:rFonts w:cs="Times New Roman"/>
          <w:szCs w:val="24"/>
          <w:lang w:val="sr-Latn-RS"/>
        </w:rPr>
        <w:t>Objective</w:t>
      </w:r>
      <w:r w:rsidRPr="00A764A4">
        <w:rPr>
          <w:rFonts w:cs="Times New Roman"/>
          <w:szCs w:val="24"/>
          <w:lang w:val="sr-Cyrl-RS"/>
        </w:rPr>
        <w:t>: Comprehensive support for the youth of the Republic of Serbia in formal and non-formal education and career paths to enable them to live fulfilled and independent lives with meaningful engagement in their local communities and the contemporary world.</w:t>
      </w:r>
    </w:p>
    <w:p w:rsidR="004D65F1" w:rsidRDefault="004D65F1" w:rsidP="004D65F1">
      <w:pPr>
        <w:spacing w:before="120" w:after="0"/>
      </w:pPr>
    </w:p>
    <w:p w:rsidR="004D65F1" w:rsidRPr="00AD7E7D" w:rsidRDefault="004D65F1" w:rsidP="004D65F1">
      <w:pPr>
        <w:spacing w:before="120" w:after="0"/>
        <w:rPr>
          <w:rFonts w:cs="Times New Roman"/>
          <w:b/>
          <w:bCs/>
          <w:szCs w:val="24"/>
        </w:rPr>
      </w:pPr>
      <w:r w:rsidRPr="00AD7E7D">
        <w:rPr>
          <w:rFonts w:cs="Times New Roman"/>
          <w:b/>
          <w:bCs/>
          <w:szCs w:val="24"/>
        </w:rPr>
        <w:t xml:space="preserve">4. </w:t>
      </w:r>
      <w:r>
        <w:rPr>
          <w:rFonts w:cs="Times New Roman"/>
          <w:b/>
          <w:bCs/>
          <w:szCs w:val="24"/>
        </w:rPr>
        <w:t>Basics</w:t>
      </w:r>
    </w:p>
    <w:p w:rsidR="004D65F1" w:rsidRPr="00F657FD" w:rsidRDefault="004D65F1" w:rsidP="004D65F1">
      <w:pPr>
        <w:numPr>
          <w:ilvl w:val="0"/>
          <w:numId w:val="33"/>
        </w:numPr>
        <w:spacing w:before="120" w:after="0"/>
        <w:rPr>
          <w:rFonts w:eastAsia="Times New Roman" w:cs="Times New Roman"/>
          <w:szCs w:val="24"/>
        </w:rPr>
      </w:pPr>
      <w:r>
        <w:rPr>
          <w:rFonts w:eastAsia="Times New Roman" w:cs="Times New Roman"/>
          <w:b/>
          <w:bCs/>
          <w:szCs w:val="24"/>
        </w:rPr>
        <w:t>Democracy</w:t>
      </w:r>
    </w:p>
    <w:p w:rsidR="004D65F1" w:rsidRPr="00AD7E7D" w:rsidRDefault="004D65F1" w:rsidP="004D65F1">
      <w:pPr>
        <w:numPr>
          <w:ilvl w:val="1"/>
          <w:numId w:val="33"/>
        </w:numPr>
        <w:spacing w:before="120" w:after="0"/>
        <w:rPr>
          <w:rFonts w:eastAsia="Times New Roman" w:cs="Times New Roman"/>
          <w:szCs w:val="24"/>
        </w:rPr>
      </w:pPr>
      <w:r w:rsidRPr="00B405BD">
        <w:t>Preparation of a roadmap/plan and implementation of the recommendations of the OSCE/ODIHR and Council of Europe bo</w:t>
      </w:r>
      <w:r>
        <w:t>dies on the electoral framework</w:t>
      </w:r>
      <w:r>
        <w:rPr>
          <w:lang w:val="sr-Cyrl-RS"/>
        </w:rPr>
        <w:t>.</w:t>
      </w:r>
    </w:p>
    <w:p w:rsidR="004D65F1" w:rsidRDefault="004D65F1" w:rsidP="004D65F1">
      <w:pPr>
        <w:numPr>
          <w:ilvl w:val="0"/>
          <w:numId w:val="33"/>
        </w:numPr>
        <w:spacing w:before="120" w:after="0"/>
        <w:rPr>
          <w:rFonts w:eastAsia="Times New Roman" w:cs="Times New Roman"/>
          <w:szCs w:val="24"/>
        </w:rPr>
      </w:pPr>
      <w:r>
        <w:rPr>
          <w:rFonts w:eastAsia="Times New Roman" w:cs="Times New Roman"/>
          <w:b/>
          <w:bCs/>
          <w:szCs w:val="24"/>
          <w:lang w:val="sr-Latn-RS"/>
        </w:rPr>
        <w:t>Basic rights</w:t>
      </w:r>
    </w:p>
    <w:p w:rsidR="004D65F1" w:rsidRDefault="004D65F1" w:rsidP="004D65F1">
      <w:pPr>
        <w:numPr>
          <w:ilvl w:val="1"/>
          <w:numId w:val="33"/>
        </w:numPr>
        <w:spacing w:before="120" w:after="0"/>
        <w:rPr>
          <w:rFonts w:eastAsia="Times New Roman" w:cs="Times New Roman"/>
          <w:szCs w:val="24"/>
        </w:rPr>
      </w:pPr>
      <w:r w:rsidRPr="00B405BD">
        <w:t>Improving the protection of fundamental rights for vulnerable individuals and</w:t>
      </w:r>
      <w:r>
        <w:t xml:space="preserve"> members of national minorities</w:t>
      </w:r>
      <w:r w:rsidRPr="00F657FD">
        <w:rPr>
          <w:rFonts w:eastAsia="Times New Roman" w:cs="Times New Roman"/>
          <w:szCs w:val="24"/>
        </w:rPr>
        <w:t>.</w:t>
      </w:r>
    </w:p>
    <w:p w:rsidR="004D65F1" w:rsidRPr="00F657FD" w:rsidRDefault="004D65F1" w:rsidP="004D65F1">
      <w:pPr>
        <w:numPr>
          <w:ilvl w:val="1"/>
          <w:numId w:val="33"/>
        </w:numPr>
        <w:spacing w:before="120" w:after="0"/>
        <w:rPr>
          <w:rFonts w:eastAsia="Times New Roman" w:cs="Times New Roman"/>
          <w:szCs w:val="24"/>
        </w:rPr>
      </w:pPr>
      <w:r w:rsidRPr="00B405BD">
        <w:t xml:space="preserve">Improving freedom of </w:t>
      </w:r>
      <w:r>
        <w:t>speech</w:t>
      </w:r>
      <w:r w:rsidRPr="00B405BD">
        <w:t xml:space="preserve"> by amending the law on electronic media and public information and media to align it with the E</w:t>
      </w:r>
      <w:r>
        <w:t>U acquis and European standards</w:t>
      </w:r>
      <w:r w:rsidRPr="00B405BD">
        <w:t xml:space="preserve"> and by adopting the law on public media services an</w:t>
      </w:r>
      <w:r>
        <w:t>d ensuring their implementation.</w:t>
      </w:r>
    </w:p>
    <w:p w:rsidR="004D65F1" w:rsidRPr="00897ED1" w:rsidRDefault="004D65F1" w:rsidP="004D65F1">
      <w:pPr>
        <w:numPr>
          <w:ilvl w:val="0"/>
          <w:numId w:val="33"/>
        </w:numPr>
        <w:spacing w:before="120" w:after="0"/>
        <w:rPr>
          <w:rFonts w:cs="Times New Roman"/>
          <w:szCs w:val="24"/>
          <w:lang w:val="sr-Cyrl-RS"/>
        </w:rPr>
      </w:pPr>
      <w:r>
        <w:rPr>
          <w:rFonts w:eastAsia="Times New Roman" w:cs="Times New Roman"/>
          <w:b/>
          <w:bCs/>
          <w:szCs w:val="24"/>
          <w:lang w:val="sr-Latn-RS"/>
        </w:rPr>
        <w:t>Fight against organized crime</w:t>
      </w:r>
    </w:p>
    <w:p w:rsidR="004D65F1" w:rsidRPr="00897ED1" w:rsidRDefault="004D65F1" w:rsidP="004D65F1">
      <w:pPr>
        <w:numPr>
          <w:ilvl w:val="1"/>
          <w:numId w:val="33"/>
        </w:numPr>
        <w:spacing w:before="120" w:after="0"/>
        <w:rPr>
          <w:rFonts w:cs="Times New Roman"/>
          <w:szCs w:val="24"/>
          <w:lang w:val="sr-Cyrl-RS"/>
        </w:rPr>
      </w:pPr>
      <w:r w:rsidRPr="00B405BD">
        <w:t>Fight against organized and serious crime</w:t>
      </w:r>
      <w:r w:rsidRPr="00897ED1">
        <w:rPr>
          <w:rFonts w:eastAsia="Times New Roman" w:cs="Times New Roman"/>
          <w:szCs w:val="24"/>
          <w:lang w:val="sr-Cyrl-RS"/>
        </w:rPr>
        <w:t>.</w:t>
      </w:r>
    </w:p>
    <w:p w:rsidR="004D65F1" w:rsidRDefault="004D65F1" w:rsidP="004D65F1">
      <w:pPr>
        <w:pStyle w:val="ListParagraph"/>
        <w:numPr>
          <w:ilvl w:val="0"/>
          <w:numId w:val="33"/>
        </w:numPr>
        <w:spacing w:before="120" w:after="0" w:line="240" w:lineRule="auto"/>
        <w:rPr>
          <w:rFonts w:cs="Times New Roman"/>
          <w:b/>
          <w:sz w:val="24"/>
          <w:szCs w:val="24"/>
          <w:lang w:val="sr-Cyrl-RS"/>
        </w:rPr>
      </w:pPr>
      <w:r>
        <w:rPr>
          <w:rFonts w:cs="Times New Roman"/>
          <w:b/>
          <w:sz w:val="24"/>
          <w:szCs w:val="24"/>
          <w:lang w:val="sr-Latn-RS"/>
        </w:rPr>
        <w:t>Security and migrations</w:t>
      </w:r>
    </w:p>
    <w:p w:rsidR="004D65F1" w:rsidRDefault="004D65F1" w:rsidP="004D65F1">
      <w:pPr>
        <w:pStyle w:val="ListParagraph"/>
        <w:numPr>
          <w:ilvl w:val="1"/>
          <w:numId w:val="33"/>
        </w:numPr>
        <w:spacing w:before="120" w:after="0" w:line="240" w:lineRule="auto"/>
        <w:rPr>
          <w:rFonts w:cs="Times New Roman"/>
          <w:sz w:val="24"/>
          <w:szCs w:val="24"/>
          <w:lang w:val="sr-Cyrl-RS"/>
        </w:rPr>
      </w:pPr>
      <w:r w:rsidRPr="00B405BD">
        <w:rPr>
          <w:rFonts w:cs="Times New Roman"/>
          <w:sz w:val="24"/>
          <w:szCs w:val="24"/>
          <w:lang w:val="sr-Cyrl-RS"/>
        </w:rPr>
        <w:t>Addressing se</w:t>
      </w:r>
      <w:r>
        <w:rPr>
          <w:rFonts w:cs="Times New Roman"/>
          <w:sz w:val="24"/>
          <w:szCs w:val="24"/>
          <w:lang w:val="sr-Cyrl-RS"/>
        </w:rPr>
        <w:t>curity and migration challenges.</w:t>
      </w:r>
    </w:p>
    <w:p w:rsidR="004D65F1" w:rsidRDefault="004D65F1" w:rsidP="004D65F1">
      <w:pPr>
        <w:pStyle w:val="ListParagraph"/>
        <w:numPr>
          <w:ilvl w:val="1"/>
          <w:numId w:val="33"/>
        </w:numPr>
        <w:spacing w:before="120" w:after="0" w:line="240" w:lineRule="auto"/>
        <w:rPr>
          <w:rFonts w:cs="Times New Roman"/>
          <w:sz w:val="24"/>
          <w:szCs w:val="24"/>
          <w:lang w:val="sr-Cyrl-RS"/>
        </w:rPr>
      </w:pPr>
      <w:r w:rsidRPr="00B405BD">
        <w:rPr>
          <w:rFonts w:cs="Times New Roman"/>
          <w:sz w:val="24"/>
          <w:szCs w:val="24"/>
          <w:lang w:val="sr-Cyrl-RS"/>
        </w:rPr>
        <w:t>Addressing (potential) security risks across the EU related to visa-free travel rights for citizens of countries that</w:t>
      </w:r>
      <w:r>
        <w:rPr>
          <w:rFonts w:cs="Times New Roman"/>
          <w:sz w:val="24"/>
          <w:szCs w:val="24"/>
          <w:lang w:val="sr-Cyrl-RS"/>
        </w:rPr>
        <w:t xml:space="preserve"> would otherwise require a visa.</w:t>
      </w:r>
    </w:p>
    <w:p w:rsidR="004D65F1" w:rsidRDefault="004D65F1" w:rsidP="004D65F1">
      <w:pPr>
        <w:pStyle w:val="ListParagraph"/>
        <w:numPr>
          <w:ilvl w:val="0"/>
          <w:numId w:val="33"/>
        </w:numPr>
        <w:spacing w:before="120" w:after="0" w:line="240" w:lineRule="auto"/>
        <w:rPr>
          <w:rFonts w:cs="Times New Roman"/>
          <w:b/>
          <w:sz w:val="24"/>
          <w:szCs w:val="24"/>
          <w:lang w:val="sr-Cyrl-RS"/>
        </w:rPr>
      </w:pPr>
      <w:r>
        <w:rPr>
          <w:rFonts w:cs="Times New Roman"/>
          <w:b/>
          <w:sz w:val="24"/>
          <w:szCs w:val="24"/>
          <w:lang w:val="sr-Latn-RS"/>
        </w:rPr>
        <w:t>Fight against coruption</w:t>
      </w:r>
    </w:p>
    <w:p w:rsidR="004D65F1" w:rsidRPr="006701F4" w:rsidRDefault="004D65F1" w:rsidP="004D65F1">
      <w:pPr>
        <w:pStyle w:val="ListParagraph"/>
        <w:numPr>
          <w:ilvl w:val="1"/>
          <w:numId w:val="33"/>
        </w:numPr>
        <w:spacing w:before="120" w:after="0" w:line="240" w:lineRule="auto"/>
        <w:rPr>
          <w:rFonts w:cs="Times New Roman"/>
          <w:b/>
          <w:sz w:val="24"/>
          <w:szCs w:val="24"/>
          <w:lang w:val="sr-Cyrl-RS"/>
        </w:rPr>
      </w:pPr>
      <w:r w:rsidRPr="00B405BD">
        <w:rPr>
          <w:sz w:val="24"/>
          <w:szCs w:val="24"/>
        </w:rPr>
        <w:t>Improved prevention and fight against corruption</w:t>
      </w:r>
      <w:r>
        <w:rPr>
          <w:sz w:val="24"/>
          <w:szCs w:val="24"/>
          <w:lang w:val="sr-Cyrl-RS"/>
        </w:rPr>
        <w:t>.</w:t>
      </w:r>
    </w:p>
    <w:p w:rsidR="004D65F1" w:rsidRDefault="004D65F1" w:rsidP="004D65F1">
      <w:pPr>
        <w:pStyle w:val="ListParagraph"/>
        <w:numPr>
          <w:ilvl w:val="0"/>
          <w:numId w:val="33"/>
        </w:numPr>
        <w:spacing w:before="120" w:after="0" w:line="240" w:lineRule="auto"/>
        <w:rPr>
          <w:rFonts w:cs="Times New Roman"/>
          <w:b/>
          <w:sz w:val="24"/>
          <w:szCs w:val="24"/>
          <w:lang w:val="sr-Cyrl-RS"/>
        </w:rPr>
      </w:pPr>
      <w:r>
        <w:rPr>
          <w:rFonts w:cs="Times New Roman"/>
          <w:b/>
          <w:sz w:val="24"/>
          <w:szCs w:val="24"/>
          <w:lang w:val="sr-Latn-RS"/>
        </w:rPr>
        <w:t>Judiciary</w:t>
      </w:r>
    </w:p>
    <w:p w:rsidR="004D65F1" w:rsidRPr="00EF58A7" w:rsidRDefault="004D65F1" w:rsidP="004D65F1">
      <w:pPr>
        <w:pStyle w:val="ListParagraph"/>
        <w:numPr>
          <w:ilvl w:val="1"/>
          <w:numId w:val="33"/>
        </w:numPr>
        <w:spacing w:before="120" w:after="0" w:line="240" w:lineRule="auto"/>
        <w:rPr>
          <w:rFonts w:cs="Times New Roman"/>
          <w:b/>
          <w:sz w:val="24"/>
          <w:szCs w:val="24"/>
          <w:lang w:val="sr-Cyrl-RS"/>
        </w:rPr>
      </w:pPr>
      <w:r>
        <w:rPr>
          <w:sz w:val="24"/>
          <w:szCs w:val="24"/>
        </w:rPr>
        <w:t>Reform of the judicial system</w:t>
      </w:r>
      <w:r>
        <w:rPr>
          <w:sz w:val="24"/>
          <w:szCs w:val="24"/>
          <w:lang w:val="sr-Cyrl-RS"/>
        </w:rPr>
        <w:t>.</w:t>
      </w:r>
    </w:p>
    <w:p w:rsidR="004D65F1" w:rsidRPr="00AF26DB" w:rsidRDefault="004D65F1" w:rsidP="004D65F1">
      <w:pPr>
        <w:spacing w:after="160" w:line="259" w:lineRule="auto"/>
        <w:rPr>
          <w:rFonts w:eastAsia="Calibri" w:cs="Times New Roman"/>
          <w:szCs w:val="24"/>
          <w:lang w:val="sr-Cyrl-RS"/>
        </w:rPr>
      </w:pPr>
      <w:r w:rsidRPr="0038669D">
        <w:rPr>
          <w:rFonts w:cs="Times New Roman"/>
          <w:szCs w:val="24"/>
          <w:lang w:val="sr-Cyrl-RS"/>
        </w:rPr>
        <w:t>Objective: Imp</w:t>
      </w:r>
      <w:r>
        <w:rPr>
          <w:rFonts w:cs="Times New Roman"/>
          <w:szCs w:val="24"/>
          <w:lang w:val="sr-Cyrl-RS"/>
        </w:rPr>
        <w:t>rovement the electoral system, improvement</w:t>
      </w:r>
      <w:r w:rsidRPr="0038669D">
        <w:rPr>
          <w:rFonts w:cs="Times New Roman"/>
          <w:szCs w:val="24"/>
          <w:lang w:val="sr-Cyrl-RS"/>
        </w:rPr>
        <w:t xml:space="preserve"> and making significant progress in the area of ​​fundamental rights, </w:t>
      </w:r>
      <w:r>
        <w:rPr>
          <w:rFonts w:cs="Times New Roman"/>
          <w:szCs w:val="24"/>
          <w:lang w:val="sr-Cyrl-RS"/>
        </w:rPr>
        <w:t>improvement</w:t>
      </w:r>
      <w:r w:rsidRPr="0038669D">
        <w:rPr>
          <w:rFonts w:cs="Times New Roman"/>
          <w:szCs w:val="24"/>
          <w:lang w:val="sr-Cyrl-RS"/>
        </w:rPr>
        <w:t xml:space="preserve"> </w:t>
      </w:r>
      <w:r>
        <w:rPr>
          <w:rFonts w:cs="Times New Roman"/>
          <w:szCs w:val="24"/>
          <w:lang w:val="sr-Latn-RS"/>
        </w:rPr>
        <w:t xml:space="preserve">of </w:t>
      </w:r>
      <w:r w:rsidRPr="0038669D">
        <w:rPr>
          <w:rFonts w:cs="Times New Roman"/>
          <w:szCs w:val="24"/>
          <w:lang w:val="sr-Cyrl-RS"/>
        </w:rPr>
        <w:t>the normative framework in the area of ​​</w:t>
      </w:r>
      <w:r>
        <w:rPr>
          <w:rFonts w:cs="Times New Roman"/>
          <w:szCs w:val="24"/>
          <w:lang w:val="sr-Latn-RS"/>
        </w:rPr>
        <w:t>fighting against the</w:t>
      </w:r>
      <w:r w:rsidRPr="0038669D">
        <w:rPr>
          <w:rFonts w:cs="Times New Roman"/>
          <w:szCs w:val="24"/>
          <w:lang w:val="sr-Cyrl-RS"/>
        </w:rPr>
        <w:t xml:space="preserve"> organized crime, </w:t>
      </w:r>
      <w:r>
        <w:rPr>
          <w:rFonts w:cs="Times New Roman"/>
          <w:szCs w:val="24"/>
          <w:lang w:val="sr-Cyrl-RS"/>
        </w:rPr>
        <w:t>improvement</w:t>
      </w:r>
      <w:r w:rsidRPr="0038669D">
        <w:rPr>
          <w:rFonts w:cs="Times New Roman"/>
          <w:szCs w:val="24"/>
          <w:lang w:val="sr-Cyrl-RS"/>
        </w:rPr>
        <w:t xml:space="preserve"> </w:t>
      </w:r>
      <w:r>
        <w:rPr>
          <w:rFonts w:cs="Times New Roman"/>
          <w:szCs w:val="24"/>
          <w:lang w:val="sr-Latn-RS"/>
        </w:rPr>
        <w:t xml:space="preserve">of </w:t>
      </w:r>
      <w:r w:rsidRPr="0038669D">
        <w:rPr>
          <w:rFonts w:cs="Times New Roman"/>
          <w:szCs w:val="24"/>
          <w:lang w:val="sr-Cyrl-RS"/>
        </w:rPr>
        <w:t xml:space="preserve">the strategic framework in order to confront all forms of violent extremism, radicalization and terrorist threats, </w:t>
      </w:r>
      <w:r>
        <w:rPr>
          <w:rFonts w:cs="Times New Roman"/>
          <w:szCs w:val="24"/>
          <w:lang w:val="sr-Cyrl-RS"/>
        </w:rPr>
        <w:t>improvement</w:t>
      </w:r>
      <w:r w:rsidRPr="0038669D">
        <w:rPr>
          <w:rFonts w:cs="Times New Roman"/>
          <w:szCs w:val="24"/>
          <w:lang w:val="sr-Cyrl-RS"/>
        </w:rPr>
        <w:t xml:space="preserve"> </w:t>
      </w:r>
      <w:r>
        <w:rPr>
          <w:rFonts w:cs="Times New Roman"/>
          <w:szCs w:val="24"/>
          <w:lang w:val="sr-Latn-RS"/>
        </w:rPr>
        <w:t xml:space="preserve">of </w:t>
      </w:r>
      <w:r w:rsidRPr="0038669D">
        <w:rPr>
          <w:rFonts w:cs="Times New Roman"/>
          <w:szCs w:val="24"/>
          <w:lang w:val="sr-Cyrl-RS"/>
        </w:rPr>
        <w:t>the strategic approach in the most important areas of the fight against corruption, increasing the efficiency of the judiciary by reducing the backlog of cases and shortening the time for resolving cases.</w:t>
      </w:r>
    </w:p>
    <w:p w:rsidR="004D65F1" w:rsidRPr="00FE3A69" w:rsidRDefault="004D65F1" w:rsidP="004D65F1">
      <w:pPr>
        <w:spacing w:before="120" w:after="0"/>
        <w:rPr>
          <w:rFonts w:cs="Times New Roman"/>
          <w:szCs w:val="24"/>
          <w:lang w:val="sr-Cyrl-RS"/>
        </w:rPr>
      </w:pPr>
      <w:r>
        <w:rPr>
          <w:lang w:val="sr-Cyrl-RS"/>
        </w:rPr>
        <w:t xml:space="preserve"> </w:t>
      </w:r>
    </w:p>
    <w:p w:rsidR="004D65F1" w:rsidRPr="00AD7E7D" w:rsidRDefault="004D65F1" w:rsidP="004D65F1">
      <w:pPr>
        <w:jc w:val="left"/>
        <w:rPr>
          <w:rFonts w:cs="Times New Roman"/>
          <w:b/>
          <w:bCs/>
          <w:szCs w:val="24"/>
        </w:rPr>
      </w:pPr>
      <w:r>
        <w:rPr>
          <w:rFonts w:cs="Times New Roman"/>
          <w:b/>
          <w:bCs/>
          <w:noProof/>
          <w:szCs w:val="24"/>
        </w:rPr>
        <w:lastRenderedPageBreak/>
        <w:drawing>
          <wp:inline distT="0" distB="0" distL="0" distR="0" wp14:anchorId="1B1D42F2" wp14:editId="4C9DEC85">
            <wp:extent cx="5907195" cy="8324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6525" cy="8337998"/>
                    </a:xfrm>
                    <a:prstGeom prst="rect">
                      <a:avLst/>
                    </a:prstGeom>
                    <a:noFill/>
                  </pic:spPr>
                </pic:pic>
              </a:graphicData>
            </a:graphic>
          </wp:inline>
        </w:drawing>
      </w:r>
    </w:p>
    <w:p w:rsidR="004D65F1" w:rsidRDefault="004D65F1" w:rsidP="004D65F1">
      <w:pPr>
        <w:rPr>
          <w:rFonts w:cs="Times New Roman"/>
          <w:b/>
          <w:bCs/>
          <w:szCs w:val="24"/>
          <w:lang w:val="sr-Cyrl-RS"/>
        </w:rPr>
      </w:pPr>
    </w:p>
    <w:p w:rsidR="004D65F1" w:rsidRDefault="004D65F1" w:rsidP="004D65F1">
      <w:pPr>
        <w:rPr>
          <w:rFonts w:cs="Times New Roman"/>
          <w:b/>
          <w:bCs/>
          <w:szCs w:val="24"/>
          <w:lang w:val="sr-Cyrl-RS"/>
        </w:rPr>
      </w:pPr>
    </w:p>
    <w:p w:rsidR="004D65F1" w:rsidRPr="00AD7E7D" w:rsidRDefault="004D65F1" w:rsidP="004D65F1">
      <w:pPr>
        <w:rPr>
          <w:rFonts w:cs="Times New Roman"/>
          <w:b/>
          <w:bCs/>
          <w:szCs w:val="24"/>
          <w:lang w:val="sr-Cyrl-RS"/>
        </w:rPr>
      </w:pPr>
      <w:r w:rsidRPr="00263BAD">
        <w:rPr>
          <w:rFonts w:cs="Times New Roman"/>
          <w:b/>
          <w:bCs/>
          <w:szCs w:val="24"/>
          <w:lang w:val="sr-Cyrl-RS"/>
        </w:rPr>
        <w:t>Expected effects:</w:t>
      </w:r>
    </w:p>
    <w:p w:rsidR="004D65F1" w:rsidRPr="00AD7E7D" w:rsidRDefault="004D65F1" w:rsidP="004D65F1">
      <w:pPr>
        <w:rPr>
          <w:rFonts w:cs="Times New Roman"/>
          <w:szCs w:val="24"/>
          <w:lang w:val="sr-Cyrl-RS"/>
        </w:rPr>
      </w:pPr>
      <w:r w:rsidRPr="00263BAD">
        <w:rPr>
          <w:rFonts w:cs="Times New Roman"/>
          <w:szCs w:val="24"/>
          <w:lang w:val="sr-Cyrl-RS"/>
        </w:rPr>
        <w:t>All planned reforms have the potential to significantly contribute to long-term potential GDP growth. However, precisely quantifying the specific effects of each reform is a challenge, given that many reforms are aimed at amending legislation, improving the business environment and general conditions, the effects of which cannot be immediately expressed in numerical indicators. In the initial stages of the analysis, only the effects of reform measures for which it was possible to conduct a detailed analysis were quantified, using available data and clear indications of upcoming changes. Although these quantifications are not comprehensive, they represent useful guidelines in assessing the possible long-term effects on the Serbian economy. Despite the limitations in precise prediction, initial assessments provide a more comprehensive insight into the expected outcomes of the reform process, their impact on economic development and the improvement of citizens' living standards.</w:t>
      </w:r>
    </w:p>
    <w:p w:rsidR="004D65F1" w:rsidRPr="00CB0069" w:rsidRDefault="004D65F1" w:rsidP="004D65F1">
      <w:pPr>
        <w:rPr>
          <w:rFonts w:cs="Times New Roman"/>
          <w:szCs w:val="24"/>
          <w:lang w:val="sr-Latn-RS"/>
        </w:rPr>
      </w:pPr>
      <w:r w:rsidRPr="00263BAD">
        <w:rPr>
          <w:rFonts w:cs="Times New Roman"/>
          <w:b/>
          <w:szCs w:val="24"/>
          <w:lang w:val="sr-Cyrl-RS"/>
        </w:rPr>
        <w:t xml:space="preserve">As part of improving the business environment, </w:t>
      </w:r>
      <w:r w:rsidRPr="00263BAD">
        <w:rPr>
          <w:rFonts w:cs="Times New Roman"/>
          <w:szCs w:val="24"/>
          <w:lang w:val="sr-Cyrl-RS"/>
        </w:rPr>
        <w:t xml:space="preserve">one of the key reforms includes the development of an advanced scientific and innovation ecosystem for a knowledge-based economy, which is crucial for long-term economic success. The goal of this reform is to foster an efficient knowledge-based economy, with the potential to develop and market innovative products and services competitive on the global market. The reform to improve the scientific and innovation ecosystem aims to raise Serbia from the status of an “Early Innovator” to the level of a “Moderate Innovator” through infrastructure development, support for startups and increased private investment in research and development. By mid-2025, it is planned to finance 3,400 researchers and 600 innovative companies, with an increase in the private sector’s share in total </w:t>
      </w:r>
      <w:r w:rsidRPr="00E22D7A">
        <w:rPr>
          <w:rFonts w:cs="Times New Roman"/>
          <w:szCs w:val="24"/>
          <w:lang w:val="sr-Cyrl-RS"/>
        </w:rPr>
        <w:t>research and development</w:t>
      </w:r>
      <w:r>
        <w:rPr>
          <w:rFonts w:cs="Times New Roman"/>
          <w:szCs w:val="24"/>
          <w:lang w:val="sr-Latn-RS"/>
        </w:rPr>
        <w:t xml:space="preserve"> </w:t>
      </w:r>
      <w:r w:rsidRPr="00263BAD">
        <w:rPr>
          <w:rFonts w:cs="Times New Roman"/>
          <w:szCs w:val="24"/>
          <w:lang w:val="sr-Cyrl-RS"/>
        </w:rPr>
        <w:t xml:space="preserve">spending to 50% by the end of 2026. The economic literature widely confirms that innovation and </w:t>
      </w:r>
      <w:r w:rsidRPr="00E22D7A">
        <w:rPr>
          <w:rFonts w:cs="Times New Roman"/>
          <w:szCs w:val="24"/>
          <w:lang w:val="sr-Cyrl-RS"/>
        </w:rPr>
        <w:t>research and development</w:t>
      </w:r>
      <w:r>
        <w:rPr>
          <w:rFonts w:cs="Times New Roman"/>
          <w:szCs w:val="24"/>
          <w:lang w:val="sr-Latn-RS"/>
        </w:rPr>
        <w:t xml:space="preserve"> </w:t>
      </w:r>
      <w:r w:rsidRPr="00263BAD">
        <w:rPr>
          <w:rFonts w:cs="Times New Roman"/>
          <w:szCs w:val="24"/>
          <w:lang w:val="sr-Cyrl-RS"/>
        </w:rPr>
        <w:t xml:space="preserve">spending are key to economic growth and competitiveness. Empirical studies show a positive correlation between </w:t>
      </w:r>
      <w:r w:rsidRPr="00E22D7A">
        <w:rPr>
          <w:rFonts w:cs="Times New Roman"/>
          <w:szCs w:val="24"/>
          <w:lang w:val="sr-Cyrl-RS"/>
        </w:rPr>
        <w:t>research and development</w:t>
      </w:r>
      <w:r>
        <w:rPr>
          <w:rFonts w:cs="Times New Roman"/>
          <w:szCs w:val="24"/>
          <w:lang w:val="sr-Latn-RS"/>
        </w:rPr>
        <w:t xml:space="preserve"> </w:t>
      </w:r>
      <w:r w:rsidRPr="00263BAD">
        <w:rPr>
          <w:rFonts w:cs="Times New Roman"/>
          <w:szCs w:val="24"/>
          <w:lang w:val="sr-Cyrl-RS"/>
        </w:rPr>
        <w:t xml:space="preserve">investment and GDP growth, with the impact of private spending being stronger than public spending. The planned increase in </w:t>
      </w:r>
      <w:r w:rsidRPr="00E22D7A">
        <w:rPr>
          <w:rFonts w:cs="Times New Roman"/>
          <w:szCs w:val="24"/>
          <w:lang w:val="sr-Cyrl-RS"/>
        </w:rPr>
        <w:t>research and development</w:t>
      </w:r>
      <w:r>
        <w:rPr>
          <w:rFonts w:cs="Times New Roman"/>
          <w:szCs w:val="24"/>
          <w:lang w:val="sr-Latn-RS"/>
        </w:rPr>
        <w:t xml:space="preserve"> </w:t>
      </w:r>
      <w:r w:rsidRPr="00263BAD">
        <w:rPr>
          <w:rFonts w:cs="Times New Roman"/>
          <w:szCs w:val="24"/>
          <w:lang w:val="sr-Cyrl-RS"/>
        </w:rPr>
        <w:t xml:space="preserve">investment is expected to boost technological progress, productivity growth and global competitiveness. As the private sector’s share of total </w:t>
      </w:r>
      <w:r w:rsidRPr="00E22D7A">
        <w:rPr>
          <w:rFonts w:cs="Times New Roman"/>
          <w:szCs w:val="24"/>
          <w:lang w:val="sr-Cyrl-RS"/>
        </w:rPr>
        <w:t>research and development</w:t>
      </w:r>
      <w:r>
        <w:rPr>
          <w:rFonts w:cs="Times New Roman"/>
          <w:szCs w:val="24"/>
          <w:lang w:val="sr-Latn-RS"/>
        </w:rPr>
        <w:t xml:space="preserve"> </w:t>
      </w:r>
      <w:r w:rsidRPr="00263BAD">
        <w:rPr>
          <w:rFonts w:cs="Times New Roman"/>
          <w:szCs w:val="24"/>
          <w:lang w:val="sr-Cyrl-RS"/>
        </w:rPr>
        <w:t>investment is projected to increase from 43.7% in 2022 to 50% by the end of 2026, the estimated effect of this measure on long-term GDP growth will be b</w:t>
      </w:r>
      <w:r w:rsidR="00CB0069">
        <w:rPr>
          <w:rFonts w:cs="Times New Roman"/>
          <w:szCs w:val="24"/>
          <w:lang w:val="sr-Cyrl-RS"/>
        </w:rPr>
        <w:t>etween 0.067 p.p. and 0.137 p.p</w:t>
      </w:r>
      <w:r w:rsidR="00CB0069">
        <w:rPr>
          <w:rFonts w:cs="Times New Roman"/>
          <w:szCs w:val="24"/>
          <w:lang w:val="sr-Latn-RS"/>
        </w:rPr>
        <w:t>, while the positive fiscal effect is estimated at 0</w:t>
      </w:r>
      <w:r w:rsidR="00116318">
        <w:rPr>
          <w:rFonts w:cs="Times New Roman"/>
          <w:szCs w:val="24"/>
          <w:lang w:val="sr-Latn-RS"/>
        </w:rPr>
        <w:t>.</w:t>
      </w:r>
      <w:r w:rsidR="00CB0069">
        <w:rPr>
          <w:rFonts w:cs="Times New Roman"/>
          <w:szCs w:val="24"/>
          <w:lang w:val="sr-Latn-RS"/>
        </w:rPr>
        <w:t>04% of GDP.</w:t>
      </w:r>
    </w:p>
    <w:p w:rsidR="004D65F1" w:rsidRPr="00AD7E7D" w:rsidRDefault="004D65F1" w:rsidP="004D65F1">
      <w:pPr>
        <w:jc w:val="left"/>
        <w:rPr>
          <w:rFonts w:cs="Times New Roman"/>
          <w:color w:val="FF0000"/>
          <w:szCs w:val="24"/>
        </w:rPr>
      </w:pPr>
      <w:r w:rsidRPr="00025932">
        <w:rPr>
          <w:rFonts w:cs="Times New Roman"/>
          <w:i/>
          <w:szCs w:val="24"/>
          <w:lang w:val="sr-Cyrl-RS" w:eastAsia="ja-JP"/>
        </w:rPr>
        <w:lastRenderedPageBreak/>
        <w:t>Chart 17. Macroeconomic impact of the planned increase in investments in research and development</w:t>
      </w:r>
      <w:r>
        <w:rPr>
          <w:noProof/>
        </w:rPr>
        <w:drawing>
          <wp:inline distT="0" distB="0" distL="0" distR="0" wp14:anchorId="61878368" wp14:editId="26C90580">
            <wp:extent cx="5600700" cy="26003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D65F1" w:rsidRPr="00116318" w:rsidRDefault="004D65F1" w:rsidP="004D65F1">
      <w:pPr>
        <w:rPr>
          <w:rFonts w:cs="Times New Roman"/>
          <w:szCs w:val="24"/>
          <w:lang w:val="sr-Latn-RS"/>
        </w:rPr>
      </w:pPr>
      <w:r w:rsidRPr="00263BAD">
        <w:rPr>
          <w:rFonts w:cs="Times New Roman"/>
          <w:b/>
          <w:szCs w:val="24"/>
          <w:lang w:val="sr-Cyrl-RS"/>
        </w:rPr>
        <w:t>Creation of new jobs in various sectors, including significant potential for new capacities for the production of "green" energy</w:t>
      </w:r>
      <w:r w:rsidRPr="00263BAD">
        <w:rPr>
          <w:rFonts w:cs="Times New Roman"/>
          <w:szCs w:val="24"/>
          <w:lang w:val="sr-Cyrl-RS"/>
        </w:rPr>
        <w:t>. As part of the green and digital transition, one of the priority reforms involves ensuring transparent and competitive procedures for the introduction of renewable energy sources and the installation of at least 1.5 GW of renewable energy capacity (solar energy and wind energy) by December 2026. Based on the estimated investment value of around 230 billion dinars in this period and the estimated investment multiplier of 1.12 to 1.73, it is estimated that this reform will contribute to potential GDP growth in the range of 2.4 p.p. to 3.6 p.p. and the creation of around 15 thousand new jobs</w:t>
      </w:r>
      <w:r>
        <w:rPr>
          <w:rFonts w:cs="Times New Roman"/>
          <w:szCs w:val="24"/>
          <w:lang w:val="sr-Latn-RS"/>
        </w:rPr>
        <w:t>.</w:t>
      </w:r>
      <w:r w:rsidRPr="00263BAD">
        <w:rPr>
          <w:rFonts w:cs="Times New Roman"/>
          <w:szCs w:val="24"/>
          <w:lang w:val="sr-Cyrl-RS"/>
        </w:rPr>
        <w:t xml:space="preserve"> </w:t>
      </w:r>
      <w:r w:rsidR="00116318">
        <w:rPr>
          <w:rFonts w:cs="Times New Roman"/>
          <w:szCs w:val="24"/>
          <w:lang w:val="sr-Latn-RS"/>
        </w:rPr>
        <w:t>Taking into account macroeconomic effects of this measure it is estimated that the fiscal effect could reach 0.2% of GDP.</w:t>
      </w:r>
    </w:p>
    <w:p w:rsidR="004D65F1" w:rsidRPr="00AD7E7D" w:rsidRDefault="004D65F1" w:rsidP="004D65F1">
      <w:pPr>
        <w:rPr>
          <w:rFonts w:cs="Times New Roman"/>
          <w:szCs w:val="24"/>
          <w:lang w:val="sr-Cyrl-RS"/>
        </w:rPr>
      </w:pPr>
      <w:r w:rsidRPr="00263BAD">
        <w:rPr>
          <w:rFonts w:cs="Times New Roman"/>
          <w:szCs w:val="24"/>
        </w:rPr>
        <w:t>The development of secure and sustainable digital infrastructure, including broadband in rural areas and the introduction of 5G technology, is an important element of the digital transformation. This reform aims to improve the legal framework for the faster and more cost-effective introduction of very high capacity electronic communication networks, including optical networks and 5G, as well as the establishment of sustainable and secure 5G networks. It is planned that by December 2027, 40% of households in Serbia will be covered by the 5G network, which will enable time savings, better access to e-services and more flexible employment opportunities. According to empirical studies</w:t>
      </w:r>
      <w:r>
        <w:rPr>
          <w:rStyle w:val="FootnoteReference"/>
          <w:rFonts w:cs="Times New Roman"/>
          <w:szCs w:val="24"/>
        </w:rPr>
        <w:footnoteReference w:id="12"/>
      </w:r>
      <w:r w:rsidRPr="00263BAD">
        <w:rPr>
          <w:rFonts w:cs="Times New Roman"/>
          <w:szCs w:val="24"/>
        </w:rPr>
        <w:t>, investments of EUR 100 million in broadband infrastructure can increase gross value added (GVA) by 0.3% and generate between 3,000 and 10,000 new jobs. With an estimated investment value in 5G infrastructure of around 15 billion dinars, this reform could contribute to GDP growth of 0.35 pp and the crea</w:t>
      </w:r>
      <w:r w:rsidR="00116318">
        <w:rPr>
          <w:rFonts w:cs="Times New Roman"/>
          <w:szCs w:val="24"/>
        </w:rPr>
        <w:t>tion of around 12 thousand jobs which would produce positive fiscal effect of 0.1% of GDP.</w:t>
      </w:r>
    </w:p>
    <w:p w:rsidR="004D65F1" w:rsidRPr="00116318" w:rsidRDefault="004D65F1" w:rsidP="004D65F1">
      <w:pPr>
        <w:rPr>
          <w:rFonts w:cs="Times New Roman"/>
          <w:lang w:val="sr-Latn-RS"/>
        </w:rPr>
      </w:pPr>
      <w:r w:rsidRPr="00263BAD">
        <w:rPr>
          <w:rFonts w:cs="Times New Roman"/>
          <w:b/>
          <w:szCs w:val="24"/>
          <w:lang w:val="sr-Cyrl-RS"/>
        </w:rPr>
        <w:t xml:space="preserve">Improving living standards and reducing poverty through economic growth and supporting vulnerable groups. </w:t>
      </w:r>
      <w:r w:rsidRPr="00263BAD">
        <w:rPr>
          <w:rFonts w:cs="Times New Roman"/>
          <w:szCs w:val="24"/>
          <w:lang w:val="sr-Cyrl-RS"/>
        </w:rPr>
        <w:t>The reform of improving labo</w:t>
      </w:r>
      <w:r>
        <w:rPr>
          <w:rFonts w:cs="Times New Roman"/>
          <w:szCs w:val="24"/>
          <w:lang w:val="sr-Latn-RS"/>
        </w:rPr>
        <w:t>u</w:t>
      </w:r>
      <w:r w:rsidRPr="00263BAD">
        <w:rPr>
          <w:rFonts w:cs="Times New Roman"/>
          <w:szCs w:val="24"/>
          <w:lang w:val="sr-Cyrl-RS"/>
        </w:rPr>
        <w:t xml:space="preserve">r market conditions is aimed at improving the employability of young people by providing adequate financial and institutional resources, as well as strengthening the capacity for activation in the field of employment and social policy. The main objectives of the reform include improving the legal framework for internship programs, which will facilitate the smooth transition of young people </w:t>
      </w:r>
      <w:r w:rsidRPr="00263BAD">
        <w:rPr>
          <w:rFonts w:cs="Times New Roman"/>
          <w:szCs w:val="24"/>
          <w:lang w:val="sr-Cyrl-RS"/>
        </w:rPr>
        <w:lastRenderedPageBreak/>
        <w:t xml:space="preserve">from education to employment, as well as strengthening the </w:t>
      </w:r>
      <w:r w:rsidRPr="00AD19EF">
        <w:rPr>
          <w:rFonts w:cs="Times New Roman"/>
          <w:szCs w:val="24"/>
          <w:lang w:val="sr-Cyrl-RS"/>
        </w:rPr>
        <w:t>“Youth Guarantee</w:t>
      </w:r>
      <w:r w:rsidRPr="00263BAD">
        <w:rPr>
          <w:rFonts w:cs="Times New Roman"/>
          <w:szCs w:val="24"/>
          <w:lang w:val="sr-Cyrl-RS"/>
        </w:rPr>
        <w:t>” program to increase the availability of subsidized offers of employment, training and internships within four months of formal registration. By the end of 2027, the reform aims to reach 30% of young people with NEET status (young people who are not in employment, education or training), of which at least 50% are women, and to have 30% of program participants continue in employment, education, training or internship within four months. The reform, together with the reduction of skills mismatches in the labo</w:t>
      </w:r>
      <w:r>
        <w:rPr>
          <w:rFonts w:cs="Times New Roman"/>
          <w:szCs w:val="24"/>
          <w:lang w:val="sr-Latn-RS"/>
        </w:rPr>
        <w:t>u</w:t>
      </w:r>
      <w:r w:rsidRPr="00263BAD">
        <w:rPr>
          <w:rFonts w:cs="Times New Roman"/>
          <w:szCs w:val="24"/>
          <w:lang w:val="sr-Cyrl-RS"/>
        </w:rPr>
        <w:t>r market, is expected to contribute to the creation of around 17 thousand new jobs and an increase in total employment by 0.6%. Through this reform, Serbia aims to strengthen human capital, better integrate young people into the labo</w:t>
      </w:r>
      <w:r>
        <w:rPr>
          <w:rFonts w:cs="Times New Roman"/>
          <w:szCs w:val="24"/>
          <w:lang w:val="sr-Latn-RS"/>
        </w:rPr>
        <w:t>u</w:t>
      </w:r>
      <w:r w:rsidRPr="00263BAD">
        <w:rPr>
          <w:rFonts w:cs="Times New Roman"/>
          <w:szCs w:val="24"/>
          <w:lang w:val="sr-Cyrl-RS"/>
        </w:rPr>
        <w:t>r market. The impact assessment of the reform includes the verification of data on the NEET population, the projection of new employment and the calculation of the effects on GDP, which will allow for a more precise measurement of the success of the program and its contribution to social and economic progress.</w:t>
      </w:r>
      <w:r w:rsidR="00116318">
        <w:rPr>
          <w:rFonts w:cs="Times New Roman"/>
          <w:szCs w:val="24"/>
          <w:lang w:val="sr-Latn-RS"/>
        </w:rPr>
        <w:t xml:space="preserve"> Positive fiscal effect of this measure could be 0.2% of GDP.</w:t>
      </w:r>
    </w:p>
    <w:p w:rsidR="00910365" w:rsidRDefault="00910365" w:rsidP="00EC66CC">
      <w:pPr>
        <w:rPr>
          <w:rFonts w:cs="Times New Roman"/>
          <w:lang w:val="sr-Cyrl-RS"/>
        </w:rPr>
      </w:pPr>
    </w:p>
    <w:p w:rsidR="00165976" w:rsidRDefault="00165976">
      <w:pPr>
        <w:spacing w:after="160" w:line="259" w:lineRule="auto"/>
        <w:jc w:val="left"/>
        <w:rPr>
          <w:rFonts w:cs="Times New Roman"/>
          <w:b/>
          <w:szCs w:val="24"/>
          <w:lang w:val="sr-Latn-RS"/>
        </w:rPr>
      </w:pPr>
      <w:r>
        <w:rPr>
          <w:rFonts w:cs="Times New Roman"/>
          <w:b/>
          <w:szCs w:val="24"/>
          <w:lang w:val="sr-Latn-RS"/>
        </w:rPr>
        <w:br w:type="page"/>
      </w:r>
    </w:p>
    <w:p w:rsidR="003C0016" w:rsidRPr="003E0BE4" w:rsidRDefault="003C0016" w:rsidP="003C0016">
      <w:pPr>
        <w:pStyle w:val="Heading1"/>
        <w:spacing w:after="240"/>
        <w:rPr>
          <w:rFonts w:ascii="Times New Roman" w:eastAsiaTheme="minorHAnsi" w:hAnsi="Times New Roman" w:cs="Times New Roman"/>
          <w:b/>
          <w:color w:val="auto"/>
          <w:sz w:val="24"/>
          <w:szCs w:val="24"/>
          <w:lang w:val="sr-Latn-RS"/>
        </w:rPr>
      </w:pPr>
      <w:bookmarkStart w:id="49" w:name="_Toc221106883"/>
      <w:r w:rsidRPr="003E0BE4">
        <w:rPr>
          <w:rFonts w:ascii="Times New Roman" w:eastAsiaTheme="minorHAnsi" w:hAnsi="Times New Roman" w:cs="Times New Roman"/>
          <w:b/>
          <w:color w:val="auto"/>
          <w:sz w:val="24"/>
          <w:szCs w:val="24"/>
          <w:lang w:val="sr-Latn-RS"/>
        </w:rPr>
        <w:lastRenderedPageBreak/>
        <w:t xml:space="preserve">6. </w:t>
      </w:r>
      <w:r w:rsidRPr="00466937">
        <w:rPr>
          <w:rFonts w:ascii="Times New Roman" w:eastAsiaTheme="minorHAnsi" w:hAnsi="Times New Roman" w:cs="Times New Roman"/>
          <w:b/>
          <w:color w:val="auto"/>
          <w:sz w:val="24"/>
          <w:szCs w:val="24"/>
          <w:lang w:val="sr-Latn-RS"/>
        </w:rPr>
        <w:t>INSTITUTIONAL MATTERS AND STAKEHOLDER ENGAGEMENT</w:t>
      </w:r>
      <w:bookmarkEnd w:id="49"/>
    </w:p>
    <w:p w:rsidR="003C0016" w:rsidRPr="003E0BE4" w:rsidRDefault="003C0016" w:rsidP="003C0016">
      <w:pPr>
        <w:spacing w:after="0"/>
        <w:ind w:right="-46"/>
        <w:rPr>
          <w:rFonts w:eastAsia="Times New Roman" w:cs="Times New Roman"/>
          <w:szCs w:val="24"/>
          <w:lang w:val="sr-Cyrl-RS"/>
        </w:rPr>
      </w:pPr>
      <w:r w:rsidRPr="00466937">
        <w:rPr>
          <w:rFonts w:eastAsia="Calibri" w:cs="Times New Roman"/>
          <w:szCs w:val="24"/>
          <w:lang w:val="sr-Cyrl-RS"/>
        </w:rPr>
        <w:t>The Republic of Serbia has a well-established inter-ministerial coordination structure for the preparation of the Economic Reform Programme (ERP). By Government Decision of 28 August 2018, and subsequently by Government Decision of 22 December 2022, the Deputy Prime Minister and Minister of Finance, Mr. Siniša Mali, was appointed as the national coordinator and head of the Working Group for the Preparation and Monitoring of ERP Implementation</w:t>
      </w:r>
      <w:r w:rsidRPr="003E0BE4">
        <w:rPr>
          <w:rFonts w:eastAsia="Calibri" w:cs="Times New Roman"/>
          <w:szCs w:val="24"/>
          <w:lang w:val="sr-Cyrl-RS"/>
        </w:rPr>
        <w:t xml:space="preserve">. </w:t>
      </w:r>
      <w:r w:rsidRPr="00466937">
        <w:rPr>
          <w:rFonts w:eastAsia="Calibri" w:cs="Times New Roman"/>
          <w:szCs w:val="24"/>
          <w:lang w:val="sr-Cyrl-RS"/>
        </w:rPr>
        <w:t>By the Decision of the Minister of Finance dated 13 December 2024, the membership of the Working Group for the Preparation and Monitoring of ERP Implementation was updated to include representatives of the following institutions:</w:t>
      </w:r>
    </w:p>
    <w:p w:rsidR="003C0016" w:rsidRPr="003E0BE4" w:rsidRDefault="003C0016" w:rsidP="003C0016">
      <w:pPr>
        <w:numPr>
          <w:ilvl w:val="0"/>
          <w:numId w:val="32"/>
        </w:numPr>
        <w:spacing w:after="0" w:line="259" w:lineRule="auto"/>
        <w:ind w:right="-45"/>
        <w:contextualSpacing/>
        <w:jc w:val="left"/>
        <w:rPr>
          <w:rFonts w:eastAsia="Times New Roman" w:cs="Times New Roman"/>
          <w:szCs w:val="24"/>
          <w:lang w:val="sr-Cyrl-RS" w:eastAsia="ja-JP"/>
        </w:rPr>
      </w:pPr>
      <w:r w:rsidRPr="00466937">
        <w:rPr>
          <w:rFonts w:eastAsia="Times New Roman" w:cs="Times New Roman"/>
          <w:szCs w:val="24"/>
          <w:lang w:val="sr-Cyrl-RS" w:eastAsia="ja-JP"/>
        </w:rPr>
        <w:t>Ministry of Finance</w:t>
      </w:r>
      <w:r w:rsidRPr="003E0BE4">
        <w:rPr>
          <w:rFonts w:eastAsia="Times New Roman" w:cs="Times New Roman"/>
          <w:szCs w:val="24"/>
          <w:lang w:val="sr-Cyrl-RS" w:eastAsia="ja-JP"/>
        </w:rPr>
        <w:t>,</w:t>
      </w:r>
    </w:p>
    <w:p w:rsidR="003C0016" w:rsidRPr="003E0BE4" w:rsidRDefault="003C0016" w:rsidP="003C0016">
      <w:pPr>
        <w:numPr>
          <w:ilvl w:val="0"/>
          <w:numId w:val="32"/>
        </w:numPr>
        <w:spacing w:after="0" w:line="259" w:lineRule="auto"/>
        <w:ind w:right="-45"/>
        <w:contextualSpacing/>
        <w:jc w:val="left"/>
        <w:rPr>
          <w:rFonts w:eastAsia="Times New Roman" w:cs="Times New Roman"/>
          <w:szCs w:val="24"/>
          <w:lang w:val="sr-Cyrl-RS" w:eastAsia="ja-JP"/>
        </w:rPr>
      </w:pPr>
      <w:r w:rsidRPr="00466937">
        <w:rPr>
          <w:rFonts w:eastAsia="Times New Roman" w:cs="Times New Roman"/>
          <w:szCs w:val="24"/>
          <w:lang w:val="sr-Cyrl-RS" w:eastAsia="ja-JP"/>
        </w:rPr>
        <w:t>National Bank of Serbia</w:t>
      </w:r>
      <w:r w:rsidRPr="003E0BE4">
        <w:rPr>
          <w:rFonts w:eastAsia="Times New Roman" w:cs="Times New Roman"/>
          <w:szCs w:val="24"/>
          <w:lang w:val="sr-Cyrl-RS" w:eastAsia="ja-JP"/>
        </w:rPr>
        <w:t>,</w:t>
      </w:r>
    </w:p>
    <w:p w:rsidR="003C0016" w:rsidRPr="003E0BE4" w:rsidRDefault="003C0016" w:rsidP="003C0016">
      <w:pPr>
        <w:numPr>
          <w:ilvl w:val="0"/>
          <w:numId w:val="32"/>
        </w:numPr>
        <w:spacing w:after="0" w:line="259" w:lineRule="auto"/>
        <w:ind w:right="-45"/>
        <w:contextualSpacing/>
        <w:jc w:val="left"/>
        <w:rPr>
          <w:rFonts w:eastAsia="Times New Roman" w:cs="Times New Roman"/>
          <w:szCs w:val="24"/>
          <w:lang w:val="sr-Cyrl-RS" w:eastAsia="ja-JP"/>
        </w:rPr>
      </w:pPr>
      <w:r w:rsidRPr="00466937">
        <w:rPr>
          <w:rFonts w:eastAsia="Times New Roman" w:cs="Times New Roman"/>
          <w:szCs w:val="24"/>
          <w:lang w:val="sr-Cyrl-RS" w:eastAsia="ja-JP"/>
        </w:rPr>
        <w:t>Ministry of Economy</w:t>
      </w:r>
      <w:r w:rsidRPr="003E0BE4">
        <w:rPr>
          <w:rFonts w:eastAsia="Times New Roman" w:cs="Times New Roman"/>
          <w:szCs w:val="24"/>
          <w:lang w:val="sr-Cyrl-RS" w:eastAsia="ja-JP"/>
        </w:rPr>
        <w:t>,</w:t>
      </w:r>
    </w:p>
    <w:p w:rsidR="003C0016" w:rsidRPr="003E0BE4" w:rsidRDefault="003C0016" w:rsidP="003C0016">
      <w:pPr>
        <w:numPr>
          <w:ilvl w:val="0"/>
          <w:numId w:val="32"/>
        </w:numPr>
        <w:spacing w:after="0" w:line="259" w:lineRule="auto"/>
        <w:ind w:right="-45"/>
        <w:jc w:val="left"/>
        <w:rPr>
          <w:rFonts w:eastAsia="Times New Roman" w:cs="Times New Roman"/>
          <w:szCs w:val="24"/>
          <w:lang w:val="sr-Cyrl-RS" w:eastAsia="ja-JP"/>
        </w:rPr>
      </w:pPr>
      <w:r w:rsidRPr="00466937">
        <w:rPr>
          <w:rFonts w:eastAsia="Times New Roman" w:cs="Times New Roman"/>
          <w:szCs w:val="24"/>
          <w:lang w:val="sr-Cyrl-RS" w:eastAsia="ja-JP"/>
        </w:rPr>
        <w:t>Statistical Office of the Republic of Serbia</w:t>
      </w:r>
      <w:r w:rsidRPr="003E0BE4">
        <w:rPr>
          <w:rFonts w:eastAsia="Times New Roman" w:cs="Times New Roman"/>
          <w:szCs w:val="24"/>
          <w:lang w:val="sr-Cyrl-RS" w:eastAsia="ja-JP"/>
        </w:rPr>
        <w:t>.</w:t>
      </w:r>
    </w:p>
    <w:p w:rsidR="003C0016" w:rsidRPr="003E0BE4" w:rsidRDefault="003C0016" w:rsidP="003C0016">
      <w:pPr>
        <w:spacing w:before="100" w:beforeAutospacing="1" w:after="100" w:afterAutospacing="1"/>
        <w:rPr>
          <w:rFonts w:eastAsia="Times New Roman" w:cs="Times New Roman"/>
          <w:szCs w:val="24"/>
          <w:lang w:val="en-GB" w:eastAsia="en-GB"/>
        </w:rPr>
      </w:pPr>
      <w:r w:rsidRPr="00466937">
        <w:rPr>
          <w:rFonts w:eastAsia="Times New Roman" w:cs="Times New Roman"/>
          <w:szCs w:val="24"/>
          <w:lang w:val="en-GB" w:eastAsia="en-GB"/>
        </w:rPr>
        <w:t>In line with established practice, the basis of this document relies on the macro-fiscal framework, primarily on the Fiscal Strategy for 2026, with projections for 2027 and 2028. The ERP 2026–2028, aligned with the updated European Commission Guidelines applicable since 2024, adopts a more concise format compared to previous cycles and covers exclusively the medium-term framework of macroeconomic, fiscal, and monetary policy for the upcoming three-year period. The structural reform segment is based on the Reform Agenda of the Republic of Serbia 2024–2027, in line with the Western Balkans Growth Plan, adopted by the Government of the Repub</w:t>
      </w:r>
      <w:r>
        <w:rPr>
          <w:rFonts w:eastAsia="Times New Roman" w:cs="Times New Roman"/>
          <w:szCs w:val="24"/>
          <w:lang w:val="en-GB" w:eastAsia="en-GB"/>
        </w:rPr>
        <w:t>lic of Serbia on 3 October 2024</w:t>
      </w:r>
      <w:r w:rsidRPr="003E0BE4">
        <w:rPr>
          <w:rFonts w:eastAsia="Times New Roman" w:cs="Times New Roman"/>
          <w:szCs w:val="24"/>
          <w:lang w:val="en-GB" w:eastAsia="en-GB"/>
        </w:rPr>
        <w:t>.</w:t>
      </w:r>
    </w:p>
    <w:p w:rsidR="003C0016" w:rsidRDefault="003C0016" w:rsidP="003C0016">
      <w:pPr>
        <w:spacing w:before="100" w:beforeAutospacing="1" w:after="100" w:afterAutospacing="1"/>
        <w:rPr>
          <w:rFonts w:eastAsia="Times New Roman" w:cs="Times New Roman"/>
          <w:b/>
          <w:szCs w:val="24"/>
          <w:lang w:val="en-GB" w:eastAsia="en-GB"/>
        </w:rPr>
      </w:pPr>
      <w:r w:rsidRPr="00466937">
        <w:rPr>
          <w:rFonts w:eastAsia="Times New Roman" w:cs="Times New Roman"/>
          <w:b/>
          <w:szCs w:val="24"/>
          <w:lang w:val="en-GB" w:eastAsia="en-GB"/>
        </w:rPr>
        <w:t>The twelfth cycle of the Economic Reform Programme (ERP) for the period 2026–2028 was launched in July 2025, when the European Commission provided the Guidelines for the Preparation of ERP 2026–2028, accompanied by a cover letter requesting the Republic of Serbia to submit the ERP document for the specified period by 15 January 2026.</w:t>
      </w:r>
    </w:p>
    <w:p w:rsidR="003C0016" w:rsidRPr="003E0BE4" w:rsidRDefault="003C0016" w:rsidP="003C0016">
      <w:pPr>
        <w:spacing w:before="100" w:beforeAutospacing="1" w:after="100" w:afterAutospacing="1"/>
        <w:rPr>
          <w:rFonts w:eastAsia="Times New Roman" w:cs="Times New Roman"/>
          <w:szCs w:val="24"/>
          <w:lang w:val="en-GB" w:eastAsia="en-GB"/>
        </w:rPr>
      </w:pPr>
      <w:r w:rsidRPr="00466937">
        <w:rPr>
          <w:rFonts w:eastAsia="Times New Roman" w:cs="Times New Roman"/>
          <w:szCs w:val="24"/>
          <w:lang w:val="sr-Cyrl-RS" w:eastAsia="en-GB"/>
        </w:rPr>
        <w:t>In September 2025, as part of the preparation of the ERP and the implementation of the Reform Agenda for Serbia, a training session was held to provide practical support for assessing the economic impact of reforms, a mandatory component of the ERP and the Annual Report on the Implementation of the Reform and Growth Instrument (RFI). The Economic Impact Assessment of Reforms training was organized by the Ministry of European Integration of the Republic of Serbia, with support from the regional project FISR2, implemented by the Center of Excellence in Finance (CEF), Ljubljana, Slovenia. Participants included representatives from the Ministry of Finance and sectoral ministries responsible for implementing reforms under the Reform Agenda, while trainers were field experts engaged by CEF</w:t>
      </w:r>
      <w:r w:rsidRPr="003E0BE4">
        <w:rPr>
          <w:rFonts w:eastAsia="Times New Roman" w:cs="Times New Roman"/>
          <w:szCs w:val="24"/>
          <w:lang w:val="sr-Cyrl-RS" w:eastAsia="en-GB"/>
        </w:rPr>
        <w:t>.</w:t>
      </w:r>
      <w:r w:rsidRPr="003E0BE4">
        <w:rPr>
          <w:rFonts w:eastAsia="Times New Roman" w:cs="Times New Roman"/>
          <w:szCs w:val="24"/>
          <w:lang w:val="en-GB" w:eastAsia="en-GB"/>
        </w:rPr>
        <w:t xml:space="preserve"> </w:t>
      </w:r>
    </w:p>
    <w:p w:rsidR="003C0016" w:rsidRPr="003E0BE4" w:rsidRDefault="003C0016" w:rsidP="003C0016">
      <w:pPr>
        <w:spacing w:before="100" w:beforeAutospacing="1" w:after="100" w:afterAutospacing="1"/>
        <w:rPr>
          <w:rFonts w:eastAsia="Times New Roman" w:cs="Times New Roman"/>
          <w:szCs w:val="24"/>
          <w:lang w:val="sr-Cyrl-RS" w:eastAsia="en-GB"/>
        </w:rPr>
      </w:pPr>
      <w:r w:rsidRPr="00466937">
        <w:rPr>
          <w:rFonts w:eastAsia="Times New Roman" w:cs="Times New Roman"/>
          <w:szCs w:val="24"/>
          <w:lang w:val="sr-Cyrl-RS" w:eastAsia="en-GB"/>
        </w:rPr>
        <w:t>Additionally, on 21–22 September 2025, a regional conference was held in Brussels, organized by the European Commission and CEF, under the theme “</w:t>
      </w:r>
      <w:r w:rsidRPr="00466937">
        <w:rPr>
          <w:rFonts w:eastAsia="Times New Roman" w:cs="Times New Roman"/>
          <w:i/>
          <w:szCs w:val="24"/>
          <w:lang w:val="sr-Cyrl-RS" w:eastAsia="en-GB"/>
        </w:rPr>
        <w:t>ERP and RA Teams Working Together for EU Accession</w:t>
      </w:r>
      <w:r w:rsidRPr="00466937">
        <w:rPr>
          <w:rFonts w:eastAsia="Times New Roman" w:cs="Times New Roman"/>
          <w:szCs w:val="24"/>
          <w:lang w:val="sr-Cyrl-RS" w:eastAsia="en-GB"/>
        </w:rPr>
        <w:t>”, with participation from representatives of the Ministry of Finance and the M</w:t>
      </w:r>
      <w:r>
        <w:rPr>
          <w:rFonts w:eastAsia="Times New Roman" w:cs="Times New Roman"/>
          <w:szCs w:val="24"/>
          <w:lang w:val="sr-Cyrl-RS" w:eastAsia="en-GB"/>
        </w:rPr>
        <w:t>inistry of European Integration</w:t>
      </w:r>
      <w:r w:rsidRPr="003E0BE4">
        <w:rPr>
          <w:rFonts w:eastAsia="Times New Roman" w:cs="Times New Roman"/>
          <w:szCs w:val="24"/>
          <w:lang w:val="sr-Cyrl-RS" w:eastAsia="en-GB"/>
        </w:rPr>
        <w:t>.</w:t>
      </w:r>
    </w:p>
    <w:p w:rsidR="003C0016" w:rsidRPr="003E0BE4" w:rsidRDefault="003C0016" w:rsidP="003C0016">
      <w:pPr>
        <w:spacing w:after="0"/>
        <w:ind w:right="-45"/>
        <w:rPr>
          <w:rFonts w:eastAsia="MS PGothic" w:cs="Times New Roman"/>
          <w:szCs w:val="24"/>
          <w:lang w:val="sr-Cyrl-RS" w:eastAsia="ja-JP"/>
        </w:rPr>
      </w:pPr>
      <w:r w:rsidRPr="00466937">
        <w:rPr>
          <w:rFonts w:eastAsia="MS PGothic" w:cs="Times New Roman"/>
          <w:szCs w:val="24"/>
          <w:lang w:val="sr-Cyrl-RS" w:eastAsia="ja-JP"/>
        </w:rPr>
        <w:t xml:space="preserve">In parallel with these activities, work progressed on the </w:t>
      </w:r>
      <w:r w:rsidRPr="00466937">
        <w:rPr>
          <w:rFonts w:eastAsia="MS PGothic" w:cs="Times New Roman"/>
          <w:b/>
          <w:szCs w:val="24"/>
          <w:lang w:val="sr-Cyrl-RS" w:eastAsia="ja-JP"/>
        </w:rPr>
        <w:t>Fiscal Strategy for 2026, with projections for 2027 and 2028</w:t>
      </w:r>
      <w:r w:rsidRPr="00466937">
        <w:rPr>
          <w:rFonts w:eastAsia="MS PGothic" w:cs="Times New Roman"/>
          <w:szCs w:val="24"/>
          <w:lang w:val="sr-Cyrl-RS" w:eastAsia="ja-JP"/>
        </w:rPr>
        <w:t>, which was adopted on 18 June 2025. The revised Fiscal Strategy with projections for 2027 and 2028 was adopted on 6 November 2025 and serves as the basis for preparing the relevant chapters of the ERP.</w:t>
      </w:r>
    </w:p>
    <w:p w:rsidR="003C0016" w:rsidRPr="00BD635A" w:rsidRDefault="003C0016" w:rsidP="003C0016">
      <w:pPr>
        <w:spacing w:after="0"/>
        <w:ind w:right="-45"/>
        <w:rPr>
          <w:rFonts w:eastAsia="Calibri" w:cs="Times New Roman"/>
          <w:szCs w:val="24"/>
          <w:lang w:val="sr-Cyrl-RS"/>
        </w:rPr>
      </w:pPr>
      <w:r w:rsidRPr="00BD635A">
        <w:rPr>
          <w:rFonts w:eastAsia="Calibri" w:cs="Times New Roman"/>
          <w:b/>
          <w:szCs w:val="24"/>
          <w:lang w:val="sr-Cyrl-RS"/>
        </w:rPr>
        <w:lastRenderedPageBreak/>
        <w:t>The draft ERP</w:t>
      </w:r>
      <w:r w:rsidRPr="00BD635A">
        <w:rPr>
          <w:rFonts w:eastAsia="Calibri" w:cs="Times New Roman"/>
          <w:szCs w:val="24"/>
          <w:lang w:val="sr-Cyrl-RS"/>
        </w:rPr>
        <w:t xml:space="preserve"> document was made available for public consultation via the Ministry of Finance website and the eConsultations portal from 3 to 14 December 2025, inviting stakeholders to submit their comments and suggestions. Comments on the draft Economic Reform Programme 2026–2028 primarily concerned the area of internal audit, specifically regarding the regulation of internal audit across the public, financial, and real sectors. Each comment, along with the response from the competent institution, is presented in the document under Annex 2.</w:t>
      </w:r>
    </w:p>
    <w:p w:rsidR="003C0016" w:rsidRPr="003E0BE4" w:rsidRDefault="003C0016" w:rsidP="003C0016">
      <w:pPr>
        <w:spacing w:after="0"/>
        <w:ind w:right="-45"/>
        <w:rPr>
          <w:rFonts w:eastAsia="Calibri" w:cs="Times New Roman"/>
          <w:szCs w:val="24"/>
          <w:lang w:val="sr-Cyrl-RS"/>
        </w:rPr>
      </w:pPr>
    </w:p>
    <w:p w:rsidR="003C0016" w:rsidRPr="003E0BE4" w:rsidRDefault="003C0016" w:rsidP="003C0016">
      <w:pPr>
        <w:spacing w:after="0"/>
        <w:rPr>
          <w:rFonts w:eastAsia="Times New Roman" w:cs="Times New Roman"/>
          <w:szCs w:val="24"/>
          <w:lang w:val="sr-Cyrl-RS"/>
        </w:rPr>
      </w:pPr>
      <w:r w:rsidRPr="00BD635A">
        <w:rPr>
          <w:rFonts w:eastAsia="Times New Roman" w:cs="Times New Roman"/>
          <w:szCs w:val="24"/>
          <w:lang w:val="sr-Cyrl-RS"/>
        </w:rPr>
        <w:t>Given that the ERP is a rolling document, prepared as a continuous process, suggestions and comments from stakeholders from previous cycles are taken into a</w:t>
      </w:r>
      <w:r>
        <w:rPr>
          <w:rFonts w:eastAsia="Times New Roman" w:cs="Times New Roman"/>
          <w:szCs w:val="24"/>
          <w:lang w:val="sr-Cyrl-RS"/>
        </w:rPr>
        <w:t>ccount in the current ERP cycle</w:t>
      </w:r>
      <w:r w:rsidRPr="003E0BE4">
        <w:rPr>
          <w:rFonts w:eastAsia="Times New Roman" w:cs="Times New Roman"/>
          <w:szCs w:val="24"/>
          <w:lang w:val="sr-Cyrl-RS"/>
        </w:rPr>
        <w:t>.</w:t>
      </w:r>
    </w:p>
    <w:p w:rsidR="003C0016" w:rsidRPr="003E0BE4" w:rsidRDefault="003C0016" w:rsidP="003C0016">
      <w:pPr>
        <w:spacing w:after="0"/>
        <w:rPr>
          <w:rFonts w:eastAsia="Calibri" w:cs="Times New Roman"/>
          <w:szCs w:val="24"/>
          <w:lang w:val="sr-Cyrl-RS"/>
        </w:rPr>
      </w:pPr>
    </w:p>
    <w:p w:rsidR="003C0016" w:rsidRDefault="003C0016" w:rsidP="003C0016">
      <w:pPr>
        <w:rPr>
          <w:rFonts w:eastAsia="Calibri" w:cs="Times New Roman"/>
          <w:szCs w:val="24"/>
          <w:lang w:val="sr-Cyrl-RS"/>
        </w:rPr>
      </w:pPr>
      <w:r w:rsidRPr="00BD635A">
        <w:rPr>
          <w:rFonts w:eastAsia="Calibri" w:cs="Times New Roman"/>
          <w:szCs w:val="24"/>
          <w:lang w:val="sr-Cyrl-RS"/>
        </w:rPr>
        <w:t xml:space="preserve">Following consultations with stakeholders and the completion of the internal procedure, the document is adopted by the Government of the Republic of Serbia and subsequently submitted to the European Commission within the prescribed deadline, i.e., by </w:t>
      </w:r>
      <w:r w:rsidRPr="00BD635A">
        <w:rPr>
          <w:rFonts w:eastAsia="Calibri" w:cs="Times New Roman"/>
          <w:b/>
          <w:szCs w:val="24"/>
          <w:lang w:val="sr-Cyrl-RS"/>
        </w:rPr>
        <w:t>15 January 2026</w:t>
      </w:r>
      <w:r w:rsidRPr="00BD635A">
        <w:rPr>
          <w:rFonts w:eastAsia="Calibri" w:cs="Times New Roman"/>
          <w:szCs w:val="24"/>
          <w:lang w:val="sr-Cyrl-RS"/>
        </w:rPr>
        <w:t>. The ERP is then discussed with representatives of the European Union institutions and Member States within the framework of the “European Semester Light” for the Western Balkans and Turkey, while the preparation of the next ERP document for the period 2027–2029 is planned to begin in mid-2026</w:t>
      </w:r>
      <w:r w:rsidRPr="003E0BE4">
        <w:rPr>
          <w:rFonts w:eastAsia="Calibri" w:cs="Times New Roman"/>
          <w:szCs w:val="24"/>
          <w:lang w:val="sr-Cyrl-RS"/>
        </w:rPr>
        <w:t>.</w:t>
      </w:r>
    </w:p>
    <w:p w:rsidR="004D65F1" w:rsidRDefault="004D65F1"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rsidP="003C0016">
      <w:pPr>
        <w:rPr>
          <w:rFonts w:eastAsia="Calibri" w:cs="Times New Roman"/>
          <w:szCs w:val="24"/>
          <w:lang w:val="sr-Cyrl-RS"/>
        </w:rPr>
      </w:pPr>
    </w:p>
    <w:p w:rsidR="00FF7F25" w:rsidRDefault="00FF7F25">
      <w:pPr>
        <w:spacing w:after="160" w:line="259" w:lineRule="auto"/>
        <w:jc w:val="left"/>
        <w:rPr>
          <w:rFonts w:cs="Times New Roman"/>
          <w:b/>
          <w:szCs w:val="24"/>
          <w:lang w:val="sr-Latn-RS"/>
        </w:rPr>
        <w:sectPr w:rsidR="00FF7F25" w:rsidSect="007D31BF">
          <w:pgSz w:w="11906" w:h="16838" w:code="9"/>
          <w:pgMar w:top="1440" w:right="1440" w:bottom="1440" w:left="1440" w:header="720" w:footer="720" w:gutter="0"/>
          <w:cols w:space="720"/>
          <w:docGrid w:linePitch="360"/>
        </w:sectPr>
      </w:pPr>
    </w:p>
    <w:p w:rsidR="001E07EC" w:rsidRDefault="001E07EC" w:rsidP="001E07EC">
      <w:pPr>
        <w:pStyle w:val="Heading1"/>
        <w:rPr>
          <w:rFonts w:ascii="Times New Roman" w:hAnsi="Times New Roman" w:cs="Times New Roman"/>
          <w:b/>
          <w:color w:val="auto"/>
          <w:sz w:val="24"/>
          <w:szCs w:val="24"/>
        </w:rPr>
      </w:pPr>
      <w:bookmarkStart w:id="50" w:name="_Toc192759987"/>
      <w:bookmarkStart w:id="51" w:name="_Toc221106884"/>
      <w:r>
        <w:rPr>
          <w:rFonts w:ascii="Times New Roman" w:hAnsi="Times New Roman" w:cs="Times New Roman"/>
          <w:b/>
          <w:color w:val="auto"/>
          <w:sz w:val="24"/>
          <w:szCs w:val="24"/>
        </w:rPr>
        <w:lastRenderedPageBreak/>
        <w:t>ANNEX 1</w:t>
      </w:r>
      <w:r w:rsidRPr="005755FD">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TABLES 1 - 8</w:t>
      </w:r>
      <w:bookmarkEnd w:id="50"/>
      <w:bookmarkEnd w:id="51"/>
    </w:p>
    <w:p w:rsidR="001E07EC" w:rsidRDefault="001E07EC" w:rsidP="001E07EC">
      <w:pPr>
        <w:spacing w:after="160" w:line="259" w:lineRule="auto"/>
        <w:jc w:val="left"/>
        <w:rPr>
          <w:lang w:val="sr-Cyrl-RS" w:eastAsia="ja-JP"/>
        </w:rPr>
      </w:pPr>
    </w:p>
    <w:p w:rsidR="001E07EC" w:rsidRPr="00F27773" w:rsidRDefault="001E07EC" w:rsidP="001E07EC">
      <w:pPr>
        <w:spacing w:after="160" w:line="259" w:lineRule="auto"/>
        <w:jc w:val="left"/>
        <w:rPr>
          <w:lang w:val="sr-Latn-RS" w:eastAsia="ja-JP"/>
        </w:rPr>
      </w:pPr>
      <w:r>
        <w:rPr>
          <w:lang w:val="sr-Latn-RS" w:eastAsia="ja-JP"/>
        </w:rPr>
        <w:t>Table 1: Macroeconomic framework</w:t>
      </w:r>
    </w:p>
    <w:p w:rsidR="00FF7F25" w:rsidRDefault="001E07EC">
      <w:pPr>
        <w:spacing w:after="160" w:line="259" w:lineRule="auto"/>
        <w:jc w:val="left"/>
        <w:rPr>
          <w:rFonts w:cs="Times New Roman"/>
          <w:b/>
          <w:szCs w:val="24"/>
          <w:lang w:val="sr-Latn-RS"/>
        </w:rPr>
      </w:pPr>
      <w:r w:rsidRPr="001E07EC">
        <w:drawing>
          <wp:inline distT="0" distB="0" distL="0" distR="0">
            <wp:extent cx="8863330" cy="31518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3330" cy="3151849"/>
                    </a:xfrm>
                    <a:prstGeom prst="rect">
                      <a:avLst/>
                    </a:prstGeom>
                    <a:noFill/>
                    <a:ln>
                      <a:noFill/>
                    </a:ln>
                  </pic:spPr>
                </pic:pic>
              </a:graphicData>
            </a:graphic>
          </wp:inline>
        </w:drawing>
      </w:r>
      <w:r w:rsidR="00FF7F25">
        <w:rPr>
          <w:rFonts w:cs="Times New Roman"/>
          <w:b/>
          <w:szCs w:val="24"/>
          <w:lang w:val="sr-Latn-RS"/>
        </w:rPr>
        <w:br w:type="page"/>
      </w:r>
    </w:p>
    <w:p w:rsidR="00FF7F25" w:rsidRDefault="001E07EC">
      <w:pPr>
        <w:spacing w:after="160" w:line="259" w:lineRule="auto"/>
        <w:jc w:val="left"/>
        <w:rPr>
          <w:rFonts w:cs="Times New Roman"/>
          <w:b/>
          <w:szCs w:val="24"/>
          <w:lang w:val="sr-Latn-RS"/>
        </w:rPr>
      </w:pPr>
      <w:r w:rsidRPr="001E07EC">
        <w:lastRenderedPageBreak/>
        <w:drawing>
          <wp:inline distT="0" distB="0" distL="0" distR="0">
            <wp:extent cx="8863330" cy="33033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63330" cy="3303359"/>
                    </a:xfrm>
                    <a:prstGeom prst="rect">
                      <a:avLst/>
                    </a:prstGeom>
                    <a:noFill/>
                    <a:ln>
                      <a:noFill/>
                    </a:ln>
                  </pic:spPr>
                </pic:pic>
              </a:graphicData>
            </a:graphic>
          </wp:inline>
        </w:drawing>
      </w:r>
    </w:p>
    <w:p w:rsidR="001E07EC" w:rsidRDefault="001E07EC">
      <w:pPr>
        <w:spacing w:after="160" w:line="259" w:lineRule="auto"/>
        <w:jc w:val="left"/>
        <w:rPr>
          <w:rFonts w:cs="Times New Roman"/>
          <w:b/>
          <w:szCs w:val="24"/>
          <w:lang w:val="sr-Latn-RS"/>
        </w:rPr>
      </w:pPr>
    </w:p>
    <w:p w:rsidR="001E07EC" w:rsidRDefault="001E07EC">
      <w:pPr>
        <w:spacing w:after="160" w:line="259" w:lineRule="auto"/>
        <w:jc w:val="left"/>
        <w:rPr>
          <w:rFonts w:cs="Times New Roman"/>
          <w:b/>
          <w:szCs w:val="24"/>
          <w:lang w:val="sr-Latn-RS"/>
        </w:rPr>
      </w:pPr>
    </w:p>
    <w:p w:rsidR="001E07EC" w:rsidRDefault="001E07EC">
      <w:pPr>
        <w:spacing w:after="160" w:line="259" w:lineRule="auto"/>
        <w:jc w:val="left"/>
        <w:rPr>
          <w:rFonts w:cs="Times New Roman"/>
          <w:b/>
          <w:szCs w:val="24"/>
          <w:lang w:val="sr-Latn-RS"/>
        </w:rPr>
      </w:pPr>
    </w:p>
    <w:p w:rsidR="001E07EC" w:rsidRDefault="001E07EC">
      <w:pPr>
        <w:spacing w:after="160" w:line="259" w:lineRule="auto"/>
        <w:jc w:val="left"/>
        <w:rPr>
          <w:rFonts w:cs="Times New Roman"/>
          <w:b/>
          <w:szCs w:val="24"/>
          <w:lang w:val="sr-Latn-RS"/>
        </w:rPr>
      </w:pPr>
    </w:p>
    <w:p w:rsidR="001E07EC" w:rsidRDefault="001E07EC">
      <w:pPr>
        <w:spacing w:after="160" w:line="259" w:lineRule="auto"/>
        <w:jc w:val="left"/>
        <w:rPr>
          <w:rFonts w:cs="Times New Roman"/>
          <w:b/>
          <w:szCs w:val="24"/>
          <w:lang w:val="sr-Latn-RS"/>
        </w:rPr>
      </w:pPr>
    </w:p>
    <w:p w:rsidR="001E07EC" w:rsidRDefault="001E07EC">
      <w:pPr>
        <w:spacing w:after="160" w:line="259" w:lineRule="auto"/>
        <w:jc w:val="left"/>
        <w:rPr>
          <w:rFonts w:cs="Times New Roman"/>
          <w:b/>
          <w:szCs w:val="24"/>
          <w:lang w:val="sr-Latn-RS"/>
        </w:rPr>
      </w:pPr>
    </w:p>
    <w:p w:rsidR="001E07EC" w:rsidRDefault="001E07EC">
      <w:pPr>
        <w:spacing w:after="160" w:line="259" w:lineRule="auto"/>
        <w:jc w:val="left"/>
        <w:rPr>
          <w:rFonts w:cs="Times New Roman"/>
          <w:b/>
          <w:szCs w:val="24"/>
          <w:lang w:val="sr-Latn-RS"/>
        </w:rPr>
      </w:pPr>
    </w:p>
    <w:p w:rsidR="001E07EC" w:rsidRDefault="001E07EC">
      <w:pPr>
        <w:spacing w:after="160" w:line="259" w:lineRule="auto"/>
        <w:jc w:val="left"/>
        <w:rPr>
          <w:rFonts w:cs="Times New Roman"/>
          <w:b/>
          <w:szCs w:val="24"/>
          <w:lang w:val="sr-Latn-RS"/>
        </w:rPr>
      </w:pPr>
    </w:p>
    <w:p w:rsidR="001E07EC" w:rsidRDefault="001E07EC">
      <w:pPr>
        <w:spacing w:after="160" w:line="259" w:lineRule="auto"/>
        <w:jc w:val="left"/>
        <w:rPr>
          <w:rFonts w:cs="Times New Roman"/>
          <w:b/>
          <w:szCs w:val="24"/>
          <w:lang w:val="sr-Latn-RS"/>
        </w:rPr>
      </w:pPr>
      <w:r w:rsidRPr="001E07EC">
        <w:lastRenderedPageBreak/>
        <w:drawing>
          <wp:inline distT="0" distB="0" distL="0" distR="0">
            <wp:extent cx="8863330" cy="3275158"/>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63330" cy="3275158"/>
                    </a:xfrm>
                    <a:prstGeom prst="rect">
                      <a:avLst/>
                    </a:prstGeom>
                    <a:noFill/>
                    <a:ln>
                      <a:noFill/>
                    </a:ln>
                  </pic:spPr>
                </pic:pic>
              </a:graphicData>
            </a:graphic>
          </wp:inline>
        </w:drawing>
      </w:r>
    </w:p>
    <w:tbl>
      <w:tblPr>
        <w:tblW w:w="5816" w:type="dxa"/>
        <w:tblLook w:val="04A0" w:firstRow="1" w:lastRow="0" w:firstColumn="1" w:lastColumn="0" w:noHBand="0" w:noVBand="1"/>
      </w:tblPr>
      <w:tblGrid>
        <w:gridCol w:w="5816"/>
      </w:tblGrid>
      <w:tr w:rsidR="001E07EC" w:rsidRPr="001E07EC" w:rsidTr="001E07EC">
        <w:trPr>
          <w:trHeight w:val="223"/>
        </w:trPr>
        <w:tc>
          <w:tcPr>
            <w:tcW w:w="5816" w:type="dxa"/>
            <w:tcBorders>
              <w:top w:val="nil"/>
              <w:left w:val="nil"/>
              <w:bottom w:val="nil"/>
              <w:right w:val="nil"/>
            </w:tcBorders>
            <w:shd w:val="clear" w:color="auto" w:fill="auto"/>
            <w:noWrap/>
            <w:hideMark/>
          </w:tcPr>
          <w:p w:rsidR="008E7B25" w:rsidRDefault="008E7B25" w:rsidP="001E07EC">
            <w:pPr>
              <w:spacing w:after="0"/>
              <w:jc w:val="left"/>
              <w:rPr>
                <w:rFonts w:eastAsia="Times New Roman" w:cs="Times New Roman"/>
                <w:sz w:val="16"/>
                <w:szCs w:val="16"/>
              </w:rPr>
            </w:pPr>
            <w:r w:rsidRPr="001E07EC">
              <w:rPr>
                <w:rFonts w:eastAsia="Times New Roman" w:cs="Times New Roman"/>
                <w:sz w:val="16"/>
                <w:szCs w:val="16"/>
              </w:rPr>
              <w:t xml:space="preserve">[1] </w:t>
            </w:r>
            <w:r w:rsidRPr="008E7B25">
              <w:rPr>
                <w:rFonts w:eastAsia="Times New Roman" w:cs="Times New Roman"/>
                <w:sz w:val="16"/>
                <w:szCs w:val="16"/>
              </w:rPr>
              <w:t>2025: average January-October</w:t>
            </w:r>
          </w:p>
          <w:p w:rsidR="001E07EC" w:rsidRPr="001E07EC" w:rsidRDefault="008E7B25" w:rsidP="001E07EC">
            <w:pPr>
              <w:spacing w:after="0"/>
              <w:jc w:val="left"/>
              <w:rPr>
                <w:rFonts w:eastAsia="Times New Roman" w:cs="Times New Roman"/>
                <w:sz w:val="16"/>
                <w:szCs w:val="16"/>
              </w:rPr>
            </w:pPr>
            <w:r>
              <w:rPr>
                <w:rFonts w:eastAsia="Times New Roman" w:cs="Times New Roman"/>
                <w:sz w:val="16"/>
                <w:szCs w:val="16"/>
              </w:rPr>
              <w:t>[2</w:t>
            </w:r>
            <w:r w:rsidR="001E07EC" w:rsidRPr="001E07EC">
              <w:rPr>
                <w:rFonts w:eastAsia="Times New Roman" w:cs="Times New Roman"/>
                <w:sz w:val="16"/>
                <w:szCs w:val="16"/>
              </w:rPr>
              <w:t>] Age group of 15-64 years</w:t>
            </w:r>
          </w:p>
        </w:tc>
      </w:tr>
      <w:tr w:rsidR="001E07EC" w:rsidRPr="001E07EC" w:rsidTr="001E07EC">
        <w:trPr>
          <w:trHeight w:val="215"/>
        </w:trPr>
        <w:tc>
          <w:tcPr>
            <w:tcW w:w="5816" w:type="dxa"/>
            <w:tcBorders>
              <w:top w:val="nil"/>
              <w:left w:val="nil"/>
              <w:bottom w:val="nil"/>
              <w:right w:val="nil"/>
            </w:tcBorders>
            <w:shd w:val="clear" w:color="auto" w:fill="auto"/>
            <w:noWrap/>
            <w:hideMark/>
          </w:tcPr>
          <w:p w:rsidR="001E07EC" w:rsidRPr="001E07EC" w:rsidRDefault="008E7B25" w:rsidP="001E07EC">
            <w:pPr>
              <w:spacing w:after="0"/>
              <w:jc w:val="left"/>
              <w:rPr>
                <w:rFonts w:eastAsia="Times New Roman" w:cs="Times New Roman"/>
                <w:sz w:val="16"/>
                <w:szCs w:val="16"/>
              </w:rPr>
            </w:pPr>
            <w:r>
              <w:rPr>
                <w:rFonts w:eastAsia="Times New Roman" w:cs="Times New Roman"/>
                <w:sz w:val="16"/>
                <w:szCs w:val="16"/>
              </w:rPr>
              <w:t>[3</w:t>
            </w:r>
            <w:r w:rsidR="001E07EC" w:rsidRPr="001E07EC">
              <w:rPr>
                <w:rFonts w:eastAsia="Times New Roman" w:cs="Times New Roman"/>
                <w:sz w:val="16"/>
                <w:szCs w:val="16"/>
              </w:rPr>
              <w:t>] Occupied population, domestic concept national accounts definition</w:t>
            </w:r>
          </w:p>
        </w:tc>
      </w:tr>
      <w:tr w:rsidR="001E07EC" w:rsidRPr="001E07EC" w:rsidTr="001E07EC">
        <w:trPr>
          <w:trHeight w:val="215"/>
        </w:trPr>
        <w:tc>
          <w:tcPr>
            <w:tcW w:w="5816" w:type="dxa"/>
            <w:tcBorders>
              <w:top w:val="nil"/>
              <w:left w:val="nil"/>
              <w:bottom w:val="nil"/>
              <w:right w:val="nil"/>
            </w:tcBorders>
            <w:shd w:val="clear" w:color="auto" w:fill="auto"/>
            <w:hideMark/>
          </w:tcPr>
          <w:p w:rsidR="001E07EC" w:rsidRPr="001E07EC" w:rsidRDefault="008E7B25" w:rsidP="001E07EC">
            <w:pPr>
              <w:spacing w:after="0"/>
              <w:jc w:val="left"/>
              <w:rPr>
                <w:rFonts w:eastAsia="Times New Roman" w:cs="Times New Roman"/>
                <w:sz w:val="16"/>
                <w:szCs w:val="16"/>
              </w:rPr>
            </w:pPr>
            <w:r>
              <w:rPr>
                <w:rFonts w:eastAsia="Times New Roman" w:cs="Times New Roman"/>
                <w:sz w:val="16"/>
                <w:szCs w:val="16"/>
              </w:rPr>
              <w:t>[4</w:t>
            </w:r>
            <w:r w:rsidR="001E07EC" w:rsidRPr="001E07EC">
              <w:rPr>
                <w:rFonts w:eastAsia="Times New Roman" w:cs="Times New Roman"/>
                <w:sz w:val="16"/>
                <w:szCs w:val="16"/>
              </w:rPr>
              <w:t>] National accounts definition</w:t>
            </w:r>
          </w:p>
        </w:tc>
      </w:tr>
    </w:tbl>
    <w:p w:rsidR="007A0CEC" w:rsidRDefault="007A0CEC">
      <w:pPr>
        <w:spacing w:after="160" w:line="259" w:lineRule="auto"/>
        <w:jc w:val="left"/>
        <w:rPr>
          <w:rFonts w:cs="Times New Roman"/>
          <w:b/>
          <w:szCs w:val="24"/>
          <w:lang w:val="sr-Latn-RS"/>
        </w:rPr>
      </w:pPr>
    </w:p>
    <w:p w:rsidR="007A0CEC" w:rsidRDefault="007A0CEC">
      <w:pPr>
        <w:spacing w:after="160" w:line="259" w:lineRule="auto"/>
        <w:jc w:val="left"/>
        <w:rPr>
          <w:rFonts w:cs="Times New Roman"/>
          <w:b/>
          <w:szCs w:val="24"/>
          <w:lang w:val="sr-Latn-RS"/>
        </w:rPr>
      </w:pPr>
    </w:p>
    <w:p w:rsidR="007A0CEC" w:rsidRDefault="007A0CEC">
      <w:pPr>
        <w:spacing w:after="160" w:line="259" w:lineRule="auto"/>
        <w:jc w:val="left"/>
        <w:rPr>
          <w:rFonts w:cs="Times New Roman"/>
          <w:b/>
          <w:szCs w:val="24"/>
          <w:lang w:val="sr-Latn-RS"/>
        </w:rPr>
      </w:pPr>
    </w:p>
    <w:p w:rsidR="007A0CEC" w:rsidRDefault="007A0CEC">
      <w:pPr>
        <w:spacing w:after="160" w:line="259" w:lineRule="auto"/>
        <w:jc w:val="left"/>
        <w:rPr>
          <w:rFonts w:cs="Times New Roman"/>
          <w:b/>
          <w:szCs w:val="24"/>
          <w:lang w:val="sr-Latn-RS"/>
        </w:rPr>
      </w:pPr>
    </w:p>
    <w:p w:rsidR="007A0CEC" w:rsidRDefault="007A0CEC">
      <w:pPr>
        <w:spacing w:after="160" w:line="259" w:lineRule="auto"/>
        <w:jc w:val="left"/>
        <w:rPr>
          <w:rFonts w:cs="Times New Roman"/>
          <w:b/>
          <w:szCs w:val="24"/>
          <w:lang w:val="sr-Latn-RS"/>
        </w:rPr>
      </w:pPr>
    </w:p>
    <w:p w:rsidR="007A0CEC" w:rsidRDefault="007A0CEC">
      <w:pPr>
        <w:spacing w:after="160" w:line="259" w:lineRule="auto"/>
        <w:jc w:val="left"/>
        <w:rPr>
          <w:rFonts w:cs="Times New Roman"/>
          <w:b/>
          <w:szCs w:val="24"/>
          <w:lang w:val="sr-Latn-RS"/>
        </w:rPr>
      </w:pPr>
    </w:p>
    <w:p w:rsidR="007A0CEC" w:rsidRDefault="007A0CEC">
      <w:pPr>
        <w:spacing w:after="160" w:line="259" w:lineRule="auto"/>
        <w:jc w:val="left"/>
        <w:rPr>
          <w:rFonts w:asciiTheme="minorHAnsi" w:hAnsiTheme="minorHAnsi"/>
          <w:sz w:val="22"/>
        </w:rPr>
      </w:pPr>
      <w:r>
        <w:rPr>
          <w:lang w:val="sr-Latn-RS"/>
        </w:rPr>
        <w:lastRenderedPageBreak/>
        <w:fldChar w:fldCharType="begin"/>
      </w:r>
      <w:r>
        <w:rPr>
          <w:lang w:val="sr-Latn-RS"/>
        </w:rPr>
        <w:instrText xml:space="preserve"> LINK Excel.Sheet.12 "C:\\Users\\ognjen.jancic\\Dropbox\\Dropbox\\Makro sektor\\13. ERP 2026-2028\\ERP OBJEDINJENI\\engleska verzija\\engleska verzija za objavu\\ERP_Annex_tables_2026_XY.xlsx" "data!R84C2:R94C9" \a \f 4 \h  \* MERGEFORMAT </w:instrText>
      </w:r>
      <w:r>
        <w:rPr>
          <w:lang w:val="sr-Latn-RS"/>
        </w:rPr>
        <w:fldChar w:fldCharType="separate"/>
      </w:r>
    </w:p>
    <w:tbl>
      <w:tblPr>
        <w:tblW w:w="14943" w:type="dxa"/>
        <w:tblLook w:val="04A0" w:firstRow="1" w:lastRow="0" w:firstColumn="1" w:lastColumn="0" w:noHBand="0" w:noVBand="1"/>
      </w:tblPr>
      <w:tblGrid>
        <w:gridCol w:w="5377"/>
        <w:gridCol w:w="1335"/>
        <w:gridCol w:w="1824"/>
        <w:gridCol w:w="1294"/>
        <w:gridCol w:w="1350"/>
        <w:gridCol w:w="1257"/>
        <w:gridCol w:w="1257"/>
        <w:gridCol w:w="1249"/>
      </w:tblGrid>
      <w:tr w:rsidR="007A0CEC" w:rsidRPr="007A0CEC" w:rsidTr="007A0CEC">
        <w:trPr>
          <w:trHeight w:val="276"/>
        </w:trPr>
        <w:tc>
          <w:tcPr>
            <w:tcW w:w="5377" w:type="dxa"/>
            <w:tcBorders>
              <w:top w:val="double" w:sz="6" w:space="0" w:color="auto"/>
              <w:left w:val="double" w:sz="6" w:space="0" w:color="auto"/>
              <w:bottom w:val="double" w:sz="6" w:space="0" w:color="auto"/>
              <w:right w:val="nil"/>
            </w:tcBorders>
            <w:shd w:val="clear" w:color="auto" w:fill="auto"/>
            <w:noWrap/>
            <w:vAlign w:val="bottom"/>
            <w:hideMark/>
          </w:tcPr>
          <w:p w:rsidR="007A0CEC" w:rsidRPr="007A0CEC" w:rsidRDefault="007A0CEC" w:rsidP="007A0CEC">
            <w:pPr>
              <w:spacing w:after="0"/>
              <w:jc w:val="center"/>
              <w:rPr>
                <w:rFonts w:eastAsia="Times New Roman" w:cs="Times New Roman"/>
                <w:b/>
                <w:bCs/>
                <w:sz w:val="16"/>
                <w:szCs w:val="16"/>
              </w:rPr>
            </w:pPr>
            <w:r w:rsidRPr="007A0CEC">
              <w:rPr>
                <w:rFonts w:eastAsia="Times New Roman" w:cs="Times New Roman"/>
                <w:b/>
                <w:bCs/>
                <w:sz w:val="16"/>
                <w:szCs w:val="16"/>
              </w:rPr>
              <w:t>1g: Sustainability indicators</w:t>
            </w:r>
          </w:p>
        </w:tc>
        <w:tc>
          <w:tcPr>
            <w:tcW w:w="1335" w:type="dxa"/>
            <w:tcBorders>
              <w:top w:val="double" w:sz="6" w:space="0" w:color="auto"/>
              <w:left w:val="single" w:sz="8" w:space="0" w:color="auto"/>
              <w:bottom w:val="double" w:sz="6" w:space="0" w:color="auto"/>
              <w:right w:val="single" w:sz="8" w:space="0" w:color="auto"/>
            </w:tcBorders>
            <w:shd w:val="clear" w:color="auto" w:fill="auto"/>
            <w:noWrap/>
            <w:vAlign w:val="bottom"/>
            <w:hideMark/>
          </w:tcPr>
          <w:p w:rsidR="007A0CEC" w:rsidRPr="007A0CEC" w:rsidRDefault="007A0CEC" w:rsidP="007A0CEC">
            <w:pPr>
              <w:spacing w:after="0"/>
              <w:jc w:val="center"/>
              <w:rPr>
                <w:rFonts w:eastAsia="Times New Roman" w:cs="Times New Roman"/>
                <w:sz w:val="20"/>
                <w:szCs w:val="20"/>
              </w:rPr>
            </w:pPr>
            <w:r w:rsidRPr="007A0CEC">
              <w:rPr>
                <w:rFonts w:eastAsia="Times New Roman" w:cs="Times New Roman"/>
                <w:sz w:val="20"/>
                <w:szCs w:val="20"/>
              </w:rPr>
              <w:t>Dimension</w:t>
            </w:r>
          </w:p>
        </w:tc>
        <w:tc>
          <w:tcPr>
            <w:tcW w:w="1824" w:type="dxa"/>
            <w:tcBorders>
              <w:top w:val="double" w:sz="6" w:space="0" w:color="auto"/>
              <w:left w:val="nil"/>
              <w:bottom w:val="double" w:sz="6" w:space="0" w:color="auto"/>
              <w:right w:val="nil"/>
            </w:tcBorders>
            <w:shd w:val="clear" w:color="auto" w:fill="auto"/>
            <w:noWrap/>
            <w:vAlign w:val="bottom"/>
            <w:hideMark/>
          </w:tcPr>
          <w:p w:rsidR="007A0CEC" w:rsidRPr="007A0CEC" w:rsidRDefault="007A0CEC" w:rsidP="007A0CEC">
            <w:pPr>
              <w:spacing w:after="0"/>
              <w:jc w:val="right"/>
              <w:rPr>
                <w:rFonts w:eastAsia="Times New Roman" w:cs="Times New Roman"/>
                <w:b/>
                <w:bCs/>
                <w:sz w:val="20"/>
                <w:szCs w:val="20"/>
              </w:rPr>
            </w:pPr>
            <w:r w:rsidRPr="007A0CEC">
              <w:rPr>
                <w:rFonts w:eastAsia="Times New Roman" w:cs="Times New Roman"/>
                <w:b/>
                <w:bCs/>
                <w:sz w:val="20"/>
                <w:szCs w:val="20"/>
              </w:rPr>
              <w:t>2020</w:t>
            </w:r>
          </w:p>
        </w:tc>
        <w:tc>
          <w:tcPr>
            <w:tcW w:w="1294" w:type="dxa"/>
            <w:tcBorders>
              <w:top w:val="double" w:sz="6" w:space="0" w:color="auto"/>
              <w:left w:val="nil"/>
              <w:bottom w:val="double" w:sz="6" w:space="0" w:color="auto"/>
              <w:right w:val="nil"/>
            </w:tcBorders>
            <w:shd w:val="clear" w:color="auto" w:fill="auto"/>
            <w:noWrap/>
            <w:vAlign w:val="bottom"/>
            <w:hideMark/>
          </w:tcPr>
          <w:p w:rsidR="007A0CEC" w:rsidRPr="007A0CEC" w:rsidRDefault="007A0CEC" w:rsidP="007A0CEC">
            <w:pPr>
              <w:spacing w:after="0"/>
              <w:jc w:val="right"/>
              <w:rPr>
                <w:rFonts w:eastAsia="Times New Roman" w:cs="Times New Roman"/>
                <w:b/>
                <w:bCs/>
                <w:sz w:val="20"/>
                <w:szCs w:val="20"/>
              </w:rPr>
            </w:pPr>
            <w:r w:rsidRPr="007A0CEC">
              <w:rPr>
                <w:rFonts w:eastAsia="Times New Roman" w:cs="Times New Roman"/>
                <w:b/>
                <w:bCs/>
                <w:sz w:val="20"/>
                <w:szCs w:val="20"/>
              </w:rPr>
              <w:t>2021</w:t>
            </w:r>
          </w:p>
        </w:tc>
        <w:tc>
          <w:tcPr>
            <w:tcW w:w="1350" w:type="dxa"/>
            <w:tcBorders>
              <w:top w:val="double" w:sz="6" w:space="0" w:color="auto"/>
              <w:left w:val="nil"/>
              <w:bottom w:val="double" w:sz="6" w:space="0" w:color="auto"/>
              <w:right w:val="nil"/>
            </w:tcBorders>
            <w:shd w:val="clear" w:color="auto" w:fill="auto"/>
            <w:noWrap/>
            <w:vAlign w:val="bottom"/>
            <w:hideMark/>
          </w:tcPr>
          <w:p w:rsidR="007A0CEC" w:rsidRPr="007A0CEC" w:rsidRDefault="007A0CEC" w:rsidP="007A0CEC">
            <w:pPr>
              <w:spacing w:after="0"/>
              <w:jc w:val="right"/>
              <w:rPr>
                <w:rFonts w:eastAsia="Times New Roman" w:cs="Times New Roman"/>
                <w:b/>
                <w:bCs/>
                <w:sz w:val="20"/>
                <w:szCs w:val="20"/>
              </w:rPr>
            </w:pPr>
            <w:r w:rsidRPr="007A0CEC">
              <w:rPr>
                <w:rFonts w:eastAsia="Times New Roman" w:cs="Times New Roman"/>
                <w:b/>
                <w:bCs/>
                <w:sz w:val="20"/>
                <w:szCs w:val="20"/>
              </w:rPr>
              <w:t>2022</w:t>
            </w:r>
          </w:p>
        </w:tc>
        <w:tc>
          <w:tcPr>
            <w:tcW w:w="1257" w:type="dxa"/>
            <w:tcBorders>
              <w:top w:val="double" w:sz="6" w:space="0" w:color="auto"/>
              <w:left w:val="nil"/>
              <w:bottom w:val="double" w:sz="6" w:space="0" w:color="auto"/>
              <w:right w:val="nil"/>
            </w:tcBorders>
            <w:shd w:val="clear" w:color="auto" w:fill="auto"/>
            <w:noWrap/>
            <w:vAlign w:val="bottom"/>
            <w:hideMark/>
          </w:tcPr>
          <w:p w:rsidR="007A0CEC" w:rsidRPr="007A0CEC" w:rsidRDefault="007A0CEC" w:rsidP="007A0CEC">
            <w:pPr>
              <w:spacing w:after="0"/>
              <w:jc w:val="right"/>
              <w:rPr>
                <w:rFonts w:eastAsia="Times New Roman" w:cs="Times New Roman"/>
                <w:b/>
                <w:bCs/>
                <w:sz w:val="20"/>
                <w:szCs w:val="20"/>
              </w:rPr>
            </w:pPr>
            <w:r w:rsidRPr="007A0CEC">
              <w:rPr>
                <w:rFonts w:eastAsia="Times New Roman" w:cs="Times New Roman"/>
                <w:b/>
                <w:bCs/>
                <w:sz w:val="20"/>
                <w:szCs w:val="20"/>
              </w:rPr>
              <w:t>2023</w:t>
            </w:r>
          </w:p>
        </w:tc>
        <w:tc>
          <w:tcPr>
            <w:tcW w:w="1257" w:type="dxa"/>
            <w:tcBorders>
              <w:top w:val="double" w:sz="6" w:space="0" w:color="auto"/>
              <w:left w:val="nil"/>
              <w:bottom w:val="double" w:sz="6" w:space="0" w:color="auto"/>
              <w:right w:val="nil"/>
            </w:tcBorders>
            <w:shd w:val="clear" w:color="auto" w:fill="auto"/>
            <w:noWrap/>
            <w:vAlign w:val="bottom"/>
            <w:hideMark/>
          </w:tcPr>
          <w:p w:rsidR="007A0CEC" w:rsidRPr="007A0CEC" w:rsidRDefault="007A0CEC" w:rsidP="007A0CEC">
            <w:pPr>
              <w:spacing w:after="0"/>
              <w:jc w:val="right"/>
              <w:rPr>
                <w:rFonts w:eastAsia="Times New Roman" w:cs="Times New Roman"/>
                <w:b/>
                <w:bCs/>
                <w:sz w:val="20"/>
                <w:szCs w:val="20"/>
              </w:rPr>
            </w:pPr>
            <w:r w:rsidRPr="007A0CEC">
              <w:rPr>
                <w:rFonts w:eastAsia="Times New Roman" w:cs="Times New Roman"/>
                <w:b/>
                <w:bCs/>
                <w:sz w:val="20"/>
                <w:szCs w:val="20"/>
              </w:rPr>
              <w:t>2024</w:t>
            </w:r>
          </w:p>
        </w:tc>
        <w:tc>
          <w:tcPr>
            <w:tcW w:w="1249" w:type="dxa"/>
            <w:tcBorders>
              <w:top w:val="double" w:sz="6" w:space="0" w:color="auto"/>
              <w:left w:val="nil"/>
              <w:bottom w:val="double" w:sz="6"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b/>
                <w:bCs/>
                <w:sz w:val="20"/>
                <w:szCs w:val="20"/>
              </w:rPr>
            </w:pPr>
            <w:r w:rsidRPr="007A0CEC">
              <w:rPr>
                <w:rFonts w:eastAsia="Times New Roman" w:cs="Times New Roman"/>
                <w:b/>
                <w:bCs/>
                <w:sz w:val="20"/>
                <w:szCs w:val="20"/>
              </w:rPr>
              <w:t>2025</w:t>
            </w:r>
          </w:p>
        </w:tc>
      </w:tr>
      <w:tr w:rsidR="007A0CEC" w:rsidRPr="007A0CEC" w:rsidTr="007A0CEC">
        <w:trPr>
          <w:trHeight w:val="317"/>
        </w:trPr>
        <w:tc>
          <w:tcPr>
            <w:tcW w:w="5377" w:type="dxa"/>
            <w:tcBorders>
              <w:top w:val="nil"/>
              <w:left w:val="double" w:sz="6" w:space="0" w:color="auto"/>
              <w:bottom w:val="dotted" w:sz="4"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 xml:space="preserve">1. Current Account Balance </w:t>
            </w:r>
          </w:p>
        </w:tc>
        <w:tc>
          <w:tcPr>
            <w:tcW w:w="1335" w:type="dxa"/>
            <w:tcBorders>
              <w:top w:val="nil"/>
              <w:left w:val="nil"/>
              <w:bottom w:val="dotted" w:sz="4" w:space="0" w:color="auto"/>
              <w:right w:val="single" w:sz="8" w:space="0" w:color="auto"/>
            </w:tcBorders>
            <w:shd w:val="clear" w:color="auto" w:fill="auto"/>
            <w:hideMark/>
          </w:tcPr>
          <w:p w:rsidR="007A0CEC" w:rsidRPr="007A0CEC" w:rsidRDefault="007A0CEC" w:rsidP="007A0CEC">
            <w:pPr>
              <w:spacing w:after="0"/>
              <w:jc w:val="center"/>
              <w:rPr>
                <w:rFonts w:eastAsia="Times New Roman" w:cs="Times New Roman"/>
                <w:sz w:val="16"/>
                <w:szCs w:val="16"/>
              </w:rPr>
            </w:pPr>
            <w:r w:rsidRPr="007A0CEC">
              <w:rPr>
                <w:rFonts w:eastAsia="Times New Roman" w:cs="Times New Roman"/>
                <w:sz w:val="16"/>
                <w:szCs w:val="16"/>
              </w:rPr>
              <w:t>bn EUR</w:t>
            </w:r>
          </w:p>
        </w:tc>
        <w:tc>
          <w:tcPr>
            <w:tcW w:w="182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-1.9</w:t>
            </w:r>
          </w:p>
        </w:tc>
        <w:tc>
          <w:tcPr>
            <w:tcW w:w="129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-2.3</w:t>
            </w:r>
          </w:p>
        </w:tc>
        <w:tc>
          <w:tcPr>
            <w:tcW w:w="1350"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-4.2</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-1.8</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-3.8</w:t>
            </w:r>
          </w:p>
        </w:tc>
        <w:tc>
          <w:tcPr>
            <w:tcW w:w="1249" w:type="dxa"/>
            <w:tcBorders>
              <w:top w:val="nil"/>
              <w:left w:val="nil"/>
              <w:bottom w:val="dashed" w:sz="4"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-4.4</w:t>
            </w:r>
          </w:p>
        </w:tc>
      </w:tr>
      <w:tr w:rsidR="007A0CEC" w:rsidRPr="007A0CEC" w:rsidTr="007A0CEC">
        <w:trPr>
          <w:trHeight w:val="317"/>
        </w:trPr>
        <w:tc>
          <w:tcPr>
            <w:tcW w:w="5377" w:type="dxa"/>
            <w:tcBorders>
              <w:top w:val="nil"/>
              <w:left w:val="double" w:sz="6" w:space="0" w:color="auto"/>
              <w:bottom w:val="dotted" w:sz="4"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2. Net International Investment Position</w:t>
            </w:r>
            <w:r>
              <w:rPr>
                <w:rFonts w:eastAsia="Times New Roman" w:cs="Times New Roman"/>
                <w:sz w:val="20"/>
                <w:szCs w:val="20"/>
              </w:rPr>
              <w:t>[1]</w:t>
            </w:r>
          </w:p>
        </w:tc>
        <w:tc>
          <w:tcPr>
            <w:tcW w:w="1335" w:type="dxa"/>
            <w:tcBorders>
              <w:top w:val="nil"/>
              <w:left w:val="nil"/>
              <w:bottom w:val="dotted" w:sz="4" w:space="0" w:color="auto"/>
              <w:right w:val="single" w:sz="8" w:space="0" w:color="auto"/>
            </w:tcBorders>
            <w:shd w:val="clear" w:color="auto" w:fill="auto"/>
            <w:hideMark/>
          </w:tcPr>
          <w:p w:rsidR="007A0CEC" w:rsidRPr="007A0CEC" w:rsidRDefault="007A0CEC" w:rsidP="007A0CEC">
            <w:pPr>
              <w:spacing w:after="0"/>
              <w:jc w:val="center"/>
              <w:rPr>
                <w:rFonts w:eastAsia="Times New Roman" w:cs="Times New Roman"/>
                <w:sz w:val="16"/>
                <w:szCs w:val="16"/>
              </w:rPr>
            </w:pPr>
            <w:r w:rsidRPr="007A0CEC">
              <w:rPr>
                <w:rFonts w:eastAsia="Times New Roman" w:cs="Times New Roman"/>
                <w:sz w:val="16"/>
                <w:szCs w:val="16"/>
              </w:rPr>
              <w:t>bn EUR</w:t>
            </w:r>
          </w:p>
        </w:tc>
        <w:tc>
          <w:tcPr>
            <w:tcW w:w="182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-42.3</w:t>
            </w:r>
          </w:p>
        </w:tc>
        <w:tc>
          <w:tcPr>
            <w:tcW w:w="129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-44.1</w:t>
            </w:r>
          </w:p>
        </w:tc>
        <w:tc>
          <w:tcPr>
            <w:tcW w:w="1350"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-49.1</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-48.9</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-50.9</w:t>
            </w:r>
          </w:p>
        </w:tc>
        <w:tc>
          <w:tcPr>
            <w:tcW w:w="1249" w:type="dxa"/>
            <w:tcBorders>
              <w:top w:val="nil"/>
              <w:left w:val="nil"/>
              <w:bottom w:val="dashed" w:sz="4"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-52.2</w:t>
            </w:r>
          </w:p>
        </w:tc>
      </w:tr>
      <w:tr w:rsidR="007A0CEC" w:rsidRPr="007A0CEC" w:rsidTr="007A0CEC">
        <w:trPr>
          <w:trHeight w:val="498"/>
        </w:trPr>
        <w:tc>
          <w:tcPr>
            <w:tcW w:w="5377" w:type="dxa"/>
            <w:tcBorders>
              <w:top w:val="nil"/>
              <w:left w:val="double" w:sz="6" w:space="0" w:color="auto"/>
              <w:bottom w:val="dotted" w:sz="4"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3. Export market shares</w:t>
            </w:r>
          </w:p>
        </w:tc>
        <w:tc>
          <w:tcPr>
            <w:tcW w:w="1335" w:type="dxa"/>
            <w:tcBorders>
              <w:top w:val="nil"/>
              <w:left w:val="nil"/>
              <w:bottom w:val="dotted" w:sz="4" w:space="0" w:color="auto"/>
              <w:right w:val="single" w:sz="8" w:space="0" w:color="auto"/>
            </w:tcBorders>
            <w:shd w:val="clear" w:color="auto" w:fill="auto"/>
            <w:hideMark/>
          </w:tcPr>
          <w:p w:rsidR="007A0CEC" w:rsidRPr="007A0CEC" w:rsidRDefault="007A0CEC" w:rsidP="007A0CEC">
            <w:pPr>
              <w:spacing w:after="0"/>
              <w:jc w:val="center"/>
              <w:rPr>
                <w:rFonts w:eastAsia="Times New Roman" w:cs="Times New Roman"/>
                <w:sz w:val="18"/>
                <w:szCs w:val="18"/>
              </w:rPr>
            </w:pPr>
            <w:r w:rsidRPr="007A0CEC">
              <w:rPr>
                <w:rFonts w:eastAsia="Times New Roman" w:cs="Times New Roman"/>
                <w:sz w:val="18"/>
                <w:szCs w:val="18"/>
              </w:rPr>
              <w:t xml:space="preserve">% of total export market </w:t>
            </w:r>
          </w:p>
        </w:tc>
        <w:tc>
          <w:tcPr>
            <w:tcW w:w="182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9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350"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49" w:type="dxa"/>
            <w:tcBorders>
              <w:top w:val="nil"/>
              <w:left w:val="nil"/>
              <w:bottom w:val="dashed" w:sz="4"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r>
      <w:tr w:rsidR="007A0CEC" w:rsidRPr="007A0CEC" w:rsidTr="007A0CEC">
        <w:trPr>
          <w:trHeight w:val="259"/>
        </w:trPr>
        <w:tc>
          <w:tcPr>
            <w:tcW w:w="5377" w:type="dxa"/>
            <w:tcBorders>
              <w:top w:val="nil"/>
              <w:left w:val="double" w:sz="6" w:space="0" w:color="auto"/>
              <w:bottom w:val="dotted" w:sz="4"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4. Real Effective Exchange Rate</w:t>
            </w:r>
            <w:r>
              <w:rPr>
                <w:rFonts w:eastAsia="Times New Roman" w:cs="Times New Roman"/>
                <w:sz w:val="20"/>
                <w:szCs w:val="20"/>
              </w:rPr>
              <w:t>[2]</w:t>
            </w:r>
          </w:p>
        </w:tc>
        <w:tc>
          <w:tcPr>
            <w:tcW w:w="1335" w:type="dxa"/>
            <w:tcBorders>
              <w:top w:val="nil"/>
              <w:left w:val="nil"/>
              <w:bottom w:val="dotted" w:sz="4" w:space="0" w:color="auto"/>
              <w:right w:val="single" w:sz="8" w:space="0" w:color="auto"/>
            </w:tcBorders>
            <w:shd w:val="clear" w:color="auto" w:fill="auto"/>
            <w:hideMark/>
          </w:tcPr>
          <w:p w:rsidR="007A0CEC" w:rsidRPr="007A0CEC" w:rsidRDefault="007A0CEC" w:rsidP="007A0CEC">
            <w:pPr>
              <w:spacing w:after="0"/>
              <w:jc w:val="center"/>
              <w:rPr>
                <w:rFonts w:eastAsia="Times New Roman" w:cs="Times New Roman"/>
                <w:sz w:val="18"/>
                <w:szCs w:val="18"/>
              </w:rPr>
            </w:pPr>
            <w:r w:rsidRPr="007A0CEC">
              <w:rPr>
                <w:rFonts w:eastAsia="Times New Roman" w:cs="Times New Roman"/>
                <w:sz w:val="18"/>
                <w:szCs w:val="18"/>
              </w:rPr>
              <w:t>Index</w:t>
            </w:r>
          </w:p>
        </w:tc>
        <w:tc>
          <w:tcPr>
            <w:tcW w:w="182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124.8</w:t>
            </w:r>
          </w:p>
        </w:tc>
        <w:tc>
          <w:tcPr>
            <w:tcW w:w="129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127.1</w:t>
            </w:r>
          </w:p>
        </w:tc>
        <w:tc>
          <w:tcPr>
            <w:tcW w:w="1350"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128.4</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138.2</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141.4</w:t>
            </w:r>
          </w:p>
        </w:tc>
        <w:tc>
          <w:tcPr>
            <w:tcW w:w="1249" w:type="dxa"/>
            <w:tcBorders>
              <w:top w:val="nil"/>
              <w:left w:val="nil"/>
              <w:bottom w:val="dashed" w:sz="4"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144.5</w:t>
            </w:r>
          </w:p>
        </w:tc>
      </w:tr>
      <w:tr w:rsidR="007A0CEC" w:rsidRPr="007A0CEC" w:rsidTr="007A0CEC">
        <w:trPr>
          <w:trHeight w:val="259"/>
        </w:trPr>
        <w:tc>
          <w:tcPr>
            <w:tcW w:w="5377" w:type="dxa"/>
            <w:tcBorders>
              <w:top w:val="nil"/>
              <w:left w:val="double" w:sz="6" w:space="0" w:color="auto"/>
              <w:bottom w:val="dotted" w:sz="4"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5. Nominal Unit Labour Costs</w:t>
            </w:r>
          </w:p>
        </w:tc>
        <w:tc>
          <w:tcPr>
            <w:tcW w:w="1335" w:type="dxa"/>
            <w:tcBorders>
              <w:top w:val="nil"/>
              <w:left w:val="nil"/>
              <w:bottom w:val="dotted" w:sz="4" w:space="0" w:color="auto"/>
              <w:right w:val="single" w:sz="8" w:space="0" w:color="auto"/>
            </w:tcBorders>
            <w:shd w:val="clear" w:color="auto" w:fill="auto"/>
            <w:hideMark/>
          </w:tcPr>
          <w:p w:rsidR="007A0CEC" w:rsidRPr="007A0CEC" w:rsidRDefault="007A0CEC" w:rsidP="007A0CEC">
            <w:pPr>
              <w:spacing w:after="0"/>
              <w:jc w:val="center"/>
              <w:rPr>
                <w:rFonts w:eastAsia="Times New Roman" w:cs="Times New Roman"/>
                <w:sz w:val="18"/>
                <w:szCs w:val="18"/>
              </w:rPr>
            </w:pPr>
            <w:r w:rsidRPr="007A0CEC">
              <w:rPr>
                <w:rFonts w:eastAsia="Times New Roman" w:cs="Times New Roman"/>
                <w:sz w:val="18"/>
                <w:szCs w:val="18"/>
              </w:rPr>
              <w:t>Index</w:t>
            </w:r>
          </w:p>
        </w:tc>
        <w:tc>
          <w:tcPr>
            <w:tcW w:w="182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9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350"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49" w:type="dxa"/>
            <w:tcBorders>
              <w:top w:val="nil"/>
              <w:left w:val="nil"/>
              <w:bottom w:val="dashed" w:sz="4"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r>
      <w:tr w:rsidR="007A0CEC" w:rsidRPr="007A0CEC" w:rsidTr="007A0CEC">
        <w:trPr>
          <w:trHeight w:val="259"/>
        </w:trPr>
        <w:tc>
          <w:tcPr>
            <w:tcW w:w="5377" w:type="dxa"/>
            <w:tcBorders>
              <w:top w:val="nil"/>
              <w:left w:val="double" w:sz="6" w:space="0" w:color="auto"/>
              <w:bottom w:val="dotted" w:sz="4"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6. Private sector credit flow</w:t>
            </w:r>
            <w:r>
              <w:rPr>
                <w:rFonts w:eastAsia="Times New Roman" w:cs="Times New Roman"/>
                <w:sz w:val="20"/>
                <w:szCs w:val="20"/>
              </w:rPr>
              <w:t>[2]</w:t>
            </w:r>
          </w:p>
        </w:tc>
        <w:tc>
          <w:tcPr>
            <w:tcW w:w="1335" w:type="dxa"/>
            <w:tcBorders>
              <w:top w:val="nil"/>
              <w:left w:val="nil"/>
              <w:bottom w:val="dotted" w:sz="4" w:space="0" w:color="auto"/>
              <w:right w:val="single" w:sz="8" w:space="0" w:color="auto"/>
            </w:tcBorders>
            <w:shd w:val="clear" w:color="auto" w:fill="auto"/>
            <w:hideMark/>
          </w:tcPr>
          <w:p w:rsidR="007A0CEC" w:rsidRPr="007A0CEC" w:rsidRDefault="007A0CEC" w:rsidP="007A0CEC">
            <w:pPr>
              <w:spacing w:after="0"/>
              <w:jc w:val="center"/>
              <w:rPr>
                <w:rFonts w:eastAsia="Times New Roman" w:cs="Times New Roman"/>
                <w:sz w:val="18"/>
                <w:szCs w:val="18"/>
              </w:rPr>
            </w:pPr>
            <w:r w:rsidRPr="007A0CEC">
              <w:rPr>
                <w:rFonts w:eastAsia="Times New Roman" w:cs="Times New Roman"/>
                <w:sz w:val="18"/>
                <w:szCs w:val="18"/>
              </w:rPr>
              <w:t>bn NCU</w:t>
            </w:r>
          </w:p>
        </w:tc>
        <w:tc>
          <w:tcPr>
            <w:tcW w:w="182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219.4</w:t>
            </w:r>
          </w:p>
        </w:tc>
        <w:tc>
          <w:tcPr>
            <w:tcW w:w="129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222.9</w:t>
            </w:r>
          </w:p>
        </w:tc>
        <w:tc>
          <w:tcPr>
            <w:tcW w:w="1350"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139.6</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49.0</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269.7</w:t>
            </w:r>
          </w:p>
        </w:tc>
        <w:tc>
          <w:tcPr>
            <w:tcW w:w="1249" w:type="dxa"/>
            <w:tcBorders>
              <w:top w:val="nil"/>
              <w:left w:val="nil"/>
              <w:bottom w:val="dashed" w:sz="4"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341.6</w:t>
            </w:r>
          </w:p>
        </w:tc>
      </w:tr>
      <w:tr w:rsidR="007A0CEC" w:rsidRPr="007A0CEC" w:rsidTr="007A0CEC">
        <w:trPr>
          <w:trHeight w:val="259"/>
        </w:trPr>
        <w:tc>
          <w:tcPr>
            <w:tcW w:w="5377" w:type="dxa"/>
            <w:tcBorders>
              <w:top w:val="nil"/>
              <w:left w:val="double" w:sz="6" w:space="0" w:color="auto"/>
              <w:bottom w:val="dotted" w:sz="4"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7. Private sector debt</w:t>
            </w:r>
            <w:r>
              <w:rPr>
                <w:rFonts w:eastAsia="Times New Roman" w:cs="Times New Roman"/>
                <w:sz w:val="20"/>
                <w:szCs w:val="20"/>
              </w:rPr>
              <w:t>[3]</w:t>
            </w:r>
          </w:p>
        </w:tc>
        <w:tc>
          <w:tcPr>
            <w:tcW w:w="1335" w:type="dxa"/>
            <w:tcBorders>
              <w:top w:val="nil"/>
              <w:left w:val="nil"/>
              <w:bottom w:val="dotted" w:sz="4" w:space="0" w:color="auto"/>
              <w:right w:val="single" w:sz="8" w:space="0" w:color="auto"/>
            </w:tcBorders>
            <w:shd w:val="clear" w:color="auto" w:fill="auto"/>
            <w:hideMark/>
          </w:tcPr>
          <w:p w:rsidR="007A0CEC" w:rsidRPr="007A0CEC" w:rsidRDefault="007A0CEC" w:rsidP="007A0CEC">
            <w:pPr>
              <w:spacing w:after="0"/>
              <w:jc w:val="center"/>
              <w:rPr>
                <w:rFonts w:eastAsia="Times New Roman" w:cs="Times New Roman"/>
                <w:sz w:val="18"/>
                <w:szCs w:val="18"/>
              </w:rPr>
            </w:pPr>
            <w:r w:rsidRPr="007A0CEC">
              <w:rPr>
                <w:rFonts w:eastAsia="Times New Roman" w:cs="Times New Roman"/>
                <w:sz w:val="18"/>
                <w:szCs w:val="18"/>
              </w:rPr>
              <w:t>bn NCU</w:t>
            </w:r>
          </w:p>
        </w:tc>
        <w:tc>
          <w:tcPr>
            <w:tcW w:w="182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2,487.4</w:t>
            </w:r>
          </w:p>
        </w:tc>
        <w:tc>
          <w:tcPr>
            <w:tcW w:w="1294"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2,710.4</w:t>
            </w:r>
          </w:p>
        </w:tc>
        <w:tc>
          <w:tcPr>
            <w:tcW w:w="1350"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2,850.0</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2,898.9</w:t>
            </w:r>
          </w:p>
        </w:tc>
        <w:tc>
          <w:tcPr>
            <w:tcW w:w="1257" w:type="dxa"/>
            <w:tcBorders>
              <w:top w:val="nil"/>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3,168.6</w:t>
            </w:r>
          </w:p>
        </w:tc>
        <w:tc>
          <w:tcPr>
            <w:tcW w:w="1249" w:type="dxa"/>
            <w:tcBorders>
              <w:top w:val="nil"/>
              <w:left w:val="nil"/>
              <w:bottom w:val="dashed" w:sz="4"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3,510.3</w:t>
            </w:r>
          </w:p>
        </w:tc>
      </w:tr>
      <w:tr w:rsidR="007A0CEC" w:rsidRPr="007A0CEC" w:rsidTr="007A0CEC">
        <w:trPr>
          <w:trHeight w:val="267"/>
        </w:trPr>
        <w:tc>
          <w:tcPr>
            <w:tcW w:w="5377" w:type="dxa"/>
            <w:tcBorders>
              <w:top w:val="nil"/>
              <w:left w:val="double" w:sz="6" w:space="0" w:color="auto"/>
              <w:bottom w:val="double" w:sz="6"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8. General Government Debt</w:t>
            </w:r>
          </w:p>
        </w:tc>
        <w:tc>
          <w:tcPr>
            <w:tcW w:w="1335" w:type="dxa"/>
            <w:tcBorders>
              <w:top w:val="dashed" w:sz="4" w:space="0" w:color="auto"/>
              <w:left w:val="nil"/>
              <w:bottom w:val="double" w:sz="6" w:space="0" w:color="auto"/>
              <w:right w:val="single" w:sz="8" w:space="0" w:color="auto"/>
            </w:tcBorders>
            <w:shd w:val="clear" w:color="auto" w:fill="auto"/>
            <w:noWrap/>
            <w:vAlign w:val="bottom"/>
            <w:hideMark/>
          </w:tcPr>
          <w:p w:rsidR="007A0CEC" w:rsidRPr="007A0CEC" w:rsidRDefault="007A0CEC" w:rsidP="007A0CEC">
            <w:pPr>
              <w:spacing w:after="0"/>
              <w:jc w:val="center"/>
              <w:rPr>
                <w:rFonts w:eastAsia="Times New Roman" w:cs="Times New Roman"/>
                <w:sz w:val="20"/>
                <w:szCs w:val="20"/>
              </w:rPr>
            </w:pPr>
            <w:r w:rsidRPr="007A0CEC">
              <w:rPr>
                <w:rFonts w:eastAsia="Times New Roman" w:cs="Times New Roman"/>
                <w:sz w:val="20"/>
                <w:szCs w:val="20"/>
              </w:rPr>
              <w:t>bn NCU</w:t>
            </w:r>
          </w:p>
        </w:tc>
        <w:tc>
          <w:tcPr>
            <w:tcW w:w="1824"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94"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350"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 </w:t>
            </w:r>
          </w:p>
        </w:tc>
        <w:tc>
          <w:tcPr>
            <w:tcW w:w="1257"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4,928.3</w:t>
            </w:r>
          </w:p>
        </w:tc>
        <w:tc>
          <w:tcPr>
            <w:tcW w:w="1257"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5,326.1</w:t>
            </w:r>
          </w:p>
        </w:tc>
        <w:tc>
          <w:tcPr>
            <w:tcW w:w="1249" w:type="dxa"/>
            <w:tcBorders>
              <w:top w:val="nil"/>
              <w:left w:val="nil"/>
              <w:bottom w:val="double" w:sz="6"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5,647.9</w:t>
            </w:r>
          </w:p>
        </w:tc>
      </w:tr>
      <w:tr w:rsidR="007A0CEC" w:rsidRPr="007A0CEC" w:rsidTr="007A0CEC">
        <w:trPr>
          <w:trHeight w:val="267"/>
        </w:trPr>
        <w:tc>
          <w:tcPr>
            <w:tcW w:w="5377" w:type="dxa"/>
            <w:tcBorders>
              <w:top w:val="nil"/>
              <w:left w:val="double" w:sz="6" w:space="0" w:color="auto"/>
              <w:bottom w:val="dotted" w:sz="4"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p.m. GDP at current market prices</w:t>
            </w:r>
          </w:p>
        </w:tc>
        <w:tc>
          <w:tcPr>
            <w:tcW w:w="1335" w:type="dxa"/>
            <w:tcBorders>
              <w:top w:val="nil"/>
              <w:left w:val="nil"/>
              <w:bottom w:val="dotted" w:sz="4" w:space="0" w:color="auto"/>
              <w:right w:val="single" w:sz="8" w:space="0" w:color="auto"/>
            </w:tcBorders>
            <w:shd w:val="clear" w:color="auto" w:fill="auto"/>
            <w:hideMark/>
          </w:tcPr>
          <w:p w:rsidR="007A0CEC" w:rsidRPr="007A0CEC" w:rsidRDefault="007A0CEC" w:rsidP="007A0CEC">
            <w:pPr>
              <w:spacing w:after="0"/>
              <w:jc w:val="center"/>
              <w:rPr>
                <w:rFonts w:eastAsia="Times New Roman" w:cs="Times New Roman"/>
                <w:sz w:val="18"/>
                <w:szCs w:val="18"/>
              </w:rPr>
            </w:pPr>
            <w:r w:rsidRPr="007A0CEC">
              <w:rPr>
                <w:rFonts w:eastAsia="Times New Roman" w:cs="Times New Roman"/>
                <w:sz w:val="18"/>
                <w:szCs w:val="18"/>
              </w:rPr>
              <w:t>bn NCU</w:t>
            </w:r>
          </w:p>
        </w:tc>
        <w:tc>
          <w:tcPr>
            <w:tcW w:w="1824" w:type="dxa"/>
            <w:tcBorders>
              <w:top w:val="dashed" w:sz="4" w:space="0" w:color="auto"/>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5,764.1</w:t>
            </w:r>
          </w:p>
        </w:tc>
        <w:tc>
          <w:tcPr>
            <w:tcW w:w="1294" w:type="dxa"/>
            <w:tcBorders>
              <w:top w:val="dashed" w:sz="4" w:space="0" w:color="auto"/>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6,576.0</w:t>
            </w:r>
          </w:p>
        </w:tc>
        <w:tc>
          <w:tcPr>
            <w:tcW w:w="1350" w:type="dxa"/>
            <w:tcBorders>
              <w:top w:val="dashed" w:sz="4" w:space="0" w:color="auto"/>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7,460.1</w:t>
            </w:r>
          </w:p>
        </w:tc>
        <w:tc>
          <w:tcPr>
            <w:tcW w:w="1257" w:type="dxa"/>
            <w:tcBorders>
              <w:top w:val="dashed" w:sz="4" w:space="0" w:color="auto"/>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8,817.9</w:t>
            </w:r>
          </w:p>
        </w:tc>
        <w:tc>
          <w:tcPr>
            <w:tcW w:w="1257" w:type="dxa"/>
            <w:tcBorders>
              <w:top w:val="dashed" w:sz="4" w:space="0" w:color="auto"/>
              <w:left w:val="nil"/>
              <w:bottom w:val="dashed" w:sz="4"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9,748.3</w:t>
            </w:r>
          </w:p>
        </w:tc>
        <w:tc>
          <w:tcPr>
            <w:tcW w:w="1249" w:type="dxa"/>
            <w:tcBorders>
              <w:top w:val="dashed" w:sz="4" w:space="0" w:color="auto"/>
              <w:left w:val="nil"/>
              <w:bottom w:val="dashed" w:sz="4"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10,377.9</w:t>
            </w:r>
          </w:p>
        </w:tc>
      </w:tr>
      <w:tr w:rsidR="007A0CEC" w:rsidRPr="007A0CEC" w:rsidTr="007A0CEC">
        <w:trPr>
          <w:trHeight w:val="267"/>
        </w:trPr>
        <w:tc>
          <w:tcPr>
            <w:tcW w:w="5377" w:type="dxa"/>
            <w:tcBorders>
              <w:top w:val="nil"/>
              <w:left w:val="double" w:sz="6" w:space="0" w:color="auto"/>
              <w:bottom w:val="double" w:sz="6" w:space="0" w:color="auto"/>
              <w:right w:val="single" w:sz="8" w:space="0" w:color="auto"/>
            </w:tcBorders>
            <w:shd w:val="clear" w:color="auto" w:fill="auto"/>
            <w:hideMark/>
          </w:tcPr>
          <w:p w:rsidR="007A0CEC" w:rsidRPr="007A0CEC" w:rsidRDefault="007A0CEC" w:rsidP="007A0CEC">
            <w:pPr>
              <w:spacing w:after="0"/>
              <w:ind w:firstLineChars="100" w:firstLine="200"/>
              <w:jc w:val="left"/>
              <w:rPr>
                <w:rFonts w:eastAsia="Times New Roman" w:cs="Times New Roman"/>
                <w:sz w:val="20"/>
                <w:szCs w:val="20"/>
              </w:rPr>
            </w:pPr>
            <w:r w:rsidRPr="007A0CEC">
              <w:rPr>
                <w:rFonts w:eastAsia="Times New Roman" w:cs="Times New Roman"/>
                <w:sz w:val="20"/>
                <w:szCs w:val="20"/>
              </w:rPr>
              <w:t>p.m. Exchange rate (Annual average)</w:t>
            </w:r>
            <w:r>
              <w:rPr>
                <w:rFonts w:eastAsia="Times New Roman" w:cs="Times New Roman"/>
                <w:sz w:val="20"/>
                <w:szCs w:val="20"/>
              </w:rPr>
              <w:t>[4]</w:t>
            </w:r>
          </w:p>
        </w:tc>
        <w:tc>
          <w:tcPr>
            <w:tcW w:w="1335" w:type="dxa"/>
            <w:tcBorders>
              <w:top w:val="dashed" w:sz="4" w:space="0" w:color="auto"/>
              <w:left w:val="nil"/>
              <w:bottom w:val="double" w:sz="6" w:space="0" w:color="auto"/>
              <w:right w:val="single" w:sz="8" w:space="0" w:color="auto"/>
            </w:tcBorders>
            <w:shd w:val="clear" w:color="auto" w:fill="auto"/>
            <w:noWrap/>
            <w:vAlign w:val="bottom"/>
            <w:hideMark/>
          </w:tcPr>
          <w:p w:rsidR="007A0CEC" w:rsidRPr="007A0CEC" w:rsidRDefault="007A0CEC" w:rsidP="007A0CEC">
            <w:pPr>
              <w:spacing w:after="0"/>
              <w:jc w:val="center"/>
              <w:rPr>
                <w:rFonts w:eastAsia="Times New Roman" w:cs="Times New Roman"/>
                <w:sz w:val="20"/>
                <w:szCs w:val="20"/>
              </w:rPr>
            </w:pPr>
            <w:r w:rsidRPr="007A0CEC">
              <w:rPr>
                <w:rFonts w:eastAsia="Times New Roman" w:cs="Times New Roman"/>
                <w:sz w:val="20"/>
                <w:szCs w:val="20"/>
              </w:rPr>
              <w:t>NCU/EUR</w:t>
            </w:r>
          </w:p>
        </w:tc>
        <w:tc>
          <w:tcPr>
            <w:tcW w:w="1824"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117.85</w:t>
            </w:r>
          </w:p>
        </w:tc>
        <w:tc>
          <w:tcPr>
            <w:tcW w:w="1294"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117.58</w:t>
            </w:r>
          </w:p>
        </w:tc>
        <w:tc>
          <w:tcPr>
            <w:tcW w:w="1350"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117.57</w:t>
            </w:r>
          </w:p>
        </w:tc>
        <w:tc>
          <w:tcPr>
            <w:tcW w:w="1257"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117.3</w:t>
            </w:r>
          </w:p>
        </w:tc>
        <w:tc>
          <w:tcPr>
            <w:tcW w:w="1257" w:type="dxa"/>
            <w:tcBorders>
              <w:top w:val="nil"/>
              <w:left w:val="nil"/>
              <w:bottom w:val="double" w:sz="6" w:space="0" w:color="auto"/>
              <w:right w:val="dashed" w:sz="4"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117.1</w:t>
            </w:r>
          </w:p>
        </w:tc>
        <w:tc>
          <w:tcPr>
            <w:tcW w:w="1249" w:type="dxa"/>
            <w:tcBorders>
              <w:top w:val="nil"/>
              <w:left w:val="nil"/>
              <w:bottom w:val="double" w:sz="6" w:space="0" w:color="auto"/>
              <w:right w:val="double" w:sz="6" w:space="0" w:color="auto"/>
            </w:tcBorders>
            <w:shd w:val="clear" w:color="auto" w:fill="auto"/>
            <w:noWrap/>
            <w:vAlign w:val="bottom"/>
            <w:hideMark/>
          </w:tcPr>
          <w:p w:rsidR="007A0CEC" w:rsidRPr="007A0CEC" w:rsidRDefault="007A0CEC" w:rsidP="007A0CEC">
            <w:pPr>
              <w:spacing w:after="0"/>
              <w:jc w:val="right"/>
              <w:rPr>
                <w:rFonts w:eastAsia="Times New Roman" w:cs="Times New Roman"/>
                <w:sz w:val="20"/>
                <w:szCs w:val="20"/>
              </w:rPr>
            </w:pPr>
            <w:r w:rsidRPr="007A0CEC">
              <w:rPr>
                <w:rFonts w:eastAsia="Times New Roman" w:cs="Times New Roman"/>
                <w:sz w:val="20"/>
                <w:szCs w:val="20"/>
              </w:rPr>
              <w:t>117.2</w:t>
            </w:r>
          </w:p>
        </w:tc>
      </w:tr>
    </w:tbl>
    <w:p w:rsidR="007A0CEC" w:rsidRDefault="007A0CEC" w:rsidP="007A0CEC">
      <w:pPr>
        <w:spacing w:after="0"/>
        <w:jc w:val="left"/>
        <w:rPr>
          <w:rFonts w:cs="Times New Roman"/>
          <w:b/>
          <w:szCs w:val="24"/>
          <w:lang w:val="sr-Latn-RS"/>
        </w:rPr>
      </w:pPr>
      <w:r>
        <w:rPr>
          <w:rFonts w:cs="Times New Roman"/>
          <w:b/>
          <w:szCs w:val="24"/>
          <w:lang w:val="sr-Latn-RS"/>
        </w:rPr>
        <w:fldChar w:fldCharType="end"/>
      </w:r>
    </w:p>
    <w:p w:rsidR="007A0CEC" w:rsidRPr="007A0CEC" w:rsidRDefault="007A0CEC" w:rsidP="007A0CEC">
      <w:pPr>
        <w:spacing w:after="0"/>
        <w:jc w:val="left"/>
        <w:rPr>
          <w:rFonts w:eastAsia="Times New Roman" w:cs="Times New Roman"/>
          <w:sz w:val="16"/>
          <w:szCs w:val="16"/>
          <w:lang w:val="sr-Latn-RS"/>
        </w:rPr>
      </w:pPr>
      <w:r w:rsidRPr="007A0CEC">
        <w:rPr>
          <w:rFonts w:eastAsia="Times New Roman" w:cs="Times New Roman"/>
          <w:sz w:val="16"/>
          <w:szCs w:val="16"/>
        </w:rPr>
        <w:t>[1]</w:t>
      </w:r>
      <w:r w:rsidR="00676704">
        <w:rPr>
          <w:rFonts w:eastAsia="Times New Roman" w:cs="Times New Roman"/>
          <w:sz w:val="16"/>
          <w:szCs w:val="16"/>
        </w:rPr>
        <w:t>J</w:t>
      </w:r>
      <w:r>
        <w:rPr>
          <w:rFonts w:eastAsia="Times New Roman" w:cs="Times New Roman"/>
          <w:sz w:val="16"/>
          <w:szCs w:val="16"/>
          <w:lang w:val="sr-Latn-RS"/>
        </w:rPr>
        <w:t>une</w:t>
      </w:r>
    </w:p>
    <w:p w:rsidR="007A0CEC" w:rsidRPr="007A0CEC" w:rsidRDefault="007A0CEC" w:rsidP="007A0CEC">
      <w:pPr>
        <w:spacing w:after="0"/>
        <w:jc w:val="left"/>
        <w:rPr>
          <w:rFonts w:eastAsia="Times New Roman" w:cs="Times New Roman"/>
          <w:sz w:val="16"/>
          <w:szCs w:val="16"/>
        </w:rPr>
      </w:pPr>
      <w:r w:rsidRPr="007A0CEC">
        <w:rPr>
          <w:rFonts w:eastAsia="Times New Roman" w:cs="Times New Roman"/>
          <w:sz w:val="16"/>
          <w:szCs w:val="16"/>
        </w:rPr>
        <w:t>[2]</w:t>
      </w:r>
      <w:r>
        <w:rPr>
          <w:rFonts w:eastAsia="Times New Roman" w:cs="Times New Roman"/>
          <w:sz w:val="16"/>
          <w:szCs w:val="16"/>
        </w:rPr>
        <w:t>Janury-September 2025</w:t>
      </w:r>
    </w:p>
    <w:p w:rsidR="007A0CEC" w:rsidRPr="007A0CEC" w:rsidRDefault="007A0CEC" w:rsidP="007A0CEC">
      <w:pPr>
        <w:spacing w:after="0"/>
        <w:jc w:val="left"/>
        <w:rPr>
          <w:rFonts w:eastAsia="Times New Roman" w:cs="Times New Roman"/>
          <w:sz w:val="16"/>
          <w:szCs w:val="16"/>
        </w:rPr>
      </w:pPr>
      <w:r w:rsidRPr="007A0CEC">
        <w:rPr>
          <w:rFonts w:eastAsia="Times New Roman" w:cs="Times New Roman"/>
          <w:sz w:val="16"/>
          <w:szCs w:val="16"/>
        </w:rPr>
        <w:t>[3]</w:t>
      </w:r>
      <w:r>
        <w:rPr>
          <w:rFonts w:eastAsia="Times New Roman" w:cs="Times New Roman"/>
          <w:sz w:val="16"/>
          <w:szCs w:val="16"/>
        </w:rPr>
        <w:t>end-September 2025</w:t>
      </w:r>
    </w:p>
    <w:p w:rsidR="00EE2274" w:rsidRDefault="007A0CEC" w:rsidP="007A0CEC">
      <w:pPr>
        <w:spacing w:after="0"/>
        <w:jc w:val="left"/>
        <w:rPr>
          <w:rFonts w:eastAsia="Times New Roman" w:cs="Times New Roman"/>
          <w:sz w:val="16"/>
          <w:szCs w:val="16"/>
        </w:rPr>
      </w:pPr>
      <w:r w:rsidRPr="007A0CEC">
        <w:rPr>
          <w:rFonts w:eastAsia="Times New Roman" w:cs="Times New Roman"/>
          <w:sz w:val="16"/>
          <w:szCs w:val="16"/>
        </w:rPr>
        <w:t xml:space="preserve">[4]average January-October </w:t>
      </w:r>
      <w:r>
        <w:rPr>
          <w:rFonts w:eastAsia="Times New Roman" w:cs="Times New Roman"/>
          <w:sz w:val="16"/>
          <w:szCs w:val="16"/>
        </w:rPr>
        <w:t>2025</w:t>
      </w: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p w:rsidR="00EE2274" w:rsidRDefault="00EE2274" w:rsidP="007A0CEC">
      <w:pPr>
        <w:spacing w:after="0"/>
        <w:jc w:val="left"/>
        <w:rPr>
          <w:rFonts w:eastAsia="Times New Roman" w:cs="Times New Roman"/>
          <w:sz w:val="16"/>
          <w:szCs w:val="16"/>
        </w:rPr>
      </w:pPr>
    </w:p>
    <w:tbl>
      <w:tblPr>
        <w:tblW w:w="11243" w:type="dxa"/>
        <w:tblCellMar>
          <w:left w:w="0" w:type="dxa"/>
          <w:right w:w="0" w:type="dxa"/>
        </w:tblCellMar>
        <w:tblLook w:val="04A0" w:firstRow="1" w:lastRow="0" w:firstColumn="1" w:lastColumn="0" w:noHBand="0" w:noVBand="1"/>
      </w:tblPr>
      <w:tblGrid>
        <w:gridCol w:w="29"/>
        <w:gridCol w:w="3784"/>
        <w:gridCol w:w="7"/>
        <w:gridCol w:w="1020"/>
        <w:gridCol w:w="1018"/>
        <w:gridCol w:w="1077"/>
        <w:gridCol w:w="1077"/>
        <w:gridCol w:w="1077"/>
        <w:gridCol w:w="1077"/>
        <w:gridCol w:w="1077"/>
      </w:tblGrid>
      <w:tr w:rsidR="00EE2274" w:rsidRPr="00EE2274" w:rsidTr="00EE2274">
        <w:trPr>
          <w:gridAfter w:val="8"/>
          <w:wAfter w:w="7447" w:type="dxa"/>
          <w:trHeight w:val="320"/>
        </w:trPr>
        <w:tc>
          <w:tcPr>
            <w:tcW w:w="3796" w:type="dxa"/>
            <w:gridSpan w:val="2"/>
            <w:tcBorders>
              <w:top w:val="nil"/>
              <w:left w:val="nil"/>
              <w:bottom w:val="nil"/>
              <w:right w:val="nil"/>
            </w:tcBorders>
            <w:shd w:val="clear" w:color="000000" w:fill="FFFFFF"/>
            <w:noWrap/>
            <w:vAlign w:val="bottom"/>
            <w:hideMark/>
          </w:tcPr>
          <w:p w:rsidR="00EE2274" w:rsidRDefault="00EE2274">
            <w:pPr>
              <w:spacing w:after="0"/>
              <w:jc w:val="left"/>
              <w:rPr>
                <w:bCs/>
              </w:rPr>
            </w:pPr>
            <w:r w:rsidRPr="00EE2274">
              <w:rPr>
                <w:bCs/>
              </w:rPr>
              <w:lastRenderedPageBreak/>
              <w:t>Table 1a:  Macroeconomic prospects</w:t>
            </w:r>
          </w:p>
          <w:p w:rsidR="00EE2274" w:rsidRDefault="00EE2274">
            <w:pPr>
              <w:spacing w:after="0"/>
              <w:jc w:val="left"/>
              <w:rPr>
                <w:bCs/>
              </w:rPr>
            </w:pPr>
          </w:p>
          <w:p w:rsidR="00EE2274" w:rsidRPr="00EE2274" w:rsidRDefault="00EE2274">
            <w:pPr>
              <w:spacing w:after="0"/>
              <w:jc w:val="left"/>
              <w:rPr>
                <w:bCs/>
              </w:rPr>
            </w:pPr>
          </w:p>
        </w:tc>
      </w:tr>
      <w:tr w:rsidR="00EE2274" w:rsidRPr="00EE2274" w:rsidTr="00EE2274">
        <w:tblPrEx>
          <w:tblCellMar>
            <w:left w:w="108" w:type="dxa"/>
            <w:right w:w="108" w:type="dxa"/>
          </w:tblCellMar>
        </w:tblPrEx>
        <w:trPr>
          <w:gridBefore w:val="1"/>
          <w:wBefore w:w="23" w:type="dxa"/>
          <w:trHeight w:val="320"/>
        </w:trPr>
        <w:tc>
          <w:tcPr>
            <w:tcW w:w="3780" w:type="dxa"/>
            <w:gridSpan w:val="2"/>
            <w:vMerge w:val="restart"/>
            <w:tcBorders>
              <w:top w:val="double" w:sz="6" w:space="0" w:color="auto"/>
              <w:left w:val="double" w:sz="6" w:space="0" w:color="auto"/>
              <w:bottom w:val="dotted" w:sz="4" w:space="0" w:color="000000"/>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Percentages unless otherwise indicated</w:t>
            </w:r>
          </w:p>
        </w:tc>
        <w:tc>
          <w:tcPr>
            <w:tcW w:w="1020" w:type="dxa"/>
            <w:vMerge w:val="restart"/>
            <w:tcBorders>
              <w:top w:val="double" w:sz="6" w:space="0" w:color="auto"/>
              <w:left w:val="dotted" w:sz="4" w:space="0" w:color="auto"/>
              <w:bottom w:val="dotted" w:sz="4" w:space="0" w:color="000000"/>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ESA Code</w:t>
            </w:r>
          </w:p>
        </w:tc>
        <w:tc>
          <w:tcPr>
            <w:tcW w:w="1020" w:type="dxa"/>
            <w:tcBorders>
              <w:top w:val="double" w:sz="6" w:space="0" w:color="auto"/>
              <w:left w:val="nil"/>
              <w:bottom w:val="nil"/>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80" w:type="dxa"/>
            <w:tcBorders>
              <w:top w:val="double" w:sz="6" w:space="0" w:color="auto"/>
              <w:left w:val="nil"/>
              <w:bottom w:val="nil"/>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80" w:type="dxa"/>
            <w:tcBorders>
              <w:top w:val="double" w:sz="6" w:space="0" w:color="auto"/>
              <w:left w:val="nil"/>
              <w:bottom w:val="nil"/>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80" w:type="dxa"/>
            <w:tcBorders>
              <w:top w:val="double" w:sz="6" w:space="0" w:color="auto"/>
              <w:left w:val="nil"/>
              <w:bottom w:val="nil"/>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80" w:type="dxa"/>
            <w:tcBorders>
              <w:top w:val="double" w:sz="6" w:space="0" w:color="auto"/>
              <w:left w:val="nil"/>
              <w:bottom w:val="nil"/>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80" w:type="dxa"/>
            <w:tcBorders>
              <w:top w:val="double" w:sz="6" w:space="0" w:color="auto"/>
              <w:left w:val="nil"/>
              <w:bottom w:val="nil"/>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r>
      <w:tr w:rsidR="00EE2274" w:rsidRPr="00EE2274" w:rsidTr="00EE2274">
        <w:tblPrEx>
          <w:tblCellMar>
            <w:left w:w="108" w:type="dxa"/>
            <w:right w:w="108" w:type="dxa"/>
          </w:tblCellMar>
        </w:tblPrEx>
        <w:trPr>
          <w:gridBefore w:val="1"/>
          <w:wBefore w:w="23" w:type="dxa"/>
          <w:trHeight w:val="320"/>
        </w:trPr>
        <w:tc>
          <w:tcPr>
            <w:tcW w:w="3780" w:type="dxa"/>
            <w:gridSpan w:val="2"/>
            <w:vMerge/>
            <w:tcBorders>
              <w:top w:val="double" w:sz="6" w:space="0" w:color="auto"/>
              <w:left w:val="double" w:sz="6" w:space="0" w:color="auto"/>
              <w:bottom w:val="dotted" w:sz="4" w:space="0" w:color="000000"/>
              <w:right w:val="dotted" w:sz="4" w:space="0" w:color="auto"/>
            </w:tcBorders>
            <w:vAlign w:val="center"/>
            <w:hideMark/>
          </w:tcPr>
          <w:p w:rsidR="00EE2274" w:rsidRPr="00EE2274" w:rsidRDefault="00EE2274" w:rsidP="00EE2274">
            <w:pPr>
              <w:spacing w:after="0"/>
              <w:jc w:val="left"/>
              <w:rPr>
                <w:rFonts w:eastAsia="Times New Roman" w:cs="Times New Roman"/>
                <w:sz w:val="20"/>
                <w:szCs w:val="20"/>
              </w:rPr>
            </w:pPr>
          </w:p>
        </w:tc>
        <w:tc>
          <w:tcPr>
            <w:tcW w:w="1020" w:type="dxa"/>
            <w:vMerge/>
            <w:tcBorders>
              <w:top w:val="double" w:sz="6" w:space="0" w:color="auto"/>
              <w:left w:val="dotted" w:sz="4" w:space="0" w:color="auto"/>
              <w:bottom w:val="dotted" w:sz="4" w:space="0" w:color="000000"/>
              <w:right w:val="single" w:sz="8" w:space="0" w:color="auto"/>
            </w:tcBorders>
            <w:vAlign w:val="center"/>
            <w:hideMark/>
          </w:tcPr>
          <w:p w:rsidR="00EE2274" w:rsidRPr="00EE2274" w:rsidRDefault="00EE2274" w:rsidP="00EE2274">
            <w:pPr>
              <w:spacing w:after="0"/>
              <w:jc w:val="left"/>
              <w:rPr>
                <w:rFonts w:eastAsia="Times New Roman" w:cs="Times New Roman"/>
                <w:sz w:val="20"/>
                <w:szCs w:val="20"/>
              </w:rPr>
            </w:pPr>
          </w:p>
        </w:tc>
        <w:tc>
          <w:tcPr>
            <w:tcW w:w="1020" w:type="dxa"/>
            <w:tcBorders>
              <w:top w:val="nil"/>
              <w:left w:val="nil"/>
              <w:bottom w:val="double" w:sz="6"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2024</w:t>
            </w:r>
          </w:p>
        </w:tc>
        <w:tc>
          <w:tcPr>
            <w:tcW w:w="1080" w:type="dxa"/>
            <w:tcBorders>
              <w:top w:val="nil"/>
              <w:left w:val="nil"/>
              <w:bottom w:val="double" w:sz="6" w:space="0" w:color="auto"/>
              <w:right w:val="dotted" w:sz="4" w:space="0" w:color="auto"/>
            </w:tcBorders>
            <w:shd w:val="clear" w:color="000000" w:fill="FFFFFF"/>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2024</w:t>
            </w:r>
          </w:p>
        </w:tc>
        <w:tc>
          <w:tcPr>
            <w:tcW w:w="1080" w:type="dxa"/>
            <w:tcBorders>
              <w:top w:val="nil"/>
              <w:left w:val="nil"/>
              <w:bottom w:val="double" w:sz="6" w:space="0" w:color="auto"/>
              <w:right w:val="dotted" w:sz="4" w:space="0" w:color="auto"/>
            </w:tcBorders>
            <w:shd w:val="clear" w:color="000000" w:fill="FFFFFF"/>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2025</w:t>
            </w:r>
          </w:p>
        </w:tc>
        <w:tc>
          <w:tcPr>
            <w:tcW w:w="1080" w:type="dxa"/>
            <w:tcBorders>
              <w:top w:val="nil"/>
              <w:left w:val="nil"/>
              <w:bottom w:val="double" w:sz="6" w:space="0" w:color="auto"/>
              <w:right w:val="dotted" w:sz="4" w:space="0" w:color="auto"/>
            </w:tcBorders>
            <w:shd w:val="clear" w:color="000000" w:fill="FFFFFF"/>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2026</w:t>
            </w:r>
          </w:p>
        </w:tc>
        <w:tc>
          <w:tcPr>
            <w:tcW w:w="1080" w:type="dxa"/>
            <w:tcBorders>
              <w:top w:val="nil"/>
              <w:left w:val="nil"/>
              <w:bottom w:val="double" w:sz="6" w:space="0" w:color="auto"/>
              <w:right w:val="dotted" w:sz="4" w:space="0" w:color="auto"/>
            </w:tcBorders>
            <w:shd w:val="clear" w:color="000000" w:fill="FFFFFF"/>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2027</w:t>
            </w:r>
          </w:p>
        </w:tc>
        <w:tc>
          <w:tcPr>
            <w:tcW w:w="1080" w:type="dxa"/>
            <w:tcBorders>
              <w:top w:val="nil"/>
              <w:left w:val="nil"/>
              <w:bottom w:val="double" w:sz="6" w:space="0" w:color="auto"/>
              <w:right w:val="double" w:sz="6" w:space="0" w:color="auto"/>
            </w:tcBorders>
            <w:shd w:val="clear" w:color="000000" w:fill="FFFFFF"/>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2028</w:t>
            </w:r>
          </w:p>
        </w:tc>
      </w:tr>
      <w:tr w:rsidR="00EE2274" w:rsidRPr="00EE2274" w:rsidTr="00EE2274">
        <w:tblPrEx>
          <w:tblCellMar>
            <w:left w:w="108" w:type="dxa"/>
            <w:right w:w="108" w:type="dxa"/>
          </w:tblCellMar>
        </w:tblPrEx>
        <w:trPr>
          <w:gridBefore w:val="1"/>
          <w:wBefore w:w="23" w:type="dxa"/>
          <w:trHeight w:val="515"/>
        </w:trPr>
        <w:tc>
          <w:tcPr>
            <w:tcW w:w="3780" w:type="dxa"/>
            <w:gridSpan w:val="2"/>
            <w:tcBorders>
              <w:top w:val="nil"/>
              <w:left w:val="double" w:sz="6" w:space="0" w:color="auto"/>
              <w:bottom w:val="single" w:sz="8" w:space="0" w:color="auto"/>
              <w:right w:val="dotted" w:sz="4" w:space="0" w:color="auto"/>
            </w:tcBorders>
            <w:shd w:val="clear" w:color="000000" w:fill="FFFFFF"/>
            <w:vAlign w:val="bottom"/>
            <w:hideMark/>
          </w:tcPr>
          <w:p w:rsidR="00EE2274" w:rsidRPr="00EE2274" w:rsidRDefault="00EE2274" w:rsidP="00EE2274">
            <w:pPr>
              <w:spacing w:after="0"/>
              <w:ind w:firstLineChars="100" w:firstLine="160"/>
              <w:jc w:val="left"/>
              <w:rPr>
                <w:rFonts w:eastAsia="Times New Roman" w:cs="Times New Roman"/>
                <w:sz w:val="16"/>
                <w:szCs w:val="16"/>
              </w:rPr>
            </w:pPr>
            <w:r w:rsidRPr="00EE2274">
              <w:rPr>
                <w:rFonts w:eastAsia="Times New Roman" w:cs="Times New Roman"/>
                <w:sz w:val="16"/>
                <w:szCs w:val="16"/>
              </w:rPr>
              <w:t> </w:t>
            </w:r>
          </w:p>
        </w:tc>
        <w:tc>
          <w:tcPr>
            <w:tcW w:w="1020" w:type="dxa"/>
            <w:tcBorders>
              <w:top w:val="nil"/>
              <w:left w:val="nil"/>
              <w:bottom w:val="single" w:sz="8"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16"/>
                <w:szCs w:val="16"/>
              </w:rPr>
            </w:pPr>
            <w:r w:rsidRPr="00EE2274">
              <w:rPr>
                <w:rFonts w:eastAsia="Times New Roman" w:cs="Times New Roman"/>
                <w:sz w:val="16"/>
                <w:szCs w:val="16"/>
              </w:rPr>
              <w:t> </w:t>
            </w:r>
          </w:p>
        </w:tc>
        <w:tc>
          <w:tcPr>
            <w:tcW w:w="1020" w:type="dxa"/>
            <w:tcBorders>
              <w:top w:val="nil"/>
              <w:left w:val="nil"/>
              <w:bottom w:val="single" w:sz="8"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b/>
                <w:bCs/>
                <w:sz w:val="20"/>
                <w:szCs w:val="20"/>
              </w:rPr>
            </w:pPr>
            <w:r w:rsidRPr="00EE2274">
              <w:rPr>
                <w:rFonts w:eastAsia="Times New Roman" w:cs="Times New Roman"/>
                <w:b/>
                <w:bCs/>
                <w:sz w:val="20"/>
                <w:szCs w:val="20"/>
              </w:rPr>
              <w:t>Level  (bn EUR)</w:t>
            </w:r>
          </w:p>
        </w:tc>
        <w:tc>
          <w:tcPr>
            <w:tcW w:w="5400" w:type="dxa"/>
            <w:gridSpan w:val="5"/>
            <w:tcBorders>
              <w:top w:val="double" w:sz="6" w:space="0" w:color="auto"/>
              <w:left w:val="nil"/>
              <w:bottom w:val="single" w:sz="8" w:space="0" w:color="auto"/>
              <w:right w:val="double" w:sz="6" w:space="0" w:color="000000"/>
            </w:tcBorders>
            <w:shd w:val="clear" w:color="000000" w:fill="FFFFFF"/>
            <w:vAlign w:val="center"/>
            <w:hideMark/>
          </w:tcPr>
          <w:p w:rsidR="00EE2274" w:rsidRPr="00EE2274" w:rsidRDefault="00EE2274" w:rsidP="00EE2274">
            <w:pPr>
              <w:spacing w:after="0"/>
              <w:jc w:val="center"/>
              <w:rPr>
                <w:rFonts w:eastAsia="Times New Roman" w:cs="Times New Roman"/>
                <w:b/>
                <w:bCs/>
                <w:sz w:val="20"/>
                <w:szCs w:val="20"/>
              </w:rPr>
            </w:pPr>
            <w:r w:rsidRPr="00EE2274">
              <w:rPr>
                <w:rFonts w:eastAsia="Times New Roman" w:cs="Times New Roman"/>
                <w:b/>
                <w:bCs/>
                <w:sz w:val="20"/>
                <w:szCs w:val="20"/>
              </w:rPr>
              <w:t xml:space="preserve">Rate of change </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dotted" w:sz="4"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1. Real GDP at market prices</w:t>
            </w:r>
            <w:r w:rsidRPr="00EE2274">
              <w:rPr>
                <w:rFonts w:eastAsia="Times New Roman" w:cs="Times New Roman"/>
                <w:b/>
                <w:bCs/>
                <w:sz w:val="20"/>
                <w:szCs w:val="20"/>
              </w:rPr>
              <w:t xml:space="preserve"> </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B1*g</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62.209</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3.9</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2.3</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3.0</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5.0</w:t>
            </w:r>
          </w:p>
        </w:tc>
        <w:tc>
          <w:tcPr>
            <w:tcW w:w="1080" w:type="dxa"/>
            <w:tcBorders>
              <w:top w:val="nil"/>
              <w:left w:val="nil"/>
              <w:bottom w:val="dotted" w:sz="4"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3.5</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single" w:sz="8"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2. Current GDP at</w:t>
            </w:r>
            <w:r w:rsidRPr="00EE2274">
              <w:rPr>
                <w:rFonts w:eastAsia="Times New Roman" w:cs="Times New Roman"/>
                <w:i/>
                <w:iCs/>
                <w:sz w:val="20"/>
                <w:szCs w:val="20"/>
              </w:rPr>
              <w:t xml:space="preserve"> </w:t>
            </w:r>
            <w:r w:rsidRPr="00EE2274">
              <w:rPr>
                <w:rFonts w:eastAsia="Times New Roman" w:cs="Times New Roman"/>
                <w:sz w:val="20"/>
                <w:szCs w:val="20"/>
              </w:rPr>
              <w:t>market prices</w:t>
            </w:r>
          </w:p>
        </w:tc>
        <w:tc>
          <w:tcPr>
            <w:tcW w:w="1020" w:type="dxa"/>
            <w:tcBorders>
              <w:top w:val="nil"/>
              <w:left w:val="nil"/>
              <w:bottom w:val="single" w:sz="8"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B1*g</w:t>
            </w:r>
          </w:p>
        </w:tc>
        <w:tc>
          <w:tcPr>
            <w:tcW w:w="1020" w:type="dxa"/>
            <w:tcBorders>
              <w:top w:val="nil"/>
              <w:left w:val="nil"/>
              <w:bottom w:val="single" w:sz="8"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83.258</w:t>
            </w:r>
          </w:p>
        </w:tc>
        <w:tc>
          <w:tcPr>
            <w:tcW w:w="1080" w:type="dxa"/>
            <w:tcBorders>
              <w:top w:val="nil"/>
              <w:left w:val="nil"/>
              <w:bottom w:val="single" w:sz="8"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10.6</w:t>
            </w:r>
          </w:p>
        </w:tc>
        <w:tc>
          <w:tcPr>
            <w:tcW w:w="1080" w:type="dxa"/>
            <w:tcBorders>
              <w:top w:val="nil"/>
              <w:left w:val="nil"/>
              <w:bottom w:val="single" w:sz="8"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6.5</w:t>
            </w:r>
          </w:p>
        </w:tc>
        <w:tc>
          <w:tcPr>
            <w:tcW w:w="1080" w:type="dxa"/>
            <w:tcBorders>
              <w:top w:val="nil"/>
              <w:left w:val="nil"/>
              <w:bottom w:val="single" w:sz="8"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6.8</w:t>
            </w:r>
          </w:p>
        </w:tc>
        <w:tc>
          <w:tcPr>
            <w:tcW w:w="1080" w:type="dxa"/>
            <w:tcBorders>
              <w:top w:val="nil"/>
              <w:left w:val="nil"/>
              <w:bottom w:val="single" w:sz="8"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8.6</w:t>
            </w:r>
          </w:p>
        </w:tc>
        <w:tc>
          <w:tcPr>
            <w:tcW w:w="1080" w:type="dxa"/>
            <w:tcBorders>
              <w:top w:val="nil"/>
              <w:left w:val="nil"/>
              <w:bottom w:val="single" w:sz="8"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6.4</w:t>
            </w:r>
          </w:p>
        </w:tc>
      </w:tr>
      <w:tr w:rsidR="00EE2274" w:rsidRPr="00EE2274" w:rsidTr="00EE2274">
        <w:tblPrEx>
          <w:tblCellMar>
            <w:left w:w="108" w:type="dxa"/>
            <w:right w:w="108" w:type="dxa"/>
          </w:tblCellMar>
        </w:tblPrEx>
        <w:trPr>
          <w:gridBefore w:val="1"/>
          <w:wBefore w:w="23" w:type="dxa"/>
          <w:trHeight w:val="320"/>
        </w:trPr>
        <w:tc>
          <w:tcPr>
            <w:tcW w:w="11220" w:type="dxa"/>
            <w:gridSpan w:val="9"/>
            <w:tcBorders>
              <w:top w:val="single" w:sz="8" w:space="0" w:color="auto"/>
              <w:left w:val="double" w:sz="6" w:space="0" w:color="auto"/>
              <w:bottom w:val="single" w:sz="8" w:space="0" w:color="auto"/>
              <w:right w:val="double" w:sz="6" w:space="0" w:color="000000"/>
            </w:tcBorders>
            <w:shd w:val="clear" w:color="000000" w:fill="FFFFFF"/>
            <w:vAlign w:val="bottom"/>
            <w:hideMark/>
          </w:tcPr>
          <w:p w:rsidR="00EE2274" w:rsidRPr="00EE2274" w:rsidRDefault="00EE2274" w:rsidP="00EE2274">
            <w:pPr>
              <w:spacing w:after="0"/>
              <w:jc w:val="center"/>
              <w:rPr>
                <w:rFonts w:eastAsia="Times New Roman" w:cs="Times New Roman"/>
                <w:b/>
                <w:bCs/>
                <w:sz w:val="20"/>
                <w:szCs w:val="20"/>
              </w:rPr>
            </w:pPr>
            <w:r w:rsidRPr="00EE2274">
              <w:rPr>
                <w:rFonts w:eastAsia="Times New Roman" w:cs="Times New Roman"/>
                <w:b/>
                <w:bCs/>
                <w:sz w:val="20"/>
                <w:szCs w:val="20"/>
              </w:rPr>
              <w:t>Components of real GDP</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dotted" w:sz="4"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3. Private consumption expenditure</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P3</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39</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5.2</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2.8</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4.6</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3.4</w:t>
            </w:r>
          </w:p>
        </w:tc>
        <w:tc>
          <w:tcPr>
            <w:tcW w:w="1080" w:type="dxa"/>
            <w:tcBorders>
              <w:top w:val="nil"/>
              <w:left w:val="nil"/>
              <w:bottom w:val="dotted" w:sz="4"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3.4</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dotted" w:sz="4"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4. Government consumption expenditure</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P3</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11</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4.0</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2.6</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2.9</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w:t>
            </w:r>
          </w:p>
        </w:tc>
        <w:tc>
          <w:tcPr>
            <w:tcW w:w="1080" w:type="dxa"/>
            <w:tcBorders>
              <w:top w:val="nil"/>
              <w:left w:val="nil"/>
              <w:bottom w:val="dotted" w:sz="4"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2.4</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dotted" w:sz="4"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5. Gross fixed capital formation</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P51</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16</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7.7</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1.6</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6.9</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5.9</w:t>
            </w:r>
          </w:p>
        </w:tc>
        <w:tc>
          <w:tcPr>
            <w:tcW w:w="1080" w:type="dxa"/>
            <w:tcBorders>
              <w:top w:val="nil"/>
              <w:left w:val="nil"/>
              <w:bottom w:val="dotted" w:sz="4"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4.5</w:t>
            </w:r>
          </w:p>
        </w:tc>
      </w:tr>
      <w:tr w:rsidR="00EE2274" w:rsidRPr="00EE2274" w:rsidTr="00EE2274">
        <w:tblPrEx>
          <w:tblCellMar>
            <w:left w:w="108" w:type="dxa"/>
            <w:right w:w="108" w:type="dxa"/>
          </w:tblCellMar>
        </w:tblPrEx>
        <w:trPr>
          <w:gridBefore w:val="1"/>
          <w:wBefore w:w="23" w:type="dxa"/>
          <w:trHeight w:val="480"/>
        </w:trPr>
        <w:tc>
          <w:tcPr>
            <w:tcW w:w="3780" w:type="dxa"/>
            <w:gridSpan w:val="2"/>
            <w:tcBorders>
              <w:top w:val="nil"/>
              <w:left w:val="double" w:sz="6" w:space="0" w:color="auto"/>
              <w:bottom w:val="dotted" w:sz="4"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6. Changes in inventories and net acquisition of valuables (% of GDP)</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P52+P53</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1.5</w:t>
            </w:r>
          </w:p>
        </w:tc>
        <w:tc>
          <w:tcPr>
            <w:tcW w:w="1080" w:type="dxa"/>
            <w:tcBorders>
              <w:top w:val="nil"/>
              <w:left w:val="nil"/>
              <w:bottom w:val="dotted" w:sz="4" w:space="0" w:color="auto"/>
              <w:right w:val="dotted" w:sz="4" w:space="0" w:color="auto"/>
            </w:tcBorders>
            <w:shd w:val="clear" w:color="auto" w:fill="auto"/>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2.2</w:t>
            </w:r>
          </w:p>
        </w:tc>
        <w:tc>
          <w:tcPr>
            <w:tcW w:w="1080" w:type="dxa"/>
            <w:tcBorders>
              <w:top w:val="nil"/>
              <w:left w:val="nil"/>
              <w:bottom w:val="dotted" w:sz="4" w:space="0" w:color="auto"/>
              <w:right w:val="dotted" w:sz="4" w:space="0" w:color="auto"/>
            </w:tcBorders>
            <w:shd w:val="clear" w:color="auto" w:fill="auto"/>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1.6</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1.5</w:t>
            </w:r>
          </w:p>
        </w:tc>
        <w:tc>
          <w:tcPr>
            <w:tcW w:w="1080" w:type="dxa"/>
            <w:tcBorders>
              <w:top w:val="nil"/>
              <w:left w:val="nil"/>
              <w:bottom w:val="dotted" w:sz="4"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1.5</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dotted" w:sz="4"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7. Exports of goods and services</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P6</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37</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5.2</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4.3</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4.7</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8.4</w:t>
            </w:r>
          </w:p>
        </w:tc>
        <w:tc>
          <w:tcPr>
            <w:tcW w:w="1080" w:type="dxa"/>
            <w:tcBorders>
              <w:top w:val="nil"/>
              <w:left w:val="nil"/>
              <w:bottom w:val="dotted" w:sz="4"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5.6</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single" w:sz="8"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8. Imports of goods and services</w:t>
            </w:r>
          </w:p>
        </w:tc>
        <w:tc>
          <w:tcPr>
            <w:tcW w:w="1020" w:type="dxa"/>
            <w:tcBorders>
              <w:top w:val="nil"/>
              <w:left w:val="nil"/>
              <w:bottom w:val="single" w:sz="8"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P7</w:t>
            </w:r>
          </w:p>
        </w:tc>
        <w:tc>
          <w:tcPr>
            <w:tcW w:w="1020" w:type="dxa"/>
            <w:tcBorders>
              <w:top w:val="nil"/>
              <w:left w:val="nil"/>
              <w:bottom w:val="single" w:sz="8"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42</w:t>
            </w:r>
          </w:p>
        </w:tc>
        <w:tc>
          <w:tcPr>
            <w:tcW w:w="1080" w:type="dxa"/>
            <w:tcBorders>
              <w:top w:val="nil"/>
              <w:left w:val="nil"/>
              <w:bottom w:val="single" w:sz="8"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8.0</w:t>
            </w:r>
          </w:p>
        </w:tc>
        <w:tc>
          <w:tcPr>
            <w:tcW w:w="1080" w:type="dxa"/>
            <w:tcBorders>
              <w:top w:val="nil"/>
              <w:left w:val="nil"/>
              <w:bottom w:val="single" w:sz="8"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5.5</w:t>
            </w:r>
          </w:p>
        </w:tc>
        <w:tc>
          <w:tcPr>
            <w:tcW w:w="1080" w:type="dxa"/>
            <w:tcBorders>
              <w:top w:val="nil"/>
              <w:left w:val="nil"/>
              <w:bottom w:val="single" w:sz="8"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6.5</w:t>
            </w:r>
          </w:p>
        </w:tc>
        <w:tc>
          <w:tcPr>
            <w:tcW w:w="1080" w:type="dxa"/>
            <w:tcBorders>
              <w:top w:val="nil"/>
              <w:left w:val="nil"/>
              <w:bottom w:val="single" w:sz="8"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6.0</w:t>
            </w:r>
          </w:p>
        </w:tc>
        <w:tc>
          <w:tcPr>
            <w:tcW w:w="1080" w:type="dxa"/>
            <w:tcBorders>
              <w:top w:val="nil"/>
              <w:left w:val="nil"/>
              <w:bottom w:val="single" w:sz="8"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5.5</w:t>
            </w:r>
          </w:p>
        </w:tc>
      </w:tr>
      <w:tr w:rsidR="00EE2274" w:rsidRPr="00EE2274" w:rsidTr="00EE2274">
        <w:tblPrEx>
          <w:tblCellMar>
            <w:left w:w="108" w:type="dxa"/>
            <w:right w:w="108" w:type="dxa"/>
          </w:tblCellMar>
        </w:tblPrEx>
        <w:trPr>
          <w:gridBefore w:val="1"/>
          <w:wBefore w:w="23" w:type="dxa"/>
          <w:trHeight w:val="320"/>
        </w:trPr>
        <w:tc>
          <w:tcPr>
            <w:tcW w:w="11220" w:type="dxa"/>
            <w:gridSpan w:val="9"/>
            <w:tcBorders>
              <w:top w:val="single" w:sz="8" w:space="0" w:color="auto"/>
              <w:left w:val="double" w:sz="6" w:space="0" w:color="auto"/>
              <w:bottom w:val="single" w:sz="8" w:space="0" w:color="auto"/>
              <w:right w:val="double" w:sz="6" w:space="0" w:color="000000"/>
            </w:tcBorders>
            <w:shd w:val="clear" w:color="000000" w:fill="FFFFFF"/>
            <w:vAlign w:val="bottom"/>
            <w:hideMark/>
          </w:tcPr>
          <w:p w:rsidR="00EE2274" w:rsidRPr="00EE2274" w:rsidRDefault="00EE2274" w:rsidP="00EE2274">
            <w:pPr>
              <w:spacing w:after="0"/>
              <w:jc w:val="center"/>
              <w:rPr>
                <w:rFonts w:eastAsia="Times New Roman" w:cs="Times New Roman"/>
                <w:b/>
                <w:bCs/>
                <w:sz w:val="20"/>
                <w:szCs w:val="20"/>
              </w:rPr>
            </w:pPr>
            <w:r w:rsidRPr="00EE2274">
              <w:rPr>
                <w:rFonts w:eastAsia="Times New Roman" w:cs="Times New Roman"/>
                <w:b/>
                <w:bCs/>
                <w:sz w:val="20"/>
                <w:szCs w:val="20"/>
              </w:rPr>
              <w:t>Contribution to real GDP growth</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dotted" w:sz="4"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9. Final domestic demand</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65.8</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5.8</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2.6</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5.1</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4.1</w:t>
            </w:r>
          </w:p>
        </w:tc>
        <w:tc>
          <w:tcPr>
            <w:tcW w:w="1080" w:type="dxa"/>
            <w:tcBorders>
              <w:top w:val="nil"/>
              <w:left w:val="nil"/>
              <w:bottom w:val="dotted" w:sz="4"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3.8</w:t>
            </w:r>
          </w:p>
        </w:tc>
      </w:tr>
      <w:tr w:rsidR="00EE2274" w:rsidRPr="00EE2274" w:rsidTr="00EE2274">
        <w:tblPrEx>
          <w:tblCellMar>
            <w:left w:w="108" w:type="dxa"/>
            <w:right w:w="108" w:type="dxa"/>
          </w:tblCellMar>
        </w:tblPrEx>
        <w:trPr>
          <w:gridBefore w:val="1"/>
          <w:wBefore w:w="23" w:type="dxa"/>
          <w:trHeight w:val="615"/>
        </w:trPr>
        <w:tc>
          <w:tcPr>
            <w:tcW w:w="3780" w:type="dxa"/>
            <w:gridSpan w:val="2"/>
            <w:tcBorders>
              <w:top w:val="nil"/>
              <w:left w:val="double" w:sz="6" w:space="0" w:color="auto"/>
              <w:bottom w:val="dotted" w:sz="4"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xml:space="preserve">10. Change in inventories and net acquisition of valuables </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P52+P53</w:t>
            </w:r>
          </w:p>
        </w:tc>
        <w:tc>
          <w:tcPr>
            <w:tcW w:w="1020" w:type="dxa"/>
            <w:tcBorders>
              <w:top w:val="nil"/>
              <w:left w:val="nil"/>
              <w:bottom w:val="dotted" w:sz="4"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0.9</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0.2</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0.7</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-0.5</w:t>
            </w:r>
          </w:p>
        </w:tc>
        <w:tc>
          <w:tcPr>
            <w:tcW w:w="1080" w:type="dxa"/>
            <w:tcBorders>
              <w:top w:val="nil"/>
              <w:left w:val="nil"/>
              <w:bottom w:val="dotted" w:sz="4"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0.0</w:t>
            </w:r>
          </w:p>
        </w:tc>
        <w:tc>
          <w:tcPr>
            <w:tcW w:w="1080" w:type="dxa"/>
            <w:tcBorders>
              <w:top w:val="nil"/>
              <w:left w:val="nil"/>
              <w:bottom w:val="dotted" w:sz="4"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0.0</w:t>
            </w:r>
          </w:p>
        </w:tc>
      </w:tr>
      <w:tr w:rsidR="00EE2274" w:rsidRPr="00EE2274" w:rsidTr="00EE2274">
        <w:tblPrEx>
          <w:tblCellMar>
            <w:left w:w="108" w:type="dxa"/>
            <w:right w:w="108" w:type="dxa"/>
          </w:tblCellMar>
        </w:tblPrEx>
        <w:trPr>
          <w:gridBefore w:val="1"/>
          <w:wBefore w:w="23" w:type="dxa"/>
          <w:trHeight w:val="320"/>
        </w:trPr>
        <w:tc>
          <w:tcPr>
            <w:tcW w:w="3780" w:type="dxa"/>
            <w:gridSpan w:val="2"/>
            <w:tcBorders>
              <w:top w:val="nil"/>
              <w:left w:val="double" w:sz="6" w:space="0" w:color="auto"/>
              <w:bottom w:val="double" w:sz="6" w:space="0" w:color="auto"/>
              <w:right w:val="dotted" w:sz="4" w:space="0" w:color="auto"/>
            </w:tcBorders>
            <w:shd w:val="clear" w:color="000000" w:fill="FFFFFF"/>
            <w:vAlign w:val="bottom"/>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xml:space="preserve">11. External balance of goods/services </w:t>
            </w:r>
          </w:p>
        </w:tc>
        <w:tc>
          <w:tcPr>
            <w:tcW w:w="1020" w:type="dxa"/>
            <w:tcBorders>
              <w:top w:val="nil"/>
              <w:left w:val="nil"/>
              <w:bottom w:val="double" w:sz="6"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B11</w:t>
            </w:r>
          </w:p>
        </w:tc>
        <w:tc>
          <w:tcPr>
            <w:tcW w:w="1020" w:type="dxa"/>
            <w:tcBorders>
              <w:top w:val="nil"/>
              <w:left w:val="nil"/>
              <w:bottom w:val="double" w:sz="6" w:space="0" w:color="auto"/>
              <w:right w:val="single" w:sz="8"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w:t>
            </w:r>
          </w:p>
        </w:tc>
        <w:tc>
          <w:tcPr>
            <w:tcW w:w="1080" w:type="dxa"/>
            <w:tcBorders>
              <w:top w:val="nil"/>
              <w:left w:val="nil"/>
              <w:bottom w:val="double" w:sz="6"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-2.1</w:t>
            </w:r>
          </w:p>
        </w:tc>
        <w:tc>
          <w:tcPr>
            <w:tcW w:w="1080" w:type="dxa"/>
            <w:tcBorders>
              <w:top w:val="nil"/>
              <w:left w:val="nil"/>
              <w:bottom w:val="double" w:sz="6"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-1.1</w:t>
            </w:r>
          </w:p>
        </w:tc>
        <w:tc>
          <w:tcPr>
            <w:tcW w:w="1080" w:type="dxa"/>
            <w:tcBorders>
              <w:top w:val="nil"/>
              <w:left w:val="nil"/>
              <w:bottom w:val="double" w:sz="6"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-1.6</w:t>
            </w:r>
          </w:p>
        </w:tc>
        <w:tc>
          <w:tcPr>
            <w:tcW w:w="1080" w:type="dxa"/>
            <w:tcBorders>
              <w:top w:val="nil"/>
              <w:left w:val="nil"/>
              <w:bottom w:val="double" w:sz="6" w:space="0" w:color="auto"/>
              <w:right w:val="dotted" w:sz="4"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1.0</w:t>
            </w:r>
          </w:p>
        </w:tc>
        <w:tc>
          <w:tcPr>
            <w:tcW w:w="1080" w:type="dxa"/>
            <w:tcBorders>
              <w:top w:val="nil"/>
              <w:left w:val="nil"/>
              <w:bottom w:val="double" w:sz="6" w:space="0" w:color="auto"/>
              <w:right w:val="double" w:sz="6" w:space="0" w:color="auto"/>
            </w:tcBorders>
            <w:shd w:val="clear" w:color="000000" w:fill="FFFFFF"/>
            <w:vAlign w:val="bottom"/>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-0.4</w:t>
            </w:r>
          </w:p>
        </w:tc>
      </w:tr>
    </w:tbl>
    <w:p w:rsidR="00EE2274" w:rsidRDefault="00EE2274" w:rsidP="007A0CEC">
      <w:pPr>
        <w:spacing w:after="0"/>
        <w:jc w:val="left"/>
        <w:rPr>
          <w:rFonts w:cs="Times New Roman"/>
          <w:b/>
          <w:szCs w:val="24"/>
          <w:lang w:val="sr-Latn-RS"/>
        </w:rPr>
      </w:pPr>
    </w:p>
    <w:p w:rsidR="00EE2274" w:rsidRDefault="00EE2274" w:rsidP="007A0CEC">
      <w:pPr>
        <w:spacing w:after="0"/>
        <w:jc w:val="left"/>
        <w:rPr>
          <w:rFonts w:cs="Times New Roman"/>
          <w:b/>
          <w:szCs w:val="24"/>
          <w:lang w:val="sr-Latn-RS"/>
        </w:rPr>
      </w:pPr>
    </w:p>
    <w:p w:rsidR="00EE2274" w:rsidRDefault="00EE2274" w:rsidP="007A0CEC">
      <w:pPr>
        <w:spacing w:after="0"/>
        <w:jc w:val="left"/>
        <w:rPr>
          <w:rFonts w:cs="Times New Roman"/>
          <w:b/>
          <w:szCs w:val="24"/>
          <w:lang w:val="sr-Latn-RS"/>
        </w:rPr>
      </w:pPr>
    </w:p>
    <w:p w:rsidR="00EE2274" w:rsidRDefault="00EE2274" w:rsidP="007A0CEC">
      <w:pPr>
        <w:spacing w:after="0"/>
        <w:jc w:val="left"/>
        <w:rPr>
          <w:rFonts w:cs="Times New Roman"/>
          <w:b/>
          <w:szCs w:val="24"/>
          <w:lang w:val="sr-Latn-RS"/>
        </w:rPr>
      </w:pPr>
    </w:p>
    <w:p w:rsidR="00EE2274" w:rsidRDefault="00EE2274" w:rsidP="007A0CEC">
      <w:pPr>
        <w:spacing w:after="0"/>
        <w:jc w:val="left"/>
        <w:rPr>
          <w:rFonts w:cs="Times New Roman"/>
          <w:b/>
          <w:szCs w:val="24"/>
          <w:lang w:val="sr-Latn-RS"/>
        </w:rPr>
      </w:pPr>
    </w:p>
    <w:p w:rsidR="00EE2274" w:rsidRDefault="00EE2274" w:rsidP="007A0CEC">
      <w:pPr>
        <w:spacing w:after="0"/>
        <w:jc w:val="left"/>
        <w:rPr>
          <w:rFonts w:cs="Times New Roman"/>
          <w:b/>
          <w:szCs w:val="24"/>
          <w:lang w:val="sr-Latn-RS"/>
        </w:rPr>
      </w:pPr>
    </w:p>
    <w:p w:rsidR="00EE2274" w:rsidRDefault="00EE2274" w:rsidP="00EE2274">
      <w:pPr>
        <w:spacing w:after="0"/>
        <w:jc w:val="left"/>
        <w:rPr>
          <w:rFonts w:eastAsia="Times New Roman" w:cs="Times New Roman"/>
          <w:bCs/>
          <w:szCs w:val="24"/>
        </w:rPr>
      </w:pPr>
      <w:r w:rsidRPr="00EE2274">
        <w:rPr>
          <w:rFonts w:eastAsia="Times New Roman" w:cs="Times New Roman"/>
          <w:bCs/>
          <w:szCs w:val="24"/>
        </w:rPr>
        <w:lastRenderedPageBreak/>
        <w:t>Table 1b:  Price developments</w:t>
      </w:r>
    </w:p>
    <w:p w:rsidR="00EE2274" w:rsidRDefault="00EE2274" w:rsidP="00EE2274">
      <w:pPr>
        <w:spacing w:after="0"/>
        <w:jc w:val="left"/>
        <w:rPr>
          <w:rFonts w:eastAsia="Times New Roman" w:cs="Times New Roman"/>
          <w:bCs/>
          <w:szCs w:val="24"/>
        </w:rPr>
      </w:pPr>
    </w:p>
    <w:p w:rsidR="00EE2274" w:rsidRDefault="00EE2274" w:rsidP="00EE2274">
      <w:pPr>
        <w:spacing w:after="0"/>
        <w:jc w:val="left"/>
        <w:rPr>
          <w:rFonts w:asciiTheme="minorHAnsi" w:hAnsiTheme="minorHAnsi"/>
          <w:sz w:val="22"/>
        </w:rPr>
      </w:pPr>
      <w:r>
        <w:fldChar w:fldCharType="begin"/>
      </w:r>
      <w:r>
        <w:instrText xml:space="preserve"> LINK Excel.Sheet.12 "C:\\Users\\ognjen.jancic\\Dropbox\\Dropbox\\Makro sektor\\13. ERP 2026-2028\\ERP OBJEDINJENI\\engleska verzija\\engleska verzija za objavu\\ERP_Annex_tables_2026_XY.xlsx" "Tab1b-Prices!R4C2:R13C9" \a \f 4 \h </w:instrText>
      </w:r>
      <w:r>
        <w:fldChar w:fldCharType="separate"/>
      </w:r>
    </w:p>
    <w:tbl>
      <w:tblPr>
        <w:tblW w:w="9920" w:type="dxa"/>
        <w:tblLook w:val="04A0" w:firstRow="1" w:lastRow="0" w:firstColumn="1" w:lastColumn="0" w:noHBand="0" w:noVBand="1"/>
      </w:tblPr>
      <w:tblGrid>
        <w:gridCol w:w="3780"/>
        <w:gridCol w:w="1040"/>
        <w:gridCol w:w="1020"/>
        <w:gridCol w:w="1020"/>
        <w:gridCol w:w="1020"/>
        <w:gridCol w:w="1020"/>
        <w:gridCol w:w="1020"/>
      </w:tblGrid>
      <w:tr w:rsidR="00EE2274" w:rsidRPr="00EE2274" w:rsidTr="00EE2274">
        <w:trPr>
          <w:trHeight w:val="320"/>
        </w:trPr>
        <w:tc>
          <w:tcPr>
            <w:tcW w:w="3780"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xml:space="preserve">Percentage changes, annual averages </w:t>
            </w:r>
          </w:p>
        </w:tc>
        <w:tc>
          <w:tcPr>
            <w:tcW w:w="1040" w:type="dxa"/>
            <w:tcBorders>
              <w:top w:val="double" w:sz="6" w:space="0" w:color="auto"/>
              <w:left w:val="nil"/>
              <w:bottom w:val="nil"/>
              <w:right w:val="single" w:sz="8"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ESA Code</w:t>
            </w:r>
          </w:p>
        </w:tc>
        <w:tc>
          <w:tcPr>
            <w:tcW w:w="1020" w:type="dxa"/>
            <w:tcBorders>
              <w:top w:val="double" w:sz="6" w:space="0" w:color="auto"/>
              <w:left w:val="nil"/>
              <w:bottom w:val="nil"/>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c>
          <w:tcPr>
            <w:tcW w:w="1020" w:type="dxa"/>
            <w:tcBorders>
              <w:top w:val="double" w:sz="6" w:space="0" w:color="auto"/>
              <w:left w:val="nil"/>
              <w:bottom w:val="nil"/>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Year</w:t>
            </w:r>
          </w:p>
        </w:tc>
      </w:tr>
      <w:tr w:rsidR="00EE2274" w:rsidRPr="00EE2274" w:rsidTr="00EE2274">
        <w:trPr>
          <w:trHeight w:val="320"/>
        </w:trPr>
        <w:tc>
          <w:tcPr>
            <w:tcW w:w="3780" w:type="dxa"/>
            <w:vMerge/>
            <w:tcBorders>
              <w:top w:val="double" w:sz="6" w:space="0" w:color="auto"/>
              <w:left w:val="double" w:sz="6" w:space="0" w:color="auto"/>
              <w:bottom w:val="single" w:sz="8" w:space="0" w:color="000000"/>
              <w:right w:val="dotted" w:sz="4" w:space="0" w:color="auto"/>
            </w:tcBorders>
            <w:vAlign w:val="center"/>
            <w:hideMark/>
          </w:tcPr>
          <w:p w:rsidR="00EE2274" w:rsidRPr="00EE2274" w:rsidRDefault="00EE2274" w:rsidP="00EE2274">
            <w:pPr>
              <w:spacing w:after="0"/>
              <w:jc w:val="left"/>
              <w:rPr>
                <w:rFonts w:eastAsia="Times New Roman" w:cs="Times New Roman"/>
                <w:sz w:val="20"/>
                <w:szCs w:val="20"/>
              </w:rPr>
            </w:pPr>
          </w:p>
        </w:tc>
        <w:tc>
          <w:tcPr>
            <w:tcW w:w="1040" w:type="dxa"/>
            <w:tcBorders>
              <w:top w:val="nil"/>
              <w:left w:val="nil"/>
              <w:bottom w:val="single" w:sz="8"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single" w:sz="8"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2024</w:t>
            </w:r>
          </w:p>
        </w:tc>
        <w:tc>
          <w:tcPr>
            <w:tcW w:w="1020" w:type="dxa"/>
            <w:tcBorders>
              <w:top w:val="nil"/>
              <w:left w:val="nil"/>
              <w:bottom w:val="single" w:sz="8"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2025</w:t>
            </w:r>
          </w:p>
        </w:tc>
        <w:tc>
          <w:tcPr>
            <w:tcW w:w="1020" w:type="dxa"/>
            <w:tcBorders>
              <w:top w:val="nil"/>
              <w:left w:val="nil"/>
              <w:bottom w:val="single" w:sz="8"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2026</w:t>
            </w:r>
          </w:p>
        </w:tc>
        <w:tc>
          <w:tcPr>
            <w:tcW w:w="1020" w:type="dxa"/>
            <w:tcBorders>
              <w:top w:val="nil"/>
              <w:left w:val="nil"/>
              <w:bottom w:val="single" w:sz="8"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2027</w:t>
            </w:r>
          </w:p>
        </w:tc>
        <w:tc>
          <w:tcPr>
            <w:tcW w:w="1020" w:type="dxa"/>
            <w:tcBorders>
              <w:top w:val="nil"/>
              <w:left w:val="nil"/>
              <w:bottom w:val="single" w:sz="8"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2028</w:t>
            </w:r>
          </w:p>
        </w:tc>
      </w:tr>
      <w:tr w:rsidR="00EE2274" w:rsidRPr="00EE2274" w:rsidTr="00EE2274">
        <w:trPr>
          <w:trHeight w:val="320"/>
        </w:trPr>
        <w:tc>
          <w:tcPr>
            <w:tcW w:w="3780" w:type="dxa"/>
            <w:tcBorders>
              <w:top w:val="nil"/>
              <w:left w:val="double" w:sz="6" w:space="0" w:color="auto"/>
              <w:bottom w:val="dotted" w:sz="4" w:space="0" w:color="auto"/>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1. GDP deflator</w:t>
            </w:r>
          </w:p>
        </w:tc>
        <w:tc>
          <w:tcPr>
            <w:tcW w:w="1040" w:type="dxa"/>
            <w:tcBorders>
              <w:top w:val="nil"/>
              <w:left w:val="nil"/>
              <w:bottom w:val="dotted" w:sz="4"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6.3</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4.1</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3.7429</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3.4</w:t>
            </w:r>
          </w:p>
        </w:tc>
        <w:tc>
          <w:tcPr>
            <w:tcW w:w="1020" w:type="dxa"/>
            <w:tcBorders>
              <w:top w:val="nil"/>
              <w:left w:val="nil"/>
              <w:bottom w:val="dotted" w:sz="4"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2.9</w:t>
            </w:r>
          </w:p>
        </w:tc>
      </w:tr>
      <w:tr w:rsidR="00EE2274" w:rsidRPr="00EE2274" w:rsidTr="00EE2274">
        <w:trPr>
          <w:trHeight w:val="320"/>
        </w:trPr>
        <w:tc>
          <w:tcPr>
            <w:tcW w:w="3780" w:type="dxa"/>
            <w:tcBorders>
              <w:top w:val="nil"/>
              <w:left w:val="double" w:sz="6" w:space="0" w:color="auto"/>
              <w:bottom w:val="dotted" w:sz="4" w:space="0" w:color="auto"/>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2. Private consumption deflator</w:t>
            </w:r>
          </w:p>
        </w:tc>
        <w:tc>
          <w:tcPr>
            <w:tcW w:w="1040" w:type="dxa"/>
            <w:tcBorders>
              <w:top w:val="nil"/>
              <w:left w:val="nil"/>
              <w:bottom w:val="dotted" w:sz="4"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4.2</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3.9</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3.7</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3.5</w:t>
            </w:r>
          </w:p>
        </w:tc>
        <w:tc>
          <w:tcPr>
            <w:tcW w:w="1020" w:type="dxa"/>
            <w:tcBorders>
              <w:top w:val="nil"/>
              <w:left w:val="nil"/>
              <w:bottom w:val="dotted" w:sz="4"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3.0</w:t>
            </w:r>
          </w:p>
        </w:tc>
      </w:tr>
      <w:tr w:rsidR="00EE2274" w:rsidRPr="00EE2274" w:rsidTr="00EE2274">
        <w:trPr>
          <w:trHeight w:val="320"/>
        </w:trPr>
        <w:tc>
          <w:tcPr>
            <w:tcW w:w="3780" w:type="dxa"/>
            <w:tcBorders>
              <w:top w:val="nil"/>
              <w:left w:val="double" w:sz="6" w:space="0" w:color="auto"/>
              <w:bottom w:val="dotted" w:sz="4" w:space="0" w:color="auto"/>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3. HICP</w:t>
            </w:r>
          </w:p>
        </w:tc>
        <w:tc>
          <w:tcPr>
            <w:tcW w:w="1040" w:type="dxa"/>
            <w:tcBorders>
              <w:top w:val="nil"/>
              <w:left w:val="nil"/>
              <w:bottom w:val="dotted" w:sz="4"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6.3</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4.1</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3.7</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3.4</w:t>
            </w:r>
          </w:p>
        </w:tc>
        <w:tc>
          <w:tcPr>
            <w:tcW w:w="1020" w:type="dxa"/>
            <w:tcBorders>
              <w:top w:val="nil"/>
              <w:left w:val="nil"/>
              <w:bottom w:val="dotted" w:sz="4"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2.9</w:t>
            </w:r>
          </w:p>
        </w:tc>
      </w:tr>
      <w:tr w:rsidR="00EE2274" w:rsidRPr="00EE2274" w:rsidTr="00EE2274">
        <w:trPr>
          <w:trHeight w:val="320"/>
        </w:trPr>
        <w:tc>
          <w:tcPr>
            <w:tcW w:w="3780" w:type="dxa"/>
            <w:tcBorders>
              <w:top w:val="nil"/>
              <w:left w:val="double" w:sz="6" w:space="0" w:color="auto"/>
              <w:bottom w:val="dotted" w:sz="4" w:space="0" w:color="auto"/>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4. National CPI change</w:t>
            </w:r>
          </w:p>
        </w:tc>
        <w:tc>
          <w:tcPr>
            <w:tcW w:w="1040" w:type="dxa"/>
            <w:tcBorders>
              <w:top w:val="nil"/>
              <w:left w:val="nil"/>
              <w:bottom w:val="dotted" w:sz="4"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4.2</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3.9</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3.7</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3.5</w:t>
            </w:r>
          </w:p>
        </w:tc>
        <w:tc>
          <w:tcPr>
            <w:tcW w:w="1020" w:type="dxa"/>
            <w:tcBorders>
              <w:top w:val="nil"/>
              <w:left w:val="nil"/>
              <w:bottom w:val="dotted" w:sz="4"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3.0</w:t>
            </w:r>
          </w:p>
        </w:tc>
      </w:tr>
      <w:tr w:rsidR="00EE2274" w:rsidRPr="00EE2274" w:rsidTr="00EE2274">
        <w:trPr>
          <w:trHeight w:val="320"/>
        </w:trPr>
        <w:tc>
          <w:tcPr>
            <w:tcW w:w="3780" w:type="dxa"/>
            <w:tcBorders>
              <w:top w:val="nil"/>
              <w:left w:val="double" w:sz="6" w:space="0" w:color="auto"/>
              <w:bottom w:val="dotted" w:sz="4" w:space="0" w:color="auto"/>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5. Public consumption deflator</w:t>
            </w:r>
          </w:p>
        </w:tc>
        <w:tc>
          <w:tcPr>
            <w:tcW w:w="1040" w:type="dxa"/>
            <w:tcBorders>
              <w:top w:val="nil"/>
              <w:left w:val="nil"/>
              <w:bottom w:val="dotted" w:sz="4"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8.6</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3.9</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5.8</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3.7</w:t>
            </w:r>
          </w:p>
        </w:tc>
        <w:tc>
          <w:tcPr>
            <w:tcW w:w="1020" w:type="dxa"/>
            <w:tcBorders>
              <w:top w:val="nil"/>
              <w:left w:val="nil"/>
              <w:bottom w:val="dotted" w:sz="4"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3.0</w:t>
            </w:r>
          </w:p>
        </w:tc>
      </w:tr>
      <w:tr w:rsidR="00EE2274" w:rsidRPr="00EE2274" w:rsidTr="00EE2274">
        <w:trPr>
          <w:trHeight w:val="320"/>
        </w:trPr>
        <w:tc>
          <w:tcPr>
            <w:tcW w:w="3780" w:type="dxa"/>
            <w:tcBorders>
              <w:top w:val="nil"/>
              <w:left w:val="double" w:sz="6" w:space="0" w:color="auto"/>
              <w:bottom w:val="dotted" w:sz="4" w:space="0" w:color="auto"/>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6. Investment deflator</w:t>
            </w:r>
          </w:p>
        </w:tc>
        <w:tc>
          <w:tcPr>
            <w:tcW w:w="1040" w:type="dxa"/>
            <w:tcBorders>
              <w:top w:val="nil"/>
              <w:left w:val="nil"/>
              <w:bottom w:val="dotted" w:sz="4"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4.5</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3.2</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2.7</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2.6</w:t>
            </w:r>
          </w:p>
        </w:tc>
        <w:tc>
          <w:tcPr>
            <w:tcW w:w="1020" w:type="dxa"/>
            <w:tcBorders>
              <w:top w:val="nil"/>
              <w:left w:val="nil"/>
              <w:bottom w:val="dotted" w:sz="4"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2.5</w:t>
            </w:r>
          </w:p>
        </w:tc>
      </w:tr>
      <w:tr w:rsidR="00EE2274" w:rsidRPr="00EE2274" w:rsidTr="00EE2274">
        <w:trPr>
          <w:trHeight w:val="320"/>
        </w:trPr>
        <w:tc>
          <w:tcPr>
            <w:tcW w:w="3780" w:type="dxa"/>
            <w:tcBorders>
              <w:top w:val="nil"/>
              <w:left w:val="double" w:sz="6" w:space="0" w:color="auto"/>
              <w:bottom w:val="dotted" w:sz="4" w:space="0" w:color="auto"/>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7. Export price deflator (goods &amp; services)</w:t>
            </w:r>
          </w:p>
        </w:tc>
        <w:tc>
          <w:tcPr>
            <w:tcW w:w="1040" w:type="dxa"/>
            <w:tcBorders>
              <w:top w:val="nil"/>
              <w:left w:val="nil"/>
              <w:bottom w:val="dotted" w:sz="4"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2.3</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2.3</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2.3</w:t>
            </w:r>
          </w:p>
        </w:tc>
        <w:tc>
          <w:tcPr>
            <w:tcW w:w="1020" w:type="dxa"/>
            <w:tcBorders>
              <w:top w:val="nil"/>
              <w:left w:val="nil"/>
              <w:bottom w:val="dotted" w:sz="4"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2.5</w:t>
            </w:r>
          </w:p>
        </w:tc>
        <w:tc>
          <w:tcPr>
            <w:tcW w:w="1020" w:type="dxa"/>
            <w:tcBorders>
              <w:top w:val="nil"/>
              <w:left w:val="nil"/>
              <w:bottom w:val="dotted" w:sz="4"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1.8</w:t>
            </w:r>
          </w:p>
        </w:tc>
      </w:tr>
      <w:tr w:rsidR="00EE2274" w:rsidRPr="00EE2274" w:rsidTr="00EE2274">
        <w:trPr>
          <w:trHeight w:val="320"/>
        </w:trPr>
        <w:tc>
          <w:tcPr>
            <w:tcW w:w="3780" w:type="dxa"/>
            <w:tcBorders>
              <w:top w:val="nil"/>
              <w:left w:val="double" w:sz="6" w:space="0" w:color="auto"/>
              <w:bottom w:val="double" w:sz="6" w:space="0" w:color="auto"/>
              <w:right w:val="dotted" w:sz="4"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8. Import price deflator (goods &amp; services)</w:t>
            </w:r>
          </w:p>
        </w:tc>
        <w:tc>
          <w:tcPr>
            <w:tcW w:w="1040" w:type="dxa"/>
            <w:tcBorders>
              <w:top w:val="nil"/>
              <w:left w:val="nil"/>
              <w:bottom w:val="double" w:sz="6" w:space="0" w:color="auto"/>
              <w:right w:val="single" w:sz="8" w:space="0" w:color="auto"/>
            </w:tcBorders>
            <w:shd w:val="clear" w:color="000000" w:fill="FFFFFF"/>
            <w:vAlign w:val="center"/>
            <w:hideMark/>
          </w:tcPr>
          <w:p w:rsidR="00EE2274" w:rsidRPr="00EE2274" w:rsidRDefault="00EE2274" w:rsidP="00EE2274">
            <w:pPr>
              <w:spacing w:after="0"/>
              <w:jc w:val="left"/>
              <w:rPr>
                <w:rFonts w:eastAsia="Times New Roman" w:cs="Times New Roman"/>
                <w:sz w:val="20"/>
                <w:szCs w:val="20"/>
              </w:rPr>
            </w:pPr>
            <w:r w:rsidRPr="00EE2274">
              <w:rPr>
                <w:rFonts w:eastAsia="Times New Roman" w:cs="Times New Roman"/>
                <w:sz w:val="20"/>
                <w:szCs w:val="20"/>
              </w:rPr>
              <w:t> </w:t>
            </w:r>
          </w:p>
        </w:tc>
        <w:tc>
          <w:tcPr>
            <w:tcW w:w="1020" w:type="dxa"/>
            <w:tcBorders>
              <w:top w:val="nil"/>
              <w:left w:val="nil"/>
              <w:bottom w:val="double" w:sz="6"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0.2</w:t>
            </w:r>
          </w:p>
        </w:tc>
        <w:tc>
          <w:tcPr>
            <w:tcW w:w="1020" w:type="dxa"/>
            <w:tcBorders>
              <w:top w:val="nil"/>
              <w:left w:val="nil"/>
              <w:bottom w:val="double" w:sz="6"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1.7</w:t>
            </w:r>
          </w:p>
        </w:tc>
        <w:tc>
          <w:tcPr>
            <w:tcW w:w="1020" w:type="dxa"/>
            <w:tcBorders>
              <w:top w:val="nil"/>
              <w:left w:val="nil"/>
              <w:bottom w:val="double" w:sz="6"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2.6</w:t>
            </w:r>
          </w:p>
        </w:tc>
        <w:tc>
          <w:tcPr>
            <w:tcW w:w="1020" w:type="dxa"/>
            <w:tcBorders>
              <w:top w:val="nil"/>
              <w:left w:val="nil"/>
              <w:bottom w:val="double" w:sz="6" w:space="0" w:color="auto"/>
              <w:right w:val="dotted" w:sz="4"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2.2</w:t>
            </w:r>
          </w:p>
        </w:tc>
        <w:tc>
          <w:tcPr>
            <w:tcW w:w="1020" w:type="dxa"/>
            <w:tcBorders>
              <w:top w:val="nil"/>
              <w:left w:val="nil"/>
              <w:bottom w:val="double" w:sz="6" w:space="0" w:color="auto"/>
              <w:right w:val="double" w:sz="6" w:space="0" w:color="auto"/>
            </w:tcBorders>
            <w:shd w:val="clear" w:color="000000" w:fill="FFFFFF"/>
            <w:vAlign w:val="center"/>
            <w:hideMark/>
          </w:tcPr>
          <w:p w:rsidR="00EE2274" w:rsidRPr="00EE2274" w:rsidRDefault="00EE2274" w:rsidP="00EE2274">
            <w:pPr>
              <w:spacing w:after="0"/>
              <w:jc w:val="center"/>
              <w:rPr>
                <w:rFonts w:eastAsia="Times New Roman" w:cs="Times New Roman"/>
                <w:sz w:val="20"/>
                <w:szCs w:val="20"/>
              </w:rPr>
            </w:pPr>
            <w:r w:rsidRPr="00EE2274">
              <w:rPr>
                <w:rFonts w:eastAsia="Times New Roman" w:cs="Times New Roman"/>
                <w:sz w:val="20"/>
                <w:szCs w:val="20"/>
              </w:rPr>
              <w:t>2.1</w:t>
            </w:r>
          </w:p>
        </w:tc>
      </w:tr>
    </w:tbl>
    <w:p w:rsidR="00EE2274" w:rsidRDefault="00EE2274" w:rsidP="00EE2274">
      <w:pPr>
        <w:spacing w:after="0"/>
        <w:jc w:val="left"/>
        <w:rPr>
          <w:rFonts w:eastAsia="Times New Roman" w:cs="Times New Roman"/>
          <w:bCs/>
          <w:szCs w:val="24"/>
        </w:rPr>
      </w:pPr>
      <w:r>
        <w:rPr>
          <w:rFonts w:eastAsia="Times New Roman" w:cs="Times New Roman"/>
          <w:bCs/>
          <w:szCs w:val="24"/>
        </w:rPr>
        <w:fldChar w:fldCharType="end"/>
      </w: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C97D42" w:rsidRPr="00C97D42" w:rsidRDefault="00C97D42" w:rsidP="00C97D42">
      <w:pPr>
        <w:spacing w:after="0"/>
        <w:jc w:val="left"/>
        <w:rPr>
          <w:rFonts w:eastAsia="Times New Roman" w:cs="Times New Roman"/>
          <w:bCs/>
          <w:szCs w:val="24"/>
        </w:rPr>
      </w:pPr>
      <w:r w:rsidRPr="00C97D42">
        <w:rPr>
          <w:rFonts w:eastAsia="Times New Roman" w:cs="Times New Roman"/>
          <w:bCs/>
          <w:szCs w:val="24"/>
        </w:rPr>
        <w:lastRenderedPageBreak/>
        <w:t>Table 1c:  Labour markets developments</w:t>
      </w:r>
    </w:p>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asciiTheme="minorHAnsi" w:hAnsiTheme="minorHAnsi"/>
          <w:sz w:val="22"/>
        </w:rPr>
      </w:pPr>
      <w:r>
        <w:fldChar w:fldCharType="begin"/>
      </w:r>
      <w:r>
        <w:instrText xml:space="preserve"> LINK Excel.Sheet.12 "C:\\Users\\ognjen.jancic\\Dropbox\\Dropbox\\Makro sektor\\13. ERP 2026-2028\\ERP OBJEDINJENI\\engleska verzija\\engleska verzija za objavu\\ERP_Annex_tables_2026_XY.xlsx" "Tab1c-Labour!R4C2:R19C9" \a \f 4 \h </w:instrText>
      </w:r>
      <w:r>
        <w:fldChar w:fldCharType="separate"/>
      </w:r>
    </w:p>
    <w:tbl>
      <w:tblPr>
        <w:tblW w:w="11500" w:type="dxa"/>
        <w:tblLook w:val="04A0" w:firstRow="1" w:lastRow="0" w:firstColumn="1" w:lastColumn="0" w:noHBand="0" w:noVBand="1"/>
      </w:tblPr>
      <w:tblGrid>
        <w:gridCol w:w="4360"/>
        <w:gridCol w:w="1020"/>
        <w:gridCol w:w="1020"/>
        <w:gridCol w:w="1020"/>
        <w:gridCol w:w="1020"/>
        <w:gridCol w:w="1020"/>
        <w:gridCol w:w="1020"/>
        <w:gridCol w:w="1020"/>
      </w:tblGrid>
      <w:tr w:rsidR="00C97D42" w:rsidRPr="00C97D42" w:rsidTr="00C97D42">
        <w:trPr>
          <w:trHeight w:val="318"/>
        </w:trPr>
        <w:tc>
          <w:tcPr>
            <w:tcW w:w="4360" w:type="dxa"/>
            <w:vMerge w:val="restart"/>
            <w:tcBorders>
              <w:top w:val="double" w:sz="6" w:space="0" w:color="auto"/>
              <w:left w:val="double" w:sz="6" w:space="0" w:color="auto"/>
              <w:bottom w:val="nil"/>
              <w:right w:val="nil"/>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 </w:t>
            </w:r>
          </w:p>
        </w:tc>
        <w:tc>
          <w:tcPr>
            <w:tcW w:w="1020" w:type="dxa"/>
            <w:tcBorders>
              <w:top w:val="double" w:sz="6" w:space="0" w:color="auto"/>
              <w:left w:val="single" w:sz="4" w:space="0" w:color="auto"/>
              <w:bottom w:val="nil"/>
              <w:right w:val="single"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ESA</w:t>
            </w:r>
          </w:p>
        </w:tc>
        <w:tc>
          <w:tcPr>
            <w:tcW w:w="1020" w:type="dxa"/>
            <w:tcBorders>
              <w:top w:val="double" w:sz="6" w:space="0" w:color="auto"/>
              <w:left w:val="nil"/>
              <w:bottom w:val="nil"/>
              <w:right w:val="single"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Year</w:t>
            </w:r>
          </w:p>
        </w:tc>
        <w:tc>
          <w:tcPr>
            <w:tcW w:w="1020" w:type="dxa"/>
            <w:tcBorders>
              <w:top w:val="double" w:sz="6" w:space="0" w:color="auto"/>
              <w:left w:val="nil"/>
              <w:bottom w:val="nil"/>
              <w:right w:val="dotted"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Year</w:t>
            </w:r>
          </w:p>
        </w:tc>
        <w:tc>
          <w:tcPr>
            <w:tcW w:w="1020" w:type="dxa"/>
            <w:tcBorders>
              <w:top w:val="double" w:sz="6" w:space="0" w:color="auto"/>
              <w:left w:val="nil"/>
              <w:bottom w:val="nil"/>
              <w:right w:val="dotted"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Year</w:t>
            </w:r>
          </w:p>
        </w:tc>
        <w:tc>
          <w:tcPr>
            <w:tcW w:w="1020" w:type="dxa"/>
            <w:tcBorders>
              <w:top w:val="double" w:sz="6" w:space="0" w:color="auto"/>
              <w:left w:val="nil"/>
              <w:bottom w:val="nil"/>
              <w:right w:val="dotted"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Year</w:t>
            </w:r>
          </w:p>
        </w:tc>
        <w:tc>
          <w:tcPr>
            <w:tcW w:w="1020" w:type="dxa"/>
            <w:tcBorders>
              <w:top w:val="double" w:sz="6" w:space="0" w:color="auto"/>
              <w:left w:val="nil"/>
              <w:bottom w:val="nil"/>
              <w:right w:val="dotted"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Year</w:t>
            </w:r>
          </w:p>
        </w:tc>
        <w:tc>
          <w:tcPr>
            <w:tcW w:w="1020" w:type="dxa"/>
            <w:tcBorders>
              <w:top w:val="double" w:sz="6" w:space="0" w:color="auto"/>
              <w:left w:val="nil"/>
              <w:bottom w:val="nil"/>
              <w:right w:val="double" w:sz="6"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Year</w:t>
            </w:r>
          </w:p>
        </w:tc>
      </w:tr>
      <w:tr w:rsidR="00C97D42" w:rsidRPr="00C97D42" w:rsidTr="00C97D42">
        <w:trPr>
          <w:trHeight w:val="309"/>
        </w:trPr>
        <w:tc>
          <w:tcPr>
            <w:tcW w:w="4360" w:type="dxa"/>
            <w:vMerge/>
            <w:tcBorders>
              <w:top w:val="double" w:sz="6" w:space="0" w:color="auto"/>
              <w:left w:val="double" w:sz="6" w:space="0" w:color="auto"/>
              <w:bottom w:val="nil"/>
              <w:right w:val="nil"/>
            </w:tcBorders>
            <w:vAlign w:val="center"/>
            <w:hideMark/>
          </w:tcPr>
          <w:p w:rsidR="00C97D42" w:rsidRPr="00C97D42" w:rsidRDefault="00C97D42" w:rsidP="00C97D42">
            <w:pPr>
              <w:spacing w:after="0"/>
              <w:jc w:val="left"/>
              <w:rPr>
                <w:rFonts w:eastAsia="Times New Roman" w:cs="Times New Roman"/>
                <w:szCs w:val="24"/>
              </w:rPr>
            </w:pPr>
          </w:p>
        </w:tc>
        <w:tc>
          <w:tcPr>
            <w:tcW w:w="1020" w:type="dxa"/>
            <w:tcBorders>
              <w:top w:val="nil"/>
              <w:left w:val="single" w:sz="4" w:space="0" w:color="auto"/>
              <w:bottom w:val="nil"/>
              <w:right w:val="single"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Code</w:t>
            </w:r>
          </w:p>
        </w:tc>
        <w:tc>
          <w:tcPr>
            <w:tcW w:w="1020" w:type="dxa"/>
            <w:tcBorders>
              <w:top w:val="nil"/>
              <w:left w:val="nil"/>
              <w:bottom w:val="dotted" w:sz="4" w:space="0" w:color="auto"/>
              <w:right w:val="single"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2024</w:t>
            </w:r>
          </w:p>
        </w:tc>
        <w:tc>
          <w:tcPr>
            <w:tcW w:w="1020" w:type="dxa"/>
            <w:tcBorders>
              <w:top w:val="nil"/>
              <w:left w:val="nil"/>
              <w:bottom w:val="dotted" w:sz="4" w:space="0" w:color="auto"/>
              <w:right w:val="dotted"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2024</w:t>
            </w:r>
          </w:p>
        </w:tc>
        <w:tc>
          <w:tcPr>
            <w:tcW w:w="1020" w:type="dxa"/>
            <w:tcBorders>
              <w:top w:val="nil"/>
              <w:left w:val="nil"/>
              <w:bottom w:val="dotted" w:sz="4" w:space="0" w:color="auto"/>
              <w:right w:val="dotted"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2025</w:t>
            </w:r>
          </w:p>
        </w:tc>
        <w:tc>
          <w:tcPr>
            <w:tcW w:w="1020" w:type="dxa"/>
            <w:tcBorders>
              <w:top w:val="nil"/>
              <w:left w:val="nil"/>
              <w:bottom w:val="dotted" w:sz="4" w:space="0" w:color="auto"/>
              <w:right w:val="dotted"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2026</w:t>
            </w:r>
          </w:p>
        </w:tc>
        <w:tc>
          <w:tcPr>
            <w:tcW w:w="1020" w:type="dxa"/>
            <w:tcBorders>
              <w:top w:val="nil"/>
              <w:left w:val="nil"/>
              <w:bottom w:val="dotted" w:sz="4" w:space="0" w:color="auto"/>
              <w:right w:val="dotted"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2027</w:t>
            </w:r>
          </w:p>
        </w:tc>
        <w:tc>
          <w:tcPr>
            <w:tcW w:w="1020" w:type="dxa"/>
            <w:tcBorders>
              <w:top w:val="nil"/>
              <w:left w:val="nil"/>
              <w:bottom w:val="dotted" w:sz="4" w:space="0" w:color="auto"/>
              <w:right w:val="double" w:sz="6"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2028</w:t>
            </w:r>
          </w:p>
        </w:tc>
      </w:tr>
      <w:tr w:rsidR="00C97D42" w:rsidRPr="00C97D42" w:rsidTr="00C97D42">
        <w:trPr>
          <w:trHeight w:val="390"/>
        </w:trPr>
        <w:tc>
          <w:tcPr>
            <w:tcW w:w="4360" w:type="dxa"/>
            <w:tcBorders>
              <w:top w:val="nil"/>
              <w:left w:val="double" w:sz="6" w:space="0" w:color="auto"/>
              <w:bottom w:val="single" w:sz="8" w:space="0" w:color="auto"/>
              <w:right w:val="nil"/>
            </w:tcBorders>
            <w:shd w:val="clear" w:color="000000" w:fill="FFFFFF"/>
            <w:vAlign w:val="center"/>
            <w:hideMark/>
          </w:tcPr>
          <w:p w:rsidR="00C97D42" w:rsidRPr="00C97D42" w:rsidRDefault="00C97D42" w:rsidP="00C97D42">
            <w:pPr>
              <w:spacing w:after="0"/>
              <w:jc w:val="left"/>
              <w:rPr>
                <w:rFonts w:eastAsia="Times New Roman" w:cs="Times New Roman"/>
                <w:szCs w:val="24"/>
              </w:rPr>
            </w:pPr>
            <w:r w:rsidRPr="00C97D42">
              <w:rPr>
                <w:rFonts w:eastAsia="Times New Roman" w:cs="Times New Roman"/>
                <w:szCs w:val="24"/>
              </w:rPr>
              <w:t> </w:t>
            </w:r>
          </w:p>
        </w:tc>
        <w:tc>
          <w:tcPr>
            <w:tcW w:w="1020" w:type="dxa"/>
            <w:tcBorders>
              <w:top w:val="nil"/>
              <w:left w:val="single" w:sz="4" w:space="0" w:color="auto"/>
              <w:bottom w:val="single" w:sz="8" w:space="0" w:color="auto"/>
              <w:right w:val="single"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 </w:t>
            </w:r>
          </w:p>
        </w:tc>
        <w:tc>
          <w:tcPr>
            <w:tcW w:w="1020" w:type="dxa"/>
            <w:tcBorders>
              <w:top w:val="nil"/>
              <w:left w:val="nil"/>
              <w:bottom w:val="single" w:sz="8" w:space="0" w:color="auto"/>
              <w:right w:val="single" w:sz="4" w:space="0" w:color="auto"/>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Level</w:t>
            </w:r>
          </w:p>
        </w:tc>
        <w:tc>
          <w:tcPr>
            <w:tcW w:w="5100" w:type="dxa"/>
            <w:gridSpan w:val="5"/>
            <w:tcBorders>
              <w:top w:val="dotted" w:sz="4" w:space="0" w:color="auto"/>
              <w:left w:val="nil"/>
              <w:bottom w:val="single" w:sz="8" w:space="0" w:color="auto"/>
              <w:right w:val="double" w:sz="6" w:space="0" w:color="000000"/>
            </w:tcBorders>
            <w:shd w:val="clear" w:color="000000" w:fill="FFFFFF"/>
            <w:vAlign w:val="center"/>
            <w:hideMark/>
          </w:tcPr>
          <w:p w:rsidR="00C97D42" w:rsidRPr="00C97D42" w:rsidRDefault="00C97D42" w:rsidP="00C97D42">
            <w:pPr>
              <w:spacing w:after="0"/>
              <w:jc w:val="center"/>
              <w:rPr>
                <w:rFonts w:eastAsia="Times New Roman" w:cs="Times New Roman"/>
                <w:szCs w:val="24"/>
              </w:rPr>
            </w:pPr>
            <w:r w:rsidRPr="00C97D42">
              <w:rPr>
                <w:rFonts w:eastAsia="Times New Roman" w:cs="Times New Roman"/>
                <w:szCs w:val="24"/>
              </w:rPr>
              <w:t>Level/Rate of change</w:t>
            </w:r>
          </w:p>
        </w:tc>
      </w:tr>
      <w:tr w:rsidR="00C97D42" w:rsidRPr="00C97D42" w:rsidTr="00C97D42">
        <w:trPr>
          <w:trHeight w:val="390"/>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bookmarkStart w:id="52" w:name="RANGE!B7"/>
            <w:r w:rsidRPr="00C97D42">
              <w:rPr>
                <w:rFonts w:eastAsia="Times New Roman" w:cs="Times New Roman"/>
                <w:sz w:val="20"/>
                <w:szCs w:val="20"/>
              </w:rPr>
              <w:t>1. Population (thousands)</w:t>
            </w:r>
            <w:bookmarkEnd w:id="52"/>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left"/>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6,581.4</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6,539.3</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6,500.0</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6,461.0</w:t>
            </w:r>
          </w:p>
        </w:tc>
        <w:tc>
          <w:tcPr>
            <w:tcW w:w="1020" w:type="dxa"/>
            <w:tcBorders>
              <w:top w:val="nil"/>
              <w:left w:val="nil"/>
              <w:bottom w:val="dotted" w:sz="4" w:space="0" w:color="auto"/>
              <w:right w:val="double" w:sz="6"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6,435.2</w:t>
            </w:r>
          </w:p>
        </w:tc>
      </w:tr>
      <w:tr w:rsidR="00C97D42" w:rsidRPr="00C97D42" w:rsidTr="00C97D42">
        <w:trPr>
          <w:trHeight w:val="390"/>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bookmarkStart w:id="53" w:name="RANGE!B8"/>
            <w:r w:rsidRPr="00C97D42">
              <w:rPr>
                <w:rFonts w:eastAsia="Times New Roman" w:cs="Times New Roman"/>
                <w:sz w:val="20"/>
                <w:szCs w:val="20"/>
              </w:rPr>
              <w:t>2. Population (growth rate in %)</w:t>
            </w:r>
            <w:bookmarkEnd w:id="53"/>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-0.6</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-0.6</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-0.6</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-0.6</w:t>
            </w:r>
          </w:p>
        </w:tc>
        <w:tc>
          <w:tcPr>
            <w:tcW w:w="1020" w:type="dxa"/>
            <w:tcBorders>
              <w:top w:val="nil"/>
              <w:left w:val="nil"/>
              <w:bottom w:val="dotted" w:sz="4" w:space="0" w:color="auto"/>
              <w:right w:val="double" w:sz="6"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-0.4</w:t>
            </w:r>
          </w:p>
        </w:tc>
      </w:tr>
      <w:bookmarkStart w:id="54" w:name="RANGE!B9"/>
      <w:tr w:rsidR="00C97D42" w:rsidRPr="00C97D42" w:rsidTr="00C97D42">
        <w:trPr>
          <w:trHeight w:val="390"/>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r w:rsidRPr="00C97D42">
              <w:rPr>
                <w:rFonts w:eastAsia="Times New Roman" w:cs="Times New Roman"/>
                <w:sz w:val="20"/>
                <w:szCs w:val="20"/>
              </w:rPr>
              <w:fldChar w:fldCharType="begin"/>
            </w:r>
            <w:r w:rsidRPr="00C97D42">
              <w:rPr>
                <w:rFonts w:eastAsia="Times New Roman" w:cs="Times New Roman"/>
                <w:sz w:val="20"/>
                <w:szCs w:val="20"/>
              </w:rPr>
              <w:instrText xml:space="preserve"> HYPERLINK "file:///C:\\Users\\ognjen.jancic\\Dropbox\\Dropbox\\Makro%20sektor\\13.%20ERP%202026-2028\\ERP%20OBJEDINJENI\\engleska%20verzija\\engleska%20verzija%20za%20objavu\\ERP_Annex_tables_2026_XY.xlsx" \l "RANGE!B21" </w:instrText>
            </w:r>
            <w:r w:rsidRPr="00C97D42">
              <w:rPr>
                <w:rFonts w:eastAsia="Times New Roman" w:cs="Times New Roman"/>
                <w:sz w:val="20"/>
                <w:szCs w:val="20"/>
              </w:rPr>
            </w:r>
            <w:r w:rsidRPr="00C97D42">
              <w:rPr>
                <w:rFonts w:eastAsia="Times New Roman" w:cs="Times New Roman"/>
                <w:sz w:val="20"/>
                <w:szCs w:val="20"/>
              </w:rPr>
              <w:fldChar w:fldCharType="separate"/>
            </w:r>
            <w:r w:rsidRPr="00C97D42">
              <w:rPr>
                <w:rFonts w:eastAsia="Times New Roman" w:cs="Times New Roman"/>
                <w:sz w:val="20"/>
                <w:szCs w:val="20"/>
              </w:rPr>
              <w:t>3. Working-age population (persons)[1]</w:t>
            </w:r>
            <w:r w:rsidRPr="00C97D42">
              <w:rPr>
                <w:rFonts w:eastAsia="Times New Roman" w:cs="Times New Roman"/>
                <w:sz w:val="20"/>
                <w:szCs w:val="20"/>
              </w:rPr>
              <w:fldChar w:fldCharType="end"/>
            </w:r>
            <w:bookmarkEnd w:id="54"/>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4,147</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4,152</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4,141</w:t>
            </w:r>
          </w:p>
        </w:tc>
        <w:tc>
          <w:tcPr>
            <w:tcW w:w="1020" w:type="dxa"/>
            <w:tcBorders>
              <w:top w:val="nil"/>
              <w:left w:val="nil"/>
              <w:bottom w:val="dotted" w:sz="4" w:space="0" w:color="auto"/>
              <w:right w:val="dotted" w:sz="4"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4,135</w:t>
            </w:r>
          </w:p>
        </w:tc>
        <w:tc>
          <w:tcPr>
            <w:tcW w:w="1020" w:type="dxa"/>
            <w:tcBorders>
              <w:top w:val="nil"/>
              <w:left w:val="nil"/>
              <w:bottom w:val="dotted" w:sz="4" w:space="0" w:color="auto"/>
              <w:right w:val="double" w:sz="6" w:space="0" w:color="auto"/>
            </w:tcBorders>
            <w:shd w:val="clear" w:color="auto" w:fill="auto"/>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4,125</w:t>
            </w:r>
          </w:p>
        </w:tc>
      </w:tr>
      <w:tr w:rsidR="00C97D42" w:rsidRPr="00C97D42" w:rsidTr="00C97D42">
        <w:trPr>
          <w:trHeight w:val="390"/>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bookmarkStart w:id="55" w:name="RANGE!B10"/>
            <w:r w:rsidRPr="00C97D42">
              <w:rPr>
                <w:rFonts w:eastAsia="Times New Roman" w:cs="Times New Roman"/>
                <w:sz w:val="20"/>
                <w:szCs w:val="20"/>
              </w:rPr>
              <w:t xml:space="preserve">4. Participation rate </w:t>
            </w:r>
            <w:bookmarkEnd w:id="55"/>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72.7</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73.1</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73.2</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73.4</w:t>
            </w:r>
          </w:p>
        </w:tc>
        <w:tc>
          <w:tcPr>
            <w:tcW w:w="1020" w:type="dxa"/>
            <w:tcBorders>
              <w:top w:val="nil"/>
              <w:left w:val="nil"/>
              <w:bottom w:val="dotted" w:sz="4" w:space="0" w:color="auto"/>
              <w:right w:val="double" w:sz="6"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73.4</w:t>
            </w:r>
          </w:p>
        </w:tc>
      </w:tr>
      <w:bookmarkStart w:id="56" w:name="RANGE!B11"/>
      <w:tr w:rsidR="00C97D42" w:rsidRPr="00C97D42" w:rsidTr="00C97D42">
        <w:trPr>
          <w:trHeight w:val="390"/>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r w:rsidRPr="00C97D42">
              <w:rPr>
                <w:rFonts w:eastAsia="Times New Roman" w:cs="Times New Roman"/>
                <w:sz w:val="20"/>
                <w:szCs w:val="20"/>
              </w:rPr>
              <w:fldChar w:fldCharType="begin"/>
            </w:r>
            <w:r w:rsidRPr="00C97D42">
              <w:rPr>
                <w:rFonts w:eastAsia="Times New Roman" w:cs="Times New Roman"/>
                <w:sz w:val="20"/>
                <w:szCs w:val="20"/>
              </w:rPr>
              <w:instrText xml:space="preserve"> HYPERLINK "file:///C:\\Users\\ognjen.jancic\\Dropbox\\Dropbox\\Makro%20sektor\\13.%20ERP%202026-2028\\ERP%20OBJEDINJENI\\engleska%20verzija\\engleska%20verzija%20za%20objavu\\ERP_Annex_tables_2026_XY.xlsx" \l "RANGE!B22" </w:instrText>
            </w:r>
            <w:r w:rsidRPr="00C97D42">
              <w:rPr>
                <w:rFonts w:eastAsia="Times New Roman" w:cs="Times New Roman"/>
                <w:sz w:val="20"/>
                <w:szCs w:val="20"/>
              </w:rPr>
            </w:r>
            <w:r w:rsidRPr="00C97D42">
              <w:rPr>
                <w:rFonts w:eastAsia="Times New Roman" w:cs="Times New Roman"/>
                <w:sz w:val="20"/>
                <w:szCs w:val="20"/>
              </w:rPr>
              <w:fldChar w:fldCharType="separate"/>
            </w:r>
            <w:r w:rsidRPr="00C97D42">
              <w:rPr>
                <w:rFonts w:eastAsia="Times New Roman" w:cs="Times New Roman"/>
                <w:sz w:val="20"/>
                <w:szCs w:val="20"/>
              </w:rPr>
              <w:t>5. Employment, persons [2]</w:t>
            </w:r>
            <w:r w:rsidRPr="00C97D42">
              <w:rPr>
                <w:rFonts w:eastAsia="Times New Roman" w:cs="Times New Roman"/>
                <w:sz w:val="20"/>
                <w:szCs w:val="20"/>
              </w:rPr>
              <w:fldChar w:fldCharType="end"/>
            </w:r>
            <w:bookmarkEnd w:id="56"/>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2,764</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2,767</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2,760</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2,776</w:t>
            </w:r>
          </w:p>
        </w:tc>
        <w:tc>
          <w:tcPr>
            <w:tcW w:w="1020" w:type="dxa"/>
            <w:tcBorders>
              <w:top w:val="nil"/>
              <w:left w:val="nil"/>
              <w:bottom w:val="dotted" w:sz="4" w:space="0" w:color="auto"/>
              <w:right w:val="double" w:sz="6"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2,779</w:t>
            </w:r>
          </w:p>
        </w:tc>
      </w:tr>
      <w:tr w:rsidR="00C97D42" w:rsidRPr="00C97D42" w:rsidTr="00C97D42">
        <w:trPr>
          <w:trHeight w:val="390"/>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hyperlink r:id="rId43" w:anchor="RANGE!B23" w:history="1">
              <w:r w:rsidRPr="00C97D42">
                <w:rPr>
                  <w:rFonts w:eastAsia="Times New Roman" w:cs="Times New Roman"/>
                  <w:sz w:val="20"/>
                  <w:szCs w:val="20"/>
                </w:rPr>
                <w:t>6. Employment, hours worked[3]</w:t>
              </w:r>
            </w:hyperlink>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uble" w:sz="6"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r>
      <w:tr w:rsidR="00C97D42" w:rsidRPr="00C97D42" w:rsidTr="00C97D42">
        <w:trPr>
          <w:trHeight w:val="390"/>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r w:rsidRPr="00C97D42">
              <w:rPr>
                <w:rFonts w:eastAsia="Times New Roman" w:cs="Times New Roman"/>
                <w:sz w:val="20"/>
                <w:szCs w:val="20"/>
              </w:rPr>
              <w:t>7. Employment (growth rate in %)</w:t>
            </w:r>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2.0</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0.1</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-0.2</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0.6</w:t>
            </w:r>
          </w:p>
        </w:tc>
        <w:tc>
          <w:tcPr>
            <w:tcW w:w="1020" w:type="dxa"/>
            <w:tcBorders>
              <w:top w:val="nil"/>
              <w:left w:val="nil"/>
              <w:bottom w:val="dotted" w:sz="4" w:space="0" w:color="auto"/>
              <w:right w:val="double" w:sz="6"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0.1</w:t>
            </w:r>
          </w:p>
        </w:tc>
      </w:tr>
      <w:tr w:rsidR="00C97D42" w:rsidRPr="00C97D42" w:rsidTr="00C97D42">
        <w:trPr>
          <w:trHeight w:val="258"/>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r w:rsidRPr="00C97D42">
              <w:rPr>
                <w:rFonts w:eastAsia="Times New Roman" w:cs="Times New Roman"/>
                <w:sz w:val="20"/>
                <w:szCs w:val="20"/>
              </w:rPr>
              <w:t>8. Public sector employment (persons)</w:t>
            </w:r>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uble" w:sz="6"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r>
      <w:tr w:rsidR="00C97D42" w:rsidRPr="00C97D42" w:rsidTr="00C97D42">
        <w:trPr>
          <w:trHeight w:val="258"/>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r w:rsidRPr="00C97D42">
              <w:rPr>
                <w:rFonts w:eastAsia="Times New Roman" w:cs="Times New Roman"/>
                <w:sz w:val="20"/>
                <w:szCs w:val="20"/>
              </w:rPr>
              <w:t>9. Public sector employment (growth in %)</w:t>
            </w:r>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uble" w:sz="6"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r>
      <w:tr w:rsidR="00C97D42" w:rsidRPr="00C97D42" w:rsidTr="00C97D42">
        <w:trPr>
          <w:trHeight w:val="258"/>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hyperlink r:id="rId44" w:anchor="RANGE!B24" w:history="1">
              <w:r w:rsidRPr="00C97D42">
                <w:rPr>
                  <w:rFonts w:eastAsia="Times New Roman" w:cs="Times New Roman"/>
                  <w:sz w:val="20"/>
                  <w:szCs w:val="20"/>
                </w:rPr>
                <w:t>10. Unemployment rate [4]</w:t>
              </w:r>
            </w:hyperlink>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8.4</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8.9</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8.9</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8.5</w:t>
            </w:r>
          </w:p>
        </w:tc>
        <w:tc>
          <w:tcPr>
            <w:tcW w:w="1020" w:type="dxa"/>
            <w:tcBorders>
              <w:top w:val="nil"/>
              <w:left w:val="nil"/>
              <w:bottom w:val="dotted" w:sz="4" w:space="0" w:color="auto"/>
              <w:right w:val="double" w:sz="6"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8.2</w:t>
            </w:r>
          </w:p>
        </w:tc>
      </w:tr>
      <w:tr w:rsidR="00C97D42" w:rsidRPr="00C97D42" w:rsidTr="00C97D42">
        <w:trPr>
          <w:trHeight w:val="258"/>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hyperlink r:id="rId45" w:anchor="RANGE!B25" w:history="1">
              <w:r w:rsidRPr="00C97D42">
                <w:rPr>
                  <w:rFonts w:eastAsia="Times New Roman" w:cs="Times New Roman"/>
                  <w:sz w:val="20"/>
                  <w:szCs w:val="20"/>
                </w:rPr>
                <w:t xml:space="preserve">11. Labour productivity, persons[5] </w:t>
              </w:r>
            </w:hyperlink>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noWrap/>
            <w:vAlign w:val="center"/>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2635.4</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2.0</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2.1</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3.2</w:t>
            </w:r>
          </w:p>
        </w:tc>
        <w:tc>
          <w:tcPr>
            <w:tcW w:w="1020" w:type="dxa"/>
            <w:tcBorders>
              <w:top w:val="nil"/>
              <w:left w:val="nil"/>
              <w:bottom w:val="dotted" w:sz="4"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4.4</w:t>
            </w:r>
          </w:p>
        </w:tc>
        <w:tc>
          <w:tcPr>
            <w:tcW w:w="1020" w:type="dxa"/>
            <w:tcBorders>
              <w:top w:val="nil"/>
              <w:left w:val="nil"/>
              <w:bottom w:val="dotted" w:sz="4" w:space="0" w:color="auto"/>
              <w:right w:val="double" w:sz="6"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3.3</w:t>
            </w:r>
          </w:p>
        </w:tc>
      </w:tr>
      <w:tr w:rsidR="00C97D42" w:rsidRPr="00C97D42" w:rsidTr="00C97D42">
        <w:trPr>
          <w:trHeight w:val="258"/>
        </w:trPr>
        <w:tc>
          <w:tcPr>
            <w:tcW w:w="4360" w:type="dxa"/>
            <w:tcBorders>
              <w:top w:val="nil"/>
              <w:left w:val="double" w:sz="6" w:space="0" w:color="auto"/>
              <w:bottom w:val="dotted" w:sz="4"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hyperlink r:id="rId46" w:anchor="RANGE!B26" w:history="1">
              <w:r w:rsidRPr="00C97D42">
                <w:rPr>
                  <w:rFonts w:eastAsia="Times New Roman" w:cs="Times New Roman"/>
                  <w:sz w:val="20"/>
                  <w:szCs w:val="20"/>
                </w:rPr>
                <w:t>12. Labour productivity, hours worked[6]</w:t>
              </w:r>
            </w:hyperlink>
          </w:p>
        </w:tc>
        <w:tc>
          <w:tcPr>
            <w:tcW w:w="1020" w:type="dxa"/>
            <w:tcBorders>
              <w:top w:val="nil"/>
              <w:left w:val="single" w:sz="4" w:space="0" w:color="auto"/>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 </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tted" w:sz="4" w:space="0" w:color="auto"/>
              <w:right w:val="double" w:sz="6" w:space="0" w:color="auto"/>
            </w:tcBorders>
            <w:shd w:val="clear" w:color="000000" w:fill="FFFFFF"/>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r>
      <w:tr w:rsidR="00C97D42" w:rsidRPr="00C97D42" w:rsidTr="00C97D42">
        <w:trPr>
          <w:trHeight w:val="266"/>
        </w:trPr>
        <w:tc>
          <w:tcPr>
            <w:tcW w:w="4360" w:type="dxa"/>
            <w:tcBorders>
              <w:top w:val="nil"/>
              <w:left w:val="double" w:sz="6" w:space="0" w:color="auto"/>
              <w:bottom w:val="double" w:sz="6" w:space="0" w:color="auto"/>
              <w:right w:val="nil"/>
            </w:tcBorders>
            <w:shd w:val="clear" w:color="000000" w:fill="FFFFFF"/>
            <w:hideMark/>
          </w:tcPr>
          <w:p w:rsidR="00C97D42" w:rsidRPr="00C97D42" w:rsidRDefault="00C97D42" w:rsidP="00C97D42">
            <w:pPr>
              <w:spacing w:after="0"/>
              <w:jc w:val="left"/>
              <w:rPr>
                <w:rFonts w:eastAsia="Times New Roman" w:cs="Times New Roman"/>
                <w:sz w:val="20"/>
                <w:szCs w:val="20"/>
              </w:rPr>
            </w:pPr>
            <w:r w:rsidRPr="00C97D42">
              <w:rPr>
                <w:rFonts w:eastAsia="Times New Roman" w:cs="Times New Roman"/>
                <w:sz w:val="20"/>
                <w:szCs w:val="20"/>
              </w:rPr>
              <w:t>13. Compensation of employees</w:t>
            </w:r>
          </w:p>
        </w:tc>
        <w:tc>
          <w:tcPr>
            <w:tcW w:w="1020" w:type="dxa"/>
            <w:tcBorders>
              <w:top w:val="nil"/>
              <w:left w:val="single" w:sz="4" w:space="0" w:color="auto"/>
              <w:bottom w:val="double" w:sz="6" w:space="0" w:color="auto"/>
              <w:right w:val="single" w:sz="4" w:space="0" w:color="auto"/>
            </w:tcBorders>
            <w:shd w:val="clear" w:color="000000" w:fill="FFFFFF"/>
            <w:hideMark/>
          </w:tcPr>
          <w:p w:rsidR="00C97D42" w:rsidRPr="00C97D42" w:rsidRDefault="00C97D42" w:rsidP="00C97D42">
            <w:pPr>
              <w:spacing w:after="0"/>
              <w:jc w:val="center"/>
              <w:rPr>
                <w:rFonts w:eastAsia="Times New Roman" w:cs="Times New Roman"/>
                <w:sz w:val="18"/>
                <w:szCs w:val="18"/>
              </w:rPr>
            </w:pPr>
            <w:r w:rsidRPr="00C97D42">
              <w:rPr>
                <w:rFonts w:eastAsia="Times New Roman" w:cs="Times New Roman"/>
                <w:sz w:val="18"/>
                <w:szCs w:val="18"/>
              </w:rPr>
              <w:t>D1</w:t>
            </w:r>
          </w:p>
        </w:tc>
        <w:tc>
          <w:tcPr>
            <w:tcW w:w="1020" w:type="dxa"/>
            <w:tcBorders>
              <w:top w:val="nil"/>
              <w:left w:val="nil"/>
              <w:bottom w:val="double" w:sz="6" w:space="0" w:color="auto"/>
              <w:right w:val="single" w:sz="4" w:space="0" w:color="auto"/>
            </w:tcBorders>
            <w:shd w:val="clear" w:color="000000" w:fill="FFFFFF"/>
            <w:noWrap/>
            <w:vAlign w:val="center"/>
            <w:hideMark/>
          </w:tcPr>
          <w:p w:rsidR="00C97D42" w:rsidRPr="00C97D42" w:rsidRDefault="00C97D42" w:rsidP="00C97D42">
            <w:pPr>
              <w:spacing w:after="0"/>
              <w:jc w:val="center"/>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uble" w:sz="6"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uble" w:sz="6"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uble" w:sz="6"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uble" w:sz="6" w:space="0" w:color="auto"/>
              <w:right w:val="dotted" w:sz="4"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c>
          <w:tcPr>
            <w:tcW w:w="1020" w:type="dxa"/>
            <w:tcBorders>
              <w:top w:val="nil"/>
              <w:left w:val="nil"/>
              <w:bottom w:val="double" w:sz="6" w:space="0" w:color="auto"/>
              <w:right w:val="double" w:sz="6" w:space="0" w:color="auto"/>
            </w:tcBorders>
            <w:shd w:val="clear" w:color="000000" w:fill="FFFFFF"/>
            <w:noWrap/>
            <w:vAlign w:val="center"/>
            <w:hideMark/>
          </w:tcPr>
          <w:p w:rsidR="00C97D42" w:rsidRPr="00C97D42" w:rsidRDefault="00C97D42" w:rsidP="00C97D42">
            <w:pPr>
              <w:spacing w:after="0"/>
              <w:jc w:val="right"/>
              <w:rPr>
                <w:rFonts w:eastAsia="Times New Roman" w:cs="Times New Roman"/>
                <w:sz w:val="20"/>
                <w:szCs w:val="20"/>
              </w:rPr>
            </w:pPr>
            <w:r w:rsidRPr="00C97D42">
              <w:rPr>
                <w:rFonts w:eastAsia="Times New Roman" w:cs="Times New Roman"/>
                <w:sz w:val="20"/>
                <w:szCs w:val="20"/>
              </w:rPr>
              <w:t>:</w:t>
            </w:r>
          </w:p>
        </w:tc>
      </w:tr>
    </w:tbl>
    <w:p w:rsidR="00C97D42" w:rsidRDefault="00C97D42" w:rsidP="00EE2274">
      <w:pPr>
        <w:spacing w:after="0"/>
        <w:jc w:val="left"/>
        <w:rPr>
          <w:rFonts w:eastAsia="Times New Roman" w:cs="Times New Roman"/>
          <w:bCs/>
          <w:szCs w:val="24"/>
        </w:rPr>
      </w:pPr>
      <w:r>
        <w:rPr>
          <w:rFonts w:eastAsia="Times New Roman" w:cs="Times New Roman"/>
          <w:bCs/>
          <w:szCs w:val="24"/>
        </w:rPr>
        <w:fldChar w:fldCharType="end"/>
      </w:r>
    </w:p>
    <w:tbl>
      <w:tblPr>
        <w:tblW w:w="4863" w:type="dxa"/>
        <w:tblLook w:val="04A0" w:firstRow="1" w:lastRow="0" w:firstColumn="1" w:lastColumn="0" w:noHBand="0" w:noVBand="1"/>
      </w:tblPr>
      <w:tblGrid>
        <w:gridCol w:w="4863"/>
      </w:tblGrid>
      <w:tr w:rsidR="00C97D42" w:rsidRPr="00C97D42" w:rsidTr="00C97D42">
        <w:trPr>
          <w:trHeight w:val="249"/>
        </w:trPr>
        <w:tc>
          <w:tcPr>
            <w:tcW w:w="4863" w:type="dxa"/>
            <w:tcBorders>
              <w:top w:val="nil"/>
              <w:left w:val="nil"/>
              <w:bottom w:val="nil"/>
              <w:right w:val="nil"/>
            </w:tcBorders>
            <w:shd w:val="clear" w:color="000000" w:fill="FFFFFF"/>
            <w:noWrap/>
            <w:vAlign w:val="bottom"/>
            <w:hideMark/>
          </w:tcPr>
          <w:p w:rsidR="00C97D42" w:rsidRPr="00C97D42" w:rsidRDefault="00C97D42" w:rsidP="00C97D42">
            <w:pPr>
              <w:spacing w:after="0"/>
              <w:jc w:val="left"/>
              <w:rPr>
                <w:rFonts w:eastAsia="Times New Roman" w:cs="Times New Roman"/>
                <w:sz w:val="16"/>
                <w:szCs w:val="16"/>
              </w:rPr>
            </w:pPr>
            <w:bookmarkStart w:id="57" w:name="RANGE!B21"/>
            <w:r w:rsidRPr="00C97D42">
              <w:rPr>
                <w:rFonts w:eastAsia="Times New Roman" w:cs="Times New Roman"/>
                <w:sz w:val="16"/>
                <w:szCs w:val="16"/>
              </w:rPr>
              <w:t>[1] Age group of 15-64 years</w:t>
            </w:r>
            <w:bookmarkEnd w:id="57"/>
          </w:p>
        </w:tc>
      </w:tr>
      <w:tr w:rsidR="00C97D42" w:rsidRPr="00C97D42" w:rsidTr="00C97D42">
        <w:trPr>
          <w:trHeight w:val="249"/>
        </w:trPr>
        <w:tc>
          <w:tcPr>
            <w:tcW w:w="4863" w:type="dxa"/>
            <w:tcBorders>
              <w:top w:val="nil"/>
              <w:left w:val="nil"/>
              <w:bottom w:val="nil"/>
              <w:right w:val="nil"/>
            </w:tcBorders>
            <w:shd w:val="clear" w:color="000000" w:fill="FFFFFF"/>
            <w:noWrap/>
            <w:vAlign w:val="bottom"/>
            <w:hideMark/>
          </w:tcPr>
          <w:p w:rsidR="00C97D42" w:rsidRPr="00C97D42" w:rsidRDefault="00C97D42" w:rsidP="00C97D42">
            <w:pPr>
              <w:spacing w:after="0"/>
              <w:jc w:val="left"/>
              <w:rPr>
                <w:rFonts w:eastAsia="Times New Roman" w:cs="Times New Roman"/>
                <w:sz w:val="17"/>
                <w:szCs w:val="17"/>
              </w:rPr>
            </w:pPr>
            <w:bookmarkStart w:id="58" w:name="RANGE!B22"/>
            <w:r w:rsidRPr="00C97D42">
              <w:rPr>
                <w:rFonts w:eastAsia="Times New Roman" w:cs="Times New Roman"/>
                <w:sz w:val="17"/>
                <w:szCs w:val="17"/>
              </w:rPr>
              <w:t>[2] Occupied population, domestic concept national accounts definition</w:t>
            </w:r>
            <w:bookmarkEnd w:id="58"/>
          </w:p>
        </w:tc>
      </w:tr>
      <w:tr w:rsidR="00C97D42" w:rsidRPr="00C97D42" w:rsidTr="00C97D42">
        <w:trPr>
          <w:trHeight w:val="249"/>
        </w:trPr>
        <w:tc>
          <w:tcPr>
            <w:tcW w:w="4863" w:type="dxa"/>
            <w:tcBorders>
              <w:top w:val="nil"/>
              <w:left w:val="nil"/>
              <w:bottom w:val="nil"/>
              <w:right w:val="nil"/>
            </w:tcBorders>
            <w:shd w:val="clear" w:color="000000" w:fill="FFFFFF"/>
            <w:noWrap/>
            <w:vAlign w:val="bottom"/>
            <w:hideMark/>
          </w:tcPr>
          <w:p w:rsidR="00C97D42" w:rsidRPr="00C97D42" w:rsidRDefault="00C97D42" w:rsidP="00C97D42">
            <w:pPr>
              <w:spacing w:after="0"/>
              <w:jc w:val="left"/>
              <w:rPr>
                <w:rFonts w:eastAsia="Times New Roman" w:cs="Times New Roman"/>
                <w:sz w:val="16"/>
                <w:szCs w:val="16"/>
              </w:rPr>
            </w:pPr>
            <w:bookmarkStart w:id="59" w:name="RANGE!B23"/>
            <w:r w:rsidRPr="00C97D42">
              <w:rPr>
                <w:rFonts w:eastAsia="Times New Roman" w:cs="Times New Roman"/>
                <w:sz w:val="16"/>
                <w:szCs w:val="16"/>
              </w:rPr>
              <w:t>[3] National accounts definition</w:t>
            </w:r>
            <w:bookmarkEnd w:id="59"/>
          </w:p>
        </w:tc>
      </w:tr>
      <w:tr w:rsidR="00C97D42" w:rsidRPr="00C97D42" w:rsidTr="00C97D42">
        <w:trPr>
          <w:trHeight w:val="249"/>
        </w:trPr>
        <w:tc>
          <w:tcPr>
            <w:tcW w:w="4863" w:type="dxa"/>
            <w:tcBorders>
              <w:top w:val="nil"/>
              <w:left w:val="nil"/>
              <w:bottom w:val="nil"/>
              <w:right w:val="nil"/>
            </w:tcBorders>
            <w:shd w:val="clear" w:color="000000" w:fill="FFFFFF"/>
            <w:noWrap/>
            <w:vAlign w:val="bottom"/>
            <w:hideMark/>
          </w:tcPr>
          <w:p w:rsidR="00C97D42" w:rsidRPr="00C97D42" w:rsidRDefault="00C97D42" w:rsidP="00C97D42">
            <w:pPr>
              <w:spacing w:after="0"/>
              <w:jc w:val="left"/>
              <w:rPr>
                <w:rFonts w:eastAsia="Times New Roman" w:cs="Times New Roman"/>
                <w:sz w:val="16"/>
                <w:szCs w:val="16"/>
              </w:rPr>
            </w:pPr>
            <w:bookmarkStart w:id="60" w:name="RANGE!B24"/>
            <w:r w:rsidRPr="00C97D42">
              <w:rPr>
                <w:rFonts w:eastAsia="Times New Roman" w:cs="Times New Roman"/>
                <w:sz w:val="16"/>
                <w:szCs w:val="16"/>
              </w:rPr>
              <w:t>[4] Harmonised definition, Eurostat; levels</w:t>
            </w:r>
            <w:bookmarkEnd w:id="60"/>
          </w:p>
        </w:tc>
      </w:tr>
      <w:tr w:rsidR="00C97D42" w:rsidRPr="00C97D42" w:rsidTr="00C97D42">
        <w:trPr>
          <w:trHeight w:val="249"/>
        </w:trPr>
        <w:tc>
          <w:tcPr>
            <w:tcW w:w="4863" w:type="dxa"/>
            <w:tcBorders>
              <w:top w:val="nil"/>
              <w:left w:val="nil"/>
              <w:bottom w:val="nil"/>
              <w:right w:val="nil"/>
            </w:tcBorders>
            <w:shd w:val="clear" w:color="000000" w:fill="FFFFFF"/>
            <w:noWrap/>
            <w:vAlign w:val="bottom"/>
            <w:hideMark/>
          </w:tcPr>
          <w:p w:rsidR="00C97D42" w:rsidRPr="00C97D42" w:rsidRDefault="00C97D42" w:rsidP="00C97D42">
            <w:pPr>
              <w:spacing w:after="0"/>
              <w:jc w:val="left"/>
              <w:rPr>
                <w:rFonts w:eastAsia="Times New Roman" w:cs="Times New Roman"/>
                <w:sz w:val="16"/>
                <w:szCs w:val="16"/>
              </w:rPr>
            </w:pPr>
            <w:bookmarkStart w:id="61" w:name="RANGE!B25"/>
            <w:r w:rsidRPr="00C97D42">
              <w:rPr>
                <w:rFonts w:eastAsia="Times New Roman" w:cs="Times New Roman"/>
                <w:sz w:val="16"/>
                <w:szCs w:val="16"/>
              </w:rPr>
              <w:t>[5] Real GDP per person employed</w:t>
            </w:r>
            <w:bookmarkEnd w:id="61"/>
          </w:p>
        </w:tc>
      </w:tr>
      <w:tr w:rsidR="00C97D42" w:rsidRPr="00C97D42" w:rsidTr="00C97D42">
        <w:trPr>
          <w:trHeight w:val="249"/>
        </w:trPr>
        <w:tc>
          <w:tcPr>
            <w:tcW w:w="4863" w:type="dxa"/>
            <w:tcBorders>
              <w:top w:val="nil"/>
              <w:left w:val="nil"/>
              <w:bottom w:val="nil"/>
              <w:right w:val="nil"/>
            </w:tcBorders>
            <w:shd w:val="clear" w:color="000000" w:fill="FFFFFF"/>
            <w:noWrap/>
            <w:vAlign w:val="bottom"/>
            <w:hideMark/>
          </w:tcPr>
          <w:p w:rsidR="00C97D42" w:rsidRPr="00C97D42" w:rsidRDefault="00C97D42" w:rsidP="00C97D42">
            <w:pPr>
              <w:spacing w:after="0"/>
              <w:jc w:val="left"/>
              <w:rPr>
                <w:rFonts w:eastAsia="Times New Roman" w:cs="Times New Roman"/>
                <w:sz w:val="16"/>
                <w:szCs w:val="16"/>
              </w:rPr>
            </w:pPr>
            <w:bookmarkStart w:id="62" w:name="RANGE!B26"/>
            <w:r w:rsidRPr="00C97D42">
              <w:rPr>
                <w:rFonts w:eastAsia="Times New Roman" w:cs="Times New Roman"/>
                <w:sz w:val="16"/>
                <w:szCs w:val="16"/>
              </w:rPr>
              <w:t>[6] Real GDP per hour worked</w:t>
            </w:r>
            <w:bookmarkEnd w:id="62"/>
          </w:p>
        </w:tc>
      </w:tr>
    </w:tbl>
    <w:p w:rsidR="00C97D42" w:rsidRDefault="00C97D42" w:rsidP="00EE2274">
      <w:pPr>
        <w:spacing w:after="0"/>
        <w:jc w:val="left"/>
        <w:rPr>
          <w:rFonts w:eastAsia="Times New Roman" w:cs="Times New Roman"/>
          <w:bCs/>
          <w:szCs w:val="24"/>
        </w:rPr>
      </w:pPr>
    </w:p>
    <w:p w:rsidR="00C97D42" w:rsidRDefault="00C97D42" w:rsidP="00EE2274">
      <w:pPr>
        <w:spacing w:after="0"/>
        <w:jc w:val="left"/>
        <w:rPr>
          <w:rFonts w:eastAsia="Times New Roman" w:cs="Times New Roman"/>
          <w:bCs/>
          <w:szCs w:val="24"/>
        </w:rPr>
      </w:pPr>
    </w:p>
    <w:p w:rsidR="009E4019" w:rsidRDefault="009E4019" w:rsidP="009E4019">
      <w:pPr>
        <w:spacing w:after="0"/>
        <w:jc w:val="left"/>
        <w:rPr>
          <w:rFonts w:eastAsia="Times New Roman" w:cs="Times New Roman"/>
          <w:bCs/>
          <w:szCs w:val="24"/>
        </w:rPr>
      </w:pPr>
      <w:r w:rsidRPr="009E4019">
        <w:rPr>
          <w:rFonts w:eastAsia="Times New Roman" w:cs="Times New Roman"/>
          <w:bCs/>
          <w:szCs w:val="24"/>
        </w:rPr>
        <w:lastRenderedPageBreak/>
        <w:t xml:space="preserve">Table 1d:  Sectoral balances </w:t>
      </w:r>
    </w:p>
    <w:p w:rsidR="009E4019" w:rsidRDefault="009E4019" w:rsidP="009E4019">
      <w:pPr>
        <w:spacing w:after="0"/>
        <w:jc w:val="left"/>
        <w:rPr>
          <w:rFonts w:asciiTheme="minorHAnsi" w:hAnsiTheme="minorHAnsi"/>
          <w:sz w:val="22"/>
        </w:rPr>
      </w:pPr>
      <w:r>
        <w:fldChar w:fldCharType="begin"/>
      </w:r>
      <w:r>
        <w:instrText xml:space="preserve"> LINK Excel.Sheet.12 "C:\\Users\\ognjen.jancic\\Dropbox\\Dropbox\\Makro sektor\\13. ERP 2026-2028\\ERP OBJEDINJENI\\engleska verzija\\engleska verzija za objavu\\ERP_Annex_tables_2026_XY.xlsx" "Tab1d-Sectoral!R4C3:R13C9" \a \f 4 \h </w:instrText>
      </w:r>
      <w:r>
        <w:fldChar w:fldCharType="separate"/>
      </w:r>
    </w:p>
    <w:tbl>
      <w:tblPr>
        <w:tblW w:w="11520" w:type="dxa"/>
        <w:tblLook w:val="04A0" w:firstRow="1" w:lastRow="0" w:firstColumn="1" w:lastColumn="0" w:noHBand="0" w:noVBand="1"/>
      </w:tblPr>
      <w:tblGrid>
        <w:gridCol w:w="5400"/>
        <w:gridCol w:w="1020"/>
        <w:gridCol w:w="1020"/>
        <w:gridCol w:w="1020"/>
        <w:gridCol w:w="1020"/>
        <w:gridCol w:w="1020"/>
        <w:gridCol w:w="1020"/>
      </w:tblGrid>
      <w:tr w:rsidR="009E4019" w:rsidRPr="009E4019" w:rsidTr="009E4019">
        <w:trPr>
          <w:trHeight w:val="330"/>
        </w:trPr>
        <w:tc>
          <w:tcPr>
            <w:tcW w:w="5400"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szCs w:val="24"/>
              </w:rPr>
            </w:pPr>
            <w:r w:rsidRPr="009E4019">
              <w:rPr>
                <w:rFonts w:eastAsia="Times New Roman" w:cs="Times New Roman"/>
                <w:szCs w:val="24"/>
              </w:rPr>
              <w:t>Percentages of GDP</w:t>
            </w:r>
          </w:p>
        </w:tc>
        <w:tc>
          <w:tcPr>
            <w:tcW w:w="1020"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ESA code</w:t>
            </w:r>
          </w:p>
        </w:tc>
        <w:tc>
          <w:tcPr>
            <w:tcW w:w="1020" w:type="dxa"/>
            <w:tcBorders>
              <w:top w:val="double" w:sz="6" w:space="0" w:color="auto"/>
              <w:left w:val="nil"/>
              <w:bottom w:val="nil"/>
              <w:right w:val="dotted" w:sz="4"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Year</w:t>
            </w:r>
          </w:p>
        </w:tc>
        <w:tc>
          <w:tcPr>
            <w:tcW w:w="1020" w:type="dxa"/>
            <w:tcBorders>
              <w:top w:val="double" w:sz="6" w:space="0" w:color="auto"/>
              <w:left w:val="nil"/>
              <w:bottom w:val="nil"/>
              <w:right w:val="dotted" w:sz="4"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Year</w:t>
            </w:r>
          </w:p>
        </w:tc>
        <w:tc>
          <w:tcPr>
            <w:tcW w:w="1020" w:type="dxa"/>
            <w:tcBorders>
              <w:top w:val="double" w:sz="6" w:space="0" w:color="auto"/>
              <w:left w:val="nil"/>
              <w:bottom w:val="nil"/>
              <w:right w:val="dotted" w:sz="4"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Year</w:t>
            </w:r>
          </w:p>
        </w:tc>
        <w:tc>
          <w:tcPr>
            <w:tcW w:w="1020" w:type="dxa"/>
            <w:tcBorders>
              <w:top w:val="double" w:sz="6" w:space="0" w:color="auto"/>
              <w:left w:val="nil"/>
              <w:bottom w:val="nil"/>
              <w:right w:val="dotted" w:sz="4"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Year</w:t>
            </w:r>
          </w:p>
        </w:tc>
        <w:tc>
          <w:tcPr>
            <w:tcW w:w="1020" w:type="dxa"/>
            <w:tcBorders>
              <w:top w:val="double" w:sz="6" w:space="0" w:color="auto"/>
              <w:left w:val="nil"/>
              <w:bottom w:val="nil"/>
              <w:right w:val="double" w:sz="6"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Year</w:t>
            </w:r>
          </w:p>
        </w:tc>
      </w:tr>
      <w:tr w:rsidR="009E4019" w:rsidRPr="009E4019" w:rsidTr="009E4019">
        <w:trPr>
          <w:trHeight w:val="318"/>
        </w:trPr>
        <w:tc>
          <w:tcPr>
            <w:tcW w:w="5400" w:type="dxa"/>
            <w:vMerge/>
            <w:tcBorders>
              <w:top w:val="double" w:sz="6" w:space="0" w:color="auto"/>
              <w:left w:val="double" w:sz="6" w:space="0" w:color="auto"/>
              <w:bottom w:val="single" w:sz="8" w:space="0" w:color="000000"/>
              <w:right w:val="dotted" w:sz="4" w:space="0" w:color="auto"/>
            </w:tcBorders>
            <w:vAlign w:val="center"/>
            <w:hideMark/>
          </w:tcPr>
          <w:p w:rsidR="009E4019" w:rsidRPr="009E4019" w:rsidRDefault="009E4019" w:rsidP="009E4019">
            <w:pPr>
              <w:spacing w:after="0"/>
              <w:jc w:val="left"/>
              <w:rPr>
                <w:rFonts w:eastAsia="Times New Roman" w:cs="Times New Roman"/>
                <w:szCs w:val="24"/>
              </w:rPr>
            </w:pPr>
          </w:p>
        </w:tc>
        <w:tc>
          <w:tcPr>
            <w:tcW w:w="1020" w:type="dxa"/>
            <w:vMerge/>
            <w:tcBorders>
              <w:top w:val="double" w:sz="6" w:space="0" w:color="auto"/>
              <w:left w:val="dotted" w:sz="4" w:space="0" w:color="auto"/>
              <w:bottom w:val="single" w:sz="8" w:space="0" w:color="000000"/>
              <w:right w:val="single" w:sz="8" w:space="0" w:color="auto"/>
            </w:tcBorders>
            <w:vAlign w:val="center"/>
            <w:hideMark/>
          </w:tcPr>
          <w:p w:rsidR="009E4019" w:rsidRPr="009E4019" w:rsidRDefault="009E4019" w:rsidP="009E4019">
            <w:pPr>
              <w:spacing w:after="0"/>
              <w:jc w:val="left"/>
              <w:rPr>
                <w:rFonts w:eastAsia="Times New Roman" w:cs="Times New Roman"/>
                <w:szCs w:val="24"/>
              </w:rPr>
            </w:pPr>
          </w:p>
        </w:tc>
        <w:tc>
          <w:tcPr>
            <w:tcW w:w="1020" w:type="dxa"/>
            <w:tcBorders>
              <w:top w:val="nil"/>
              <w:left w:val="nil"/>
              <w:bottom w:val="single" w:sz="8" w:space="0" w:color="auto"/>
              <w:right w:val="dotted" w:sz="4"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2024</w:t>
            </w:r>
          </w:p>
        </w:tc>
        <w:tc>
          <w:tcPr>
            <w:tcW w:w="1020" w:type="dxa"/>
            <w:tcBorders>
              <w:top w:val="nil"/>
              <w:left w:val="nil"/>
              <w:bottom w:val="single" w:sz="8" w:space="0" w:color="auto"/>
              <w:right w:val="dotted" w:sz="4"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2025</w:t>
            </w:r>
          </w:p>
        </w:tc>
        <w:tc>
          <w:tcPr>
            <w:tcW w:w="1020" w:type="dxa"/>
            <w:tcBorders>
              <w:top w:val="nil"/>
              <w:left w:val="nil"/>
              <w:bottom w:val="single" w:sz="8" w:space="0" w:color="auto"/>
              <w:right w:val="dotted" w:sz="4"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2026</w:t>
            </w:r>
          </w:p>
        </w:tc>
        <w:tc>
          <w:tcPr>
            <w:tcW w:w="1020" w:type="dxa"/>
            <w:tcBorders>
              <w:top w:val="nil"/>
              <w:left w:val="nil"/>
              <w:bottom w:val="single" w:sz="8" w:space="0" w:color="auto"/>
              <w:right w:val="dotted" w:sz="4"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2027</w:t>
            </w:r>
          </w:p>
        </w:tc>
        <w:tc>
          <w:tcPr>
            <w:tcW w:w="1020" w:type="dxa"/>
            <w:tcBorders>
              <w:top w:val="nil"/>
              <w:left w:val="nil"/>
              <w:bottom w:val="single" w:sz="8" w:space="0" w:color="auto"/>
              <w:right w:val="double" w:sz="6"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2028</w:t>
            </w:r>
          </w:p>
        </w:tc>
      </w:tr>
      <w:tr w:rsidR="009E4019" w:rsidRPr="009E4019" w:rsidTr="009E4019">
        <w:trPr>
          <w:trHeight w:val="540"/>
        </w:trPr>
        <w:tc>
          <w:tcPr>
            <w:tcW w:w="5400" w:type="dxa"/>
            <w:tcBorders>
              <w:top w:val="nil"/>
              <w:left w:val="double" w:sz="6" w:space="0" w:color="auto"/>
              <w:bottom w:val="nil"/>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szCs w:val="24"/>
              </w:rPr>
            </w:pPr>
            <w:r w:rsidRPr="009E4019">
              <w:rPr>
                <w:rFonts w:eastAsia="Times New Roman" w:cs="Times New Roman"/>
                <w:szCs w:val="24"/>
              </w:rPr>
              <w:t>1. Net lending/borrowing vis-à-vis the rest of the world</w:t>
            </w:r>
          </w:p>
        </w:tc>
        <w:tc>
          <w:tcPr>
            <w:tcW w:w="1020" w:type="dxa"/>
            <w:tcBorders>
              <w:top w:val="nil"/>
              <w:left w:val="nil"/>
              <w:bottom w:val="nil"/>
              <w:right w:val="single" w:sz="8" w:space="0" w:color="auto"/>
            </w:tcBorders>
            <w:shd w:val="clear" w:color="000000" w:fill="FFFFFF"/>
            <w:vAlign w:val="center"/>
            <w:hideMark/>
          </w:tcPr>
          <w:p w:rsidR="009E4019" w:rsidRPr="009E4019" w:rsidRDefault="009E4019" w:rsidP="009E4019">
            <w:pPr>
              <w:spacing w:after="0"/>
              <w:jc w:val="left"/>
              <w:rPr>
                <w:rFonts w:eastAsia="Times New Roman" w:cs="Times New Roman"/>
                <w:szCs w:val="24"/>
              </w:rPr>
            </w:pPr>
            <w:r w:rsidRPr="009E4019">
              <w:rPr>
                <w:rFonts w:eastAsia="Times New Roman" w:cs="Times New Roman"/>
                <w:szCs w:val="24"/>
              </w:rPr>
              <w:t>B.9</w:t>
            </w:r>
          </w:p>
        </w:tc>
        <w:tc>
          <w:tcPr>
            <w:tcW w:w="1020" w:type="dxa"/>
            <w:tcBorders>
              <w:top w:val="nil"/>
              <w:left w:val="nil"/>
              <w:bottom w:val="nil"/>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-4.6</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-5.0</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-5.6</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-3.9</w:t>
            </w:r>
          </w:p>
        </w:tc>
        <w:tc>
          <w:tcPr>
            <w:tcW w:w="1020" w:type="dxa"/>
            <w:tcBorders>
              <w:top w:val="nil"/>
              <w:left w:val="nil"/>
              <w:bottom w:val="single" w:sz="4" w:space="0" w:color="auto"/>
              <w:right w:val="double" w:sz="6"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-5.2</w:t>
            </w:r>
          </w:p>
        </w:tc>
      </w:tr>
      <w:tr w:rsidR="009E4019" w:rsidRPr="009E4019" w:rsidTr="009E4019">
        <w:trPr>
          <w:trHeight w:val="330"/>
        </w:trPr>
        <w:tc>
          <w:tcPr>
            <w:tcW w:w="5400" w:type="dxa"/>
            <w:tcBorders>
              <w:top w:val="single" w:sz="4" w:space="0" w:color="auto"/>
              <w:left w:val="double" w:sz="6" w:space="0" w:color="auto"/>
              <w:bottom w:val="dotted" w:sz="4" w:space="0" w:color="auto"/>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i/>
                <w:iCs/>
                <w:szCs w:val="24"/>
              </w:rPr>
            </w:pPr>
            <w:bookmarkStart w:id="63" w:name="RANGE!C7"/>
            <w:r w:rsidRPr="009E4019">
              <w:rPr>
                <w:rFonts w:eastAsia="Times New Roman" w:cs="Times New Roman"/>
                <w:i/>
                <w:iCs/>
                <w:szCs w:val="24"/>
              </w:rPr>
              <w:t xml:space="preserve">of which: </w:t>
            </w:r>
            <w:bookmarkEnd w:id="63"/>
          </w:p>
        </w:tc>
        <w:tc>
          <w:tcPr>
            <w:tcW w:w="1020" w:type="dxa"/>
            <w:tcBorders>
              <w:top w:val="single" w:sz="4" w:space="0" w:color="auto"/>
              <w:left w:val="nil"/>
              <w:bottom w:val="dotted" w:sz="4" w:space="0" w:color="auto"/>
              <w:right w:val="single" w:sz="8" w:space="0" w:color="auto"/>
            </w:tcBorders>
            <w:shd w:val="clear" w:color="000000" w:fill="FFFFFF"/>
            <w:vAlign w:val="center"/>
            <w:hideMark/>
          </w:tcPr>
          <w:p w:rsidR="009E4019" w:rsidRPr="009E4019" w:rsidRDefault="009E4019" w:rsidP="009E4019">
            <w:pPr>
              <w:spacing w:after="0"/>
              <w:jc w:val="left"/>
              <w:rPr>
                <w:rFonts w:eastAsia="Times New Roman" w:cs="Times New Roman"/>
                <w:szCs w:val="24"/>
              </w:rPr>
            </w:pPr>
            <w:r w:rsidRPr="009E4019">
              <w:rPr>
                <w:rFonts w:eastAsia="Times New Roman" w:cs="Times New Roman"/>
                <w:szCs w:val="24"/>
              </w:rPr>
              <w:t> </w:t>
            </w:r>
          </w:p>
        </w:tc>
        <w:tc>
          <w:tcPr>
            <w:tcW w:w="1020" w:type="dxa"/>
            <w:tcBorders>
              <w:top w:val="single" w:sz="4" w:space="0" w:color="auto"/>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 </w:t>
            </w:r>
          </w:p>
        </w:tc>
        <w:tc>
          <w:tcPr>
            <w:tcW w:w="1020" w:type="dxa"/>
            <w:tcBorders>
              <w:top w:val="nil"/>
              <w:left w:val="nil"/>
              <w:bottom w:val="dotted" w:sz="4" w:space="0" w:color="auto"/>
              <w:right w:val="dotted" w:sz="4" w:space="0" w:color="auto"/>
            </w:tcBorders>
            <w:shd w:val="clear" w:color="auto" w:fill="auto"/>
            <w:noWrap/>
            <w:vAlign w:val="center"/>
            <w:hideMark/>
          </w:tcPr>
          <w:p w:rsidR="009E4019" w:rsidRPr="009E4019" w:rsidRDefault="009E4019" w:rsidP="009E4019">
            <w:pPr>
              <w:spacing w:after="0"/>
              <w:jc w:val="left"/>
              <w:rPr>
                <w:rFonts w:ascii="Arial" w:eastAsia="Times New Roman" w:hAnsi="Arial" w:cs="Arial"/>
                <w:szCs w:val="24"/>
              </w:rPr>
            </w:pPr>
            <w:r w:rsidRPr="009E4019">
              <w:rPr>
                <w:rFonts w:ascii="Arial" w:eastAsia="Times New Roman" w:hAnsi="Arial" w:cs="Arial"/>
                <w:szCs w:val="24"/>
              </w:rPr>
              <w:t> </w:t>
            </w:r>
          </w:p>
        </w:tc>
        <w:tc>
          <w:tcPr>
            <w:tcW w:w="1020" w:type="dxa"/>
            <w:tcBorders>
              <w:top w:val="nil"/>
              <w:left w:val="nil"/>
              <w:bottom w:val="dotted" w:sz="4" w:space="0" w:color="auto"/>
              <w:right w:val="dotted" w:sz="4" w:space="0" w:color="auto"/>
            </w:tcBorders>
            <w:shd w:val="clear" w:color="auto" w:fill="auto"/>
            <w:noWrap/>
            <w:vAlign w:val="center"/>
            <w:hideMark/>
          </w:tcPr>
          <w:p w:rsidR="009E4019" w:rsidRPr="009E4019" w:rsidRDefault="009E4019" w:rsidP="009E4019">
            <w:pPr>
              <w:spacing w:after="0"/>
              <w:jc w:val="left"/>
              <w:rPr>
                <w:rFonts w:ascii="Arial" w:eastAsia="Times New Roman" w:hAnsi="Arial" w:cs="Arial"/>
                <w:szCs w:val="24"/>
              </w:rPr>
            </w:pPr>
            <w:r w:rsidRPr="009E4019">
              <w:rPr>
                <w:rFonts w:ascii="Arial" w:eastAsia="Times New Roman" w:hAnsi="Arial" w:cs="Arial"/>
                <w:szCs w:val="24"/>
              </w:rPr>
              <w:t> </w:t>
            </w:r>
          </w:p>
        </w:tc>
        <w:tc>
          <w:tcPr>
            <w:tcW w:w="1020" w:type="dxa"/>
            <w:tcBorders>
              <w:top w:val="nil"/>
              <w:left w:val="nil"/>
              <w:bottom w:val="dotted" w:sz="4" w:space="0" w:color="auto"/>
              <w:right w:val="dotted" w:sz="4" w:space="0" w:color="auto"/>
            </w:tcBorders>
            <w:shd w:val="clear" w:color="auto" w:fill="auto"/>
            <w:noWrap/>
            <w:vAlign w:val="center"/>
            <w:hideMark/>
          </w:tcPr>
          <w:p w:rsidR="009E4019" w:rsidRPr="009E4019" w:rsidRDefault="009E4019" w:rsidP="009E4019">
            <w:pPr>
              <w:spacing w:after="0"/>
              <w:jc w:val="left"/>
              <w:rPr>
                <w:rFonts w:ascii="Arial" w:eastAsia="Times New Roman" w:hAnsi="Arial" w:cs="Arial"/>
                <w:szCs w:val="24"/>
              </w:rPr>
            </w:pPr>
            <w:r w:rsidRPr="009E4019">
              <w:rPr>
                <w:rFonts w:ascii="Arial" w:eastAsia="Times New Roman" w:hAnsi="Arial" w:cs="Arial"/>
                <w:szCs w:val="24"/>
              </w:rPr>
              <w:t> </w:t>
            </w:r>
          </w:p>
        </w:tc>
        <w:tc>
          <w:tcPr>
            <w:tcW w:w="1020" w:type="dxa"/>
            <w:tcBorders>
              <w:top w:val="nil"/>
              <w:left w:val="nil"/>
              <w:bottom w:val="dotted" w:sz="4" w:space="0" w:color="auto"/>
              <w:right w:val="double" w:sz="6"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 </w:t>
            </w:r>
          </w:p>
        </w:tc>
      </w:tr>
      <w:tr w:rsidR="009E4019" w:rsidRPr="009E4019" w:rsidTr="009E4019">
        <w:trPr>
          <w:trHeight w:val="540"/>
        </w:trPr>
        <w:tc>
          <w:tcPr>
            <w:tcW w:w="5400" w:type="dxa"/>
            <w:tcBorders>
              <w:top w:val="nil"/>
              <w:left w:val="double" w:sz="6" w:space="0" w:color="auto"/>
              <w:bottom w:val="dotted" w:sz="4" w:space="0" w:color="auto"/>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i/>
                <w:iCs/>
                <w:szCs w:val="24"/>
              </w:rPr>
            </w:pPr>
            <w:bookmarkStart w:id="64" w:name="RANGE!C8"/>
            <w:r w:rsidRPr="009E4019">
              <w:rPr>
                <w:rFonts w:eastAsia="Times New Roman" w:cs="Times New Roman"/>
                <w:i/>
                <w:iCs/>
                <w:szCs w:val="24"/>
              </w:rPr>
              <w:t>- Balance of goods and services</w:t>
            </w:r>
            <w:bookmarkEnd w:id="64"/>
          </w:p>
        </w:tc>
        <w:tc>
          <w:tcPr>
            <w:tcW w:w="1020" w:type="dxa"/>
            <w:tcBorders>
              <w:top w:val="nil"/>
              <w:left w:val="nil"/>
              <w:bottom w:val="dotted" w:sz="4" w:space="0" w:color="auto"/>
              <w:right w:val="single" w:sz="8" w:space="0" w:color="auto"/>
            </w:tcBorders>
            <w:shd w:val="clear" w:color="000000" w:fill="FFFFFF"/>
            <w:vAlign w:val="center"/>
            <w:hideMark/>
          </w:tcPr>
          <w:p w:rsidR="009E4019" w:rsidRPr="009E4019" w:rsidRDefault="009E4019" w:rsidP="009E4019">
            <w:pPr>
              <w:spacing w:after="0"/>
              <w:jc w:val="center"/>
              <w:rPr>
                <w:rFonts w:eastAsia="Times New Roman" w:cs="Times New Roman"/>
                <w:i/>
                <w:iCs/>
                <w:szCs w:val="24"/>
              </w:rPr>
            </w:pPr>
            <w:r w:rsidRPr="009E4019">
              <w:rPr>
                <w:rFonts w:eastAsia="Times New Roman" w:cs="Times New Roman"/>
                <w:i/>
                <w:iCs/>
                <w:szCs w:val="24"/>
              </w:rPr>
              <w:t> </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-4.7</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-5.5</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-6.3</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-4.5</w:t>
            </w:r>
          </w:p>
        </w:tc>
        <w:tc>
          <w:tcPr>
            <w:tcW w:w="1020" w:type="dxa"/>
            <w:tcBorders>
              <w:top w:val="nil"/>
              <w:left w:val="nil"/>
              <w:bottom w:val="dotted" w:sz="4" w:space="0" w:color="auto"/>
              <w:right w:val="double" w:sz="6"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-5.8</w:t>
            </w:r>
          </w:p>
        </w:tc>
      </w:tr>
      <w:tr w:rsidR="009E4019" w:rsidRPr="009E4019" w:rsidTr="009E4019">
        <w:trPr>
          <w:trHeight w:val="540"/>
        </w:trPr>
        <w:tc>
          <w:tcPr>
            <w:tcW w:w="5400" w:type="dxa"/>
            <w:tcBorders>
              <w:top w:val="nil"/>
              <w:left w:val="double" w:sz="6" w:space="0" w:color="auto"/>
              <w:bottom w:val="dotted" w:sz="4" w:space="0" w:color="auto"/>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i/>
                <w:iCs/>
                <w:szCs w:val="24"/>
              </w:rPr>
            </w:pPr>
            <w:bookmarkStart w:id="65" w:name="RANGE!C9"/>
            <w:r w:rsidRPr="009E4019">
              <w:rPr>
                <w:rFonts w:eastAsia="Times New Roman" w:cs="Times New Roman"/>
                <w:i/>
                <w:iCs/>
                <w:szCs w:val="24"/>
              </w:rPr>
              <w:t>- Balance of primary incomes and transfers</w:t>
            </w:r>
            <w:bookmarkEnd w:id="65"/>
          </w:p>
        </w:tc>
        <w:tc>
          <w:tcPr>
            <w:tcW w:w="1020" w:type="dxa"/>
            <w:tcBorders>
              <w:top w:val="nil"/>
              <w:left w:val="nil"/>
              <w:bottom w:val="dotted" w:sz="4" w:space="0" w:color="auto"/>
              <w:right w:val="single" w:sz="8" w:space="0" w:color="auto"/>
            </w:tcBorders>
            <w:shd w:val="clear" w:color="000000" w:fill="FFFFFF"/>
            <w:vAlign w:val="center"/>
            <w:hideMark/>
          </w:tcPr>
          <w:p w:rsidR="009E4019" w:rsidRPr="009E4019" w:rsidRDefault="009E4019" w:rsidP="009E4019">
            <w:pPr>
              <w:spacing w:after="0"/>
              <w:jc w:val="center"/>
              <w:rPr>
                <w:rFonts w:eastAsia="Times New Roman" w:cs="Times New Roman"/>
                <w:i/>
                <w:iCs/>
                <w:szCs w:val="24"/>
              </w:rPr>
            </w:pPr>
            <w:r w:rsidRPr="009E4019">
              <w:rPr>
                <w:rFonts w:eastAsia="Times New Roman" w:cs="Times New Roman"/>
                <w:i/>
                <w:iCs/>
                <w:szCs w:val="24"/>
              </w:rPr>
              <w:t> </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0.1</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0.6</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0.7</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0.7</w:t>
            </w:r>
          </w:p>
        </w:tc>
        <w:tc>
          <w:tcPr>
            <w:tcW w:w="1020" w:type="dxa"/>
            <w:tcBorders>
              <w:top w:val="nil"/>
              <w:left w:val="nil"/>
              <w:bottom w:val="dotted" w:sz="4" w:space="0" w:color="auto"/>
              <w:right w:val="double" w:sz="6"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0.6</w:t>
            </w:r>
          </w:p>
        </w:tc>
      </w:tr>
      <w:tr w:rsidR="009E4019" w:rsidRPr="009E4019" w:rsidTr="009E4019">
        <w:trPr>
          <w:trHeight w:val="540"/>
        </w:trPr>
        <w:tc>
          <w:tcPr>
            <w:tcW w:w="5400" w:type="dxa"/>
            <w:tcBorders>
              <w:top w:val="nil"/>
              <w:left w:val="double" w:sz="6" w:space="0" w:color="auto"/>
              <w:bottom w:val="nil"/>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i/>
                <w:iCs/>
                <w:szCs w:val="24"/>
              </w:rPr>
            </w:pPr>
            <w:bookmarkStart w:id="66" w:name="RANGE!C10"/>
            <w:r w:rsidRPr="009E4019">
              <w:rPr>
                <w:rFonts w:eastAsia="Times New Roman" w:cs="Times New Roman"/>
                <w:i/>
                <w:iCs/>
                <w:szCs w:val="24"/>
              </w:rPr>
              <w:t>- Capital account</w:t>
            </w:r>
            <w:bookmarkEnd w:id="66"/>
          </w:p>
        </w:tc>
        <w:tc>
          <w:tcPr>
            <w:tcW w:w="1020" w:type="dxa"/>
            <w:tcBorders>
              <w:top w:val="nil"/>
              <w:left w:val="nil"/>
              <w:bottom w:val="nil"/>
              <w:right w:val="single" w:sz="8" w:space="0" w:color="auto"/>
            </w:tcBorders>
            <w:shd w:val="clear" w:color="000000" w:fill="FFFFFF"/>
            <w:vAlign w:val="center"/>
            <w:hideMark/>
          </w:tcPr>
          <w:p w:rsidR="009E4019" w:rsidRPr="009E4019" w:rsidRDefault="009E4019" w:rsidP="009E4019">
            <w:pPr>
              <w:spacing w:after="0"/>
              <w:jc w:val="center"/>
              <w:rPr>
                <w:rFonts w:eastAsia="Times New Roman" w:cs="Times New Roman"/>
                <w:i/>
                <w:iCs/>
                <w:szCs w:val="24"/>
              </w:rPr>
            </w:pPr>
            <w:r w:rsidRPr="009E4019">
              <w:rPr>
                <w:rFonts w:eastAsia="Times New Roman" w:cs="Times New Roman"/>
                <w:i/>
                <w:iCs/>
                <w:szCs w:val="24"/>
              </w:rPr>
              <w:t> </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c>
          <w:tcPr>
            <w:tcW w:w="1020" w:type="dxa"/>
            <w:tcBorders>
              <w:top w:val="nil"/>
              <w:left w:val="nil"/>
              <w:bottom w:val="single" w:sz="4" w:space="0" w:color="auto"/>
              <w:right w:val="double" w:sz="6"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r>
      <w:tr w:rsidR="009E4019" w:rsidRPr="009E4019" w:rsidTr="009E4019">
        <w:trPr>
          <w:trHeight w:val="540"/>
        </w:trPr>
        <w:tc>
          <w:tcPr>
            <w:tcW w:w="5400" w:type="dxa"/>
            <w:tcBorders>
              <w:top w:val="single" w:sz="4" w:space="0" w:color="auto"/>
              <w:left w:val="double" w:sz="6" w:space="0" w:color="auto"/>
              <w:bottom w:val="dotted" w:sz="4" w:space="0" w:color="auto"/>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szCs w:val="24"/>
              </w:rPr>
            </w:pPr>
            <w:bookmarkStart w:id="67" w:name="RANGE!C11"/>
            <w:r w:rsidRPr="009E4019">
              <w:rPr>
                <w:rFonts w:eastAsia="Times New Roman" w:cs="Times New Roman"/>
                <w:szCs w:val="24"/>
              </w:rPr>
              <w:t xml:space="preserve">2. Net lending/borrowing of the private sector </w:t>
            </w:r>
            <w:bookmarkEnd w:id="67"/>
          </w:p>
        </w:tc>
        <w:tc>
          <w:tcPr>
            <w:tcW w:w="1020" w:type="dxa"/>
            <w:tcBorders>
              <w:top w:val="single" w:sz="4" w:space="0" w:color="auto"/>
              <w:left w:val="nil"/>
              <w:bottom w:val="dotted" w:sz="4" w:space="0" w:color="auto"/>
              <w:right w:val="single" w:sz="8"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B.9/ EDP B.9</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-2.7</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-1.9</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-2.6</w:t>
            </w:r>
          </w:p>
        </w:tc>
        <w:tc>
          <w:tcPr>
            <w:tcW w:w="1020" w:type="dxa"/>
            <w:tcBorders>
              <w:top w:val="nil"/>
              <w:left w:val="nil"/>
              <w:bottom w:val="dotted"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-0.8</w:t>
            </w:r>
          </w:p>
        </w:tc>
        <w:tc>
          <w:tcPr>
            <w:tcW w:w="1020" w:type="dxa"/>
            <w:tcBorders>
              <w:top w:val="nil"/>
              <w:left w:val="nil"/>
              <w:bottom w:val="dotted" w:sz="4" w:space="0" w:color="auto"/>
              <w:right w:val="double" w:sz="6"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-2.7</w:t>
            </w:r>
          </w:p>
        </w:tc>
      </w:tr>
      <w:tr w:rsidR="009E4019" w:rsidRPr="009E4019" w:rsidTr="009E4019">
        <w:trPr>
          <w:trHeight w:val="540"/>
        </w:trPr>
        <w:tc>
          <w:tcPr>
            <w:tcW w:w="5400" w:type="dxa"/>
            <w:tcBorders>
              <w:top w:val="nil"/>
              <w:left w:val="double" w:sz="6" w:space="0" w:color="auto"/>
              <w:bottom w:val="nil"/>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szCs w:val="24"/>
              </w:rPr>
            </w:pPr>
            <w:r w:rsidRPr="009E4019">
              <w:rPr>
                <w:rFonts w:eastAsia="Times New Roman" w:cs="Times New Roman"/>
                <w:szCs w:val="24"/>
              </w:rPr>
              <w:t xml:space="preserve">3. Net lending/borrowing of general government </w:t>
            </w:r>
          </w:p>
        </w:tc>
        <w:tc>
          <w:tcPr>
            <w:tcW w:w="1020" w:type="dxa"/>
            <w:tcBorders>
              <w:top w:val="nil"/>
              <w:left w:val="nil"/>
              <w:bottom w:val="nil"/>
              <w:right w:val="single" w:sz="8"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 </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-2.0</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-3.0</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-3.0</w:t>
            </w:r>
          </w:p>
        </w:tc>
        <w:tc>
          <w:tcPr>
            <w:tcW w:w="1020" w:type="dxa"/>
            <w:tcBorders>
              <w:top w:val="nil"/>
              <w:left w:val="nil"/>
              <w:bottom w:val="single" w:sz="4"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-3.0</w:t>
            </w:r>
          </w:p>
        </w:tc>
        <w:tc>
          <w:tcPr>
            <w:tcW w:w="1020" w:type="dxa"/>
            <w:tcBorders>
              <w:top w:val="nil"/>
              <w:left w:val="nil"/>
              <w:bottom w:val="single" w:sz="4" w:space="0" w:color="auto"/>
              <w:right w:val="double" w:sz="6"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-2.5</w:t>
            </w:r>
          </w:p>
        </w:tc>
      </w:tr>
      <w:tr w:rsidR="009E4019" w:rsidRPr="009E4019" w:rsidTr="009E4019">
        <w:trPr>
          <w:trHeight w:val="540"/>
        </w:trPr>
        <w:tc>
          <w:tcPr>
            <w:tcW w:w="5400" w:type="dxa"/>
            <w:tcBorders>
              <w:top w:val="single" w:sz="4" w:space="0" w:color="auto"/>
              <w:left w:val="double" w:sz="6" w:space="0" w:color="auto"/>
              <w:bottom w:val="double" w:sz="6" w:space="0" w:color="auto"/>
              <w:right w:val="dotted" w:sz="4" w:space="0" w:color="auto"/>
            </w:tcBorders>
            <w:shd w:val="clear" w:color="000000" w:fill="FFFFFF"/>
            <w:vAlign w:val="center"/>
            <w:hideMark/>
          </w:tcPr>
          <w:p w:rsidR="009E4019" w:rsidRPr="009E4019" w:rsidRDefault="009E4019" w:rsidP="009E4019">
            <w:pPr>
              <w:spacing w:after="0"/>
              <w:jc w:val="left"/>
              <w:rPr>
                <w:rFonts w:eastAsia="Times New Roman" w:cs="Times New Roman"/>
                <w:szCs w:val="24"/>
              </w:rPr>
            </w:pPr>
            <w:r w:rsidRPr="009E4019">
              <w:rPr>
                <w:rFonts w:eastAsia="Times New Roman" w:cs="Times New Roman"/>
                <w:szCs w:val="24"/>
              </w:rPr>
              <w:t xml:space="preserve">4. Statistical discrepancy </w:t>
            </w:r>
          </w:p>
        </w:tc>
        <w:tc>
          <w:tcPr>
            <w:tcW w:w="1020" w:type="dxa"/>
            <w:tcBorders>
              <w:top w:val="single" w:sz="4" w:space="0" w:color="auto"/>
              <w:left w:val="nil"/>
              <w:bottom w:val="double" w:sz="6" w:space="0" w:color="auto"/>
              <w:right w:val="single" w:sz="8" w:space="0" w:color="auto"/>
            </w:tcBorders>
            <w:shd w:val="clear" w:color="000000" w:fill="FFFFFF"/>
            <w:vAlign w:val="center"/>
            <w:hideMark/>
          </w:tcPr>
          <w:p w:rsidR="009E4019" w:rsidRPr="009E4019" w:rsidRDefault="009E4019" w:rsidP="009E4019">
            <w:pPr>
              <w:spacing w:after="0"/>
              <w:jc w:val="center"/>
              <w:rPr>
                <w:rFonts w:eastAsia="Times New Roman" w:cs="Times New Roman"/>
                <w:szCs w:val="24"/>
              </w:rPr>
            </w:pPr>
            <w:r w:rsidRPr="009E4019">
              <w:rPr>
                <w:rFonts w:eastAsia="Times New Roman" w:cs="Times New Roman"/>
                <w:szCs w:val="24"/>
              </w:rPr>
              <w:t> </w:t>
            </w:r>
          </w:p>
        </w:tc>
        <w:tc>
          <w:tcPr>
            <w:tcW w:w="1020" w:type="dxa"/>
            <w:tcBorders>
              <w:top w:val="nil"/>
              <w:left w:val="nil"/>
              <w:bottom w:val="double" w:sz="6"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c>
          <w:tcPr>
            <w:tcW w:w="1020" w:type="dxa"/>
            <w:tcBorders>
              <w:top w:val="nil"/>
              <w:left w:val="nil"/>
              <w:bottom w:val="double" w:sz="6"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c>
          <w:tcPr>
            <w:tcW w:w="1020" w:type="dxa"/>
            <w:tcBorders>
              <w:top w:val="nil"/>
              <w:left w:val="nil"/>
              <w:bottom w:val="double" w:sz="6"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c>
          <w:tcPr>
            <w:tcW w:w="1020" w:type="dxa"/>
            <w:tcBorders>
              <w:top w:val="nil"/>
              <w:left w:val="nil"/>
              <w:bottom w:val="double" w:sz="6" w:space="0" w:color="auto"/>
              <w:right w:val="dotted" w:sz="4"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-0.1</w:t>
            </w:r>
          </w:p>
        </w:tc>
        <w:tc>
          <w:tcPr>
            <w:tcW w:w="1020" w:type="dxa"/>
            <w:tcBorders>
              <w:top w:val="nil"/>
              <w:left w:val="nil"/>
              <w:bottom w:val="double" w:sz="6" w:space="0" w:color="auto"/>
              <w:right w:val="double" w:sz="6" w:space="0" w:color="auto"/>
            </w:tcBorders>
            <w:shd w:val="clear" w:color="000000" w:fill="FFFFFF"/>
            <w:vAlign w:val="center"/>
            <w:hideMark/>
          </w:tcPr>
          <w:p w:rsidR="009E4019" w:rsidRPr="009E4019" w:rsidRDefault="009E4019" w:rsidP="009E4019">
            <w:pPr>
              <w:spacing w:after="0"/>
              <w:jc w:val="right"/>
              <w:rPr>
                <w:rFonts w:eastAsia="Times New Roman" w:cs="Times New Roman"/>
                <w:szCs w:val="24"/>
              </w:rPr>
            </w:pPr>
            <w:r w:rsidRPr="009E4019">
              <w:rPr>
                <w:rFonts w:eastAsia="Times New Roman" w:cs="Times New Roman"/>
                <w:szCs w:val="24"/>
              </w:rPr>
              <w:t>0.0</w:t>
            </w:r>
          </w:p>
        </w:tc>
      </w:tr>
    </w:tbl>
    <w:p w:rsidR="009E4019" w:rsidRPr="009E4019" w:rsidRDefault="009E4019" w:rsidP="009E4019">
      <w:pPr>
        <w:spacing w:after="0"/>
        <w:jc w:val="left"/>
        <w:rPr>
          <w:rFonts w:eastAsia="Times New Roman" w:cs="Times New Roman"/>
          <w:bCs/>
          <w:szCs w:val="24"/>
        </w:rPr>
      </w:pPr>
      <w:r>
        <w:rPr>
          <w:rFonts w:eastAsia="Times New Roman" w:cs="Times New Roman"/>
          <w:bCs/>
          <w:szCs w:val="24"/>
        </w:rPr>
        <w:fldChar w:fldCharType="end"/>
      </w:r>
    </w:p>
    <w:p w:rsidR="00C97D42" w:rsidRPr="00EE2274" w:rsidRDefault="009E4019" w:rsidP="00EE2274">
      <w:pPr>
        <w:spacing w:after="0"/>
        <w:jc w:val="left"/>
        <w:rPr>
          <w:rFonts w:eastAsia="Times New Roman" w:cs="Times New Roman"/>
          <w:bCs/>
          <w:szCs w:val="24"/>
        </w:rPr>
      </w:pPr>
      <w:r w:rsidRPr="009E4019">
        <w:rPr>
          <w:rFonts w:eastAsia="Times New Roman" w:cs="Times New Roman"/>
          <w:bCs/>
          <w:szCs w:val="24"/>
        </w:rPr>
        <w:t>Table 1e:  GDP and investment</w:t>
      </w:r>
    </w:p>
    <w:p w:rsidR="009E4019" w:rsidRDefault="00EE2274" w:rsidP="007A0CEC">
      <w:pPr>
        <w:spacing w:after="0"/>
        <w:jc w:val="left"/>
        <w:rPr>
          <w:rFonts w:asciiTheme="minorHAnsi" w:hAnsiTheme="minorHAnsi"/>
          <w:sz w:val="22"/>
        </w:rPr>
      </w:pPr>
      <w:r>
        <w:rPr>
          <w:rFonts w:cs="Times New Roman"/>
          <w:b/>
          <w:szCs w:val="24"/>
          <w:lang w:val="sr-Latn-RS"/>
        </w:rPr>
        <w:t xml:space="preserve"> </w:t>
      </w:r>
      <w:r w:rsidR="009E4019">
        <w:rPr>
          <w:rFonts w:cs="Times New Roman"/>
          <w:b/>
          <w:szCs w:val="24"/>
          <w:lang w:val="sr-Latn-RS"/>
        </w:rPr>
        <w:fldChar w:fldCharType="begin"/>
      </w:r>
      <w:r w:rsidR="009E4019">
        <w:rPr>
          <w:rFonts w:cs="Times New Roman"/>
          <w:b/>
          <w:szCs w:val="24"/>
          <w:lang w:val="sr-Latn-RS"/>
        </w:rPr>
        <w:instrText xml:space="preserve"> LINK Excel.Sheet.12 "C:\\Users\\ognjen.jancic\\Dropbox\\Dropbox\\Makro sektor\\13. ERP 2026-2028\\ERP OBJEDINJENI\\engleska verzija\\engleska verzija za objavu\\ERP_Annex_tables_2026_XY.xlsx" "Tab1e-GDP, I!R5C3:R9C9" \a \f 4 \h </w:instrText>
      </w:r>
      <w:r w:rsidR="009E4019">
        <w:rPr>
          <w:rFonts w:cs="Times New Roman"/>
          <w:b/>
          <w:szCs w:val="24"/>
          <w:lang w:val="sr-Latn-RS"/>
        </w:rPr>
        <w:fldChar w:fldCharType="separate"/>
      </w:r>
    </w:p>
    <w:tbl>
      <w:tblPr>
        <w:tblW w:w="11720" w:type="dxa"/>
        <w:tblLook w:val="04A0" w:firstRow="1" w:lastRow="0" w:firstColumn="1" w:lastColumn="0" w:noHBand="0" w:noVBand="1"/>
      </w:tblPr>
      <w:tblGrid>
        <w:gridCol w:w="5500"/>
        <w:gridCol w:w="1020"/>
        <w:gridCol w:w="1120"/>
        <w:gridCol w:w="1020"/>
        <w:gridCol w:w="1020"/>
        <w:gridCol w:w="1020"/>
        <w:gridCol w:w="1020"/>
      </w:tblGrid>
      <w:tr w:rsidR="009E4019" w:rsidRPr="009E4019" w:rsidTr="009E4019">
        <w:trPr>
          <w:trHeight w:val="266"/>
        </w:trPr>
        <w:tc>
          <w:tcPr>
            <w:tcW w:w="5500" w:type="dxa"/>
            <w:tcBorders>
              <w:top w:val="double" w:sz="6" w:space="0" w:color="auto"/>
              <w:left w:val="double" w:sz="6" w:space="0" w:color="auto"/>
              <w:bottom w:val="nil"/>
              <w:right w:val="dotted" w:sz="4" w:space="0" w:color="auto"/>
            </w:tcBorders>
            <w:shd w:val="clear" w:color="000000" w:fill="FFFFFF"/>
            <w:vAlign w:val="bottom"/>
            <w:hideMark/>
          </w:tcPr>
          <w:p w:rsidR="009E4019" w:rsidRPr="009E4019" w:rsidRDefault="009E4019">
            <w:pPr>
              <w:rPr>
                <w:rFonts w:eastAsia="Times New Roman" w:cs="Times New Roman"/>
                <w:sz w:val="20"/>
                <w:szCs w:val="20"/>
              </w:rPr>
            </w:pPr>
            <w:r w:rsidRPr="009E4019">
              <w:rPr>
                <w:rFonts w:eastAsia="Times New Roman" w:cs="Times New Roman"/>
                <w:sz w:val="20"/>
                <w:szCs w:val="20"/>
              </w:rPr>
              <w:t> </w:t>
            </w:r>
          </w:p>
        </w:tc>
        <w:tc>
          <w:tcPr>
            <w:tcW w:w="1020" w:type="dxa"/>
            <w:tcBorders>
              <w:top w:val="double" w:sz="6" w:space="0" w:color="auto"/>
              <w:left w:val="nil"/>
              <w:bottom w:val="nil"/>
              <w:right w:val="double" w:sz="6" w:space="0" w:color="auto"/>
            </w:tcBorders>
            <w:shd w:val="clear" w:color="000000" w:fill="FFFFFF"/>
            <w:vAlign w:val="bottom"/>
            <w:hideMark/>
          </w:tcPr>
          <w:p w:rsidR="009E4019" w:rsidRPr="009E4019" w:rsidRDefault="009E4019" w:rsidP="009E4019">
            <w:pPr>
              <w:spacing w:after="0"/>
              <w:jc w:val="left"/>
              <w:rPr>
                <w:rFonts w:eastAsia="Times New Roman" w:cs="Times New Roman"/>
                <w:sz w:val="20"/>
                <w:szCs w:val="20"/>
              </w:rPr>
            </w:pPr>
            <w:r w:rsidRPr="009E4019">
              <w:rPr>
                <w:rFonts w:eastAsia="Times New Roman" w:cs="Times New Roman"/>
                <w:sz w:val="20"/>
                <w:szCs w:val="20"/>
              </w:rPr>
              <w:t>ESA Code</w:t>
            </w:r>
          </w:p>
        </w:tc>
        <w:tc>
          <w:tcPr>
            <w:tcW w:w="1120" w:type="dxa"/>
            <w:tcBorders>
              <w:top w:val="double" w:sz="6" w:space="0" w:color="auto"/>
              <w:left w:val="nil"/>
              <w:bottom w:val="nil"/>
              <w:right w:val="dotted" w:sz="4"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Year</w:t>
            </w:r>
          </w:p>
        </w:tc>
        <w:tc>
          <w:tcPr>
            <w:tcW w:w="1020" w:type="dxa"/>
            <w:tcBorders>
              <w:top w:val="double" w:sz="6" w:space="0" w:color="auto"/>
              <w:left w:val="nil"/>
              <w:bottom w:val="nil"/>
              <w:right w:val="double" w:sz="6"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Year</w:t>
            </w:r>
          </w:p>
        </w:tc>
      </w:tr>
      <w:tr w:rsidR="009E4019" w:rsidRPr="009E4019" w:rsidTr="009E4019">
        <w:trPr>
          <w:trHeight w:val="258"/>
        </w:trPr>
        <w:tc>
          <w:tcPr>
            <w:tcW w:w="5500" w:type="dxa"/>
            <w:tcBorders>
              <w:top w:val="nil"/>
              <w:left w:val="double" w:sz="6" w:space="0" w:color="auto"/>
              <w:bottom w:val="nil"/>
              <w:right w:val="dotted" w:sz="4" w:space="0" w:color="auto"/>
            </w:tcBorders>
            <w:shd w:val="clear" w:color="000000" w:fill="FFFFFF"/>
            <w:vAlign w:val="bottom"/>
            <w:hideMark/>
          </w:tcPr>
          <w:p w:rsidR="009E4019" w:rsidRPr="009E4019" w:rsidRDefault="009E4019" w:rsidP="009E4019">
            <w:pPr>
              <w:spacing w:after="0"/>
              <w:jc w:val="left"/>
              <w:rPr>
                <w:rFonts w:eastAsia="Times New Roman" w:cs="Times New Roman"/>
                <w:sz w:val="20"/>
                <w:szCs w:val="20"/>
              </w:rPr>
            </w:pPr>
            <w:r w:rsidRPr="009E4019">
              <w:rPr>
                <w:rFonts w:eastAsia="Times New Roman" w:cs="Times New Roman"/>
                <w:sz w:val="20"/>
                <w:szCs w:val="20"/>
              </w:rPr>
              <w:t> </w:t>
            </w:r>
          </w:p>
        </w:tc>
        <w:tc>
          <w:tcPr>
            <w:tcW w:w="1020" w:type="dxa"/>
            <w:tcBorders>
              <w:top w:val="nil"/>
              <w:left w:val="nil"/>
              <w:bottom w:val="nil"/>
              <w:right w:val="double" w:sz="6" w:space="0" w:color="auto"/>
            </w:tcBorders>
            <w:shd w:val="clear" w:color="000000" w:fill="FFFFFF"/>
            <w:vAlign w:val="bottom"/>
            <w:hideMark/>
          </w:tcPr>
          <w:p w:rsidR="009E4019" w:rsidRPr="009E4019" w:rsidRDefault="009E4019" w:rsidP="009E4019">
            <w:pPr>
              <w:spacing w:after="0"/>
              <w:jc w:val="left"/>
              <w:rPr>
                <w:rFonts w:eastAsia="Times New Roman" w:cs="Times New Roman"/>
                <w:sz w:val="20"/>
                <w:szCs w:val="20"/>
              </w:rPr>
            </w:pPr>
            <w:r w:rsidRPr="009E4019">
              <w:rPr>
                <w:rFonts w:eastAsia="Times New Roman" w:cs="Times New Roman"/>
                <w:sz w:val="20"/>
                <w:szCs w:val="20"/>
              </w:rPr>
              <w:t> </w:t>
            </w:r>
          </w:p>
        </w:tc>
        <w:tc>
          <w:tcPr>
            <w:tcW w:w="1120" w:type="dxa"/>
            <w:tcBorders>
              <w:top w:val="nil"/>
              <w:left w:val="nil"/>
              <w:bottom w:val="nil"/>
              <w:right w:val="dotted" w:sz="4"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2024</w:t>
            </w:r>
          </w:p>
        </w:tc>
        <w:tc>
          <w:tcPr>
            <w:tcW w:w="1020" w:type="dxa"/>
            <w:tcBorders>
              <w:top w:val="nil"/>
              <w:left w:val="nil"/>
              <w:bottom w:val="nil"/>
              <w:right w:val="dotted" w:sz="4"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2025</w:t>
            </w:r>
          </w:p>
        </w:tc>
        <w:tc>
          <w:tcPr>
            <w:tcW w:w="1020" w:type="dxa"/>
            <w:tcBorders>
              <w:top w:val="nil"/>
              <w:left w:val="nil"/>
              <w:bottom w:val="nil"/>
              <w:right w:val="dotted" w:sz="4"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2026</w:t>
            </w:r>
          </w:p>
        </w:tc>
        <w:tc>
          <w:tcPr>
            <w:tcW w:w="1020" w:type="dxa"/>
            <w:tcBorders>
              <w:top w:val="nil"/>
              <w:left w:val="nil"/>
              <w:bottom w:val="nil"/>
              <w:right w:val="dotted" w:sz="4"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2027</w:t>
            </w:r>
          </w:p>
        </w:tc>
        <w:tc>
          <w:tcPr>
            <w:tcW w:w="1020" w:type="dxa"/>
            <w:tcBorders>
              <w:top w:val="nil"/>
              <w:left w:val="nil"/>
              <w:bottom w:val="nil"/>
              <w:right w:val="double" w:sz="6" w:space="0" w:color="auto"/>
            </w:tcBorders>
            <w:shd w:val="clear" w:color="000000" w:fill="FFFFFF"/>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2028</w:t>
            </w:r>
          </w:p>
        </w:tc>
      </w:tr>
      <w:tr w:rsidR="009E4019" w:rsidRPr="009E4019" w:rsidTr="009E4019">
        <w:trPr>
          <w:trHeight w:val="249"/>
        </w:trPr>
        <w:tc>
          <w:tcPr>
            <w:tcW w:w="11720" w:type="dxa"/>
            <w:gridSpan w:val="7"/>
            <w:tcBorders>
              <w:top w:val="single" w:sz="4" w:space="0" w:color="auto"/>
              <w:left w:val="double" w:sz="6" w:space="0" w:color="auto"/>
              <w:bottom w:val="single" w:sz="4" w:space="0" w:color="auto"/>
              <w:right w:val="double" w:sz="6" w:space="0" w:color="000000"/>
            </w:tcBorders>
            <w:shd w:val="clear" w:color="000000" w:fill="FFFFFF"/>
            <w:vAlign w:val="bottom"/>
            <w:hideMark/>
          </w:tcPr>
          <w:p w:rsidR="009E4019" w:rsidRPr="009E4019" w:rsidRDefault="009E4019" w:rsidP="009E4019">
            <w:pPr>
              <w:spacing w:after="0"/>
              <w:jc w:val="center"/>
              <w:rPr>
                <w:rFonts w:eastAsia="Times New Roman" w:cs="Times New Roman"/>
                <w:b/>
                <w:bCs/>
                <w:sz w:val="20"/>
                <w:szCs w:val="20"/>
              </w:rPr>
            </w:pPr>
            <w:r w:rsidRPr="009E4019">
              <w:rPr>
                <w:rFonts w:eastAsia="Times New Roman" w:cs="Times New Roman"/>
                <w:b/>
                <w:bCs/>
                <w:sz w:val="20"/>
                <w:szCs w:val="20"/>
              </w:rPr>
              <w:t>GDP and investment</w:t>
            </w:r>
          </w:p>
        </w:tc>
      </w:tr>
      <w:tr w:rsidR="009E4019" w:rsidRPr="009E4019" w:rsidTr="009E4019">
        <w:trPr>
          <w:trHeight w:val="300"/>
        </w:trPr>
        <w:tc>
          <w:tcPr>
            <w:tcW w:w="5500" w:type="dxa"/>
            <w:tcBorders>
              <w:top w:val="nil"/>
              <w:left w:val="double" w:sz="6" w:space="0" w:color="auto"/>
              <w:bottom w:val="dotted" w:sz="4" w:space="0" w:color="auto"/>
              <w:right w:val="dotted" w:sz="4" w:space="0" w:color="auto"/>
            </w:tcBorders>
            <w:shd w:val="clear" w:color="000000" w:fill="FFFFFF"/>
            <w:vAlign w:val="bottom"/>
            <w:hideMark/>
          </w:tcPr>
          <w:p w:rsidR="009E4019" w:rsidRPr="009E4019" w:rsidRDefault="009E4019" w:rsidP="009E4019">
            <w:pPr>
              <w:spacing w:after="0"/>
              <w:jc w:val="left"/>
              <w:rPr>
                <w:rFonts w:eastAsia="Times New Roman" w:cs="Times New Roman"/>
                <w:sz w:val="20"/>
                <w:szCs w:val="20"/>
              </w:rPr>
            </w:pPr>
            <w:r w:rsidRPr="009E4019">
              <w:rPr>
                <w:rFonts w:eastAsia="Times New Roman" w:cs="Times New Roman"/>
                <w:sz w:val="20"/>
                <w:szCs w:val="20"/>
              </w:rPr>
              <w:t xml:space="preserve">GDP </w:t>
            </w:r>
            <w:r w:rsidRPr="009E4019">
              <w:rPr>
                <w:rFonts w:eastAsia="Times New Roman" w:cs="Times New Roman"/>
                <w:i/>
                <w:iCs/>
                <w:sz w:val="20"/>
                <w:szCs w:val="20"/>
              </w:rPr>
              <w:t>level</w:t>
            </w:r>
            <w:r w:rsidRPr="009E4019">
              <w:rPr>
                <w:rFonts w:eastAsia="Times New Roman" w:cs="Times New Roman"/>
                <w:sz w:val="20"/>
                <w:szCs w:val="20"/>
              </w:rPr>
              <w:t xml:space="preserve"> at </w:t>
            </w:r>
            <w:r w:rsidRPr="009E4019">
              <w:rPr>
                <w:rFonts w:eastAsia="Times New Roman" w:cs="Times New Roman"/>
                <w:i/>
                <w:iCs/>
                <w:sz w:val="20"/>
                <w:szCs w:val="20"/>
              </w:rPr>
              <w:t xml:space="preserve">current </w:t>
            </w:r>
            <w:r w:rsidRPr="009E4019">
              <w:rPr>
                <w:rFonts w:eastAsia="Times New Roman" w:cs="Times New Roman"/>
                <w:sz w:val="20"/>
                <w:szCs w:val="20"/>
              </w:rPr>
              <w:t>market prices (in domestic currency)</w:t>
            </w:r>
          </w:p>
        </w:tc>
        <w:tc>
          <w:tcPr>
            <w:tcW w:w="1020" w:type="dxa"/>
            <w:tcBorders>
              <w:top w:val="nil"/>
              <w:left w:val="nil"/>
              <w:bottom w:val="dotted" w:sz="4" w:space="0" w:color="auto"/>
              <w:right w:val="nil"/>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B1g</w:t>
            </w:r>
          </w:p>
        </w:tc>
        <w:tc>
          <w:tcPr>
            <w:tcW w:w="1120" w:type="dxa"/>
            <w:tcBorders>
              <w:top w:val="nil"/>
              <w:left w:val="double" w:sz="6" w:space="0" w:color="auto"/>
              <w:bottom w:val="dotted" w:sz="4" w:space="0" w:color="auto"/>
              <w:right w:val="dotted" w:sz="4"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9,748.3</w:t>
            </w:r>
          </w:p>
        </w:tc>
        <w:tc>
          <w:tcPr>
            <w:tcW w:w="1020" w:type="dxa"/>
            <w:tcBorders>
              <w:top w:val="nil"/>
              <w:left w:val="nil"/>
              <w:bottom w:val="dotted" w:sz="4" w:space="0" w:color="auto"/>
              <w:right w:val="dotted" w:sz="4"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10,377.9</w:t>
            </w:r>
          </w:p>
        </w:tc>
        <w:tc>
          <w:tcPr>
            <w:tcW w:w="1020" w:type="dxa"/>
            <w:tcBorders>
              <w:top w:val="nil"/>
              <w:left w:val="nil"/>
              <w:bottom w:val="dotted" w:sz="4" w:space="0" w:color="auto"/>
              <w:right w:val="dotted" w:sz="4"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11,085.1</w:t>
            </w:r>
          </w:p>
        </w:tc>
        <w:tc>
          <w:tcPr>
            <w:tcW w:w="1020" w:type="dxa"/>
            <w:tcBorders>
              <w:top w:val="nil"/>
              <w:left w:val="nil"/>
              <w:bottom w:val="dotted" w:sz="4" w:space="0" w:color="auto"/>
              <w:right w:val="dotted" w:sz="4"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12,034.3</w:t>
            </w:r>
          </w:p>
        </w:tc>
        <w:tc>
          <w:tcPr>
            <w:tcW w:w="1020" w:type="dxa"/>
            <w:tcBorders>
              <w:top w:val="nil"/>
              <w:left w:val="nil"/>
              <w:bottom w:val="dotted" w:sz="4" w:space="0" w:color="auto"/>
              <w:right w:val="double" w:sz="6"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12,807.2</w:t>
            </w:r>
          </w:p>
        </w:tc>
      </w:tr>
      <w:tr w:rsidR="009E4019" w:rsidRPr="009E4019" w:rsidTr="009E4019">
        <w:trPr>
          <w:trHeight w:val="300"/>
        </w:trPr>
        <w:tc>
          <w:tcPr>
            <w:tcW w:w="5500" w:type="dxa"/>
            <w:tcBorders>
              <w:top w:val="nil"/>
              <w:left w:val="double" w:sz="6" w:space="0" w:color="auto"/>
              <w:bottom w:val="double" w:sz="6" w:space="0" w:color="auto"/>
              <w:right w:val="dotted" w:sz="4" w:space="0" w:color="auto"/>
            </w:tcBorders>
            <w:shd w:val="clear" w:color="000000" w:fill="FFFFFF"/>
            <w:vAlign w:val="bottom"/>
            <w:hideMark/>
          </w:tcPr>
          <w:p w:rsidR="009E4019" w:rsidRPr="009E4019" w:rsidRDefault="009E4019" w:rsidP="009E4019">
            <w:pPr>
              <w:spacing w:after="0"/>
              <w:jc w:val="left"/>
              <w:rPr>
                <w:rFonts w:eastAsia="Times New Roman" w:cs="Times New Roman"/>
                <w:sz w:val="20"/>
                <w:szCs w:val="20"/>
              </w:rPr>
            </w:pPr>
            <w:r w:rsidRPr="009E4019">
              <w:rPr>
                <w:rFonts w:eastAsia="Times New Roman" w:cs="Times New Roman"/>
                <w:sz w:val="20"/>
                <w:szCs w:val="20"/>
              </w:rPr>
              <w:t>Investment ratio (% of GDP)</w:t>
            </w:r>
          </w:p>
        </w:tc>
        <w:tc>
          <w:tcPr>
            <w:tcW w:w="1020" w:type="dxa"/>
            <w:tcBorders>
              <w:top w:val="nil"/>
              <w:left w:val="nil"/>
              <w:bottom w:val="double" w:sz="6" w:space="0" w:color="auto"/>
              <w:right w:val="nil"/>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 </w:t>
            </w:r>
          </w:p>
        </w:tc>
        <w:tc>
          <w:tcPr>
            <w:tcW w:w="1120" w:type="dxa"/>
            <w:tcBorders>
              <w:top w:val="nil"/>
              <w:left w:val="double" w:sz="6" w:space="0" w:color="auto"/>
              <w:bottom w:val="double" w:sz="6" w:space="0" w:color="auto"/>
              <w:right w:val="dotted" w:sz="4"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23.8</w:t>
            </w:r>
          </w:p>
        </w:tc>
        <w:tc>
          <w:tcPr>
            <w:tcW w:w="1020" w:type="dxa"/>
            <w:tcBorders>
              <w:top w:val="nil"/>
              <w:left w:val="nil"/>
              <w:bottom w:val="double" w:sz="6" w:space="0" w:color="auto"/>
              <w:right w:val="dotted" w:sz="4"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23.4</w:t>
            </w:r>
          </w:p>
        </w:tc>
        <w:tc>
          <w:tcPr>
            <w:tcW w:w="1020" w:type="dxa"/>
            <w:tcBorders>
              <w:top w:val="nil"/>
              <w:left w:val="nil"/>
              <w:bottom w:val="double" w:sz="6" w:space="0" w:color="auto"/>
              <w:right w:val="dotted" w:sz="4"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24.1</w:t>
            </w:r>
          </w:p>
        </w:tc>
        <w:tc>
          <w:tcPr>
            <w:tcW w:w="1020" w:type="dxa"/>
            <w:tcBorders>
              <w:top w:val="nil"/>
              <w:left w:val="nil"/>
              <w:bottom w:val="double" w:sz="6" w:space="0" w:color="auto"/>
              <w:right w:val="dotted" w:sz="4"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24.1</w:t>
            </w:r>
          </w:p>
        </w:tc>
        <w:tc>
          <w:tcPr>
            <w:tcW w:w="1020" w:type="dxa"/>
            <w:tcBorders>
              <w:top w:val="nil"/>
              <w:left w:val="nil"/>
              <w:bottom w:val="double" w:sz="6" w:space="0" w:color="auto"/>
              <w:right w:val="double" w:sz="6" w:space="0" w:color="auto"/>
            </w:tcBorders>
            <w:shd w:val="clear" w:color="000000" w:fill="FFFFFF"/>
            <w:vAlign w:val="bottom"/>
            <w:hideMark/>
          </w:tcPr>
          <w:p w:rsidR="009E4019" w:rsidRPr="009E4019" w:rsidRDefault="009E4019" w:rsidP="009E4019">
            <w:pPr>
              <w:spacing w:after="0"/>
              <w:jc w:val="center"/>
              <w:rPr>
                <w:rFonts w:eastAsia="Times New Roman" w:cs="Times New Roman"/>
                <w:sz w:val="20"/>
                <w:szCs w:val="20"/>
              </w:rPr>
            </w:pPr>
            <w:r w:rsidRPr="009E4019">
              <w:rPr>
                <w:rFonts w:eastAsia="Times New Roman" w:cs="Times New Roman"/>
                <w:sz w:val="20"/>
                <w:szCs w:val="20"/>
              </w:rPr>
              <w:t>24.3</w:t>
            </w:r>
          </w:p>
        </w:tc>
      </w:tr>
    </w:tbl>
    <w:p w:rsidR="002737A9" w:rsidRDefault="009E4019" w:rsidP="007A0CEC">
      <w:pPr>
        <w:spacing w:after="0"/>
        <w:jc w:val="left"/>
        <w:rPr>
          <w:rFonts w:cs="Times New Roman"/>
          <w:b/>
          <w:szCs w:val="24"/>
          <w:lang w:val="sr-Latn-RS"/>
        </w:rPr>
      </w:pPr>
      <w:r>
        <w:rPr>
          <w:rFonts w:cs="Times New Roman"/>
          <w:b/>
          <w:szCs w:val="24"/>
          <w:lang w:val="sr-Latn-RS"/>
        </w:rPr>
        <w:fldChar w:fldCharType="end"/>
      </w:r>
    </w:p>
    <w:p w:rsidR="002737A9" w:rsidRDefault="002737A9" w:rsidP="007A0CEC">
      <w:pPr>
        <w:spacing w:after="0"/>
        <w:jc w:val="left"/>
        <w:rPr>
          <w:rFonts w:cs="Times New Roman"/>
          <w:b/>
          <w:szCs w:val="24"/>
          <w:lang w:val="sr-Latn-RS"/>
        </w:rPr>
      </w:pPr>
    </w:p>
    <w:tbl>
      <w:tblPr>
        <w:tblW w:w="11743" w:type="dxa"/>
        <w:tblCellMar>
          <w:left w:w="0" w:type="dxa"/>
          <w:right w:w="0" w:type="dxa"/>
        </w:tblCellMar>
        <w:tblLook w:val="04A0" w:firstRow="1" w:lastRow="0" w:firstColumn="1" w:lastColumn="0" w:noHBand="0" w:noVBand="1"/>
      </w:tblPr>
      <w:tblGrid>
        <w:gridCol w:w="28"/>
        <w:gridCol w:w="5004"/>
        <w:gridCol w:w="6"/>
        <w:gridCol w:w="1456"/>
        <w:gridCol w:w="1177"/>
        <w:gridCol w:w="1018"/>
        <w:gridCol w:w="1018"/>
        <w:gridCol w:w="1018"/>
        <w:gridCol w:w="1018"/>
      </w:tblGrid>
      <w:tr w:rsidR="002737A9" w:rsidTr="002737A9">
        <w:trPr>
          <w:gridAfter w:val="7"/>
          <w:wAfter w:w="6727" w:type="dxa"/>
          <w:trHeight w:val="300"/>
        </w:trPr>
        <w:tc>
          <w:tcPr>
            <w:tcW w:w="5016" w:type="dxa"/>
            <w:gridSpan w:val="2"/>
            <w:tcBorders>
              <w:top w:val="nil"/>
              <w:left w:val="nil"/>
              <w:bottom w:val="nil"/>
              <w:right w:val="nil"/>
            </w:tcBorders>
            <w:shd w:val="clear" w:color="000000" w:fill="FFFFFF"/>
            <w:noWrap/>
            <w:vAlign w:val="bottom"/>
            <w:hideMark/>
          </w:tcPr>
          <w:p w:rsidR="002737A9" w:rsidRDefault="002737A9">
            <w:pPr>
              <w:spacing w:after="0"/>
              <w:jc w:val="left"/>
              <w:rPr>
                <w:bCs/>
              </w:rPr>
            </w:pPr>
            <w:r w:rsidRPr="002737A9">
              <w:rPr>
                <w:bCs/>
              </w:rPr>
              <w:lastRenderedPageBreak/>
              <w:t>Table 1f:  External sector developments</w:t>
            </w:r>
          </w:p>
          <w:p w:rsidR="002737A9" w:rsidRDefault="002737A9">
            <w:pPr>
              <w:spacing w:after="0"/>
              <w:jc w:val="left"/>
              <w:rPr>
                <w:bCs/>
              </w:rPr>
            </w:pPr>
          </w:p>
          <w:p w:rsidR="002737A9" w:rsidRPr="002737A9" w:rsidRDefault="002737A9">
            <w:pPr>
              <w:spacing w:after="0"/>
              <w:jc w:val="left"/>
              <w:rPr>
                <w:bCs/>
              </w:rPr>
            </w:pPr>
          </w:p>
        </w:tc>
      </w:tr>
      <w:tr w:rsidR="002737A9" w:rsidRPr="002737A9" w:rsidTr="002737A9">
        <w:tblPrEx>
          <w:tblCellMar>
            <w:left w:w="108" w:type="dxa"/>
            <w:right w:w="108" w:type="dxa"/>
          </w:tblCellMar>
        </w:tblPrEx>
        <w:trPr>
          <w:gridBefore w:val="1"/>
          <w:wBefore w:w="23" w:type="dxa"/>
          <w:trHeight w:val="330"/>
        </w:trPr>
        <w:tc>
          <w:tcPr>
            <w:tcW w:w="5000" w:type="dxa"/>
            <w:gridSpan w:val="2"/>
            <w:tcBorders>
              <w:top w:val="double" w:sz="6" w:space="0" w:color="auto"/>
              <w:left w:val="double" w:sz="6" w:space="0" w:color="auto"/>
              <w:bottom w:val="nil"/>
              <w:right w:val="single" w:sz="8" w:space="0" w:color="auto"/>
            </w:tcBorders>
            <w:shd w:val="clear" w:color="000000" w:fill="FFFFFF"/>
            <w:vAlign w:val="bottom"/>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Billion Euro unless otherwise indicated</w:t>
            </w:r>
          </w:p>
        </w:tc>
        <w:tc>
          <w:tcPr>
            <w:tcW w:w="1460" w:type="dxa"/>
            <w:tcBorders>
              <w:top w:val="double" w:sz="6" w:space="0" w:color="auto"/>
              <w:left w:val="nil"/>
              <w:bottom w:val="nil"/>
              <w:right w:val="single" w:sz="8" w:space="0" w:color="auto"/>
            </w:tcBorders>
            <w:shd w:val="clear" w:color="000000" w:fill="FFFFFF"/>
            <w:vAlign w:val="bottom"/>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 </w:t>
            </w:r>
          </w:p>
        </w:tc>
        <w:tc>
          <w:tcPr>
            <w:tcW w:w="1180" w:type="dxa"/>
            <w:tcBorders>
              <w:top w:val="double" w:sz="6" w:space="0" w:color="auto"/>
              <w:left w:val="nil"/>
              <w:bottom w:val="nil"/>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Year</w:t>
            </w:r>
          </w:p>
        </w:tc>
        <w:tc>
          <w:tcPr>
            <w:tcW w:w="1020" w:type="dxa"/>
            <w:tcBorders>
              <w:top w:val="double" w:sz="6" w:space="0" w:color="auto"/>
              <w:left w:val="nil"/>
              <w:bottom w:val="nil"/>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Year</w:t>
            </w:r>
          </w:p>
        </w:tc>
      </w:tr>
      <w:tr w:rsidR="002737A9" w:rsidRPr="002737A9" w:rsidTr="002737A9">
        <w:tblPrEx>
          <w:tblCellMar>
            <w:left w:w="108" w:type="dxa"/>
            <w:right w:w="108" w:type="dxa"/>
          </w:tblCellMar>
        </w:tblPrEx>
        <w:trPr>
          <w:gridBefore w:val="1"/>
          <w:wBefore w:w="23" w:type="dxa"/>
          <w:trHeight w:val="266"/>
        </w:trPr>
        <w:tc>
          <w:tcPr>
            <w:tcW w:w="5000" w:type="dxa"/>
            <w:gridSpan w:val="2"/>
            <w:tcBorders>
              <w:top w:val="nil"/>
              <w:left w:val="double" w:sz="6" w:space="0" w:color="auto"/>
              <w:bottom w:val="double" w:sz="6" w:space="0" w:color="auto"/>
              <w:right w:val="single" w:sz="8" w:space="0" w:color="auto"/>
            </w:tcBorders>
            <w:shd w:val="clear" w:color="000000" w:fill="FFFFFF"/>
            <w:vAlign w:val="bottom"/>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 </w:t>
            </w:r>
          </w:p>
        </w:tc>
        <w:tc>
          <w:tcPr>
            <w:tcW w:w="1460" w:type="dxa"/>
            <w:tcBorders>
              <w:top w:val="nil"/>
              <w:left w:val="nil"/>
              <w:bottom w:val="double" w:sz="6" w:space="0" w:color="auto"/>
              <w:right w:val="single" w:sz="8" w:space="0" w:color="auto"/>
            </w:tcBorders>
            <w:shd w:val="clear" w:color="000000" w:fill="FFFFFF"/>
            <w:vAlign w:val="bottom"/>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 </w:t>
            </w:r>
          </w:p>
        </w:tc>
        <w:tc>
          <w:tcPr>
            <w:tcW w:w="1180" w:type="dxa"/>
            <w:tcBorders>
              <w:top w:val="nil"/>
              <w:left w:val="nil"/>
              <w:bottom w:val="double" w:sz="6"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2024</w:t>
            </w:r>
          </w:p>
        </w:tc>
        <w:tc>
          <w:tcPr>
            <w:tcW w:w="1020" w:type="dxa"/>
            <w:tcBorders>
              <w:top w:val="nil"/>
              <w:left w:val="nil"/>
              <w:bottom w:val="double" w:sz="6"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2025</w:t>
            </w:r>
          </w:p>
        </w:tc>
        <w:tc>
          <w:tcPr>
            <w:tcW w:w="1020" w:type="dxa"/>
            <w:tcBorders>
              <w:top w:val="nil"/>
              <w:left w:val="nil"/>
              <w:bottom w:val="double" w:sz="6"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2026</w:t>
            </w:r>
          </w:p>
        </w:tc>
        <w:tc>
          <w:tcPr>
            <w:tcW w:w="1020" w:type="dxa"/>
            <w:tcBorders>
              <w:top w:val="nil"/>
              <w:left w:val="nil"/>
              <w:bottom w:val="double" w:sz="6"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2027</w:t>
            </w:r>
          </w:p>
        </w:tc>
        <w:tc>
          <w:tcPr>
            <w:tcW w:w="1020" w:type="dxa"/>
            <w:tcBorders>
              <w:top w:val="nil"/>
              <w:left w:val="nil"/>
              <w:bottom w:val="double" w:sz="6"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2028</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1. Current account balance</w:t>
            </w:r>
            <w:r w:rsidRPr="002737A9">
              <w:rPr>
                <w:rFonts w:eastAsia="Times New Roman" w:cs="Times New Roman"/>
                <w:b/>
                <w:bCs/>
                <w:sz w:val="20"/>
                <w:szCs w:val="20"/>
              </w:rPr>
              <w:t xml:space="preserve"> </w:t>
            </w:r>
            <w:r w:rsidRPr="002737A9">
              <w:rPr>
                <w:rFonts w:eastAsia="Times New Roman" w:cs="Times New Roman"/>
                <w:sz w:val="20"/>
                <w:szCs w:val="20"/>
              </w:rPr>
              <w:t>(% of GDP)</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 of GDP</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-4.5</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-5.0</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-5.6</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-3.9</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-5.2</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2. Export of goods</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29.9</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32.3</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34.1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35.7</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38.0</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 xml:space="preserve">3. Import of goods </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36.6</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39.3</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42.2</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44.0</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46.2</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4. Trade balance</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-6.8</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-7.0</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-8.1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-8.3</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-8.2</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5. Export of services</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14.5</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14.9</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16.1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19.3</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18.7</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6. Import of services</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11.6</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12.8</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14.0</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15.7</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17.0</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7. Service balance</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2.8</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3.6</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1.7</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8. Net interest payments from abroad</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-1.7</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-1.5</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-1.5</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-1.6</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-1.6</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9. Other net factor income from abroad</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-3.5</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-3.4</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-3.5</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-3.5</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-3.5</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10. Current transfers</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5.4</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5.4</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5.7</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5.8</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5.9</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i/>
                <w:iCs/>
                <w:sz w:val="20"/>
                <w:szCs w:val="20"/>
              </w:rPr>
            </w:pPr>
            <w:r w:rsidRPr="002737A9">
              <w:rPr>
                <w:rFonts w:eastAsia="Times New Roman" w:cs="Times New Roman"/>
                <w:i/>
                <w:iCs/>
                <w:sz w:val="20"/>
                <w:szCs w:val="20"/>
              </w:rPr>
              <w:t>11. Of which</w:t>
            </w:r>
            <w:r w:rsidRPr="002737A9">
              <w:rPr>
                <w:rFonts w:eastAsia="Times New Roman" w:cs="Times New Roman"/>
                <w:sz w:val="20"/>
                <w:szCs w:val="20"/>
              </w:rPr>
              <w:t xml:space="preserve"> from EU</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3.7</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3.8</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3.9</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3.9</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4.0</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12. Current account balance</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-3.8</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-4.4</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-5.3</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-4.0</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-5.7</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13. Capital and financial account</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3.3</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4.4</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5.3</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4.0</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5.7</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14. Foreign direct investment</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4.6</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2.7</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4.0</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4.0</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4.5</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15. Foreign reserves</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29.3</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28.3</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28.3</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29.4</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30.2</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16. Foreign debt</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16.8</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19.0</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20.9</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21.7</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i/>
                <w:iCs/>
                <w:sz w:val="20"/>
                <w:szCs w:val="20"/>
              </w:rPr>
            </w:pPr>
            <w:r w:rsidRPr="002737A9">
              <w:rPr>
                <w:rFonts w:eastAsia="Times New Roman" w:cs="Times New Roman"/>
                <w:i/>
                <w:iCs/>
                <w:sz w:val="20"/>
                <w:szCs w:val="20"/>
              </w:rPr>
              <w:t>17. Of which</w:t>
            </w:r>
            <w:r w:rsidRPr="002737A9">
              <w:rPr>
                <w:rFonts w:eastAsia="Times New Roman" w:cs="Times New Roman"/>
                <w:szCs w:val="24"/>
              </w:rPr>
              <w:t>:</w:t>
            </w:r>
            <w:r w:rsidRPr="002737A9">
              <w:rPr>
                <w:rFonts w:eastAsia="Times New Roman" w:cs="Times New Roman"/>
                <w:sz w:val="20"/>
                <w:szCs w:val="20"/>
              </w:rPr>
              <w:t xml:space="preserve"> public</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2.5</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5.9</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5.6</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i/>
                <w:iCs/>
                <w:sz w:val="20"/>
                <w:szCs w:val="20"/>
              </w:rPr>
            </w:pPr>
            <w:r w:rsidRPr="002737A9">
              <w:rPr>
                <w:rFonts w:eastAsia="Times New Roman" w:cs="Times New Roman"/>
                <w:i/>
                <w:iCs/>
                <w:sz w:val="20"/>
                <w:szCs w:val="20"/>
              </w:rPr>
              <w:t xml:space="preserve">18. O/w: </w:t>
            </w:r>
            <w:r w:rsidRPr="002737A9">
              <w:rPr>
                <w:rFonts w:eastAsia="Times New Roman" w:cs="Times New Roman"/>
                <w:sz w:val="20"/>
                <w:szCs w:val="20"/>
              </w:rPr>
              <w:t>foreign currency denominated</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15.5</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17.9</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19.9</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20.6</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single"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i/>
                <w:iCs/>
                <w:sz w:val="20"/>
                <w:szCs w:val="20"/>
              </w:rPr>
            </w:pPr>
            <w:r w:rsidRPr="002737A9">
              <w:rPr>
                <w:rFonts w:eastAsia="Times New Roman" w:cs="Times New Roman"/>
                <w:i/>
                <w:iCs/>
                <w:sz w:val="20"/>
                <w:szCs w:val="20"/>
              </w:rPr>
              <w:t xml:space="preserve">19.O/w: </w:t>
            </w:r>
            <w:r w:rsidRPr="002737A9">
              <w:rPr>
                <w:rFonts w:eastAsia="Times New Roman" w:cs="Times New Roman"/>
                <w:sz w:val="20"/>
                <w:szCs w:val="20"/>
              </w:rPr>
              <w:t>repayments due</w:t>
            </w:r>
            <w:r w:rsidRPr="002737A9">
              <w:rPr>
                <w:rFonts w:eastAsia="Times New Roman" w:cs="Times New Roman"/>
                <w:i/>
                <w:iCs/>
                <w:sz w:val="20"/>
                <w:szCs w:val="20"/>
              </w:rPr>
              <w:t xml:space="preserve"> </w:t>
            </w:r>
          </w:p>
        </w:tc>
        <w:tc>
          <w:tcPr>
            <w:tcW w:w="1460" w:type="dxa"/>
            <w:tcBorders>
              <w:top w:val="nil"/>
              <w:left w:val="nil"/>
              <w:bottom w:val="single"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bn EUR</w:t>
            </w:r>
          </w:p>
        </w:tc>
        <w:tc>
          <w:tcPr>
            <w:tcW w:w="1180" w:type="dxa"/>
            <w:tcBorders>
              <w:top w:val="nil"/>
              <w:left w:val="nil"/>
              <w:bottom w:val="single"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8.8</w:t>
            </w:r>
          </w:p>
        </w:tc>
        <w:tc>
          <w:tcPr>
            <w:tcW w:w="1020" w:type="dxa"/>
            <w:tcBorders>
              <w:top w:val="nil"/>
              <w:left w:val="nil"/>
              <w:bottom w:val="single"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4.1</w:t>
            </w:r>
          </w:p>
        </w:tc>
        <w:tc>
          <w:tcPr>
            <w:tcW w:w="1020" w:type="dxa"/>
            <w:tcBorders>
              <w:top w:val="nil"/>
              <w:left w:val="nil"/>
              <w:bottom w:val="single"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6.2</w:t>
            </w:r>
          </w:p>
        </w:tc>
        <w:tc>
          <w:tcPr>
            <w:tcW w:w="1020" w:type="dxa"/>
            <w:tcBorders>
              <w:top w:val="nil"/>
              <w:left w:val="nil"/>
              <w:bottom w:val="single"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7.4</w:t>
            </w:r>
          </w:p>
        </w:tc>
        <w:tc>
          <w:tcPr>
            <w:tcW w:w="1020" w:type="dxa"/>
            <w:tcBorders>
              <w:top w:val="nil"/>
              <w:left w:val="nil"/>
              <w:bottom w:val="single"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21. Exchange rate vis-à-vis EUR (annual average)</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NCU/EUR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117.1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117.2</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i/>
                <w:iCs/>
                <w:sz w:val="20"/>
                <w:szCs w:val="20"/>
              </w:rPr>
            </w:pPr>
            <w:r w:rsidRPr="002737A9">
              <w:rPr>
                <w:rFonts w:eastAsia="Times New Roman" w:cs="Times New Roman"/>
                <w:i/>
                <w:iCs/>
                <w:sz w:val="20"/>
                <w:szCs w:val="20"/>
              </w:rPr>
              <w:t xml:space="preserve">      p.m. Exchange rate vis-à-vis EUR (annual average)</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i/>
                <w:iCs/>
                <w:sz w:val="16"/>
                <w:szCs w:val="16"/>
              </w:rPr>
            </w:pPr>
            <w:r w:rsidRPr="002737A9">
              <w:rPr>
                <w:rFonts w:eastAsia="Times New Roman" w:cs="Times New Roman"/>
                <w:i/>
                <w:iCs/>
                <w:sz w:val="16"/>
                <w:szCs w:val="16"/>
              </w:rPr>
              <w:t>%, year-on-year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-0.1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0.1</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tted" w:sz="4"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sz w:val="20"/>
                <w:szCs w:val="20"/>
              </w:rPr>
            </w:pPr>
            <w:r w:rsidRPr="002737A9">
              <w:rPr>
                <w:rFonts w:eastAsia="Times New Roman" w:cs="Times New Roman"/>
                <w:sz w:val="20"/>
                <w:szCs w:val="20"/>
              </w:rPr>
              <w:t>20. Exchange rate vis-à-vis EUR (end-year)</w:t>
            </w:r>
          </w:p>
        </w:tc>
        <w:tc>
          <w:tcPr>
            <w:tcW w:w="1460" w:type="dxa"/>
            <w:tcBorders>
              <w:top w:val="nil"/>
              <w:left w:val="nil"/>
              <w:bottom w:val="dotted" w:sz="4"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sz w:val="16"/>
                <w:szCs w:val="16"/>
              </w:rPr>
            </w:pPr>
            <w:r w:rsidRPr="002737A9">
              <w:rPr>
                <w:rFonts w:eastAsia="Times New Roman" w:cs="Times New Roman"/>
                <w:sz w:val="16"/>
                <w:szCs w:val="16"/>
              </w:rPr>
              <w:t>NCU/EUR</w:t>
            </w:r>
          </w:p>
        </w:tc>
        <w:tc>
          <w:tcPr>
            <w:tcW w:w="118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c>
          <w:tcPr>
            <w:tcW w:w="1020" w:type="dxa"/>
            <w:tcBorders>
              <w:top w:val="nil"/>
              <w:left w:val="nil"/>
              <w:bottom w:val="dotted" w:sz="4"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sz w:val="20"/>
                <w:szCs w:val="20"/>
              </w:rPr>
            </w:pPr>
            <w:r w:rsidRPr="002737A9">
              <w:rPr>
                <w:rFonts w:eastAsia="Times New Roman" w:cs="Times New Roman"/>
                <w:sz w:val="20"/>
                <w:szCs w:val="20"/>
              </w:rPr>
              <w:t>:</w:t>
            </w:r>
          </w:p>
        </w:tc>
      </w:tr>
      <w:tr w:rsidR="002737A9" w:rsidRPr="002737A9" w:rsidTr="002737A9">
        <w:tblPrEx>
          <w:tblCellMar>
            <w:left w:w="108" w:type="dxa"/>
            <w:right w:w="108" w:type="dxa"/>
          </w:tblCellMar>
        </w:tblPrEx>
        <w:trPr>
          <w:gridBefore w:val="1"/>
          <w:wBefore w:w="23" w:type="dxa"/>
          <w:trHeight w:val="300"/>
        </w:trPr>
        <w:tc>
          <w:tcPr>
            <w:tcW w:w="5000" w:type="dxa"/>
            <w:gridSpan w:val="2"/>
            <w:tcBorders>
              <w:top w:val="nil"/>
              <w:left w:val="double" w:sz="6" w:space="0" w:color="auto"/>
              <w:bottom w:val="double" w:sz="6" w:space="0" w:color="auto"/>
              <w:right w:val="single" w:sz="8" w:space="0" w:color="auto"/>
            </w:tcBorders>
            <w:shd w:val="clear" w:color="000000" w:fill="FFFFFF"/>
            <w:hideMark/>
          </w:tcPr>
          <w:p w:rsidR="002737A9" w:rsidRPr="002737A9" w:rsidRDefault="002737A9" w:rsidP="002737A9">
            <w:pPr>
              <w:spacing w:after="0"/>
              <w:jc w:val="left"/>
              <w:rPr>
                <w:rFonts w:eastAsia="Times New Roman" w:cs="Times New Roman"/>
                <w:i/>
                <w:iCs/>
                <w:sz w:val="20"/>
                <w:szCs w:val="20"/>
              </w:rPr>
            </w:pPr>
            <w:r w:rsidRPr="002737A9">
              <w:rPr>
                <w:rFonts w:eastAsia="Times New Roman" w:cs="Times New Roman"/>
                <w:i/>
                <w:iCs/>
                <w:sz w:val="20"/>
                <w:szCs w:val="20"/>
              </w:rPr>
              <w:t xml:space="preserve">      p.m. Exchange rate vis-à-vis EUR (end-year)</w:t>
            </w:r>
          </w:p>
        </w:tc>
        <w:tc>
          <w:tcPr>
            <w:tcW w:w="1460" w:type="dxa"/>
            <w:tcBorders>
              <w:top w:val="nil"/>
              <w:left w:val="nil"/>
              <w:bottom w:val="double" w:sz="6" w:space="0" w:color="auto"/>
              <w:right w:val="single" w:sz="8" w:space="0" w:color="auto"/>
            </w:tcBorders>
            <w:shd w:val="clear" w:color="000000" w:fill="FFFFFF"/>
            <w:hideMark/>
          </w:tcPr>
          <w:p w:rsidR="002737A9" w:rsidRPr="002737A9" w:rsidRDefault="002737A9" w:rsidP="002737A9">
            <w:pPr>
              <w:spacing w:after="0"/>
              <w:jc w:val="center"/>
              <w:rPr>
                <w:rFonts w:eastAsia="Times New Roman" w:cs="Times New Roman"/>
                <w:i/>
                <w:iCs/>
                <w:sz w:val="16"/>
                <w:szCs w:val="16"/>
              </w:rPr>
            </w:pPr>
            <w:r w:rsidRPr="002737A9">
              <w:rPr>
                <w:rFonts w:eastAsia="Times New Roman" w:cs="Times New Roman"/>
                <w:i/>
                <w:iCs/>
                <w:sz w:val="16"/>
                <w:szCs w:val="16"/>
              </w:rPr>
              <w:t>%, year-on-year</w:t>
            </w:r>
          </w:p>
        </w:tc>
        <w:tc>
          <w:tcPr>
            <w:tcW w:w="1180" w:type="dxa"/>
            <w:tcBorders>
              <w:top w:val="nil"/>
              <w:left w:val="nil"/>
              <w:bottom w:val="double" w:sz="6"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w:t>
            </w:r>
          </w:p>
        </w:tc>
        <w:tc>
          <w:tcPr>
            <w:tcW w:w="1020" w:type="dxa"/>
            <w:tcBorders>
              <w:top w:val="nil"/>
              <w:left w:val="nil"/>
              <w:bottom w:val="double" w:sz="6"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w:t>
            </w:r>
          </w:p>
        </w:tc>
        <w:tc>
          <w:tcPr>
            <w:tcW w:w="1020" w:type="dxa"/>
            <w:tcBorders>
              <w:top w:val="nil"/>
              <w:left w:val="nil"/>
              <w:bottom w:val="double" w:sz="6"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w:t>
            </w:r>
          </w:p>
        </w:tc>
        <w:tc>
          <w:tcPr>
            <w:tcW w:w="1020" w:type="dxa"/>
            <w:tcBorders>
              <w:top w:val="nil"/>
              <w:left w:val="nil"/>
              <w:bottom w:val="double" w:sz="6" w:space="0" w:color="auto"/>
              <w:right w:val="dotted" w:sz="4"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w:t>
            </w:r>
          </w:p>
        </w:tc>
        <w:tc>
          <w:tcPr>
            <w:tcW w:w="1020" w:type="dxa"/>
            <w:tcBorders>
              <w:top w:val="nil"/>
              <w:left w:val="nil"/>
              <w:bottom w:val="double" w:sz="6" w:space="0" w:color="auto"/>
              <w:right w:val="double" w:sz="6" w:space="0" w:color="auto"/>
            </w:tcBorders>
            <w:shd w:val="clear" w:color="000000" w:fill="FFFFFF"/>
            <w:hideMark/>
          </w:tcPr>
          <w:p w:rsidR="002737A9" w:rsidRPr="002737A9" w:rsidRDefault="002737A9" w:rsidP="002737A9">
            <w:pPr>
              <w:spacing w:after="0"/>
              <w:jc w:val="center"/>
              <w:rPr>
                <w:rFonts w:eastAsia="Times New Roman" w:cs="Times New Roman"/>
                <w:i/>
                <w:iCs/>
                <w:sz w:val="20"/>
                <w:szCs w:val="20"/>
              </w:rPr>
            </w:pPr>
            <w:r w:rsidRPr="002737A9">
              <w:rPr>
                <w:rFonts w:eastAsia="Times New Roman" w:cs="Times New Roman"/>
                <w:i/>
                <w:iCs/>
                <w:sz w:val="20"/>
                <w:szCs w:val="20"/>
              </w:rPr>
              <w:t>:</w:t>
            </w:r>
          </w:p>
        </w:tc>
      </w:tr>
    </w:tbl>
    <w:p w:rsidR="002737A9" w:rsidRDefault="002737A9" w:rsidP="007A0CEC">
      <w:pPr>
        <w:spacing w:after="0"/>
        <w:jc w:val="left"/>
        <w:rPr>
          <w:rFonts w:cs="Times New Roman"/>
          <w:b/>
          <w:szCs w:val="24"/>
          <w:lang w:val="sr-Latn-RS"/>
        </w:rPr>
      </w:pPr>
    </w:p>
    <w:p w:rsidR="005260BD" w:rsidRDefault="005260BD" w:rsidP="005260BD">
      <w:pPr>
        <w:spacing w:after="0"/>
        <w:jc w:val="left"/>
        <w:rPr>
          <w:rFonts w:eastAsia="Times New Roman" w:cs="Times New Roman"/>
          <w:bCs/>
          <w:szCs w:val="24"/>
        </w:rPr>
      </w:pPr>
      <w:r w:rsidRPr="005260BD">
        <w:rPr>
          <w:rFonts w:eastAsia="Times New Roman" w:cs="Times New Roman"/>
          <w:bCs/>
          <w:szCs w:val="24"/>
        </w:rPr>
        <w:lastRenderedPageBreak/>
        <w:t xml:space="preserve">Table 1g: Sustainability indicators </w:t>
      </w:r>
    </w:p>
    <w:p w:rsidR="005260BD" w:rsidRDefault="005260BD" w:rsidP="005260BD">
      <w:pPr>
        <w:spacing w:after="0"/>
        <w:jc w:val="left"/>
        <w:rPr>
          <w:rFonts w:eastAsia="Times New Roman" w:cs="Times New Roman"/>
          <w:bCs/>
          <w:szCs w:val="24"/>
        </w:rPr>
      </w:pPr>
    </w:p>
    <w:p w:rsidR="005260BD" w:rsidRDefault="005260BD" w:rsidP="005260BD">
      <w:pPr>
        <w:spacing w:after="0"/>
        <w:jc w:val="left"/>
        <w:rPr>
          <w:rFonts w:asciiTheme="minorHAnsi" w:hAnsiTheme="minorHAnsi"/>
          <w:sz w:val="22"/>
        </w:rPr>
      </w:pPr>
      <w:r>
        <w:fldChar w:fldCharType="begin"/>
      </w:r>
      <w:r>
        <w:instrText xml:space="preserve"> LINK Excel.Sheet.12 "C:\\Users\\ognjen.jancic\\Dropbox\\Dropbox\\Makro sektor\\13. ERP 2026-2028\\ERP OBJEDINJENI\\engleska verzija\\engleska verzija za objavu\\ERP_Annex_tables_2026_XY.xlsx" "Tab1g-Sustainability!R4C2:R13C8" \a \f 4 \h </w:instrText>
      </w:r>
      <w:r>
        <w:fldChar w:fldCharType="separate"/>
      </w:r>
    </w:p>
    <w:tbl>
      <w:tblPr>
        <w:tblW w:w="9780" w:type="dxa"/>
        <w:tblLook w:val="04A0" w:firstRow="1" w:lastRow="0" w:firstColumn="1" w:lastColumn="0" w:noHBand="0" w:noVBand="1"/>
      </w:tblPr>
      <w:tblGrid>
        <w:gridCol w:w="3621"/>
        <w:gridCol w:w="1094"/>
        <w:gridCol w:w="1013"/>
        <w:gridCol w:w="1013"/>
        <w:gridCol w:w="1013"/>
        <w:gridCol w:w="1013"/>
        <w:gridCol w:w="1013"/>
      </w:tblGrid>
      <w:tr w:rsidR="005260BD" w:rsidRPr="005260BD" w:rsidTr="005260BD">
        <w:trPr>
          <w:trHeight w:val="320"/>
        </w:trPr>
        <w:tc>
          <w:tcPr>
            <w:tcW w:w="3660" w:type="dxa"/>
            <w:vMerge w:val="restart"/>
            <w:tcBorders>
              <w:top w:val="double" w:sz="6" w:space="0" w:color="auto"/>
              <w:left w:val="double" w:sz="6" w:space="0" w:color="auto"/>
              <w:bottom w:val="single" w:sz="8" w:space="0" w:color="000000"/>
              <w:right w:val="dotted" w:sz="4" w:space="0" w:color="auto"/>
            </w:tcBorders>
            <w:shd w:val="clear" w:color="000000" w:fill="FFFFFF"/>
            <w:vAlign w:val="bottom"/>
            <w:hideMark/>
          </w:tcPr>
          <w:p w:rsidR="005260BD" w:rsidRPr="005260BD" w:rsidRDefault="005260BD" w:rsidP="005260BD">
            <w:pPr>
              <w:spacing w:after="0"/>
              <w:jc w:val="left"/>
              <w:rPr>
                <w:rFonts w:eastAsia="Times New Roman" w:cs="Times New Roman"/>
                <w:sz w:val="20"/>
                <w:szCs w:val="20"/>
              </w:rPr>
            </w:pPr>
            <w:r w:rsidRPr="005260BD">
              <w:rPr>
                <w:rFonts w:eastAsia="Times New Roman" w:cs="Times New Roman"/>
                <w:sz w:val="20"/>
                <w:szCs w:val="20"/>
              </w:rPr>
              <w:t> </w:t>
            </w:r>
          </w:p>
        </w:tc>
        <w:tc>
          <w:tcPr>
            <w:tcW w:w="1020" w:type="dxa"/>
            <w:vMerge w:val="restart"/>
            <w:tcBorders>
              <w:top w:val="double" w:sz="6" w:space="0" w:color="auto"/>
              <w:left w:val="dotted" w:sz="4" w:space="0" w:color="auto"/>
              <w:bottom w:val="single" w:sz="8" w:space="0" w:color="000000"/>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Dimension</w:t>
            </w:r>
          </w:p>
        </w:tc>
        <w:tc>
          <w:tcPr>
            <w:tcW w:w="1020" w:type="dxa"/>
            <w:tcBorders>
              <w:top w:val="double" w:sz="6" w:space="0" w:color="auto"/>
              <w:left w:val="nil"/>
              <w:bottom w:val="nil"/>
              <w:right w:val="dotted" w:sz="4"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Year</w:t>
            </w:r>
          </w:p>
        </w:tc>
        <w:tc>
          <w:tcPr>
            <w:tcW w:w="1020" w:type="dxa"/>
            <w:tcBorders>
              <w:top w:val="double" w:sz="6" w:space="0" w:color="auto"/>
              <w:left w:val="nil"/>
              <w:bottom w:val="nil"/>
              <w:right w:val="dotted" w:sz="4"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Year</w:t>
            </w:r>
          </w:p>
        </w:tc>
        <w:tc>
          <w:tcPr>
            <w:tcW w:w="1020" w:type="dxa"/>
            <w:tcBorders>
              <w:top w:val="double" w:sz="6" w:space="0" w:color="auto"/>
              <w:left w:val="nil"/>
              <w:bottom w:val="nil"/>
              <w:right w:val="double" w:sz="6"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Year</w:t>
            </w:r>
          </w:p>
        </w:tc>
      </w:tr>
      <w:tr w:rsidR="005260BD" w:rsidRPr="005260BD" w:rsidTr="005260BD">
        <w:trPr>
          <w:trHeight w:val="320"/>
        </w:trPr>
        <w:tc>
          <w:tcPr>
            <w:tcW w:w="3660" w:type="dxa"/>
            <w:vMerge/>
            <w:tcBorders>
              <w:top w:val="double" w:sz="6" w:space="0" w:color="auto"/>
              <w:left w:val="double" w:sz="6" w:space="0" w:color="auto"/>
              <w:bottom w:val="single" w:sz="8" w:space="0" w:color="000000"/>
              <w:right w:val="dotted" w:sz="4" w:space="0" w:color="auto"/>
            </w:tcBorders>
            <w:vAlign w:val="center"/>
            <w:hideMark/>
          </w:tcPr>
          <w:p w:rsidR="005260BD" w:rsidRPr="005260BD" w:rsidRDefault="005260BD" w:rsidP="005260BD">
            <w:pPr>
              <w:spacing w:after="0"/>
              <w:jc w:val="left"/>
              <w:rPr>
                <w:rFonts w:eastAsia="Times New Roman" w:cs="Times New Roman"/>
                <w:sz w:val="20"/>
                <w:szCs w:val="20"/>
              </w:rPr>
            </w:pPr>
          </w:p>
        </w:tc>
        <w:tc>
          <w:tcPr>
            <w:tcW w:w="1020" w:type="dxa"/>
            <w:vMerge/>
            <w:tcBorders>
              <w:top w:val="double" w:sz="6" w:space="0" w:color="auto"/>
              <w:left w:val="dotted" w:sz="4" w:space="0" w:color="auto"/>
              <w:bottom w:val="single" w:sz="8" w:space="0" w:color="000000"/>
              <w:right w:val="single" w:sz="8" w:space="0" w:color="auto"/>
            </w:tcBorders>
            <w:vAlign w:val="center"/>
            <w:hideMark/>
          </w:tcPr>
          <w:p w:rsidR="005260BD" w:rsidRPr="005260BD" w:rsidRDefault="005260BD" w:rsidP="005260BD">
            <w:pPr>
              <w:spacing w:after="0"/>
              <w:jc w:val="left"/>
              <w:rPr>
                <w:rFonts w:eastAsia="Times New Roman" w:cs="Times New Roman"/>
                <w:sz w:val="20"/>
                <w:szCs w:val="20"/>
              </w:rPr>
            </w:pPr>
          </w:p>
        </w:tc>
        <w:tc>
          <w:tcPr>
            <w:tcW w:w="1020" w:type="dxa"/>
            <w:tcBorders>
              <w:top w:val="nil"/>
              <w:left w:val="nil"/>
              <w:bottom w:val="single" w:sz="8" w:space="0" w:color="000000"/>
              <w:right w:val="dotted" w:sz="4"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2021</w:t>
            </w:r>
          </w:p>
        </w:tc>
        <w:tc>
          <w:tcPr>
            <w:tcW w:w="1020" w:type="dxa"/>
            <w:tcBorders>
              <w:top w:val="nil"/>
              <w:left w:val="nil"/>
              <w:bottom w:val="single" w:sz="8" w:space="0" w:color="000000"/>
              <w:right w:val="dotted" w:sz="4"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2022</w:t>
            </w:r>
          </w:p>
        </w:tc>
        <w:tc>
          <w:tcPr>
            <w:tcW w:w="1020" w:type="dxa"/>
            <w:tcBorders>
              <w:top w:val="nil"/>
              <w:left w:val="nil"/>
              <w:bottom w:val="single" w:sz="8" w:space="0" w:color="000000"/>
              <w:right w:val="dotted" w:sz="4"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2023</w:t>
            </w:r>
          </w:p>
        </w:tc>
        <w:tc>
          <w:tcPr>
            <w:tcW w:w="1020" w:type="dxa"/>
            <w:tcBorders>
              <w:top w:val="nil"/>
              <w:left w:val="nil"/>
              <w:bottom w:val="single" w:sz="8" w:space="0" w:color="000000"/>
              <w:right w:val="dotted" w:sz="4"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2024</w:t>
            </w:r>
          </w:p>
        </w:tc>
        <w:tc>
          <w:tcPr>
            <w:tcW w:w="1020" w:type="dxa"/>
            <w:tcBorders>
              <w:top w:val="nil"/>
              <w:left w:val="nil"/>
              <w:bottom w:val="single" w:sz="8" w:space="0" w:color="000000"/>
              <w:right w:val="double" w:sz="6" w:space="0" w:color="auto"/>
            </w:tcBorders>
            <w:shd w:val="clear" w:color="000000" w:fill="FFFFFF"/>
            <w:vAlign w:val="bottom"/>
            <w:hideMark/>
          </w:tcPr>
          <w:p w:rsidR="005260BD" w:rsidRPr="005260BD" w:rsidRDefault="005260BD" w:rsidP="005260BD">
            <w:pPr>
              <w:spacing w:after="0"/>
              <w:jc w:val="center"/>
              <w:rPr>
                <w:rFonts w:eastAsia="Times New Roman" w:cs="Times New Roman"/>
                <w:sz w:val="20"/>
                <w:szCs w:val="20"/>
              </w:rPr>
            </w:pPr>
            <w:r w:rsidRPr="005260BD">
              <w:rPr>
                <w:rFonts w:eastAsia="Times New Roman" w:cs="Times New Roman"/>
                <w:sz w:val="20"/>
                <w:szCs w:val="20"/>
              </w:rPr>
              <w:t>2025</w:t>
            </w:r>
          </w:p>
        </w:tc>
      </w:tr>
      <w:tr w:rsidR="005260BD" w:rsidRPr="005260BD" w:rsidTr="005260BD">
        <w:trPr>
          <w:trHeight w:val="320"/>
        </w:trPr>
        <w:tc>
          <w:tcPr>
            <w:tcW w:w="3660" w:type="dxa"/>
            <w:tcBorders>
              <w:top w:val="nil"/>
              <w:left w:val="double" w:sz="6" w:space="0" w:color="auto"/>
              <w:bottom w:val="dotted" w:sz="4" w:space="0" w:color="auto"/>
              <w:right w:val="dotted" w:sz="4" w:space="0" w:color="auto"/>
            </w:tcBorders>
            <w:shd w:val="clear" w:color="000000" w:fill="FFFFFF"/>
            <w:hideMark/>
          </w:tcPr>
          <w:p w:rsidR="005260BD" w:rsidRPr="005260BD" w:rsidRDefault="005260BD" w:rsidP="005260BD">
            <w:pPr>
              <w:spacing w:after="0"/>
              <w:ind w:firstLineChars="100" w:firstLine="200"/>
              <w:jc w:val="left"/>
              <w:rPr>
                <w:rFonts w:eastAsia="Times New Roman" w:cs="Times New Roman"/>
                <w:sz w:val="20"/>
                <w:szCs w:val="20"/>
              </w:rPr>
            </w:pPr>
            <w:r w:rsidRPr="005260BD">
              <w:rPr>
                <w:rFonts w:eastAsia="Times New Roman" w:cs="Times New Roman"/>
                <w:sz w:val="20"/>
                <w:szCs w:val="20"/>
              </w:rPr>
              <w:t xml:space="preserve">1. Current Account Balance </w:t>
            </w:r>
          </w:p>
        </w:tc>
        <w:tc>
          <w:tcPr>
            <w:tcW w:w="1020" w:type="dxa"/>
            <w:tcBorders>
              <w:top w:val="nil"/>
              <w:left w:val="nil"/>
              <w:bottom w:val="dotted" w:sz="4" w:space="0" w:color="auto"/>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18"/>
                <w:szCs w:val="18"/>
              </w:rPr>
            </w:pPr>
            <w:r w:rsidRPr="005260BD">
              <w:rPr>
                <w:rFonts w:eastAsia="Times New Roman" w:cs="Times New Roman"/>
                <w:sz w:val="18"/>
                <w:szCs w:val="18"/>
              </w:rPr>
              <w:t>% of GDP</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-4.1</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-6.6</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-2.4</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-4.5</w:t>
            </w:r>
          </w:p>
        </w:tc>
        <w:tc>
          <w:tcPr>
            <w:tcW w:w="1020" w:type="dxa"/>
            <w:tcBorders>
              <w:top w:val="nil"/>
              <w:left w:val="nil"/>
              <w:bottom w:val="dotted" w:sz="4" w:space="0" w:color="auto"/>
              <w:right w:val="double" w:sz="6"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-5.0</w:t>
            </w:r>
          </w:p>
        </w:tc>
      </w:tr>
      <w:tr w:rsidR="005260BD" w:rsidRPr="005260BD" w:rsidTr="005260BD">
        <w:trPr>
          <w:trHeight w:val="320"/>
        </w:trPr>
        <w:tc>
          <w:tcPr>
            <w:tcW w:w="3660" w:type="dxa"/>
            <w:tcBorders>
              <w:top w:val="nil"/>
              <w:left w:val="double" w:sz="6" w:space="0" w:color="auto"/>
              <w:bottom w:val="dotted" w:sz="4" w:space="0" w:color="auto"/>
              <w:right w:val="dotted" w:sz="4" w:space="0" w:color="auto"/>
            </w:tcBorders>
            <w:shd w:val="clear" w:color="000000" w:fill="FFFFFF"/>
            <w:hideMark/>
          </w:tcPr>
          <w:p w:rsidR="005260BD" w:rsidRPr="005260BD" w:rsidRDefault="005260BD" w:rsidP="005260BD">
            <w:pPr>
              <w:spacing w:after="0"/>
              <w:ind w:firstLineChars="100" w:firstLine="200"/>
              <w:jc w:val="left"/>
              <w:rPr>
                <w:rFonts w:eastAsia="Times New Roman" w:cs="Times New Roman"/>
                <w:sz w:val="20"/>
                <w:szCs w:val="20"/>
              </w:rPr>
            </w:pPr>
            <w:r w:rsidRPr="005260BD">
              <w:rPr>
                <w:rFonts w:eastAsia="Times New Roman" w:cs="Times New Roman"/>
                <w:sz w:val="20"/>
                <w:szCs w:val="20"/>
              </w:rPr>
              <w:t>2. Net International Investment Position</w:t>
            </w:r>
            <w:r>
              <w:rPr>
                <w:rFonts w:eastAsia="Times New Roman" w:cs="Times New Roman"/>
                <w:sz w:val="20"/>
                <w:szCs w:val="20"/>
              </w:rPr>
              <w:t>[1]</w:t>
            </w:r>
          </w:p>
        </w:tc>
        <w:tc>
          <w:tcPr>
            <w:tcW w:w="1020" w:type="dxa"/>
            <w:tcBorders>
              <w:top w:val="nil"/>
              <w:left w:val="nil"/>
              <w:bottom w:val="dotted" w:sz="4" w:space="0" w:color="auto"/>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18"/>
                <w:szCs w:val="18"/>
              </w:rPr>
            </w:pPr>
            <w:r w:rsidRPr="005260BD">
              <w:rPr>
                <w:rFonts w:eastAsia="Times New Roman" w:cs="Times New Roman"/>
                <w:sz w:val="18"/>
                <w:szCs w:val="18"/>
              </w:rPr>
              <w:t>% of GDP</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-78.8</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-77.4</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-65.0</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-61.1</w:t>
            </w:r>
          </w:p>
        </w:tc>
        <w:tc>
          <w:tcPr>
            <w:tcW w:w="1020" w:type="dxa"/>
            <w:tcBorders>
              <w:top w:val="nil"/>
              <w:left w:val="nil"/>
              <w:bottom w:val="dotted" w:sz="4" w:space="0" w:color="auto"/>
              <w:right w:val="double" w:sz="6"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-58.9</w:t>
            </w:r>
          </w:p>
        </w:tc>
      </w:tr>
      <w:tr w:rsidR="005260BD" w:rsidRPr="005260BD" w:rsidTr="005260BD">
        <w:trPr>
          <w:trHeight w:val="320"/>
        </w:trPr>
        <w:tc>
          <w:tcPr>
            <w:tcW w:w="3660" w:type="dxa"/>
            <w:tcBorders>
              <w:top w:val="nil"/>
              <w:left w:val="double" w:sz="6" w:space="0" w:color="auto"/>
              <w:bottom w:val="dotted" w:sz="4" w:space="0" w:color="auto"/>
              <w:right w:val="dotted" w:sz="4" w:space="0" w:color="auto"/>
            </w:tcBorders>
            <w:shd w:val="clear" w:color="000000" w:fill="FFFFFF"/>
            <w:hideMark/>
          </w:tcPr>
          <w:p w:rsidR="005260BD" w:rsidRPr="005260BD" w:rsidRDefault="005260BD" w:rsidP="005260BD">
            <w:pPr>
              <w:spacing w:after="0"/>
              <w:ind w:firstLineChars="100" w:firstLine="200"/>
              <w:jc w:val="left"/>
              <w:rPr>
                <w:rFonts w:eastAsia="Times New Roman" w:cs="Times New Roman"/>
                <w:sz w:val="20"/>
                <w:szCs w:val="20"/>
              </w:rPr>
            </w:pPr>
            <w:r w:rsidRPr="005260BD">
              <w:rPr>
                <w:rFonts w:eastAsia="Times New Roman" w:cs="Times New Roman"/>
                <w:sz w:val="20"/>
                <w:szCs w:val="20"/>
              </w:rPr>
              <w:t>3. Export market shares</w:t>
            </w:r>
          </w:p>
        </w:tc>
        <w:tc>
          <w:tcPr>
            <w:tcW w:w="1020" w:type="dxa"/>
            <w:tcBorders>
              <w:top w:val="nil"/>
              <w:left w:val="nil"/>
              <w:bottom w:val="dotted" w:sz="4" w:space="0" w:color="auto"/>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18"/>
                <w:szCs w:val="18"/>
              </w:rPr>
            </w:pPr>
            <w:r w:rsidRPr="005260BD">
              <w:rPr>
                <w:rFonts w:eastAsia="Times New Roman" w:cs="Times New Roman"/>
                <w:sz w:val="18"/>
                <w:szCs w:val="18"/>
              </w:rPr>
              <w:t>%, yoy</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tted" w:sz="4" w:space="0" w:color="auto"/>
              <w:right w:val="double" w:sz="6"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r>
      <w:tr w:rsidR="005260BD" w:rsidRPr="005260BD" w:rsidTr="005260BD">
        <w:trPr>
          <w:trHeight w:val="320"/>
        </w:trPr>
        <w:tc>
          <w:tcPr>
            <w:tcW w:w="3660" w:type="dxa"/>
            <w:tcBorders>
              <w:top w:val="nil"/>
              <w:left w:val="double" w:sz="6" w:space="0" w:color="auto"/>
              <w:bottom w:val="dotted" w:sz="4" w:space="0" w:color="auto"/>
              <w:right w:val="dotted" w:sz="4" w:space="0" w:color="auto"/>
            </w:tcBorders>
            <w:shd w:val="clear" w:color="000000" w:fill="FFFFFF"/>
            <w:hideMark/>
          </w:tcPr>
          <w:p w:rsidR="005260BD" w:rsidRPr="005260BD" w:rsidRDefault="005260BD" w:rsidP="005260BD">
            <w:pPr>
              <w:spacing w:after="0"/>
              <w:ind w:firstLineChars="100" w:firstLine="200"/>
              <w:jc w:val="left"/>
              <w:rPr>
                <w:rFonts w:eastAsia="Times New Roman" w:cs="Times New Roman"/>
                <w:sz w:val="20"/>
                <w:szCs w:val="20"/>
              </w:rPr>
            </w:pPr>
            <w:r w:rsidRPr="005260BD">
              <w:rPr>
                <w:rFonts w:eastAsia="Times New Roman" w:cs="Times New Roman"/>
                <w:sz w:val="20"/>
                <w:szCs w:val="20"/>
              </w:rPr>
              <w:t xml:space="preserve">4. Real </w:t>
            </w:r>
            <w:r>
              <w:rPr>
                <w:rFonts w:eastAsia="Times New Roman" w:cs="Times New Roman"/>
                <w:sz w:val="20"/>
                <w:szCs w:val="20"/>
              </w:rPr>
              <w:t>Effective Exchange Rate [2</w:t>
            </w:r>
            <w:r w:rsidRPr="005260BD">
              <w:rPr>
                <w:rFonts w:eastAsia="Times New Roman" w:cs="Times New Roman"/>
                <w:sz w:val="20"/>
                <w:szCs w:val="20"/>
              </w:rPr>
              <w:t>]</w:t>
            </w:r>
          </w:p>
        </w:tc>
        <w:tc>
          <w:tcPr>
            <w:tcW w:w="1020" w:type="dxa"/>
            <w:tcBorders>
              <w:top w:val="nil"/>
              <w:left w:val="nil"/>
              <w:bottom w:val="dotted" w:sz="4" w:space="0" w:color="auto"/>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18"/>
                <w:szCs w:val="18"/>
              </w:rPr>
            </w:pPr>
            <w:r w:rsidRPr="005260BD">
              <w:rPr>
                <w:rFonts w:eastAsia="Times New Roman" w:cs="Times New Roman"/>
                <w:sz w:val="18"/>
                <w:szCs w:val="18"/>
              </w:rPr>
              <w:t>%, yoy</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1.8</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1.0</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7.7</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2.3</w:t>
            </w:r>
          </w:p>
        </w:tc>
        <w:tc>
          <w:tcPr>
            <w:tcW w:w="1020" w:type="dxa"/>
            <w:tcBorders>
              <w:top w:val="nil"/>
              <w:left w:val="nil"/>
              <w:bottom w:val="dotted" w:sz="4" w:space="0" w:color="auto"/>
              <w:right w:val="double" w:sz="6"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2.2</w:t>
            </w:r>
          </w:p>
        </w:tc>
      </w:tr>
      <w:tr w:rsidR="005260BD" w:rsidRPr="005260BD" w:rsidTr="005260BD">
        <w:trPr>
          <w:trHeight w:val="320"/>
        </w:trPr>
        <w:tc>
          <w:tcPr>
            <w:tcW w:w="3660" w:type="dxa"/>
            <w:tcBorders>
              <w:top w:val="nil"/>
              <w:left w:val="double" w:sz="6" w:space="0" w:color="auto"/>
              <w:bottom w:val="dotted" w:sz="4" w:space="0" w:color="auto"/>
              <w:right w:val="dotted" w:sz="4" w:space="0" w:color="auto"/>
            </w:tcBorders>
            <w:shd w:val="clear" w:color="000000" w:fill="FFFFFF"/>
            <w:hideMark/>
          </w:tcPr>
          <w:p w:rsidR="005260BD" w:rsidRPr="005260BD" w:rsidRDefault="005260BD" w:rsidP="005260BD">
            <w:pPr>
              <w:spacing w:after="0"/>
              <w:ind w:firstLineChars="100" w:firstLine="200"/>
              <w:jc w:val="left"/>
              <w:rPr>
                <w:rFonts w:eastAsia="Times New Roman" w:cs="Times New Roman"/>
                <w:sz w:val="20"/>
                <w:szCs w:val="20"/>
              </w:rPr>
            </w:pPr>
            <w:r w:rsidRPr="005260BD">
              <w:rPr>
                <w:rFonts w:eastAsia="Times New Roman" w:cs="Times New Roman"/>
                <w:sz w:val="20"/>
                <w:szCs w:val="20"/>
              </w:rPr>
              <w:t>5. Nominal Unit Labour Costs</w:t>
            </w:r>
          </w:p>
        </w:tc>
        <w:tc>
          <w:tcPr>
            <w:tcW w:w="1020" w:type="dxa"/>
            <w:tcBorders>
              <w:top w:val="nil"/>
              <w:left w:val="nil"/>
              <w:bottom w:val="dotted" w:sz="4" w:space="0" w:color="auto"/>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18"/>
                <w:szCs w:val="18"/>
              </w:rPr>
            </w:pPr>
            <w:r w:rsidRPr="005260BD">
              <w:rPr>
                <w:rFonts w:eastAsia="Times New Roman" w:cs="Times New Roman"/>
                <w:sz w:val="18"/>
                <w:szCs w:val="18"/>
              </w:rPr>
              <w:t>%, yoy</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tted" w:sz="4" w:space="0" w:color="auto"/>
              <w:right w:val="double" w:sz="6"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r>
      <w:tr w:rsidR="005260BD" w:rsidRPr="005260BD" w:rsidTr="005260BD">
        <w:trPr>
          <w:trHeight w:val="320"/>
        </w:trPr>
        <w:tc>
          <w:tcPr>
            <w:tcW w:w="3660" w:type="dxa"/>
            <w:tcBorders>
              <w:top w:val="nil"/>
              <w:left w:val="double" w:sz="6" w:space="0" w:color="auto"/>
              <w:bottom w:val="dotted" w:sz="4" w:space="0" w:color="auto"/>
              <w:right w:val="dotted" w:sz="4" w:space="0" w:color="auto"/>
            </w:tcBorders>
            <w:shd w:val="clear" w:color="000000" w:fill="FFFFFF"/>
            <w:hideMark/>
          </w:tcPr>
          <w:p w:rsidR="005260BD" w:rsidRPr="005260BD" w:rsidRDefault="005260BD" w:rsidP="005260BD">
            <w:pPr>
              <w:spacing w:after="0"/>
              <w:ind w:firstLineChars="100" w:firstLine="200"/>
              <w:jc w:val="left"/>
              <w:rPr>
                <w:rFonts w:eastAsia="Times New Roman" w:cs="Times New Roman"/>
                <w:sz w:val="20"/>
                <w:szCs w:val="20"/>
              </w:rPr>
            </w:pPr>
            <w:r w:rsidRPr="005260BD">
              <w:rPr>
                <w:rFonts w:eastAsia="Times New Roman" w:cs="Times New Roman"/>
                <w:sz w:val="20"/>
                <w:szCs w:val="20"/>
              </w:rPr>
              <w:t>6. Private sector credit flow</w:t>
            </w:r>
            <w:r>
              <w:rPr>
                <w:rFonts w:eastAsia="Times New Roman" w:cs="Times New Roman"/>
                <w:sz w:val="20"/>
                <w:szCs w:val="20"/>
              </w:rPr>
              <w:t>[2]</w:t>
            </w:r>
          </w:p>
        </w:tc>
        <w:tc>
          <w:tcPr>
            <w:tcW w:w="1020" w:type="dxa"/>
            <w:tcBorders>
              <w:top w:val="nil"/>
              <w:left w:val="nil"/>
              <w:bottom w:val="dotted" w:sz="4" w:space="0" w:color="auto"/>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18"/>
                <w:szCs w:val="18"/>
              </w:rPr>
            </w:pPr>
            <w:r w:rsidRPr="005260BD">
              <w:rPr>
                <w:rFonts w:eastAsia="Times New Roman" w:cs="Times New Roman"/>
                <w:sz w:val="18"/>
                <w:szCs w:val="18"/>
              </w:rPr>
              <w:t>% of GDP</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2.3</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1.3</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0.4</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2.2</w:t>
            </w:r>
          </w:p>
        </w:tc>
        <w:tc>
          <w:tcPr>
            <w:tcW w:w="1020" w:type="dxa"/>
            <w:tcBorders>
              <w:top w:val="nil"/>
              <w:left w:val="nil"/>
              <w:bottom w:val="dotted" w:sz="4" w:space="0" w:color="auto"/>
              <w:right w:val="double" w:sz="6"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2.7</w:t>
            </w:r>
          </w:p>
        </w:tc>
      </w:tr>
      <w:tr w:rsidR="005260BD" w:rsidRPr="005260BD" w:rsidTr="005260BD">
        <w:trPr>
          <w:trHeight w:val="320"/>
        </w:trPr>
        <w:tc>
          <w:tcPr>
            <w:tcW w:w="3660" w:type="dxa"/>
            <w:tcBorders>
              <w:top w:val="nil"/>
              <w:left w:val="double" w:sz="6" w:space="0" w:color="auto"/>
              <w:bottom w:val="dotted" w:sz="4" w:space="0" w:color="auto"/>
              <w:right w:val="dotted" w:sz="4" w:space="0" w:color="auto"/>
            </w:tcBorders>
            <w:shd w:val="clear" w:color="000000" w:fill="FFFFFF"/>
            <w:hideMark/>
          </w:tcPr>
          <w:p w:rsidR="005260BD" w:rsidRPr="005260BD" w:rsidRDefault="005260BD" w:rsidP="005260BD">
            <w:pPr>
              <w:spacing w:after="0"/>
              <w:ind w:firstLineChars="100" w:firstLine="200"/>
              <w:jc w:val="left"/>
              <w:rPr>
                <w:rFonts w:eastAsia="Times New Roman" w:cs="Times New Roman"/>
                <w:sz w:val="20"/>
                <w:szCs w:val="20"/>
              </w:rPr>
            </w:pPr>
            <w:r w:rsidRPr="005260BD">
              <w:rPr>
                <w:rFonts w:eastAsia="Times New Roman" w:cs="Times New Roman"/>
                <w:sz w:val="20"/>
                <w:szCs w:val="20"/>
              </w:rPr>
              <w:t>7. Private sector debt</w:t>
            </w:r>
            <w:r>
              <w:rPr>
                <w:rFonts w:eastAsia="Times New Roman" w:cs="Times New Roman"/>
                <w:sz w:val="20"/>
                <w:szCs w:val="20"/>
              </w:rPr>
              <w:t>[3]</w:t>
            </w:r>
          </w:p>
        </w:tc>
        <w:tc>
          <w:tcPr>
            <w:tcW w:w="1020" w:type="dxa"/>
            <w:tcBorders>
              <w:top w:val="nil"/>
              <w:left w:val="nil"/>
              <w:bottom w:val="dotted" w:sz="4" w:space="0" w:color="auto"/>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18"/>
                <w:szCs w:val="18"/>
              </w:rPr>
            </w:pPr>
            <w:r w:rsidRPr="005260BD">
              <w:rPr>
                <w:rFonts w:eastAsia="Times New Roman" w:cs="Times New Roman"/>
                <w:sz w:val="18"/>
                <w:szCs w:val="18"/>
              </w:rPr>
              <w:t>% of GDP</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41.2</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38.2</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32.9</w:t>
            </w:r>
          </w:p>
        </w:tc>
        <w:tc>
          <w:tcPr>
            <w:tcW w:w="1020" w:type="dxa"/>
            <w:tcBorders>
              <w:top w:val="nil"/>
              <w:left w:val="nil"/>
              <w:bottom w:val="dotted" w:sz="4"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32.5</w:t>
            </w:r>
          </w:p>
        </w:tc>
        <w:tc>
          <w:tcPr>
            <w:tcW w:w="1020" w:type="dxa"/>
            <w:tcBorders>
              <w:top w:val="nil"/>
              <w:left w:val="nil"/>
              <w:bottom w:val="dotted" w:sz="4" w:space="0" w:color="auto"/>
              <w:right w:val="double" w:sz="6"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33.8</w:t>
            </w:r>
          </w:p>
        </w:tc>
      </w:tr>
      <w:tr w:rsidR="005260BD" w:rsidRPr="005260BD" w:rsidTr="005260BD">
        <w:trPr>
          <w:trHeight w:val="320"/>
        </w:trPr>
        <w:tc>
          <w:tcPr>
            <w:tcW w:w="3660" w:type="dxa"/>
            <w:tcBorders>
              <w:top w:val="nil"/>
              <w:left w:val="double" w:sz="6" w:space="0" w:color="auto"/>
              <w:bottom w:val="double" w:sz="6" w:space="0" w:color="auto"/>
              <w:right w:val="dotted" w:sz="4" w:space="0" w:color="auto"/>
            </w:tcBorders>
            <w:shd w:val="clear" w:color="000000" w:fill="FFFFFF"/>
            <w:hideMark/>
          </w:tcPr>
          <w:p w:rsidR="005260BD" w:rsidRPr="005260BD" w:rsidRDefault="005260BD" w:rsidP="005260BD">
            <w:pPr>
              <w:spacing w:after="0"/>
              <w:ind w:firstLineChars="100" w:firstLine="200"/>
              <w:jc w:val="left"/>
              <w:rPr>
                <w:rFonts w:eastAsia="Times New Roman" w:cs="Times New Roman"/>
                <w:sz w:val="20"/>
                <w:szCs w:val="20"/>
              </w:rPr>
            </w:pPr>
            <w:r w:rsidRPr="005260BD">
              <w:rPr>
                <w:rFonts w:eastAsia="Times New Roman" w:cs="Times New Roman"/>
                <w:sz w:val="20"/>
                <w:szCs w:val="20"/>
              </w:rPr>
              <w:t>8. General Government Debt</w:t>
            </w:r>
          </w:p>
        </w:tc>
        <w:tc>
          <w:tcPr>
            <w:tcW w:w="1020" w:type="dxa"/>
            <w:tcBorders>
              <w:top w:val="nil"/>
              <w:left w:val="nil"/>
              <w:bottom w:val="double" w:sz="6" w:space="0" w:color="auto"/>
              <w:right w:val="single" w:sz="8" w:space="0" w:color="auto"/>
            </w:tcBorders>
            <w:shd w:val="clear" w:color="000000" w:fill="FFFFFF"/>
            <w:hideMark/>
          </w:tcPr>
          <w:p w:rsidR="005260BD" w:rsidRPr="005260BD" w:rsidRDefault="005260BD" w:rsidP="005260BD">
            <w:pPr>
              <w:spacing w:after="0"/>
              <w:jc w:val="center"/>
              <w:rPr>
                <w:rFonts w:eastAsia="Times New Roman" w:cs="Times New Roman"/>
                <w:sz w:val="18"/>
                <w:szCs w:val="18"/>
              </w:rPr>
            </w:pPr>
            <w:r w:rsidRPr="005260BD">
              <w:rPr>
                <w:rFonts w:eastAsia="Times New Roman" w:cs="Times New Roman"/>
                <w:sz w:val="18"/>
                <w:szCs w:val="18"/>
              </w:rPr>
              <w:t>% of GDP</w:t>
            </w:r>
          </w:p>
        </w:tc>
        <w:tc>
          <w:tcPr>
            <w:tcW w:w="1020" w:type="dxa"/>
            <w:tcBorders>
              <w:top w:val="nil"/>
              <w:left w:val="nil"/>
              <w:bottom w:val="double" w:sz="6"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uble" w:sz="6" w:space="0" w:color="auto"/>
              <w:right w:val="dotted" w:sz="4" w:space="0" w:color="auto"/>
            </w:tcBorders>
            <w:shd w:val="clear" w:color="000000" w:fill="FFFFFF"/>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w:t>
            </w:r>
          </w:p>
        </w:tc>
        <w:tc>
          <w:tcPr>
            <w:tcW w:w="1020" w:type="dxa"/>
            <w:tcBorders>
              <w:top w:val="nil"/>
              <w:left w:val="nil"/>
              <w:bottom w:val="double" w:sz="6" w:space="0" w:color="auto"/>
              <w:right w:val="dotted" w:sz="4" w:space="0" w:color="auto"/>
            </w:tcBorders>
            <w:shd w:val="clear" w:color="auto" w:fill="auto"/>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55.9</w:t>
            </w:r>
          </w:p>
        </w:tc>
        <w:tc>
          <w:tcPr>
            <w:tcW w:w="1020" w:type="dxa"/>
            <w:tcBorders>
              <w:top w:val="nil"/>
              <w:left w:val="nil"/>
              <w:bottom w:val="double" w:sz="6" w:space="0" w:color="auto"/>
              <w:right w:val="dotted" w:sz="4" w:space="0" w:color="auto"/>
            </w:tcBorders>
            <w:shd w:val="clear" w:color="auto" w:fill="auto"/>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54.6</w:t>
            </w:r>
          </w:p>
        </w:tc>
        <w:tc>
          <w:tcPr>
            <w:tcW w:w="1020" w:type="dxa"/>
            <w:tcBorders>
              <w:top w:val="nil"/>
              <w:left w:val="nil"/>
              <w:bottom w:val="double" w:sz="6" w:space="0" w:color="auto"/>
              <w:right w:val="double" w:sz="6" w:space="0" w:color="auto"/>
            </w:tcBorders>
            <w:shd w:val="clear" w:color="auto" w:fill="auto"/>
            <w:vAlign w:val="center"/>
            <w:hideMark/>
          </w:tcPr>
          <w:p w:rsidR="005260BD" w:rsidRPr="005260BD" w:rsidRDefault="005260BD" w:rsidP="005260BD">
            <w:pPr>
              <w:spacing w:after="0"/>
              <w:jc w:val="right"/>
              <w:rPr>
                <w:rFonts w:eastAsia="Times New Roman" w:cs="Times New Roman"/>
                <w:sz w:val="20"/>
                <w:szCs w:val="20"/>
              </w:rPr>
            </w:pPr>
            <w:r w:rsidRPr="005260BD">
              <w:rPr>
                <w:rFonts w:eastAsia="Times New Roman" w:cs="Times New Roman"/>
                <w:sz w:val="20"/>
                <w:szCs w:val="20"/>
              </w:rPr>
              <w:t>54.4</w:t>
            </w:r>
          </w:p>
        </w:tc>
      </w:tr>
    </w:tbl>
    <w:p w:rsidR="005260BD" w:rsidRPr="005260BD" w:rsidRDefault="005260BD" w:rsidP="005260BD">
      <w:pPr>
        <w:spacing w:after="0"/>
        <w:jc w:val="left"/>
        <w:rPr>
          <w:rFonts w:eastAsia="Times New Roman" w:cs="Times New Roman"/>
          <w:bCs/>
          <w:szCs w:val="24"/>
        </w:rPr>
      </w:pPr>
      <w:r>
        <w:rPr>
          <w:rFonts w:eastAsia="Times New Roman" w:cs="Times New Roman"/>
          <w:bCs/>
          <w:szCs w:val="24"/>
        </w:rPr>
        <w:fldChar w:fldCharType="end"/>
      </w:r>
    </w:p>
    <w:p w:rsidR="005260BD" w:rsidRPr="007A0CEC" w:rsidRDefault="005260BD" w:rsidP="005260BD">
      <w:pPr>
        <w:spacing w:after="0"/>
        <w:jc w:val="left"/>
        <w:rPr>
          <w:rFonts w:eastAsia="Times New Roman" w:cs="Times New Roman"/>
          <w:sz w:val="16"/>
          <w:szCs w:val="16"/>
          <w:lang w:val="sr-Latn-RS"/>
        </w:rPr>
      </w:pPr>
      <w:r w:rsidRPr="007A0CEC">
        <w:rPr>
          <w:rFonts w:eastAsia="Times New Roman" w:cs="Times New Roman"/>
          <w:sz w:val="16"/>
          <w:szCs w:val="16"/>
        </w:rPr>
        <w:t>[1]</w:t>
      </w:r>
      <w:r>
        <w:rPr>
          <w:rFonts w:eastAsia="Times New Roman" w:cs="Times New Roman"/>
          <w:sz w:val="16"/>
          <w:szCs w:val="16"/>
        </w:rPr>
        <w:t>J</w:t>
      </w:r>
      <w:r>
        <w:rPr>
          <w:rFonts w:eastAsia="Times New Roman" w:cs="Times New Roman"/>
          <w:sz w:val="16"/>
          <w:szCs w:val="16"/>
          <w:lang w:val="sr-Latn-RS"/>
        </w:rPr>
        <w:t>une</w:t>
      </w:r>
    </w:p>
    <w:p w:rsidR="005260BD" w:rsidRPr="007A0CEC" w:rsidRDefault="005260BD" w:rsidP="005260BD">
      <w:pPr>
        <w:spacing w:after="0"/>
        <w:jc w:val="left"/>
        <w:rPr>
          <w:rFonts w:eastAsia="Times New Roman" w:cs="Times New Roman"/>
          <w:sz w:val="16"/>
          <w:szCs w:val="16"/>
        </w:rPr>
      </w:pPr>
      <w:r w:rsidRPr="007A0CEC">
        <w:rPr>
          <w:rFonts w:eastAsia="Times New Roman" w:cs="Times New Roman"/>
          <w:sz w:val="16"/>
          <w:szCs w:val="16"/>
        </w:rPr>
        <w:t>[2]</w:t>
      </w:r>
      <w:r>
        <w:rPr>
          <w:rFonts w:eastAsia="Times New Roman" w:cs="Times New Roman"/>
          <w:sz w:val="16"/>
          <w:szCs w:val="16"/>
        </w:rPr>
        <w:t>Janury-September 2025</w:t>
      </w:r>
    </w:p>
    <w:p w:rsidR="005260BD" w:rsidRPr="007A0CEC" w:rsidRDefault="005260BD" w:rsidP="005260BD">
      <w:pPr>
        <w:spacing w:after="0"/>
        <w:jc w:val="left"/>
        <w:rPr>
          <w:rFonts w:eastAsia="Times New Roman" w:cs="Times New Roman"/>
          <w:sz w:val="16"/>
          <w:szCs w:val="16"/>
        </w:rPr>
      </w:pPr>
      <w:r w:rsidRPr="007A0CEC">
        <w:rPr>
          <w:rFonts w:eastAsia="Times New Roman" w:cs="Times New Roman"/>
          <w:sz w:val="16"/>
          <w:szCs w:val="16"/>
        </w:rPr>
        <w:t>[3]</w:t>
      </w:r>
      <w:r>
        <w:rPr>
          <w:rFonts w:eastAsia="Times New Roman" w:cs="Times New Roman"/>
          <w:sz w:val="16"/>
          <w:szCs w:val="16"/>
        </w:rPr>
        <w:t>end-September 2025</w:t>
      </w: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b/>
          <w:szCs w:val="24"/>
          <w:lang w:val="sr-Latn-RS"/>
        </w:rPr>
      </w:pPr>
    </w:p>
    <w:p w:rsidR="00704BDC" w:rsidRDefault="00704BDC" w:rsidP="007A0CEC">
      <w:pPr>
        <w:spacing w:after="0"/>
        <w:jc w:val="left"/>
        <w:rPr>
          <w:rFonts w:cs="Times New Roman"/>
          <w:szCs w:val="24"/>
          <w:lang w:val="sr-Latn-RS"/>
        </w:rPr>
      </w:pPr>
      <w:r w:rsidRPr="00704BDC">
        <w:rPr>
          <w:rFonts w:cs="Times New Roman"/>
          <w:szCs w:val="24"/>
          <w:lang w:val="sr-Latn-RS"/>
        </w:rPr>
        <w:lastRenderedPageBreak/>
        <w:t>Table 2a + 2b:  General government budgetary prospects</w:t>
      </w:r>
    </w:p>
    <w:p w:rsidR="00704BDC" w:rsidRDefault="00704BDC"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"data!R97C2:R131C9" \a \f 4 \h </w:instrText>
      </w:r>
      <w:r w:rsidR="00C034F6">
        <w:rPr>
          <w:lang w:val="sr-Latn-RS"/>
        </w:rPr>
        <w:instrText xml:space="preserve"> \* MERGEFORMAT </w:instrText>
      </w:r>
      <w:r>
        <w:rPr>
          <w:lang w:val="sr-Latn-RS"/>
        </w:rPr>
        <w:fldChar w:fldCharType="separate"/>
      </w:r>
    </w:p>
    <w:tbl>
      <w:tblPr>
        <w:tblW w:w="13865" w:type="dxa"/>
        <w:tblLook w:val="04A0" w:firstRow="1" w:lastRow="0" w:firstColumn="1" w:lastColumn="0" w:noHBand="0" w:noVBand="1"/>
      </w:tblPr>
      <w:tblGrid>
        <w:gridCol w:w="5015"/>
        <w:gridCol w:w="1244"/>
        <w:gridCol w:w="1695"/>
        <w:gridCol w:w="1193"/>
        <w:gridCol w:w="1244"/>
        <w:gridCol w:w="1158"/>
        <w:gridCol w:w="1158"/>
        <w:gridCol w:w="1158"/>
      </w:tblGrid>
      <w:tr w:rsidR="00704BDC" w:rsidRPr="00704BDC" w:rsidTr="00C034F6">
        <w:trPr>
          <w:trHeight w:val="256"/>
          <w:tblHeader/>
        </w:trPr>
        <w:tc>
          <w:tcPr>
            <w:tcW w:w="5015" w:type="dxa"/>
            <w:tcBorders>
              <w:top w:val="double" w:sz="6" w:space="0" w:color="auto"/>
              <w:left w:val="double" w:sz="6" w:space="0" w:color="auto"/>
              <w:bottom w:val="double" w:sz="6" w:space="0" w:color="auto"/>
              <w:right w:val="nil"/>
            </w:tcBorders>
            <w:shd w:val="clear" w:color="auto" w:fill="auto"/>
            <w:noWrap/>
            <w:vAlign w:val="center"/>
            <w:hideMark/>
          </w:tcPr>
          <w:p w:rsidR="00704BDC" w:rsidRPr="00704BDC" w:rsidRDefault="00704BDC" w:rsidP="00704BDC">
            <w:pPr>
              <w:spacing w:after="0"/>
              <w:jc w:val="left"/>
              <w:rPr>
                <w:rFonts w:eastAsia="Times New Roman" w:cs="Times New Roman"/>
                <w:b/>
                <w:bCs/>
                <w:sz w:val="20"/>
                <w:szCs w:val="20"/>
              </w:rPr>
            </w:pPr>
            <w:r w:rsidRPr="00704BDC">
              <w:rPr>
                <w:rFonts w:eastAsia="Times New Roman" w:cs="Times New Roman"/>
                <w:b/>
                <w:bCs/>
                <w:sz w:val="20"/>
                <w:szCs w:val="20"/>
              </w:rPr>
              <w:t>Table 2a + 2b:  General government budgetary prospects</w:t>
            </w:r>
          </w:p>
        </w:tc>
        <w:tc>
          <w:tcPr>
            <w:tcW w:w="1244"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rsidR="00704BDC" w:rsidRPr="00704BDC" w:rsidRDefault="00704BDC" w:rsidP="00704BDC">
            <w:pPr>
              <w:spacing w:after="0"/>
              <w:jc w:val="center"/>
              <w:rPr>
                <w:rFonts w:eastAsia="Times New Roman" w:cs="Times New Roman"/>
                <w:b/>
                <w:bCs/>
                <w:sz w:val="20"/>
                <w:szCs w:val="20"/>
              </w:rPr>
            </w:pPr>
            <w:r w:rsidRPr="00704BDC">
              <w:rPr>
                <w:rFonts w:eastAsia="Times New Roman" w:cs="Times New Roman"/>
                <w:b/>
                <w:bCs/>
                <w:sz w:val="20"/>
                <w:szCs w:val="20"/>
              </w:rPr>
              <w:t>bn NCU</w:t>
            </w:r>
          </w:p>
        </w:tc>
        <w:tc>
          <w:tcPr>
            <w:tcW w:w="1695" w:type="dxa"/>
            <w:tcBorders>
              <w:top w:val="double" w:sz="6" w:space="0" w:color="auto"/>
              <w:left w:val="nil"/>
              <w:bottom w:val="double" w:sz="6" w:space="0" w:color="auto"/>
              <w:right w:val="dashed" w:sz="4" w:space="0" w:color="auto"/>
            </w:tcBorders>
            <w:shd w:val="clear" w:color="auto" w:fill="auto"/>
            <w:noWrap/>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2023</w:t>
            </w:r>
          </w:p>
        </w:tc>
        <w:tc>
          <w:tcPr>
            <w:tcW w:w="1193" w:type="dxa"/>
            <w:tcBorders>
              <w:top w:val="double" w:sz="6" w:space="0" w:color="auto"/>
              <w:left w:val="nil"/>
              <w:bottom w:val="double" w:sz="6" w:space="0" w:color="auto"/>
              <w:right w:val="dashed" w:sz="4" w:space="0" w:color="auto"/>
            </w:tcBorders>
            <w:shd w:val="clear" w:color="auto" w:fill="auto"/>
            <w:noWrap/>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2024</w:t>
            </w:r>
          </w:p>
        </w:tc>
        <w:tc>
          <w:tcPr>
            <w:tcW w:w="1244" w:type="dxa"/>
            <w:tcBorders>
              <w:top w:val="double" w:sz="6" w:space="0" w:color="auto"/>
              <w:left w:val="nil"/>
              <w:bottom w:val="double" w:sz="6" w:space="0" w:color="auto"/>
              <w:right w:val="dashed" w:sz="4" w:space="0" w:color="auto"/>
            </w:tcBorders>
            <w:shd w:val="clear" w:color="auto" w:fill="auto"/>
            <w:noWrap/>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2025</w:t>
            </w:r>
          </w:p>
        </w:tc>
        <w:tc>
          <w:tcPr>
            <w:tcW w:w="1158" w:type="dxa"/>
            <w:tcBorders>
              <w:top w:val="double" w:sz="6" w:space="0" w:color="auto"/>
              <w:left w:val="nil"/>
              <w:bottom w:val="double" w:sz="6" w:space="0" w:color="auto"/>
              <w:right w:val="dashed" w:sz="4" w:space="0" w:color="auto"/>
            </w:tcBorders>
            <w:shd w:val="clear" w:color="auto" w:fill="auto"/>
            <w:noWrap/>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2026</w:t>
            </w:r>
          </w:p>
        </w:tc>
        <w:tc>
          <w:tcPr>
            <w:tcW w:w="1158" w:type="dxa"/>
            <w:tcBorders>
              <w:top w:val="double" w:sz="6" w:space="0" w:color="auto"/>
              <w:left w:val="nil"/>
              <w:bottom w:val="double" w:sz="6" w:space="0" w:color="auto"/>
              <w:right w:val="dashed" w:sz="4" w:space="0" w:color="auto"/>
            </w:tcBorders>
            <w:shd w:val="clear" w:color="auto" w:fill="auto"/>
            <w:noWrap/>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2027</w:t>
            </w:r>
          </w:p>
        </w:tc>
        <w:tc>
          <w:tcPr>
            <w:tcW w:w="1158" w:type="dxa"/>
            <w:tcBorders>
              <w:top w:val="double" w:sz="6" w:space="0" w:color="auto"/>
              <w:left w:val="nil"/>
              <w:bottom w:val="double" w:sz="6" w:space="0" w:color="auto"/>
              <w:right w:val="double" w:sz="6" w:space="0" w:color="auto"/>
            </w:tcBorders>
            <w:shd w:val="clear" w:color="auto" w:fill="auto"/>
            <w:noWrap/>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2028</w:t>
            </w:r>
          </w:p>
        </w:tc>
      </w:tr>
      <w:tr w:rsidR="00704BDC" w:rsidRPr="00704BDC" w:rsidTr="00C034F6">
        <w:trPr>
          <w:trHeight w:val="248"/>
        </w:trPr>
        <w:tc>
          <w:tcPr>
            <w:tcW w:w="5015" w:type="dxa"/>
            <w:tcBorders>
              <w:top w:val="nil"/>
              <w:left w:val="double" w:sz="6" w:space="0" w:color="auto"/>
              <w:bottom w:val="single"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b/>
                <w:bCs/>
                <w:sz w:val="20"/>
                <w:szCs w:val="20"/>
              </w:rPr>
            </w:pPr>
            <w:r w:rsidRPr="00704BDC">
              <w:rPr>
                <w:rFonts w:eastAsia="Times New Roman" w:cs="Times New Roman"/>
                <w:b/>
                <w:bCs/>
                <w:sz w:val="20"/>
                <w:szCs w:val="20"/>
              </w:rPr>
              <w:t>Net lending (B9) by sub-sectors</w:t>
            </w:r>
          </w:p>
        </w:tc>
        <w:tc>
          <w:tcPr>
            <w:tcW w:w="1244" w:type="dxa"/>
            <w:tcBorders>
              <w:top w:val="nil"/>
              <w:left w:val="single" w:sz="8" w:space="0" w:color="auto"/>
              <w:bottom w:val="single"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b/>
                <w:bCs/>
                <w:sz w:val="20"/>
                <w:szCs w:val="20"/>
              </w:rPr>
            </w:pPr>
            <w:r w:rsidRPr="00704BDC">
              <w:rPr>
                <w:rFonts w:eastAsia="Times New Roman" w:cs="Times New Roman"/>
                <w:b/>
                <w:bCs/>
                <w:sz w:val="20"/>
                <w:szCs w:val="20"/>
              </w:rPr>
              <w:t> </w:t>
            </w:r>
          </w:p>
        </w:tc>
        <w:tc>
          <w:tcPr>
            <w:tcW w:w="1695"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93"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244"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 xml:space="preserve">1. General government </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S13</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-181.1</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-191.9</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-313.9</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-337.0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-366.0</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-322.0</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2. Central government</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S1311</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-177.2</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-212.1</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-313.9</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-337.0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-366.0</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-322.0</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3. State government</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S1312</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4. Local government</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S1313</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-8.9</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9.3</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0.0</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0.0</w:t>
            </w:r>
          </w:p>
        </w:tc>
      </w:tr>
      <w:tr w:rsidR="00704BDC" w:rsidRPr="00704BDC" w:rsidTr="00C034F6">
        <w:trPr>
          <w:trHeight w:val="248"/>
        </w:trPr>
        <w:tc>
          <w:tcPr>
            <w:tcW w:w="5015" w:type="dxa"/>
            <w:tcBorders>
              <w:top w:val="nil"/>
              <w:left w:val="double" w:sz="6" w:space="0" w:color="auto"/>
              <w:bottom w:val="single"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5. Social security funds</w:t>
            </w:r>
          </w:p>
        </w:tc>
        <w:tc>
          <w:tcPr>
            <w:tcW w:w="1244" w:type="dxa"/>
            <w:tcBorders>
              <w:top w:val="nil"/>
              <w:left w:val="single" w:sz="8" w:space="0" w:color="auto"/>
              <w:bottom w:val="single"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S1314</w:t>
            </w:r>
          </w:p>
        </w:tc>
        <w:tc>
          <w:tcPr>
            <w:tcW w:w="1695"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5.0</w:t>
            </w:r>
          </w:p>
        </w:tc>
        <w:tc>
          <w:tcPr>
            <w:tcW w:w="1193"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10.9</w:t>
            </w:r>
          </w:p>
        </w:tc>
        <w:tc>
          <w:tcPr>
            <w:tcW w:w="1244"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0.0</w:t>
            </w:r>
          </w:p>
        </w:tc>
        <w:tc>
          <w:tcPr>
            <w:tcW w:w="1158"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0.0</w:t>
            </w:r>
          </w:p>
        </w:tc>
        <w:tc>
          <w:tcPr>
            <w:tcW w:w="1158"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0.0</w:t>
            </w:r>
          </w:p>
        </w:tc>
        <w:tc>
          <w:tcPr>
            <w:tcW w:w="1158" w:type="dxa"/>
            <w:tcBorders>
              <w:top w:val="nil"/>
              <w:left w:val="nil"/>
              <w:bottom w:val="single"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0.0</w:t>
            </w:r>
          </w:p>
        </w:tc>
      </w:tr>
      <w:tr w:rsidR="00704BDC" w:rsidRPr="00704BDC" w:rsidTr="00C034F6">
        <w:trPr>
          <w:trHeight w:val="240"/>
        </w:trPr>
        <w:tc>
          <w:tcPr>
            <w:tcW w:w="5015" w:type="dxa"/>
            <w:tcBorders>
              <w:top w:val="nil"/>
              <w:left w:val="double" w:sz="6" w:space="0" w:color="auto"/>
              <w:bottom w:val="single"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b/>
                <w:bCs/>
                <w:sz w:val="20"/>
                <w:szCs w:val="20"/>
              </w:rPr>
            </w:pPr>
            <w:r w:rsidRPr="00704BDC">
              <w:rPr>
                <w:rFonts w:eastAsia="Times New Roman" w:cs="Times New Roman"/>
                <w:b/>
                <w:bCs/>
                <w:sz w:val="20"/>
                <w:szCs w:val="20"/>
              </w:rPr>
              <w:t>General government (S13)</w:t>
            </w:r>
          </w:p>
        </w:tc>
        <w:tc>
          <w:tcPr>
            <w:tcW w:w="1244" w:type="dxa"/>
            <w:tcBorders>
              <w:top w:val="nil"/>
              <w:left w:val="single" w:sz="8" w:space="0" w:color="auto"/>
              <w:bottom w:val="single"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b/>
                <w:bCs/>
                <w:sz w:val="20"/>
                <w:szCs w:val="20"/>
              </w:rPr>
            </w:pPr>
            <w:r w:rsidRPr="00704BDC">
              <w:rPr>
                <w:rFonts w:eastAsia="Times New Roman" w:cs="Times New Roman"/>
                <w:b/>
                <w:bCs/>
                <w:sz w:val="20"/>
                <w:szCs w:val="20"/>
              </w:rPr>
              <w:t> </w:t>
            </w:r>
          </w:p>
        </w:tc>
        <w:tc>
          <w:tcPr>
            <w:tcW w:w="1695"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93"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244"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6. Total revenue</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TR</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3,473.3</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3,941.0</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4,244.3</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4,534.5</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4,826.7</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5,120.4</w:t>
            </w:r>
          </w:p>
        </w:tc>
      </w:tr>
      <w:tr w:rsidR="00704BDC" w:rsidRPr="00704BDC" w:rsidTr="00C034F6">
        <w:trPr>
          <w:trHeight w:val="248"/>
        </w:trPr>
        <w:tc>
          <w:tcPr>
            <w:tcW w:w="5015" w:type="dxa"/>
            <w:tcBorders>
              <w:top w:val="nil"/>
              <w:left w:val="double" w:sz="6" w:space="0" w:color="auto"/>
              <w:bottom w:val="nil"/>
              <w:right w:val="single" w:sz="8" w:space="0" w:color="auto"/>
            </w:tcBorders>
            <w:shd w:val="clear" w:color="auto" w:fill="auto"/>
            <w:noWrap/>
            <w:vAlign w:val="bottom"/>
            <w:hideMark/>
          </w:tcPr>
          <w:p w:rsidR="00704BDC" w:rsidRPr="00704BDC" w:rsidRDefault="00704BDC" w:rsidP="00704BDC">
            <w:pPr>
              <w:spacing w:after="0"/>
              <w:jc w:val="left"/>
              <w:rPr>
                <w:rFonts w:eastAsia="Times New Roman" w:cs="Times New Roman"/>
                <w:sz w:val="20"/>
                <w:szCs w:val="20"/>
              </w:rPr>
            </w:pPr>
            <w:hyperlink r:id="rId47" w:anchor="RANGE!B139" w:history="1">
              <w:r w:rsidRPr="00704BDC">
                <w:rPr>
                  <w:rFonts w:eastAsia="Times New Roman" w:cs="Times New Roman"/>
                  <w:sz w:val="20"/>
                  <w:szCs w:val="20"/>
                </w:rPr>
                <w:t>7. Total expenditure[1]</w:t>
              </w:r>
            </w:hyperlink>
          </w:p>
        </w:tc>
        <w:tc>
          <w:tcPr>
            <w:tcW w:w="1244" w:type="dxa"/>
            <w:tcBorders>
              <w:top w:val="nil"/>
              <w:left w:val="nil"/>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TE</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3,654.4</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4,132.8</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4,558.2</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4,871.4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5,192.6</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5,442.4</w:t>
            </w:r>
          </w:p>
        </w:tc>
      </w:tr>
      <w:tr w:rsidR="00704BDC" w:rsidRPr="00704BDC" w:rsidTr="00C034F6">
        <w:trPr>
          <w:trHeight w:val="248"/>
        </w:trPr>
        <w:tc>
          <w:tcPr>
            <w:tcW w:w="5015" w:type="dxa"/>
            <w:tcBorders>
              <w:top w:val="nil"/>
              <w:left w:val="double" w:sz="6"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8. Net borrowing/lending</w:t>
            </w:r>
          </w:p>
        </w:tc>
        <w:tc>
          <w:tcPr>
            <w:tcW w:w="1244" w:type="dxa"/>
            <w:tcBorders>
              <w:top w:val="nil"/>
              <w:left w:val="nil"/>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EDP.B9</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-181.1</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-191.9</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-313.9</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-337.0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-366.0</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-322.0</w:t>
            </w:r>
          </w:p>
        </w:tc>
      </w:tr>
      <w:tr w:rsidR="00704BDC" w:rsidRPr="00704BDC" w:rsidTr="00C034F6">
        <w:trPr>
          <w:trHeight w:val="497"/>
        </w:trPr>
        <w:tc>
          <w:tcPr>
            <w:tcW w:w="5015" w:type="dxa"/>
            <w:tcBorders>
              <w:top w:val="nil"/>
              <w:left w:val="double" w:sz="6"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9. Interest expenditure</w:t>
            </w:r>
          </w:p>
        </w:tc>
        <w:tc>
          <w:tcPr>
            <w:tcW w:w="1244" w:type="dxa"/>
            <w:tcBorders>
              <w:top w:val="nil"/>
              <w:left w:val="nil"/>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EDP.D41 incl. FISIM</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149.3</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180.5</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197.8</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215.0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228.9</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249.6</w:t>
            </w:r>
          </w:p>
        </w:tc>
      </w:tr>
      <w:tr w:rsidR="00704BDC" w:rsidRPr="00704BDC" w:rsidTr="00C034F6">
        <w:trPr>
          <w:trHeight w:val="248"/>
        </w:trPr>
        <w:tc>
          <w:tcPr>
            <w:tcW w:w="5015" w:type="dxa"/>
            <w:tcBorders>
              <w:top w:val="nil"/>
              <w:left w:val="double" w:sz="6"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hyperlink r:id="rId48" w:anchor="RANGE!B140" w:history="1">
              <w:r w:rsidRPr="00704BDC">
                <w:rPr>
                  <w:rFonts w:eastAsia="Times New Roman" w:cs="Times New Roman"/>
                  <w:sz w:val="20"/>
                  <w:szCs w:val="20"/>
                </w:rPr>
                <w:t>10. Primary balance[2]</w:t>
              </w:r>
            </w:hyperlink>
          </w:p>
        </w:tc>
        <w:tc>
          <w:tcPr>
            <w:tcW w:w="1244" w:type="dxa"/>
            <w:tcBorders>
              <w:top w:val="nil"/>
              <w:left w:val="nil"/>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 </w:t>
            </w:r>
          </w:p>
        </w:tc>
        <w:tc>
          <w:tcPr>
            <w:tcW w:w="1695"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-31.8</w:t>
            </w:r>
          </w:p>
        </w:tc>
        <w:tc>
          <w:tcPr>
            <w:tcW w:w="1193"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-11.4</w:t>
            </w:r>
          </w:p>
        </w:tc>
        <w:tc>
          <w:tcPr>
            <w:tcW w:w="1244"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-116.1</w:t>
            </w:r>
          </w:p>
        </w:tc>
        <w:tc>
          <w:tcPr>
            <w:tcW w:w="1158"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-122.0</w:t>
            </w:r>
          </w:p>
        </w:tc>
        <w:tc>
          <w:tcPr>
            <w:tcW w:w="1158"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-137.1</w:t>
            </w:r>
          </w:p>
        </w:tc>
        <w:tc>
          <w:tcPr>
            <w:tcW w:w="1158" w:type="dxa"/>
            <w:tcBorders>
              <w:top w:val="nil"/>
              <w:left w:val="nil"/>
              <w:bottom w:val="single"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-72.4</w:t>
            </w:r>
          </w:p>
        </w:tc>
      </w:tr>
      <w:tr w:rsidR="00704BDC" w:rsidRPr="00704BDC" w:rsidTr="00C034F6">
        <w:trPr>
          <w:trHeight w:val="248"/>
        </w:trPr>
        <w:tc>
          <w:tcPr>
            <w:tcW w:w="5015" w:type="dxa"/>
            <w:tcBorders>
              <w:top w:val="nil"/>
              <w:left w:val="double" w:sz="6" w:space="0" w:color="auto"/>
              <w:bottom w:val="single" w:sz="4" w:space="0" w:color="auto"/>
              <w:right w:val="single" w:sz="8" w:space="0" w:color="auto"/>
            </w:tcBorders>
            <w:shd w:val="clear" w:color="auto" w:fill="auto"/>
            <w:noWrap/>
            <w:vAlign w:val="bottom"/>
            <w:hideMark/>
          </w:tcPr>
          <w:p w:rsidR="00704BDC" w:rsidRPr="00704BDC" w:rsidRDefault="00704BDC" w:rsidP="00704BDC">
            <w:pPr>
              <w:spacing w:after="0"/>
              <w:jc w:val="left"/>
              <w:rPr>
                <w:rFonts w:eastAsia="Times New Roman" w:cs="Times New Roman"/>
                <w:sz w:val="20"/>
                <w:szCs w:val="20"/>
              </w:rPr>
            </w:pPr>
            <w:hyperlink r:id="rId49" w:anchor="RANGE!B141" w:history="1">
              <w:r w:rsidRPr="00704BDC">
                <w:rPr>
                  <w:rFonts w:eastAsia="Times New Roman" w:cs="Times New Roman"/>
                  <w:sz w:val="20"/>
                  <w:szCs w:val="20"/>
                </w:rPr>
                <w:t>11. One-off and other temporary measures [3]</w:t>
              </w:r>
            </w:hyperlink>
          </w:p>
        </w:tc>
        <w:tc>
          <w:tcPr>
            <w:tcW w:w="1244" w:type="dxa"/>
            <w:tcBorders>
              <w:top w:val="nil"/>
              <w:left w:val="nil"/>
              <w:bottom w:val="single"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 </w:t>
            </w:r>
          </w:p>
        </w:tc>
        <w:tc>
          <w:tcPr>
            <w:tcW w:w="1695"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93"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244"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single"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r>
      <w:tr w:rsidR="00704BDC" w:rsidRPr="00704BDC" w:rsidTr="00C034F6">
        <w:trPr>
          <w:trHeight w:val="248"/>
        </w:trPr>
        <w:tc>
          <w:tcPr>
            <w:tcW w:w="5015" w:type="dxa"/>
            <w:tcBorders>
              <w:top w:val="nil"/>
              <w:left w:val="double" w:sz="6" w:space="0" w:color="auto"/>
              <w:bottom w:val="single"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b/>
                <w:bCs/>
                <w:sz w:val="20"/>
                <w:szCs w:val="20"/>
              </w:rPr>
            </w:pPr>
            <w:r w:rsidRPr="00704BDC">
              <w:rPr>
                <w:rFonts w:eastAsia="Times New Roman" w:cs="Times New Roman"/>
                <w:b/>
                <w:bCs/>
                <w:sz w:val="20"/>
                <w:szCs w:val="20"/>
              </w:rPr>
              <w:t>Components of revenues</w:t>
            </w:r>
          </w:p>
        </w:tc>
        <w:tc>
          <w:tcPr>
            <w:tcW w:w="1244" w:type="dxa"/>
            <w:tcBorders>
              <w:top w:val="nil"/>
              <w:left w:val="single" w:sz="8" w:space="0" w:color="auto"/>
              <w:bottom w:val="single"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b/>
                <w:bCs/>
                <w:sz w:val="20"/>
                <w:szCs w:val="20"/>
              </w:rPr>
            </w:pPr>
            <w:r w:rsidRPr="00704BDC">
              <w:rPr>
                <w:rFonts w:eastAsia="Times New Roman" w:cs="Times New Roman"/>
                <w:b/>
                <w:bCs/>
                <w:sz w:val="20"/>
                <w:szCs w:val="20"/>
              </w:rPr>
              <w:t> </w:t>
            </w:r>
          </w:p>
        </w:tc>
        <w:tc>
          <w:tcPr>
            <w:tcW w:w="1695"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93"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244"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r>
      <w:tr w:rsidR="00704BDC" w:rsidRPr="00704BDC" w:rsidTr="00C034F6">
        <w:trPr>
          <w:trHeight w:val="248"/>
        </w:trPr>
        <w:tc>
          <w:tcPr>
            <w:tcW w:w="5015" w:type="dxa"/>
            <w:tcBorders>
              <w:top w:val="nil"/>
              <w:left w:val="double" w:sz="6" w:space="0" w:color="auto"/>
              <w:bottom w:val="dotted" w:sz="4"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12. Total taxes  (12 = 12a+12b+12c)</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 </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2,017.9</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2,272.4</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2,378.6</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2,532.0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2,691.9</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2,845.6</w:t>
            </w:r>
          </w:p>
        </w:tc>
      </w:tr>
      <w:tr w:rsidR="00704BDC" w:rsidRPr="00704BDC" w:rsidTr="00C034F6">
        <w:trPr>
          <w:trHeight w:val="248"/>
        </w:trPr>
        <w:tc>
          <w:tcPr>
            <w:tcW w:w="5015" w:type="dxa"/>
            <w:tcBorders>
              <w:top w:val="nil"/>
              <w:left w:val="double" w:sz="6" w:space="0" w:color="auto"/>
              <w:bottom w:val="dotted" w:sz="4"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12a. Taxes on production and imports</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D2</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1,340.4</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1,510.3</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1,587.3</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1,693.0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1,788.9</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1,880.6</w:t>
            </w:r>
          </w:p>
        </w:tc>
      </w:tr>
      <w:tr w:rsidR="00704BDC" w:rsidRPr="00704BDC" w:rsidTr="00C034F6">
        <w:trPr>
          <w:trHeight w:val="248"/>
        </w:trPr>
        <w:tc>
          <w:tcPr>
            <w:tcW w:w="5015" w:type="dxa"/>
            <w:tcBorders>
              <w:top w:val="nil"/>
              <w:left w:val="double" w:sz="6" w:space="0" w:color="auto"/>
              <w:bottom w:val="dotted" w:sz="4"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12b. Current taxes on income and wealth</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D5</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676.6</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761.0</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790.1</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837.7</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901.5</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963.4</w:t>
            </w:r>
          </w:p>
        </w:tc>
      </w:tr>
      <w:tr w:rsidR="00704BDC" w:rsidRPr="00704BDC" w:rsidTr="00C034F6">
        <w:trPr>
          <w:trHeight w:val="248"/>
        </w:trPr>
        <w:tc>
          <w:tcPr>
            <w:tcW w:w="5015" w:type="dxa"/>
            <w:tcBorders>
              <w:top w:val="nil"/>
              <w:left w:val="double" w:sz="6" w:space="0" w:color="auto"/>
              <w:bottom w:val="dotted" w:sz="4"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12c. Capital taxes</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D91</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0.9</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1.1</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1.2</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1.3</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1.4</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w:t>
            </w:r>
          </w:p>
        </w:tc>
      </w:tr>
      <w:tr w:rsidR="00704BDC" w:rsidRPr="00704BDC" w:rsidTr="00C034F6">
        <w:trPr>
          <w:trHeight w:val="248"/>
        </w:trPr>
        <w:tc>
          <w:tcPr>
            <w:tcW w:w="5015" w:type="dxa"/>
            <w:tcBorders>
              <w:top w:val="nil"/>
              <w:left w:val="double" w:sz="6" w:space="0" w:color="auto"/>
              <w:bottom w:val="dotted" w:sz="4"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13. Social contributions</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D61</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1,060.9</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1,225.0</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1,372.2</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1,509.4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1,651.7</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1,777.3</w:t>
            </w:r>
          </w:p>
        </w:tc>
      </w:tr>
      <w:tr w:rsidR="00704BDC" w:rsidRPr="00704BDC" w:rsidTr="00C034F6">
        <w:trPr>
          <w:trHeight w:val="248"/>
        </w:trPr>
        <w:tc>
          <w:tcPr>
            <w:tcW w:w="5015" w:type="dxa"/>
            <w:tcBorders>
              <w:top w:val="nil"/>
              <w:left w:val="double" w:sz="6" w:space="0" w:color="auto"/>
              <w:bottom w:val="dotted" w:sz="4"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14. Property income</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D4</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96.7</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113.6</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128.4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139.8</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152.3</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166.1</w:t>
            </w:r>
          </w:p>
        </w:tc>
      </w:tr>
      <w:tr w:rsidR="00704BDC" w:rsidRPr="00704BDC" w:rsidTr="00C034F6">
        <w:trPr>
          <w:trHeight w:val="248"/>
        </w:trPr>
        <w:tc>
          <w:tcPr>
            <w:tcW w:w="5015" w:type="dxa"/>
            <w:tcBorders>
              <w:top w:val="nil"/>
              <w:left w:val="double" w:sz="6" w:space="0" w:color="auto"/>
              <w:bottom w:val="dotted" w:sz="4"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hyperlink r:id="rId50" w:anchor="RANGE!B142" w:history="1">
              <w:r w:rsidRPr="00704BDC">
                <w:rPr>
                  <w:rFonts w:eastAsia="Times New Roman" w:cs="Times New Roman"/>
                  <w:sz w:val="20"/>
                  <w:szCs w:val="20"/>
                </w:rPr>
                <w:t>15. Other (15 = 16-(12+13+14)) [4]</w:t>
              </w:r>
            </w:hyperlink>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 </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297.9</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330.0</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365.2</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353.4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330.8</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331.5</w:t>
            </w:r>
          </w:p>
        </w:tc>
      </w:tr>
      <w:tr w:rsidR="00704BDC" w:rsidRPr="00704BDC" w:rsidTr="00C034F6">
        <w:trPr>
          <w:trHeight w:val="248"/>
        </w:trPr>
        <w:tc>
          <w:tcPr>
            <w:tcW w:w="5015" w:type="dxa"/>
            <w:tcBorders>
              <w:top w:val="nil"/>
              <w:left w:val="double" w:sz="6" w:space="0" w:color="auto"/>
              <w:bottom w:val="dotted" w:sz="4"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 xml:space="preserve">16 = 6. Total revenue </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TR</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3,473.3</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3,941.0</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4,244.3</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4,534.5</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4,826.7</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5,120.4</w:t>
            </w:r>
          </w:p>
        </w:tc>
      </w:tr>
      <w:tr w:rsidR="00704BDC" w:rsidRPr="00704BDC" w:rsidTr="00C034F6">
        <w:trPr>
          <w:trHeight w:val="256"/>
        </w:trPr>
        <w:tc>
          <w:tcPr>
            <w:tcW w:w="5015" w:type="dxa"/>
            <w:tcBorders>
              <w:top w:val="nil"/>
              <w:left w:val="double" w:sz="6" w:space="0" w:color="auto"/>
              <w:bottom w:val="single" w:sz="8" w:space="0" w:color="auto"/>
              <w:right w:val="dotted" w:sz="4" w:space="0" w:color="auto"/>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hyperlink r:id="rId51" w:anchor="RANGE!B143" w:history="1">
              <w:r w:rsidRPr="00704BDC">
                <w:rPr>
                  <w:rFonts w:eastAsia="Times New Roman" w:cs="Times New Roman"/>
                  <w:sz w:val="20"/>
                  <w:szCs w:val="20"/>
                </w:rPr>
                <w:t>p.m.: Tax burden (D2+D5+D61+D91-D995) [5]</w:t>
              </w:r>
            </w:hyperlink>
          </w:p>
        </w:tc>
        <w:tc>
          <w:tcPr>
            <w:tcW w:w="1244" w:type="dxa"/>
            <w:tcBorders>
              <w:top w:val="nil"/>
              <w:left w:val="single" w:sz="8" w:space="0" w:color="auto"/>
              <w:bottom w:val="single"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 </w:t>
            </w:r>
          </w:p>
        </w:tc>
        <w:tc>
          <w:tcPr>
            <w:tcW w:w="1695"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3,078.7</w:t>
            </w:r>
          </w:p>
        </w:tc>
        <w:tc>
          <w:tcPr>
            <w:tcW w:w="1193"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3,497.4</w:t>
            </w:r>
          </w:p>
        </w:tc>
        <w:tc>
          <w:tcPr>
            <w:tcW w:w="1244"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3,750.8</w:t>
            </w:r>
          </w:p>
        </w:tc>
        <w:tc>
          <w:tcPr>
            <w:tcW w:w="1158"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4,041.3</w:t>
            </w:r>
          </w:p>
        </w:tc>
        <w:tc>
          <w:tcPr>
            <w:tcW w:w="1158" w:type="dxa"/>
            <w:tcBorders>
              <w:top w:val="nil"/>
              <w:left w:val="nil"/>
              <w:bottom w:val="single"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4,343.6</w:t>
            </w:r>
          </w:p>
        </w:tc>
        <w:tc>
          <w:tcPr>
            <w:tcW w:w="1158" w:type="dxa"/>
            <w:tcBorders>
              <w:top w:val="nil"/>
              <w:left w:val="nil"/>
              <w:bottom w:val="single"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4,622.9</w:t>
            </w:r>
          </w:p>
        </w:tc>
      </w:tr>
      <w:tr w:rsidR="00704BDC" w:rsidRPr="00704BDC" w:rsidTr="00C034F6">
        <w:trPr>
          <w:trHeight w:val="248"/>
        </w:trPr>
        <w:tc>
          <w:tcPr>
            <w:tcW w:w="5015" w:type="dxa"/>
            <w:tcBorders>
              <w:top w:val="nil"/>
              <w:left w:val="double" w:sz="6" w:space="0" w:color="auto"/>
              <w:bottom w:val="single"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b/>
                <w:bCs/>
                <w:sz w:val="20"/>
                <w:szCs w:val="20"/>
              </w:rPr>
            </w:pPr>
            <w:r w:rsidRPr="00704BDC">
              <w:rPr>
                <w:rFonts w:eastAsia="Times New Roman" w:cs="Times New Roman"/>
                <w:b/>
                <w:bCs/>
                <w:sz w:val="20"/>
                <w:szCs w:val="20"/>
              </w:rPr>
              <w:t>Selected components of expenditures</w:t>
            </w:r>
          </w:p>
        </w:tc>
        <w:tc>
          <w:tcPr>
            <w:tcW w:w="1244" w:type="dxa"/>
            <w:tcBorders>
              <w:top w:val="nil"/>
              <w:left w:val="single" w:sz="8" w:space="0" w:color="auto"/>
              <w:bottom w:val="single"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b/>
                <w:bCs/>
                <w:sz w:val="20"/>
                <w:szCs w:val="20"/>
              </w:rPr>
            </w:pPr>
            <w:r w:rsidRPr="00704BDC">
              <w:rPr>
                <w:rFonts w:eastAsia="Times New Roman" w:cs="Times New Roman"/>
                <w:b/>
                <w:bCs/>
                <w:sz w:val="20"/>
                <w:szCs w:val="20"/>
              </w:rPr>
              <w:t> </w:t>
            </w:r>
          </w:p>
        </w:tc>
        <w:tc>
          <w:tcPr>
            <w:tcW w:w="1695"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93"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244"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nil"/>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c>
          <w:tcPr>
            <w:tcW w:w="1158" w:type="dxa"/>
            <w:tcBorders>
              <w:top w:val="nil"/>
              <w:left w:val="nil"/>
              <w:bottom w:val="single"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b/>
                <w:bCs/>
                <w:sz w:val="20"/>
                <w:szCs w:val="20"/>
              </w:rPr>
            </w:pPr>
            <w:r w:rsidRPr="00704BDC">
              <w:rPr>
                <w:rFonts w:eastAsia="Times New Roman" w:cs="Times New Roman"/>
                <w:b/>
                <w:bCs/>
                <w:sz w:val="20"/>
                <w:szCs w:val="20"/>
              </w:rPr>
              <w:t> </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17. Collective consumption</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P32</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1,403.0</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1,583.3</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1,803.4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1,974.7</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2,119.5</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2,254.3</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18. Total social transfers</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D62 + D63</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1,098.6</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1,260.2</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1,390.4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1,537.9</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1,650.9</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1,719.1</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18a. Social transfers in kind</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P31 = D63</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 </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18b. Social transfers other than in kind</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D62</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1098.6</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1260.2</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1390.4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1537.9</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1650.9</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1719.1</w:t>
            </w:r>
          </w:p>
        </w:tc>
      </w:tr>
      <w:tr w:rsidR="00704BDC" w:rsidRPr="00704BDC" w:rsidTr="00C034F6">
        <w:trPr>
          <w:trHeight w:val="497"/>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lastRenderedPageBreak/>
              <w:t xml:space="preserve">19 = 9. Interest expenditure (incl. FISIM) </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EDP.D41 + FISIM</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149.3</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180.5</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197.8</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215.0</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228.9</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249.6</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20. Subsidies</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D3</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213.8</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236.7</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245.4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242.8</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253.7</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264.7</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21. Gross fixed capital formation</w:t>
            </w:r>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P51</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568.6</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704.6</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739.8</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737.4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773.0</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784.1</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hyperlink r:id="rId52" w:anchor="RANGE!B144" w:history="1">
              <w:r w:rsidRPr="00704BDC">
                <w:rPr>
                  <w:rFonts w:eastAsia="Times New Roman" w:cs="Times New Roman"/>
                  <w:sz w:val="20"/>
                  <w:szCs w:val="20"/>
                </w:rPr>
                <w:t>22. Other (22 = 23-(17+18+19+20+21) [6]</w:t>
              </w:r>
            </w:hyperlink>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 </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221.1</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167.5</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181.3</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163.7</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166.6</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170.7</w:t>
            </w:r>
          </w:p>
        </w:tc>
      </w:tr>
      <w:tr w:rsidR="00704BDC" w:rsidRPr="00704BDC" w:rsidTr="00C034F6">
        <w:trPr>
          <w:trHeight w:val="248"/>
        </w:trPr>
        <w:tc>
          <w:tcPr>
            <w:tcW w:w="5015" w:type="dxa"/>
            <w:tcBorders>
              <w:top w:val="nil"/>
              <w:left w:val="double" w:sz="6" w:space="0" w:color="auto"/>
              <w:bottom w:val="dotted" w:sz="4" w:space="0" w:color="auto"/>
              <w:right w:val="nil"/>
            </w:tcBorders>
            <w:shd w:val="clear" w:color="auto" w:fill="auto"/>
            <w:vAlign w:val="center"/>
            <w:hideMark/>
          </w:tcPr>
          <w:p w:rsidR="00704BDC" w:rsidRPr="00704BDC" w:rsidRDefault="00704BDC" w:rsidP="00704BDC">
            <w:pPr>
              <w:spacing w:after="0"/>
              <w:jc w:val="left"/>
              <w:rPr>
                <w:rFonts w:eastAsia="Times New Roman" w:cs="Times New Roman"/>
                <w:sz w:val="20"/>
                <w:szCs w:val="20"/>
              </w:rPr>
            </w:pPr>
            <w:hyperlink r:id="rId53" w:anchor="RANGE!B145" w:history="1">
              <w:r w:rsidRPr="00704BDC">
                <w:rPr>
                  <w:rFonts w:eastAsia="Times New Roman" w:cs="Times New Roman"/>
                  <w:sz w:val="20"/>
                  <w:szCs w:val="20"/>
                </w:rPr>
                <w:t xml:space="preserve">23. Total expenditures [7] </w:t>
              </w:r>
            </w:hyperlink>
          </w:p>
        </w:tc>
        <w:tc>
          <w:tcPr>
            <w:tcW w:w="1244" w:type="dxa"/>
            <w:tcBorders>
              <w:top w:val="nil"/>
              <w:left w:val="single" w:sz="8" w:space="0" w:color="auto"/>
              <w:bottom w:val="dotted" w:sz="4" w:space="0" w:color="auto"/>
              <w:right w:val="single" w:sz="8" w:space="0" w:color="auto"/>
            </w:tcBorders>
            <w:shd w:val="clear" w:color="auto" w:fill="auto"/>
            <w:vAlign w:val="center"/>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TE</w:t>
            </w:r>
          </w:p>
        </w:tc>
        <w:tc>
          <w:tcPr>
            <w:tcW w:w="1695"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3,654.4</w:t>
            </w:r>
          </w:p>
        </w:tc>
        <w:tc>
          <w:tcPr>
            <w:tcW w:w="1193"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4,132.8</w:t>
            </w:r>
          </w:p>
        </w:tc>
        <w:tc>
          <w:tcPr>
            <w:tcW w:w="1244"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4,558.2</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4,871.4</w:t>
            </w:r>
          </w:p>
        </w:tc>
        <w:tc>
          <w:tcPr>
            <w:tcW w:w="1158" w:type="dxa"/>
            <w:tcBorders>
              <w:top w:val="nil"/>
              <w:left w:val="nil"/>
              <w:bottom w:val="dotted" w:sz="4" w:space="0" w:color="auto"/>
              <w:right w:val="dotted" w:sz="4"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5,192.6</w:t>
            </w:r>
          </w:p>
        </w:tc>
        <w:tc>
          <w:tcPr>
            <w:tcW w:w="1158" w:type="dxa"/>
            <w:tcBorders>
              <w:top w:val="nil"/>
              <w:left w:val="nil"/>
              <w:bottom w:val="dotted" w:sz="4" w:space="0" w:color="auto"/>
              <w:right w:val="double" w:sz="6" w:space="0" w:color="auto"/>
            </w:tcBorders>
            <w:shd w:val="clear" w:color="auto" w:fill="auto"/>
            <w:vAlign w:val="center"/>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5,442.4</w:t>
            </w:r>
          </w:p>
        </w:tc>
      </w:tr>
      <w:tr w:rsidR="00704BDC" w:rsidRPr="00704BDC" w:rsidTr="00C034F6">
        <w:trPr>
          <w:trHeight w:val="256"/>
        </w:trPr>
        <w:tc>
          <w:tcPr>
            <w:tcW w:w="5015" w:type="dxa"/>
            <w:tcBorders>
              <w:top w:val="nil"/>
              <w:left w:val="double" w:sz="6" w:space="0" w:color="auto"/>
              <w:bottom w:val="double" w:sz="6" w:space="0" w:color="auto"/>
              <w:right w:val="nil"/>
            </w:tcBorders>
            <w:shd w:val="clear" w:color="auto" w:fill="auto"/>
            <w:vAlign w:val="bottom"/>
            <w:hideMark/>
          </w:tcPr>
          <w:p w:rsidR="00704BDC" w:rsidRPr="00704BDC" w:rsidRDefault="00704BDC" w:rsidP="00704BDC">
            <w:pPr>
              <w:spacing w:after="0"/>
              <w:jc w:val="left"/>
              <w:rPr>
                <w:rFonts w:eastAsia="Times New Roman" w:cs="Times New Roman"/>
                <w:sz w:val="20"/>
                <w:szCs w:val="20"/>
              </w:rPr>
            </w:pPr>
            <w:r w:rsidRPr="00704BDC">
              <w:rPr>
                <w:rFonts w:eastAsia="Times New Roman" w:cs="Times New Roman"/>
                <w:sz w:val="20"/>
                <w:szCs w:val="20"/>
              </w:rPr>
              <w:t>p.m.  compensation of employees</w:t>
            </w:r>
          </w:p>
        </w:tc>
        <w:tc>
          <w:tcPr>
            <w:tcW w:w="1244" w:type="dxa"/>
            <w:tcBorders>
              <w:top w:val="nil"/>
              <w:left w:val="single" w:sz="8" w:space="0" w:color="auto"/>
              <w:bottom w:val="double" w:sz="6" w:space="0" w:color="auto"/>
              <w:right w:val="single" w:sz="8" w:space="0" w:color="auto"/>
            </w:tcBorders>
            <w:shd w:val="clear" w:color="auto" w:fill="auto"/>
            <w:vAlign w:val="bottom"/>
            <w:hideMark/>
          </w:tcPr>
          <w:p w:rsidR="00704BDC" w:rsidRPr="00704BDC" w:rsidRDefault="00704BDC" w:rsidP="00704BDC">
            <w:pPr>
              <w:spacing w:after="0"/>
              <w:jc w:val="center"/>
              <w:rPr>
                <w:rFonts w:eastAsia="Times New Roman" w:cs="Times New Roman"/>
                <w:sz w:val="20"/>
                <w:szCs w:val="20"/>
              </w:rPr>
            </w:pPr>
            <w:r w:rsidRPr="00704BDC">
              <w:rPr>
                <w:rFonts w:eastAsia="Times New Roman" w:cs="Times New Roman"/>
                <w:sz w:val="20"/>
                <w:szCs w:val="20"/>
              </w:rPr>
              <w:t>D1</w:t>
            </w:r>
          </w:p>
        </w:tc>
        <w:tc>
          <w:tcPr>
            <w:tcW w:w="1695" w:type="dxa"/>
            <w:tcBorders>
              <w:top w:val="nil"/>
              <w:left w:val="nil"/>
              <w:bottom w:val="double" w:sz="6" w:space="0" w:color="auto"/>
              <w:right w:val="dotted" w:sz="4" w:space="0" w:color="auto"/>
            </w:tcBorders>
            <w:shd w:val="clear" w:color="auto" w:fill="auto"/>
            <w:vAlign w:val="bottom"/>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774.9</w:t>
            </w:r>
          </w:p>
        </w:tc>
        <w:tc>
          <w:tcPr>
            <w:tcW w:w="1193" w:type="dxa"/>
            <w:tcBorders>
              <w:top w:val="nil"/>
              <w:left w:val="nil"/>
              <w:bottom w:val="double" w:sz="6" w:space="0" w:color="auto"/>
              <w:right w:val="dotted" w:sz="4" w:space="0" w:color="auto"/>
            </w:tcBorders>
            <w:shd w:val="clear" w:color="auto" w:fill="auto"/>
            <w:vAlign w:val="bottom"/>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907.2</w:t>
            </w:r>
          </w:p>
        </w:tc>
        <w:tc>
          <w:tcPr>
            <w:tcW w:w="1244" w:type="dxa"/>
            <w:tcBorders>
              <w:top w:val="nil"/>
              <w:left w:val="nil"/>
              <w:bottom w:val="double" w:sz="6" w:space="0" w:color="auto"/>
              <w:right w:val="dotted" w:sz="4" w:space="0" w:color="auto"/>
            </w:tcBorders>
            <w:shd w:val="clear" w:color="auto" w:fill="auto"/>
            <w:vAlign w:val="bottom"/>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1,030.0</w:t>
            </w:r>
          </w:p>
        </w:tc>
        <w:tc>
          <w:tcPr>
            <w:tcW w:w="1158" w:type="dxa"/>
            <w:tcBorders>
              <w:top w:val="nil"/>
              <w:left w:val="nil"/>
              <w:bottom w:val="double" w:sz="6" w:space="0" w:color="auto"/>
              <w:right w:val="dotted" w:sz="4" w:space="0" w:color="auto"/>
            </w:tcBorders>
            <w:shd w:val="clear" w:color="auto" w:fill="auto"/>
            <w:vAlign w:val="bottom"/>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1,128.5</w:t>
            </w:r>
          </w:p>
        </w:tc>
        <w:tc>
          <w:tcPr>
            <w:tcW w:w="1158" w:type="dxa"/>
            <w:tcBorders>
              <w:top w:val="nil"/>
              <w:left w:val="nil"/>
              <w:bottom w:val="double" w:sz="6" w:space="0" w:color="auto"/>
              <w:right w:val="dotted" w:sz="4" w:space="0" w:color="auto"/>
            </w:tcBorders>
            <w:shd w:val="clear" w:color="auto" w:fill="auto"/>
            <w:vAlign w:val="bottom"/>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1,221.5</w:t>
            </w:r>
          </w:p>
        </w:tc>
        <w:tc>
          <w:tcPr>
            <w:tcW w:w="1158" w:type="dxa"/>
            <w:tcBorders>
              <w:top w:val="nil"/>
              <w:left w:val="nil"/>
              <w:bottom w:val="double" w:sz="6" w:space="0" w:color="auto"/>
              <w:right w:val="double" w:sz="6" w:space="0" w:color="auto"/>
            </w:tcBorders>
            <w:shd w:val="clear" w:color="auto" w:fill="auto"/>
            <w:vAlign w:val="bottom"/>
            <w:hideMark/>
          </w:tcPr>
          <w:p w:rsidR="00704BDC" w:rsidRPr="00704BDC" w:rsidRDefault="00704BDC" w:rsidP="00704BDC">
            <w:pPr>
              <w:spacing w:after="0"/>
              <w:jc w:val="right"/>
              <w:rPr>
                <w:rFonts w:eastAsia="Times New Roman" w:cs="Times New Roman"/>
                <w:sz w:val="20"/>
                <w:szCs w:val="20"/>
              </w:rPr>
            </w:pPr>
            <w:r w:rsidRPr="00704BDC">
              <w:rPr>
                <w:rFonts w:eastAsia="Times New Roman" w:cs="Times New Roman"/>
                <w:sz w:val="20"/>
                <w:szCs w:val="20"/>
              </w:rPr>
              <w:t>1,309.8</w:t>
            </w:r>
          </w:p>
        </w:tc>
      </w:tr>
    </w:tbl>
    <w:p w:rsidR="00C034F6" w:rsidRDefault="00704BDC" w:rsidP="007A0CEC">
      <w:pPr>
        <w:spacing w:after="0"/>
        <w:jc w:val="left"/>
        <w:rPr>
          <w:rFonts w:cs="Times New Roman"/>
          <w:szCs w:val="24"/>
          <w:lang w:val="sr-Latn-RS"/>
        </w:rPr>
      </w:pPr>
      <w:r>
        <w:rPr>
          <w:rFonts w:cs="Times New Roman"/>
          <w:szCs w:val="24"/>
          <w:lang w:val="sr-Latn-RS"/>
        </w:rPr>
        <w:fldChar w:fldCharType="end"/>
      </w:r>
    </w:p>
    <w:tbl>
      <w:tblPr>
        <w:tblW w:w="8805" w:type="dxa"/>
        <w:tblLook w:val="04A0" w:firstRow="1" w:lastRow="0" w:firstColumn="1" w:lastColumn="0" w:noHBand="0" w:noVBand="1"/>
      </w:tblPr>
      <w:tblGrid>
        <w:gridCol w:w="8805"/>
      </w:tblGrid>
      <w:tr w:rsidR="00C034F6" w:rsidRPr="00C034F6" w:rsidTr="00C034F6">
        <w:trPr>
          <w:trHeight w:val="249"/>
        </w:trPr>
        <w:tc>
          <w:tcPr>
            <w:tcW w:w="8805" w:type="dxa"/>
            <w:tcBorders>
              <w:top w:val="nil"/>
              <w:left w:val="nil"/>
              <w:bottom w:val="nil"/>
              <w:right w:val="nil"/>
            </w:tcBorders>
            <w:shd w:val="clear" w:color="auto" w:fill="auto"/>
            <w:noWrap/>
            <w:vAlign w:val="bottom"/>
            <w:hideMark/>
          </w:tcPr>
          <w:p w:rsidR="00C034F6" w:rsidRPr="00C034F6" w:rsidRDefault="00C034F6" w:rsidP="00C034F6">
            <w:pPr>
              <w:spacing w:after="0"/>
              <w:jc w:val="left"/>
              <w:rPr>
                <w:rFonts w:eastAsia="Times New Roman" w:cs="Times New Roman"/>
                <w:sz w:val="16"/>
                <w:szCs w:val="16"/>
              </w:rPr>
            </w:pPr>
            <w:r w:rsidRPr="00C034F6">
              <w:rPr>
                <w:rFonts w:eastAsia="Times New Roman" w:cs="Times New Roman"/>
                <w:sz w:val="16"/>
                <w:szCs w:val="16"/>
              </w:rPr>
              <w:t>[1] Adjusted for the next flow of swap-related flows, so the TR-TE = EDP.B9</w:t>
            </w:r>
            <w:r w:rsidRPr="00C034F6">
              <w:rPr>
                <w:rFonts w:eastAsia="Times New Roman" w:cs="Times New Roman"/>
                <w:sz w:val="17"/>
                <w:szCs w:val="17"/>
              </w:rPr>
              <w:t>.</w:t>
            </w:r>
          </w:p>
        </w:tc>
      </w:tr>
      <w:tr w:rsidR="00C034F6" w:rsidRPr="00C034F6" w:rsidTr="00C034F6">
        <w:trPr>
          <w:trHeight w:val="249"/>
        </w:trPr>
        <w:tc>
          <w:tcPr>
            <w:tcW w:w="8805" w:type="dxa"/>
            <w:tcBorders>
              <w:top w:val="nil"/>
              <w:left w:val="nil"/>
              <w:bottom w:val="nil"/>
              <w:right w:val="nil"/>
            </w:tcBorders>
            <w:shd w:val="clear" w:color="auto" w:fill="auto"/>
            <w:noWrap/>
            <w:vAlign w:val="bottom"/>
            <w:hideMark/>
          </w:tcPr>
          <w:p w:rsidR="00C034F6" w:rsidRPr="00C034F6" w:rsidRDefault="00C034F6" w:rsidP="00C034F6">
            <w:pPr>
              <w:spacing w:after="0"/>
              <w:jc w:val="left"/>
              <w:rPr>
                <w:rFonts w:eastAsia="Times New Roman" w:cs="Times New Roman"/>
                <w:sz w:val="16"/>
                <w:szCs w:val="16"/>
              </w:rPr>
            </w:pPr>
            <w:r w:rsidRPr="00C034F6">
              <w:rPr>
                <w:rFonts w:eastAsia="Times New Roman" w:cs="Times New Roman"/>
                <w:sz w:val="16"/>
                <w:szCs w:val="16"/>
              </w:rPr>
              <w:t>[2] 2The primary balance is calculated as (EDP B.9, item 8) plus (EDP D.41, item 9).</w:t>
            </w:r>
          </w:p>
        </w:tc>
      </w:tr>
      <w:tr w:rsidR="00C034F6" w:rsidRPr="00C034F6" w:rsidTr="00C034F6">
        <w:trPr>
          <w:trHeight w:val="249"/>
        </w:trPr>
        <w:tc>
          <w:tcPr>
            <w:tcW w:w="8805" w:type="dxa"/>
            <w:tcBorders>
              <w:top w:val="nil"/>
              <w:left w:val="nil"/>
              <w:bottom w:val="nil"/>
              <w:right w:val="nil"/>
            </w:tcBorders>
            <w:shd w:val="clear" w:color="auto" w:fill="auto"/>
            <w:noWrap/>
            <w:vAlign w:val="bottom"/>
            <w:hideMark/>
          </w:tcPr>
          <w:p w:rsidR="00C034F6" w:rsidRPr="00C034F6" w:rsidRDefault="00C034F6" w:rsidP="00C034F6">
            <w:pPr>
              <w:spacing w:after="0"/>
              <w:jc w:val="left"/>
              <w:rPr>
                <w:rFonts w:eastAsia="Times New Roman" w:cs="Times New Roman"/>
                <w:sz w:val="16"/>
                <w:szCs w:val="16"/>
              </w:rPr>
            </w:pPr>
            <w:r w:rsidRPr="00C034F6">
              <w:rPr>
                <w:rFonts w:eastAsia="Times New Roman" w:cs="Times New Roman"/>
                <w:sz w:val="16"/>
                <w:szCs w:val="16"/>
              </w:rPr>
              <w:t>[3] A plus sign means deficit-reducing one-off measures</w:t>
            </w:r>
            <w:r w:rsidRPr="00C034F6">
              <w:rPr>
                <w:rFonts w:eastAsia="Times New Roman" w:cs="Times New Roman"/>
                <w:sz w:val="17"/>
                <w:szCs w:val="17"/>
              </w:rPr>
              <w:t xml:space="preserve"> </w:t>
            </w:r>
          </w:p>
        </w:tc>
      </w:tr>
      <w:tr w:rsidR="00C034F6" w:rsidRPr="00C034F6" w:rsidTr="00C034F6">
        <w:trPr>
          <w:trHeight w:val="249"/>
        </w:trPr>
        <w:tc>
          <w:tcPr>
            <w:tcW w:w="8805" w:type="dxa"/>
            <w:tcBorders>
              <w:top w:val="nil"/>
              <w:left w:val="nil"/>
              <w:bottom w:val="nil"/>
              <w:right w:val="nil"/>
            </w:tcBorders>
            <w:shd w:val="clear" w:color="auto" w:fill="auto"/>
            <w:noWrap/>
            <w:vAlign w:val="bottom"/>
            <w:hideMark/>
          </w:tcPr>
          <w:p w:rsidR="00C034F6" w:rsidRPr="00C034F6" w:rsidRDefault="00C034F6" w:rsidP="00C034F6">
            <w:pPr>
              <w:spacing w:after="0"/>
              <w:jc w:val="left"/>
              <w:rPr>
                <w:rFonts w:eastAsia="Times New Roman" w:cs="Times New Roman"/>
                <w:sz w:val="16"/>
                <w:szCs w:val="16"/>
              </w:rPr>
            </w:pPr>
            <w:r w:rsidRPr="00C034F6">
              <w:rPr>
                <w:rFonts w:eastAsia="Times New Roman" w:cs="Times New Roman"/>
                <w:sz w:val="16"/>
                <w:szCs w:val="16"/>
              </w:rPr>
              <w:t>[4] P.11+P.12+P.131+D.39+D.7+D.9 (other than D.91</w:t>
            </w:r>
          </w:p>
        </w:tc>
      </w:tr>
      <w:tr w:rsidR="00C034F6" w:rsidRPr="00C034F6" w:rsidTr="00C034F6">
        <w:trPr>
          <w:trHeight w:val="249"/>
        </w:trPr>
        <w:tc>
          <w:tcPr>
            <w:tcW w:w="8805" w:type="dxa"/>
            <w:tcBorders>
              <w:top w:val="nil"/>
              <w:left w:val="nil"/>
              <w:bottom w:val="nil"/>
              <w:right w:val="nil"/>
            </w:tcBorders>
            <w:shd w:val="clear" w:color="auto" w:fill="auto"/>
            <w:noWrap/>
            <w:vAlign w:val="bottom"/>
            <w:hideMark/>
          </w:tcPr>
          <w:p w:rsidR="00C034F6" w:rsidRPr="00C034F6" w:rsidRDefault="00C034F6" w:rsidP="00C034F6">
            <w:pPr>
              <w:spacing w:after="0"/>
              <w:jc w:val="left"/>
              <w:rPr>
                <w:rFonts w:eastAsia="Times New Roman" w:cs="Times New Roman"/>
                <w:sz w:val="16"/>
                <w:szCs w:val="16"/>
              </w:rPr>
            </w:pPr>
            <w:r w:rsidRPr="00C034F6">
              <w:rPr>
                <w:rFonts w:eastAsia="Times New Roman" w:cs="Times New Roman"/>
                <w:sz w:val="16"/>
                <w:szCs w:val="16"/>
              </w:rPr>
              <w:t>[5] Including those collected by the EU and including an adjustment for uncollected taxes and social contributions (D995), if appropriate</w:t>
            </w:r>
            <w:r w:rsidRPr="00C034F6">
              <w:rPr>
                <w:rFonts w:eastAsia="Times New Roman" w:cs="Times New Roman"/>
                <w:sz w:val="17"/>
                <w:szCs w:val="17"/>
              </w:rPr>
              <w:t>.</w:t>
            </w:r>
          </w:p>
        </w:tc>
      </w:tr>
      <w:tr w:rsidR="00C034F6" w:rsidRPr="00C034F6" w:rsidTr="00C034F6">
        <w:trPr>
          <w:trHeight w:val="249"/>
        </w:trPr>
        <w:tc>
          <w:tcPr>
            <w:tcW w:w="8805" w:type="dxa"/>
            <w:tcBorders>
              <w:top w:val="nil"/>
              <w:left w:val="nil"/>
              <w:bottom w:val="nil"/>
              <w:right w:val="nil"/>
            </w:tcBorders>
            <w:shd w:val="clear" w:color="auto" w:fill="auto"/>
            <w:noWrap/>
            <w:vAlign w:val="bottom"/>
            <w:hideMark/>
          </w:tcPr>
          <w:p w:rsidR="00C034F6" w:rsidRPr="00C034F6" w:rsidRDefault="00C034F6" w:rsidP="00C034F6">
            <w:pPr>
              <w:spacing w:after="0"/>
              <w:jc w:val="left"/>
              <w:rPr>
                <w:rFonts w:eastAsia="Times New Roman" w:cs="Times New Roman"/>
                <w:sz w:val="16"/>
                <w:szCs w:val="16"/>
              </w:rPr>
            </w:pPr>
            <w:r w:rsidRPr="00C034F6">
              <w:rPr>
                <w:rFonts w:eastAsia="Times New Roman" w:cs="Times New Roman"/>
                <w:sz w:val="16"/>
                <w:szCs w:val="16"/>
              </w:rPr>
              <w:t>[6] D.29+D4 (other than D.41)+ D.5+D.7+D.9+P.52+P.53+K.2+D.8</w:t>
            </w:r>
          </w:p>
        </w:tc>
      </w:tr>
      <w:tr w:rsidR="00C034F6" w:rsidRPr="00C034F6" w:rsidTr="00C034F6">
        <w:trPr>
          <w:trHeight w:val="249"/>
        </w:trPr>
        <w:tc>
          <w:tcPr>
            <w:tcW w:w="8805" w:type="dxa"/>
            <w:tcBorders>
              <w:top w:val="nil"/>
              <w:left w:val="nil"/>
              <w:bottom w:val="nil"/>
              <w:right w:val="nil"/>
            </w:tcBorders>
            <w:shd w:val="clear" w:color="auto" w:fill="auto"/>
            <w:noWrap/>
            <w:vAlign w:val="bottom"/>
            <w:hideMark/>
          </w:tcPr>
          <w:p w:rsidR="00C034F6" w:rsidRPr="00C034F6" w:rsidRDefault="00C034F6" w:rsidP="00C034F6">
            <w:pPr>
              <w:spacing w:after="0"/>
              <w:jc w:val="left"/>
              <w:rPr>
                <w:rFonts w:eastAsia="Times New Roman" w:cs="Times New Roman"/>
                <w:sz w:val="17"/>
                <w:szCs w:val="17"/>
              </w:rPr>
            </w:pPr>
            <w:bookmarkStart w:id="68" w:name="RANGE!B139"/>
            <w:r w:rsidRPr="00C034F6">
              <w:rPr>
                <w:rFonts w:eastAsia="Times New Roman" w:cs="Times New Roman"/>
                <w:sz w:val="17"/>
                <w:szCs w:val="17"/>
              </w:rPr>
              <w:t>[7] Adjusted for the next flow of swap-related flows, so the TR-TE = EDP.B9.</w:t>
            </w:r>
            <w:bookmarkEnd w:id="68"/>
          </w:p>
        </w:tc>
      </w:tr>
    </w:tbl>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Pr="000848A2" w:rsidRDefault="000848A2" w:rsidP="000848A2">
      <w:pPr>
        <w:spacing w:after="0"/>
        <w:jc w:val="left"/>
        <w:rPr>
          <w:rFonts w:eastAsia="Times New Roman" w:cs="Times New Roman"/>
          <w:bCs/>
          <w:szCs w:val="24"/>
        </w:rPr>
      </w:pPr>
      <w:r w:rsidRPr="000848A2">
        <w:rPr>
          <w:rFonts w:eastAsia="Times New Roman" w:cs="Times New Roman"/>
          <w:bCs/>
          <w:szCs w:val="24"/>
        </w:rPr>
        <w:lastRenderedPageBreak/>
        <w:t>Table 2a:  General government budgetary prospects</w:t>
      </w:r>
    </w:p>
    <w:p w:rsidR="000848A2" w:rsidRDefault="000848A2" w:rsidP="007A0CEC">
      <w:pPr>
        <w:spacing w:after="0"/>
        <w:jc w:val="left"/>
        <w:rPr>
          <w:rFonts w:cs="Times New Roman"/>
          <w:szCs w:val="24"/>
          <w:lang w:val="sr-Latn-RS"/>
        </w:rPr>
      </w:pPr>
    </w:p>
    <w:p w:rsidR="000848A2" w:rsidRDefault="000848A2"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"Tab2a-GG!R4C2:R40C9" \a \f 4 \h </w:instrText>
      </w:r>
      <w:r>
        <w:rPr>
          <w:lang w:val="sr-Latn-RS"/>
        </w:rPr>
        <w:fldChar w:fldCharType="separate"/>
      </w:r>
    </w:p>
    <w:tbl>
      <w:tblPr>
        <w:tblW w:w="13500" w:type="dxa"/>
        <w:tblLook w:val="04A0" w:firstRow="1" w:lastRow="0" w:firstColumn="1" w:lastColumn="0" w:noHBand="0" w:noVBand="1"/>
      </w:tblPr>
      <w:tblGrid>
        <w:gridCol w:w="5160"/>
        <w:gridCol w:w="1020"/>
        <w:gridCol w:w="1220"/>
        <w:gridCol w:w="1220"/>
        <w:gridCol w:w="1220"/>
        <w:gridCol w:w="1220"/>
        <w:gridCol w:w="1220"/>
        <w:gridCol w:w="1220"/>
      </w:tblGrid>
      <w:tr w:rsidR="000848A2" w:rsidRPr="000848A2" w:rsidTr="000848A2">
        <w:trPr>
          <w:trHeight w:val="330"/>
          <w:tblHeader/>
        </w:trPr>
        <w:tc>
          <w:tcPr>
            <w:tcW w:w="5160" w:type="dxa"/>
            <w:vMerge w:val="restart"/>
            <w:tcBorders>
              <w:top w:val="double" w:sz="6" w:space="0" w:color="auto"/>
              <w:left w:val="double" w:sz="6" w:space="0" w:color="auto"/>
              <w:bottom w:val="nil"/>
              <w:right w:val="dotted" w:sz="4" w:space="0" w:color="auto"/>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w:t>
            </w:r>
          </w:p>
        </w:tc>
        <w:tc>
          <w:tcPr>
            <w:tcW w:w="1020"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ESA code</w:t>
            </w:r>
          </w:p>
        </w:tc>
        <w:tc>
          <w:tcPr>
            <w:tcW w:w="1220" w:type="dxa"/>
            <w:tcBorders>
              <w:top w:val="double" w:sz="6" w:space="0" w:color="auto"/>
              <w:left w:val="nil"/>
              <w:bottom w:val="nil"/>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r>
      <w:tr w:rsidR="000848A2" w:rsidRPr="000848A2" w:rsidTr="000848A2">
        <w:trPr>
          <w:trHeight w:val="309"/>
          <w:tblHeader/>
        </w:trPr>
        <w:tc>
          <w:tcPr>
            <w:tcW w:w="5160" w:type="dxa"/>
            <w:vMerge/>
            <w:tcBorders>
              <w:top w:val="double" w:sz="6" w:space="0" w:color="auto"/>
              <w:left w:val="double" w:sz="6" w:space="0" w:color="auto"/>
              <w:bottom w:val="nil"/>
              <w:right w:val="dotted" w:sz="4" w:space="0" w:color="auto"/>
            </w:tcBorders>
            <w:vAlign w:val="center"/>
            <w:hideMark/>
          </w:tcPr>
          <w:p w:rsidR="000848A2" w:rsidRPr="000848A2" w:rsidRDefault="000848A2" w:rsidP="000848A2">
            <w:pPr>
              <w:spacing w:after="0"/>
              <w:jc w:val="left"/>
              <w:rPr>
                <w:rFonts w:eastAsia="Times New Roman" w:cs="Times New Roman"/>
                <w:szCs w:val="24"/>
              </w:rPr>
            </w:pPr>
          </w:p>
        </w:tc>
        <w:tc>
          <w:tcPr>
            <w:tcW w:w="1020" w:type="dxa"/>
            <w:vMerge/>
            <w:tcBorders>
              <w:top w:val="double" w:sz="6" w:space="0" w:color="auto"/>
              <w:left w:val="dotted" w:sz="4" w:space="0" w:color="auto"/>
              <w:bottom w:val="single" w:sz="8" w:space="0" w:color="000000"/>
              <w:right w:val="single" w:sz="8" w:space="0" w:color="auto"/>
            </w:tcBorders>
            <w:vAlign w:val="center"/>
            <w:hideMark/>
          </w:tcPr>
          <w:p w:rsidR="000848A2" w:rsidRPr="000848A2" w:rsidRDefault="000848A2" w:rsidP="000848A2">
            <w:pPr>
              <w:spacing w:after="0"/>
              <w:jc w:val="left"/>
              <w:rPr>
                <w:rFonts w:eastAsia="Times New Roman" w:cs="Times New Roman"/>
                <w:szCs w:val="24"/>
              </w:rPr>
            </w:pPr>
          </w:p>
        </w:tc>
        <w:tc>
          <w:tcPr>
            <w:tcW w:w="12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2024</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2024</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2027</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2028</w:t>
            </w:r>
          </w:p>
        </w:tc>
      </w:tr>
      <w:tr w:rsidR="000848A2" w:rsidRPr="000848A2" w:rsidTr="000848A2">
        <w:trPr>
          <w:trHeight w:val="643"/>
          <w:tblHeader/>
        </w:trPr>
        <w:tc>
          <w:tcPr>
            <w:tcW w:w="5160" w:type="dxa"/>
            <w:tcBorders>
              <w:top w:val="nil"/>
              <w:left w:val="double" w:sz="6" w:space="0" w:color="auto"/>
              <w:bottom w:val="single" w:sz="8" w:space="0" w:color="auto"/>
              <w:right w:val="dotted" w:sz="4" w:space="0" w:color="auto"/>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w:t>
            </w:r>
          </w:p>
        </w:tc>
        <w:tc>
          <w:tcPr>
            <w:tcW w:w="1020" w:type="dxa"/>
            <w:vMerge/>
            <w:tcBorders>
              <w:top w:val="double" w:sz="6" w:space="0" w:color="auto"/>
              <w:left w:val="dotted" w:sz="4" w:space="0" w:color="auto"/>
              <w:bottom w:val="single" w:sz="8" w:space="0" w:color="000000"/>
              <w:right w:val="single" w:sz="8" w:space="0" w:color="auto"/>
            </w:tcBorders>
            <w:vAlign w:val="center"/>
            <w:hideMark/>
          </w:tcPr>
          <w:p w:rsidR="000848A2" w:rsidRPr="000848A2" w:rsidRDefault="000848A2" w:rsidP="000848A2">
            <w:pPr>
              <w:spacing w:after="0"/>
              <w:jc w:val="left"/>
              <w:rPr>
                <w:rFonts w:eastAsia="Times New Roman" w:cs="Times New Roman"/>
                <w:szCs w:val="24"/>
              </w:rPr>
            </w:pPr>
          </w:p>
        </w:tc>
        <w:tc>
          <w:tcPr>
            <w:tcW w:w="1220" w:type="dxa"/>
            <w:tcBorders>
              <w:top w:val="nil"/>
              <w:left w:val="nil"/>
              <w:bottom w:val="single" w:sz="8"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Level (bn NCU)</w:t>
            </w:r>
          </w:p>
        </w:tc>
        <w:tc>
          <w:tcPr>
            <w:tcW w:w="6100" w:type="dxa"/>
            <w:gridSpan w:val="5"/>
            <w:tcBorders>
              <w:top w:val="dotted" w:sz="4" w:space="0" w:color="auto"/>
              <w:left w:val="nil"/>
              <w:bottom w:val="single" w:sz="8" w:space="0" w:color="auto"/>
              <w:right w:val="double" w:sz="6" w:space="0" w:color="000000"/>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 of GDP</w:t>
            </w:r>
          </w:p>
        </w:tc>
      </w:tr>
      <w:tr w:rsidR="000848A2" w:rsidRPr="000848A2" w:rsidTr="000848A2">
        <w:trPr>
          <w:trHeight w:val="540"/>
        </w:trPr>
        <w:tc>
          <w:tcPr>
            <w:tcW w:w="5160" w:type="dxa"/>
            <w:tcBorders>
              <w:top w:val="nil"/>
              <w:left w:val="double" w:sz="6" w:space="0" w:color="auto"/>
              <w:bottom w:val="single" w:sz="8" w:space="0" w:color="auto"/>
              <w:right w:val="nil"/>
            </w:tcBorders>
            <w:shd w:val="clear" w:color="000000" w:fill="FFFFFF"/>
            <w:vAlign w:val="center"/>
            <w:hideMark/>
          </w:tcPr>
          <w:p w:rsidR="000848A2" w:rsidRPr="000848A2" w:rsidRDefault="000848A2" w:rsidP="000848A2">
            <w:pPr>
              <w:spacing w:after="0"/>
              <w:jc w:val="center"/>
              <w:rPr>
                <w:rFonts w:eastAsia="Times New Roman" w:cs="Times New Roman"/>
                <w:b/>
                <w:bCs/>
                <w:szCs w:val="24"/>
              </w:rPr>
            </w:pPr>
            <w:r w:rsidRPr="000848A2">
              <w:rPr>
                <w:rFonts w:eastAsia="Times New Roman" w:cs="Times New Roman"/>
                <w:b/>
                <w:bCs/>
                <w:szCs w:val="24"/>
              </w:rPr>
              <w:t>Net lending (B9) by sub-sectors</w:t>
            </w:r>
          </w:p>
        </w:tc>
        <w:tc>
          <w:tcPr>
            <w:tcW w:w="10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double" w:sz="6" w:space="0" w:color="auto"/>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xml:space="preserve">1. General government </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-191.86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-2.5</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2. Central government</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S1311</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-212.08</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-2.5</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3. State government</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S1312</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4. Local government</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S1313</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9.29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0.1</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r>
      <w:tr w:rsidR="000848A2" w:rsidRPr="000848A2" w:rsidTr="000848A2">
        <w:trPr>
          <w:trHeight w:val="420"/>
        </w:trPr>
        <w:tc>
          <w:tcPr>
            <w:tcW w:w="5160" w:type="dxa"/>
            <w:tcBorders>
              <w:top w:val="nil"/>
              <w:left w:val="double" w:sz="6" w:space="0" w:color="auto"/>
              <w:bottom w:val="single" w:sz="8"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5. Social security funds</w:t>
            </w:r>
          </w:p>
        </w:tc>
        <w:tc>
          <w:tcPr>
            <w:tcW w:w="1020" w:type="dxa"/>
            <w:tcBorders>
              <w:top w:val="nil"/>
              <w:left w:val="nil"/>
              <w:bottom w:val="single" w:sz="8"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S1314</w:t>
            </w:r>
          </w:p>
        </w:tc>
        <w:tc>
          <w:tcPr>
            <w:tcW w:w="1220" w:type="dxa"/>
            <w:tcBorders>
              <w:top w:val="nil"/>
              <w:left w:val="nil"/>
              <w:bottom w:val="single" w:sz="8"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10.93</w:t>
            </w:r>
          </w:p>
        </w:tc>
        <w:tc>
          <w:tcPr>
            <w:tcW w:w="1220" w:type="dxa"/>
            <w:tcBorders>
              <w:top w:val="nil"/>
              <w:left w:val="nil"/>
              <w:bottom w:val="single" w:sz="8"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0.1</w:t>
            </w:r>
          </w:p>
        </w:tc>
        <w:tc>
          <w:tcPr>
            <w:tcW w:w="1220" w:type="dxa"/>
            <w:tcBorders>
              <w:top w:val="nil"/>
              <w:left w:val="nil"/>
              <w:bottom w:val="single" w:sz="8"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single" w:sz="8"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single" w:sz="8"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single" w:sz="8"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r>
      <w:tr w:rsidR="000848A2" w:rsidRPr="000848A2" w:rsidTr="000848A2">
        <w:trPr>
          <w:trHeight w:val="420"/>
        </w:trPr>
        <w:tc>
          <w:tcPr>
            <w:tcW w:w="13500"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rsidR="000848A2" w:rsidRPr="000848A2" w:rsidRDefault="000848A2" w:rsidP="000848A2">
            <w:pPr>
              <w:spacing w:after="0"/>
              <w:jc w:val="center"/>
              <w:rPr>
                <w:rFonts w:eastAsia="Times New Roman" w:cs="Times New Roman"/>
                <w:b/>
                <w:bCs/>
                <w:szCs w:val="24"/>
              </w:rPr>
            </w:pPr>
            <w:r w:rsidRPr="000848A2">
              <w:rPr>
                <w:rFonts w:eastAsia="Times New Roman" w:cs="Times New Roman"/>
                <w:b/>
                <w:bCs/>
                <w:szCs w:val="24"/>
              </w:rPr>
              <w:t>General government (S13)</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6. Total revenue</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TR</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3,940.96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40.1</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40.0</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7. Total expenditure[1]</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TE</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4,132.82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42.4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43.9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43.9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43.1</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42.5</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8. Net borrowing/lending</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EDP.B9</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-191.86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-3.0</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-2.5</w:t>
            </w:r>
          </w:p>
        </w:tc>
      </w:tr>
      <w:tr w:rsidR="000848A2" w:rsidRPr="000848A2" w:rsidTr="000848A2">
        <w:trPr>
          <w:trHeight w:val="465"/>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9. Interest expenditure</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EDP.D41 incl. FISIM</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180.46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10. Primary balance[2]</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-11.40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-0.1</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-0.6</w:t>
            </w:r>
          </w:p>
        </w:tc>
      </w:tr>
      <w:tr w:rsidR="000848A2" w:rsidRPr="000848A2" w:rsidTr="000848A2">
        <w:trPr>
          <w:trHeight w:val="420"/>
        </w:trPr>
        <w:tc>
          <w:tcPr>
            <w:tcW w:w="5160" w:type="dxa"/>
            <w:tcBorders>
              <w:top w:val="nil"/>
              <w:left w:val="double" w:sz="6" w:space="0" w:color="auto"/>
              <w:bottom w:val="single" w:sz="8"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11. One-off and other temporary measures [3]</w:t>
            </w:r>
          </w:p>
        </w:tc>
        <w:tc>
          <w:tcPr>
            <w:tcW w:w="1020" w:type="dxa"/>
            <w:tcBorders>
              <w:top w:val="nil"/>
              <w:left w:val="nil"/>
              <w:bottom w:val="single" w:sz="8"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single" w:sz="8"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r>
      <w:tr w:rsidR="000848A2" w:rsidRPr="000848A2" w:rsidTr="000848A2">
        <w:trPr>
          <w:trHeight w:val="420"/>
        </w:trPr>
        <w:tc>
          <w:tcPr>
            <w:tcW w:w="13500"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rsidR="000848A2" w:rsidRPr="000848A2" w:rsidRDefault="000848A2" w:rsidP="000848A2">
            <w:pPr>
              <w:spacing w:after="0"/>
              <w:jc w:val="center"/>
              <w:rPr>
                <w:rFonts w:eastAsia="Times New Roman" w:cs="Times New Roman"/>
                <w:b/>
                <w:bCs/>
                <w:szCs w:val="24"/>
              </w:rPr>
            </w:pPr>
            <w:r w:rsidRPr="000848A2">
              <w:rPr>
                <w:rFonts w:eastAsia="Times New Roman" w:cs="Times New Roman"/>
                <w:b/>
                <w:bCs/>
                <w:szCs w:val="24"/>
              </w:rPr>
              <w:t>Components of revenues</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lastRenderedPageBreak/>
              <w:t>12. Total taxes  (12 = 12a+12b+12c)</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bookmarkStart w:id="69" w:name="RANGE!C21"/>
            <w:bookmarkStart w:id="70" w:name="RANGE!C20"/>
            <w:bookmarkEnd w:id="70"/>
            <w:r w:rsidRPr="000848A2">
              <w:rPr>
                <w:rFonts w:eastAsia="Times New Roman" w:cs="Times New Roman"/>
                <w:sz w:val="20"/>
                <w:szCs w:val="20"/>
              </w:rPr>
              <w:t> </w:t>
            </w:r>
            <w:bookmarkEnd w:id="69"/>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2,272.35</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23.3</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22.8</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22.4</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22.2</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12a. Taxes on production and imports</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bookmarkStart w:id="71" w:name="RANGE!C22"/>
            <w:r w:rsidRPr="000848A2">
              <w:rPr>
                <w:rFonts w:eastAsia="Times New Roman" w:cs="Times New Roman"/>
                <w:sz w:val="20"/>
                <w:szCs w:val="20"/>
              </w:rPr>
              <w:t>D2</w:t>
            </w:r>
            <w:bookmarkEnd w:id="71"/>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1,510.30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15.5</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15.3</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15.3</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14.9</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14.7</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12b. Current taxes on income and wealth</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bookmarkStart w:id="72" w:name="RANGE!C23"/>
            <w:r w:rsidRPr="000848A2">
              <w:rPr>
                <w:rFonts w:eastAsia="Times New Roman" w:cs="Times New Roman"/>
                <w:sz w:val="20"/>
                <w:szCs w:val="20"/>
              </w:rPr>
              <w:t>D5</w:t>
            </w:r>
            <w:bookmarkEnd w:id="72"/>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760.98</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7.8</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7.5</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7.5</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12c. Capital taxes</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bookmarkStart w:id="73" w:name="RANGE!C24"/>
            <w:r w:rsidRPr="000848A2">
              <w:rPr>
                <w:rFonts w:eastAsia="Times New Roman" w:cs="Times New Roman"/>
                <w:sz w:val="20"/>
                <w:szCs w:val="20"/>
              </w:rPr>
              <w:t>D91</w:t>
            </w:r>
            <w:bookmarkEnd w:id="73"/>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1.07</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13. Social contributions</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D61</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1,225.03</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13.7</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13.9</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14. Property income</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D4</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113.57</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15. Other (15 = 16-(12+13+14)) [4]</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330.02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3.5</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2.7</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2.6</w:t>
            </w:r>
          </w:p>
        </w:tc>
      </w:tr>
      <w:tr w:rsidR="000848A2" w:rsidRPr="000848A2" w:rsidTr="000848A2">
        <w:trPr>
          <w:trHeight w:val="420"/>
        </w:trPr>
        <w:tc>
          <w:tcPr>
            <w:tcW w:w="5160" w:type="dxa"/>
            <w:tcBorders>
              <w:top w:val="nil"/>
              <w:left w:val="double" w:sz="6" w:space="0" w:color="auto"/>
              <w:bottom w:val="dotted" w:sz="4" w:space="0" w:color="auto"/>
              <w:right w:val="dotted" w:sz="4" w:space="0" w:color="auto"/>
            </w:tcBorders>
            <w:shd w:val="clear" w:color="auto" w:fill="auto"/>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xml:space="preserve">16 = 6. Total revenue </w:t>
            </w:r>
          </w:p>
        </w:tc>
        <w:tc>
          <w:tcPr>
            <w:tcW w:w="10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TR</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3,940.96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40.1</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40.0</w:t>
            </w:r>
          </w:p>
        </w:tc>
      </w:tr>
      <w:tr w:rsidR="000848A2" w:rsidRPr="000848A2" w:rsidTr="000848A2">
        <w:trPr>
          <w:trHeight w:val="420"/>
        </w:trPr>
        <w:tc>
          <w:tcPr>
            <w:tcW w:w="5160" w:type="dxa"/>
            <w:tcBorders>
              <w:top w:val="nil"/>
              <w:left w:val="double" w:sz="6" w:space="0" w:color="auto"/>
              <w:bottom w:val="single" w:sz="8" w:space="0" w:color="auto"/>
              <w:right w:val="nil"/>
            </w:tcBorders>
            <w:shd w:val="clear" w:color="auto" w:fill="auto"/>
            <w:noWrap/>
            <w:vAlign w:val="bottom"/>
            <w:hideMark/>
          </w:tcPr>
          <w:p w:rsidR="000848A2" w:rsidRPr="000848A2" w:rsidRDefault="000848A2" w:rsidP="000848A2">
            <w:pPr>
              <w:spacing w:after="0"/>
              <w:jc w:val="left"/>
              <w:rPr>
                <w:rFonts w:ascii="Arial" w:eastAsia="Times New Roman" w:hAnsi="Arial" w:cs="Arial"/>
                <w:sz w:val="20"/>
                <w:szCs w:val="20"/>
              </w:rPr>
            </w:pPr>
            <w:r w:rsidRPr="000848A2">
              <w:rPr>
                <w:rFonts w:ascii="Arial" w:eastAsia="Times New Roman" w:hAnsi="Arial" w:cs="Arial"/>
                <w:sz w:val="20"/>
                <w:szCs w:val="20"/>
              </w:rPr>
              <w:t>p.m.: Tax burden (D2+D5+D61+D91-D995) [5]</w:t>
            </w:r>
          </w:p>
        </w:tc>
        <w:tc>
          <w:tcPr>
            <w:tcW w:w="1020" w:type="dxa"/>
            <w:tcBorders>
              <w:top w:val="nil"/>
              <w:left w:val="nil"/>
              <w:bottom w:val="single" w:sz="8" w:space="0" w:color="000000"/>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single" w:sz="8"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3,497.38</w:t>
            </w:r>
          </w:p>
        </w:tc>
        <w:tc>
          <w:tcPr>
            <w:tcW w:w="1220" w:type="dxa"/>
            <w:tcBorders>
              <w:top w:val="nil"/>
              <w:left w:val="nil"/>
              <w:bottom w:val="single" w:sz="8" w:space="0" w:color="000000"/>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35.9</w:t>
            </w:r>
          </w:p>
        </w:tc>
        <w:tc>
          <w:tcPr>
            <w:tcW w:w="1220" w:type="dxa"/>
            <w:tcBorders>
              <w:top w:val="nil"/>
              <w:left w:val="nil"/>
              <w:bottom w:val="single" w:sz="8" w:space="0" w:color="000000"/>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36.1</w:t>
            </w:r>
          </w:p>
        </w:tc>
        <w:tc>
          <w:tcPr>
            <w:tcW w:w="1220" w:type="dxa"/>
            <w:tcBorders>
              <w:top w:val="nil"/>
              <w:left w:val="nil"/>
              <w:bottom w:val="single" w:sz="8" w:space="0" w:color="000000"/>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36.5</w:t>
            </w:r>
          </w:p>
        </w:tc>
        <w:tc>
          <w:tcPr>
            <w:tcW w:w="1220" w:type="dxa"/>
            <w:tcBorders>
              <w:top w:val="nil"/>
              <w:left w:val="nil"/>
              <w:bottom w:val="single" w:sz="8" w:space="0" w:color="000000"/>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36.1</w:t>
            </w:r>
          </w:p>
        </w:tc>
        <w:tc>
          <w:tcPr>
            <w:tcW w:w="1220" w:type="dxa"/>
            <w:tcBorders>
              <w:top w:val="nil"/>
              <w:left w:val="nil"/>
              <w:bottom w:val="single" w:sz="8"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36.1</w:t>
            </w:r>
          </w:p>
        </w:tc>
      </w:tr>
      <w:tr w:rsidR="000848A2" w:rsidRPr="000848A2" w:rsidTr="000848A2">
        <w:trPr>
          <w:trHeight w:val="420"/>
        </w:trPr>
        <w:tc>
          <w:tcPr>
            <w:tcW w:w="13500" w:type="dxa"/>
            <w:gridSpan w:val="8"/>
            <w:tcBorders>
              <w:top w:val="single" w:sz="8" w:space="0" w:color="auto"/>
              <w:left w:val="double" w:sz="6" w:space="0" w:color="auto"/>
              <w:bottom w:val="single" w:sz="8" w:space="0" w:color="auto"/>
              <w:right w:val="double" w:sz="6" w:space="0" w:color="000000"/>
            </w:tcBorders>
            <w:shd w:val="clear" w:color="auto" w:fill="auto"/>
            <w:vAlign w:val="center"/>
            <w:hideMark/>
          </w:tcPr>
          <w:p w:rsidR="000848A2" w:rsidRPr="000848A2" w:rsidRDefault="000848A2" w:rsidP="000848A2">
            <w:pPr>
              <w:spacing w:after="0"/>
              <w:jc w:val="center"/>
              <w:rPr>
                <w:rFonts w:eastAsia="Times New Roman" w:cs="Times New Roman"/>
                <w:b/>
                <w:bCs/>
                <w:szCs w:val="24"/>
              </w:rPr>
            </w:pPr>
            <w:r w:rsidRPr="000848A2">
              <w:rPr>
                <w:rFonts w:eastAsia="Times New Roman" w:cs="Times New Roman"/>
                <w:b/>
                <w:bCs/>
                <w:szCs w:val="24"/>
              </w:rPr>
              <w:t>Selected components of expenditures</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17. Collective consumption</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P32</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1,583.31</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17.8</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17.6</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17.6</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18. Total social transfers</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D62 + D63</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1,260.19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13.7</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13.4</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18a. Social transfers in kind</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P31 = D63</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18b. Social transfers other than in kind</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D62</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1,260.19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13.7</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13.4</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xml:space="preserve">19 = 9. Interest expenditure (incl. FISIM) </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EDP.D41 + FISIM</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180.46</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20. Subsidies</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D3</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236.74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2.1</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2.1</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21. Gross fixed capital formation</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P51</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704.65</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7.1</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6.7</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6.4</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6.1</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lastRenderedPageBreak/>
              <w:t>22. Other (22 = 23-(17+18+19+20+21)) [6]</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167.48</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1.4</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xml:space="preserve">23. Total expenditures </w:t>
            </w:r>
          </w:p>
        </w:tc>
        <w:tc>
          <w:tcPr>
            <w:tcW w:w="1020" w:type="dxa"/>
            <w:tcBorders>
              <w:top w:val="nil"/>
              <w:left w:val="dotted" w:sz="4" w:space="0" w:color="auto"/>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TE [1]</w:t>
            </w:r>
          </w:p>
        </w:tc>
        <w:tc>
          <w:tcPr>
            <w:tcW w:w="1220" w:type="dxa"/>
            <w:tcBorders>
              <w:top w:val="nil"/>
              <w:left w:val="nil"/>
              <w:bottom w:val="dotted" w:sz="4" w:space="0" w:color="auto"/>
              <w:right w:val="single" w:sz="8"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4,132.82</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42.4</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43.9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43.9</w:t>
            </w:r>
          </w:p>
        </w:tc>
        <w:tc>
          <w:tcPr>
            <w:tcW w:w="1220" w:type="dxa"/>
            <w:tcBorders>
              <w:top w:val="nil"/>
              <w:left w:val="nil"/>
              <w:bottom w:val="dotted" w:sz="4" w:space="0" w:color="auto"/>
              <w:right w:val="dotted" w:sz="4"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43.1</w:t>
            </w:r>
          </w:p>
        </w:tc>
        <w:tc>
          <w:tcPr>
            <w:tcW w:w="1220" w:type="dxa"/>
            <w:tcBorders>
              <w:top w:val="nil"/>
              <w:left w:val="nil"/>
              <w:bottom w:val="dotted" w:sz="4" w:space="0" w:color="auto"/>
              <w:right w:val="double" w:sz="6" w:space="0" w:color="auto"/>
            </w:tcBorders>
            <w:shd w:val="clear" w:color="auto" w:fill="auto"/>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42.5</w:t>
            </w:r>
          </w:p>
        </w:tc>
      </w:tr>
      <w:tr w:rsidR="000848A2" w:rsidRPr="000848A2" w:rsidTr="000848A2">
        <w:trPr>
          <w:trHeight w:val="345"/>
        </w:trPr>
        <w:tc>
          <w:tcPr>
            <w:tcW w:w="5160" w:type="dxa"/>
            <w:tcBorders>
              <w:top w:val="nil"/>
              <w:left w:val="double" w:sz="6" w:space="0" w:color="auto"/>
              <w:bottom w:val="double" w:sz="6" w:space="0" w:color="auto"/>
              <w:right w:val="nil"/>
            </w:tcBorders>
            <w:shd w:val="clear" w:color="auto" w:fill="auto"/>
            <w:vAlign w:val="bottom"/>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p.m.  compensation of employees</w:t>
            </w:r>
          </w:p>
        </w:tc>
        <w:tc>
          <w:tcPr>
            <w:tcW w:w="1020" w:type="dxa"/>
            <w:tcBorders>
              <w:top w:val="nil"/>
              <w:left w:val="dotted" w:sz="4" w:space="0" w:color="auto"/>
              <w:bottom w:val="double" w:sz="6" w:space="0" w:color="auto"/>
              <w:right w:val="single" w:sz="8" w:space="0" w:color="auto"/>
            </w:tcBorders>
            <w:shd w:val="clear" w:color="auto" w:fill="auto"/>
            <w:vAlign w:val="bottom"/>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D1</w:t>
            </w:r>
          </w:p>
        </w:tc>
        <w:tc>
          <w:tcPr>
            <w:tcW w:w="1220" w:type="dxa"/>
            <w:tcBorders>
              <w:top w:val="nil"/>
              <w:left w:val="nil"/>
              <w:bottom w:val="double" w:sz="6" w:space="0" w:color="auto"/>
              <w:right w:val="single" w:sz="8" w:space="0" w:color="auto"/>
            </w:tcBorders>
            <w:shd w:val="clear" w:color="auto" w:fill="auto"/>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907.16</w:t>
            </w:r>
          </w:p>
        </w:tc>
        <w:tc>
          <w:tcPr>
            <w:tcW w:w="1220" w:type="dxa"/>
            <w:tcBorders>
              <w:top w:val="nil"/>
              <w:left w:val="nil"/>
              <w:bottom w:val="double" w:sz="6" w:space="0" w:color="auto"/>
              <w:right w:val="dotted" w:sz="4" w:space="0" w:color="auto"/>
            </w:tcBorders>
            <w:shd w:val="clear" w:color="auto" w:fill="auto"/>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9.3</w:t>
            </w:r>
          </w:p>
        </w:tc>
        <w:tc>
          <w:tcPr>
            <w:tcW w:w="1220" w:type="dxa"/>
            <w:tcBorders>
              <w:top w:val="nil"/>
              <w:left w:val="nil"/>
              <w:bottom w:val="double" w:sz="6" w:space="0" w:color="auto"/>
              <w:right w:val="dotted" w:sz="4" w:space="0" w:color="auto"/>
            </w:tcBorders>
            <w:shd w:val="clear" w:color="auto" w:fill="auto"/>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9.9</w:t>
            </w:r>
          </w:p>
        </w:tc>
        <w:tc>
          <w:tcPr>
            <w:tcW w:w="1220" w:type="dxa"/>
            <w:tcBorders>
              <w:top w:val="nil"/>
              <w:left w:val="nil"/>
              <w:bottom w:val="double" w:sz="6" w:space="0" w:color="auto"/>
              <w:right w:val="dotted" w:sz="4" w:space="0" w:color="auto"/>
            </w:tcBorders>
            <w:shd w:val="clear" w:color="auto" w:fill="auto"/>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10.2</w:t>
            </w:r>
          </w:p>
        </w:tc>
        <w:tc>
          <w:tcPr>
            <w:tcW w:w="1220" w:type="dxa"/>
            <w:tcBorders>
              <w:top w:val="nil"/>
              <w:left w:val="nil"/>
              <w:bottom w:val="double" w:sz="6" w:space="0" w:color="auto"/>
              <w:right w:val="dotted" w:sz="4" w:space="0" w:color="auto"/>
            </w:tcBorders>
            <w:shd w:val="clear" w:color="auto" w:fill="auto"/>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10.2</w:t>
            </w:r>
          </w:p>
        </w:tc>
        <w:tc>
          <w:tcPr>
            <w:tcW w:w="1220" w:type="dxa"/>
            <w:tcBorders>
              <w:top w:val="nil"/>
              <w:left w:val="nil"/>
              <w:bottom w:val="double" w:sz="6" w:space="0" w:color="auto"/>
              <w:right w:val="double" w:sz="6" w:space="0" w:color="auto"/>
            </w:tcBorders>
            <w:shd w:val="clear" w:color="auto" w:fill="auto"/>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10.2</w:t>
            </w:r>
          </w:p>
        </w:tc>
      </w:tr>
    </w:tbl>
    <w:p w:rsidR="000848A2" w:rsidRDefault="000848A2" w:rsidP="007A0CEC">
      <w:pPr>
        <w:spacing w:after="0"/>
        <w:jc w:val="left"/>
        <w:rPr>
          <w:rFonts w:cs="Times New Roman"/>
          <w:szCs w:val="24"/>
          <w:lang w:val="sr-Latn-RS"/>
        </w:rPr>
      </w:pPr>
      <w:r>
        <w:rPr>
          <w:rFonts w:cs="Times New Roman"/>
          <w:szCs w:val="24"/>
          <w:lang w:val="sr-Latn-RS"/>
        </w:rPr>
        <w:fldChar w:fldCharType="end"/>
      </w:r>
    </w:p>
    <w:tbl>
      <w:tblPr>
        <w:tblW w:w="13516" w:type="dxa"/>
        <w:tblLook w:val="04A0" w:firstRow="1" w:lastRow="0" w:firstColumn="1" w:lastColumn="0" w:noHBand="0" w:noVBand="1"/>
      </w:tblPr>
      <w:tblGrid>
        <w:gridCol w:w="12110"/>
        <w:gridCol w:w="264"/>
        <w:gridCol w:w="264"/>
        <w:gridCol w:w="264"/>
        <w:gridCol w:w="264"/>
        <w:gridCol w:w="264"/>
        <w:gridCol w:w="264"/>
        <w:gridCol w:w="264"/>
      </w:tblGrid>
      <w:tr w:rsidR="000848A2" w:rsidRPr="000848A2" w:rsidTr="000848A2">
        <w:trPr>
          <w:trHeight w:val="258"/>
        </w:trPr>
        <w:tc>
          <w:tcPr>
            <w:tcW w:w="13516" w:type="dxa"/>
            <w:gridSpan w:val="8"/>
            <w:tcBorders>
              <w:top w:val="nil"/>
              <w:left w:val="nil"/>
              <w:bottom w:val="nil"/>
              <w:right w:val="nil"/>
            </w:tcBorders>
            <w:shd w:val="clear" w:color="auto" w:fill="auto"/>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[1]   Adjusted for the next flow of swap-related flows, so the TR-TE = EDP.B9.</w:t>
            </w:r>
          </w:p>
        </w:tc>
      </w:tr>
      <w:tr w:rsidR="000848A2" w:rsidRPr="000848A2" w:rsidTr="000848A2">
        <w:trPr>
          <w:trHeight w:val="258"/>
        </w:trPr>
        <w:tc>
          <w:tcPr>
            <w:tcW w:w="12836" w:type="dxa"/>
            <w:gridSpan w:val="3"/>
            <w:tcBorders>
              <w:top w:val="nil"/>
              <w:left w:val="nil"/>
              <w:bottom w:val="nil"/>
              <w:right w:val="nil"/>
            </w:tcBorders>
            <w:shd w:val="clear" w:color="000000" w:fill="FFFFFF"/>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[2]   The primary balance is calculated as (EDP B.9, item 8) plus (EDP D.41, item 9).</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r w:rsidR="000848A2" w:rsidRPr="000848A2" w:rsidTr="000848A2">
        <w:trPr>
          <w:trHeight w:val="258"/>
        </w:trPr>
        <w:tc>
          <w:tcPr>
            <w:tcW w:w="1256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[3]   A plus sign means deficit-reducing one-off measures</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rPr>
                <w:rFonts w:eastAsia="Times New Roman" w:cs="Times New Roman"/>
                <w:sz w:val="16"/>
                <w:szCs w:val="16"/>
              </w:rPr>
            </w:pPr>
            <w:r w:rsidRPr="000848A2">
              <w:rPr>
                <w:rFonts w:eastAsia="Times New Roman" w:cs="Times New Roman"/>
                <w:sz w:val="16"/>
                <w:szCs w:val="16"/>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r w:rsidR="000848A2" w:rsidRPr="000848A2" w:rsidTr="000848A2">
        <w:trPr>
          <w:trHeight w:val="258"/>
        </w:trPr>
        <w:tc>
          <w:tcPr>
            <w:tcW w:w="12564" w:type="dxa"/>
            <w:tcBorders>
              <w:top w:val="nil"/>
              <w:left w:val="nil"/>
              <w:bottom w:val="nil"/>
              <w:right w:val="nil"/>
            </w:tcBorders>
            <w:shd w:val="clear" w:color="000000" w:fill="FFFFFF"/>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[4]   P.11+P.12+P.131+D.39+D.7+D.9 (other than D.91).</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r w:rsidR="000848A2" w:rsidRPr="000848A2" w:rsidTr="000848A2">
        <w:trPr>
          <w:trHeight w:val="258"/>
        </w:trPr>
        <w:tc>
          <w:tcPr>
            <w:tcW w:w="13244" w:type="dxa"/>
            <w:gridSpan w:val="6"/>
            <w:tcBorders>
              <w:top w:val="nil"/>
              <w:left w:val="nil"/>
              <w:bottom w:val="nil"/>
              <w:right w:val="nil"/>
            </w:tcBorders>
            <w:shd w:val="clear" w:color="000000" w:fill="FFFFFF"/>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[5]   Including those collected by the EU and including an adjustment for uncollected taxes and social contributions (D995), if appropriate.</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r w:rsidR="000848A2" w:rsidRPr="000848A2" w:rsidTr="000848A2">
        <w:trPr>
          <w:trHeight w:val="258"/>
        </w:trPr>
        <w:tc>
          <w:tcPr>
            <w:tcW w:w="12700" w:type="dxa"/>
            <w:gridSpan w:val="2"/>
            <w:tcBorders>
              <w:top w:val="nil"/>
              <w:left w:val="nil"/>
              <w:bottom w:val="nil"/>
              <w:right w:val="nil"/>
            </w:tcBorders>
            <w:shd w:val="clear" w:color="000000" w:fill="FFFFFF"/>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[6]   D.29+D4 (other than D.41)+ D.5+D.7+D.9+P.52+P.53+K.2+D.8.</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6"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bl>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0848A2">
      <w:pPr>
        <w:spacing w:after="0"/>
        <w:jc w:val="left"/>
        <w:rPr>
          <w:rFonts w:eastAsia="Times New Roman" w:cs="Times New Roman"/>
          <w:bCs/>
          <w:szCs w:val="24"/>
        </w:rPr>
      </w:pPr>
      <w:r w:rsidRPr="000848A2">
        <w:rPr>
          <w:rFonts w:eastAsia="Times New Roman" w:cs="Times New Roman"/>
          <w:bCs/>
          <w:szCs w:val="24"/>
        </w:rPr>
        <w:lastRenderedPageBreak/>
        <w:t>Table 2b:  General government budgetary prospects</w:t>
      </w:r>
    </w:p>
    <w:p w:rsidR="000848A2" w:rsidRDefault="000848A2" w:rsidP="000848A2">
      <w:pPr>
        <w:spacing w:after="0"/>
        <w:jc w:val="left"/>
        <w:rPr>
          <w:rFonts w:eastAsia="Times New Roman" w:cs="Times New Roman"/>
          <w:bCs/>
          <w:szCs w:val="24"/>
        </w:rPr>
      </w:pPr>
    </w:p>
    <w:p w:rsidR="000848A2" w:rsidRDefault="000848A2" w:rsidP="000848A2">
      <w:pPr>
        <w:spacing w:after="0"/>
        <w:jc w:val="left"/>
        <w:rPr>
          <w:rFonts w:asciiTheme="minorHAnsi" w:hAnsiTheme="minorHAnsi"/>
          <w:sz w:val="22"/>
        </w:rPr>
      </w:pPr>
      <w:r>
        <w:fldChar w:fldCharType="begin"/>
      </w:r>
      <w:r>
        <w:instrText xml:space="preserve"> LINK Excel.Sheet.12 "C:\\Users\\ognjen.jancic\\Dropbox\\Dropbox\\Makro sektor\\13. ERP 2026-2028\\ERP OBJEDINJENI\\engleska verzija\\engleska verzija za objavu\\ERP_Annex_tables_2026_XY.xlsx" "Tab2b-GG!R4C2:R40C9" \a \f 4 \h </w:instrText>
      </w:r>
      <w:r>
        <w:fldChar w:fldCharType="separate"/>
      </w:r>
    </w:p>
    <w:tbl>
      <w:tblPr>
        <w:tblW w:w="13300" w:type="dxa"/>
        <w:tblLook w:val="04A0" w:firstRow="1" w:lastRow="0" w:firstColumn="1" w:lastColumn="0" w:noHBand="0" w:noVBand="1"/>
      </w:tblPr>
      <w:tblGrid>
        <w:gridCol w:w="5160"/>
        <w:gridCol w:w="1020"/>
        <w:gridCol w:w="1020"/>
        <w:gridCol w:w="1220"/>
        <w:gridCol w:w="1220"/>
        <w:gridCol w:w="1220"/>
        <w:gridCol w:w="1220"/>
        <w:gridCol w:w="1220"/>
      </w:tblGrid>
      <w:tr w:rsidR="000848A2" w:rsidRPr="000848A2" w:rsidTr="000848A2">
        <w:trPr>
          <w:trHeight w:val="330"/>
          <w:tblHeader/>
        </w:trPr>
        <w:tc>
          <w:tcPr>
            <w:tcW w:w="5160" w:type="dxa"/>
            <w:vMerge w:val="restart"/>
            <w:tcBorders>
              <w:top w:val="double" w:sz="6" w:space="0" w:color="auto"/>
              <w:left w:val="double" w:sz="6" w:space="0" w:color="auto"/>
              <w:bottom w:val="nil"/>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w:t>
            </w:r>
          </w:p>
        </w:tc>
        <w:tc>
          <w:tcPr>
            <w:tcW w:w="1020" w:type="dxa"/>
            <w:vMerge w:val="restart"/>
            <w:tcBorders>
              <w:top w:val="double" w:sz="6" w:space="0" w:color="auto"/>
              <w:left w:val="nil"/>
              <w:bottom w:val="single" w:sz="8" w:space="0" w:color="000000"/>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 </w:t>
            </w:r>
          </w:p>
        </w:tc>
        <w:tc>
          <w:tcPr>
            <w:tcW w:w="1020"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ESA code</w:t>
            </w:r>
          </w:p>
        </w:tc>
        <w:tc>
          <w:tcPr>
            <w:tcW w:w="1220" w:type="dxa"/>
            <w:tcBorders>
              <w:top w:val="double" w:sz="6" w:space="0" w:color="auto"/>
              <w:left w:val="nil"/>
              <w:bottom w:val="nil"/>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c>
          <w:tcPr>
            <w:tcW w:w="1220" w:type="dxa"/>
            <w:tcBorders>
              <w:top w:val="double" w:sz="6" w:space="0" w:color="auto"/>
              <w:left w:val="nil"/>
              <w:bottom w:val="nil"/>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Year</w:t>
            </w:r>
          </w:p>
        </w:tc>
      </w:tr>
      <w:tr w:rsidR="000848A2" w:rsidRPr="000848A2" w:rsidTr="000848A2">
        <w:trPr>
          <w:trHeight w:val="309"/>
          <w:tblHeader/>
        </w:trPr>
        <w:tc>
          <w:tcPr>
            <w:tcW w:w="5160" w:type="dxa"/>
            <w:vMerge/>
            <w:tcBorders>
              <w:top w:val="double" w:sz="6" w:space="0" w:color="auto"/>
              <w:left w:val="double" w:sz="6" w:space="0" w:color="auto"/>
              <w:bottom w:val="nil"/>
              <w:right w:val="nil"/>
            </w:tcBorders>
            <w:vAlign w:val="center"/>
            <w:hideMark/>
          </w:tcPr>
          <w:p w:rsidR="000848A2" w:rsidRPr="000848A2" w:rsidRDefault="000848A2" w:rsidP="000848A2">
            <w:pPr>
              <w:spacing w:after="0"/>
              <w:jc w:val="left"/>
              <w:rPr>
                <w:rFonts w:eastAsia="Times New Roman" w:cs="Times New Roman"/>
                <w:szCs w:val="24"/>
              </w:rPr>
            </w:pPr>
          </w:p>
        </w:tc>
        <w:tc>
          <w:tcPr>
            <w:tcW w:w="1020" w:type="dxa"/>
            <w:vMerge/>
            <w:tcBorders>
              <w:top w:val="double" w:sz="6" w:space="0" w:color="auto"/>
              <w:left w:val="nil"/>
              <w:bottom w:val="single" w:sz="8" w:space="0" w:color="000000"/>
              <w:right w:val="single" w:sz="8" w:space="0" w:color="auto"/>
            </w:tcBorders>
            <w:vAlign w:val="center"/>
            <w:hideMark/>
          </w:tcPr>
          <w:p w:rsidR="000848A2" w:rsidRPr="000848A2" w:rsidRDefault="000848A2" w:rsidP="000848A2">
            <w:pPr>
              <w:spacing w:after="0"/>
              <w:jc w:val="left"/>
              <w:rPr>
                <w:rFonts w:eastAsia="Times New Roman" w:cs="Times New Roman"/>
                <w:szCs w:val="24"/>
              </w:rPr>
            </w:pPr>
          </w:p>
        </w:tc>
        <w:tc>
          <w:tcPr>
            <w:tcW w:w="1020" w:type="dxa"/>
            <w:vMerge/>
            <w:tcBorders>
              <w:top w:val="double" w:sz="6" w:space="0" w:color="auto"/>
              <w:left w:val="dotted" w:sz="4" w:space="0" w:color="auto"/>
              <w:bottom w:val="single" w:sz="8" w:space="0" w:color="000000"/>
              <w:right w:val="single" w:sz="8" w:space="0" w:color="auto"/>
            </w:tcBorders>
            <w:vAlign w:val="center"/>
            <w:hideMark/>
          </w:tcPr>
          <w:p w:rsidR="000848A2" w:rsidRPr="000848A2" w:rsidRDefault="000848A2" w:rsidP="000848A2">
            <w:pPr>
              <w:spacing w:after="0"/>
              <w:jc w:val="left"/>
              <w:rPr>
                <w:rFonts w:eastAsia="Times New Roman" w:cs="Times New Roman"/>
                <w:szCs w:val="24"/>
              </w:rPr>
            </w:pP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2024</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2027</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2028</w:t>
            </w:r>
          </w:p>
        </w:tc>
      </w:tr>
      <w:tr w:rsidR="000848A2" w:rsidRPr="000848A2" w:rsidTr="000848A2">
        <w:trPr>
          <w:trHeight w:val="643"/>
          <w:tblHeader/>
        </w:trPr>
        <w:tc>
          <w:tcPr>
            <w:tcW w:w="5160" w:type="dxa"/>
            <w:tcBorders>
              <w:top w:val="nil"/>
              <w:left w:val="double" w:sz="6" w:space="0" w:color="auto"/>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w:t>
            </w:r>
          </w:p>
        </w:tc>
        <w:tc>
          <w:tcPr>
            <w:tcW w:w="1020" w:type="dxa"/>
            <w:vMerge/>
            <w:tcBorders>
              <w:top w:val="double" w:sz="6" w:space="0" w:color="auto"/>
              <w:left w:val="nil"/>
              <w:bottom w:val="single" w:sz="8" w:space="0" w:color="000000"/>
              <w:right w:val="single" w:sz="8" w:space="0" w:color="auto"/>
            </w:tcBorders>
            <w:vAlign w:val="center"/>
            <w:hideMark/>
          </w:tcPr>
          <w:p w:rsidR="000848A2" w:rsidRPr="000848A2" w:rsidRDefault="000848A2" w:rsidP="000848A2">
            <w:pPr>
              <w:spacing w:after="0"/>
              <w:jc w:val="left"/>
              <w:rPr>
                <w:rFonts w:eastAsia="Times New Roman" w:cs="Times New Roman"/>
                <w:szCs w:val="24"/>
              </w:rPr>
            </w:pPr>
          </w:p>
        </w:tc>
        <w:tc>
          <w:tcPr>
            <w:tcW w:w="1020" w:type="dxa"/>
            <w:vMerge/>
            <w:tcBorders>
              <w:top w:val="double" w:sz="6" w:space="0" w:color="auto"/>
              <w:left w:val="dotted" w:sz="4" w:space="0" w:color="auto"/>
              <w:bottom w:val="single" w:sz="8" w:space="0" w:color="000000"/>
              <w:right w:val="single" w:sz="8" w:space="0" w:color="auto"/>
            </w:tcBorders>
            <w:vAlign w:val="center"/>
            <w:hideMark/>
          </w:tcPr>
          <w:p w:rsidR="000848A2" w:rsidRPr="000848A2" w:rsidRDefault="000848A2" w:rsidP="000848A2">
            <w:pPr>
              <w:spacing w:after="0"/>
              <w:jc w:val="left"/>
              <w:rPr>
                <w:rFonts w:eastAsia="Times New Roman" w:cs="Times New Roman"/>
                <w:szCs w:val="24"/>
              </w:rPr>
            </w:pPr>
          </w:p>
        </w:tc>
        <w:tc>
          <w:tcPr>
            <w:tcW w:w="6100" w:type="dxa"/>
            <w:gridSpan w:val="5"/>
            <w:tcBorders>
              <w:top w:val="dotted" w:sz="4" w:space="0" w:color="auto"/>
              <w:left w:val="nil"/>
              <w:bottom w:val="single" w:sz="8" w:space="0" w:color="auto"/>
              <w:right w:val="double" w:sz="6" w:space="0" w:color="000000"/>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bn NCU</w:t>
            </w:r>
          </w:p>
        </w:tc>
      </w:tr>
      <w:tr w:rsidR="000848A2" w:rsidRPr="000848A2" w:rsidTr="000848A2">
        <w:trPr>
          <w:trHeight w:val="540"/>
        </w:trPr>
        <w:tc>
          <w:tcPr>
            <w:tcW w:w="5160" w:type="dxa"/>
            <w:tcBorders>
              <w:top w:val="nil"/>
              <w:left w:val="double" w:sz="6" w:space="0" w:color="auto"/>
              <w:bottom w:val="single" w:sz="8" w:space="0" w:color="auto"/>
              <w:right w:val="nil"/>
            </w:tcBorders>
            <w:shd w:val="clear" w:color="000000" w:fill="FFFFFF"/>
            <w:vAlign w:val="center"/>
            <w:hideMark/>
          </w:tcPr>
          <w:p w:rsidR="000848A2" w:rsidRPr="000848A2" w:rsidRDefault="000848A2" w:rsidP="000848A2">
            <w:pPr>
              <w:spacing w:after="0"/>
              <w:jc w:val="center"/>
              <w:rPr>
                <w:rFonts w:eastAsia="Times New Roman" w:cs="Times New Roman"/>
                <w:b/>
                <w:bCs/>
                <w:szCs w:val="24"/>
              </w:rPr>
            </w:pPr>
            <w:r w:rsidRPr="000848A2">
              <w:rPr>
                <w:rFonts w:eastAsia="Times New Roman" w:cs="Times New Roman"/>
                <w:b/>
                <w:bCs/>
                <w:szCs w:val="24"/>
              </w:rPr>
              <w:t>Net lending (B9) by sub-sectors</w:t>
            </w:r>
          </w:p>
        </w:tc>
        <w:tc>
          <w:tcPr>
            <w:tcW w:w="10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0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c>
          <w:tcPr>
            <w:tcW w:w="1220" w:type="dxa"/>
            <w:tcBorders>
              <w:top w:val="nil"/>
              <w:left w:val="nil"/>
              <w:bottom w:val="single" w:sz="8" w:space="0" w:color="auto"/>
              <w:right w:val="double" w:sz="6" w:space="0" w:color="auto"/>
            </w:tcBorders>
            <w:shd w:val="clear" w:color="000000" w:fill="FFFFFF"/>
            <w:vAlign w:val="center"/>
            <w:hideMark/>
          </w:tcPr>
          <w:p w:rsidR="000848A2" w:rsidRPr="000848A2" w:rsidRDefault="000848A2" w:rsidP="000848A2">
            <w:pPr>
              <w:spacing w:after="0"/>
              <w:jc w:val="left"/>
              <w:rPr>
                <w:rFonts w:eastAsia="Times New Roman" w:cs="Times New Roman"/>
                <w:b/>
                <w:bCs/>
                <w:szCs w:val="24"/>
              </w:rPr>
            </w:pPr>
            <w:r w:rsidRPr="000848A2">
              <w:rPr>
                <w:rFonts w:eastAsia="Times New Roman" w:cs="Times New Roman"/>
                <w:b/>
                <w:bCs/>
                <w:szCs w:val="24"/>
              </w:rPr>
              <w:t> </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xml:space="preserve">1. General government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-191.86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-313.88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-336.97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-365.96</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-322.00</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2. Central government</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S1311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-212.08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-313.89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-336.97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-365.96</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-322.00</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3. State government</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S1312</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4. Local government</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S1313</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9.29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0.00</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0.00</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0.00</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0.00</w:t>
            </w:r>
          </w:p>
        </w:tc>
      </w:tr>
      <w:tr w:rsidR="000848A2" w:rsidRPr="000848A2" w:rsidTr="000848A2">
        <w:trPr>
          <w:trHeight w:val="420"/>
        </w:trPr>
        <w:tc>
          <w:tcPr>
            <w:tcW w:w="5160" w:type="dxa"/>
            <w:tcBorders>
              <w:top w:val="nil"/>
              <w:left w:val="double" w:sz="6" w:space="0" w:color="auto"/>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5. Social security funds</w:t>
            </w:r>
          </w:p>
        </w:tc>
        <w:tc>
          <w:tcPr>
            <w:tcW w:w="1020" w:type="dxa"/>
            <w:tcBorders>
              <w:top w:val="nil"/>
              <w:left w:val="nil"/>
              <w:bottom w:val="single" w:sz="8"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single" w:sz="8"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S1314</w:t>
            </w:r>
          </w:p>
        </w:tc>
        <w:tc>
          <w:tcPr>
            <w:tcW w:w="1220" w:type="dxa"/>
            <w:tcBorders>
              <w:top w:val="nil"/>
              <w:left w:val="nil"/>
              <w:bottom w:val="single" w:sz="8"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10.93</w:t>
            </w:r>
          </w:p>
        </w:tc>
        <w:tc>
          <w:tcPr>
            <w:tcW w:w="1220" w:type="dxa"/>
            <w:tcBorders>
              <w:top w:val="nil"/>
              <w:left w:val="nil"/>
              <w:bottom w:val="single" w:sz="8"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0.00</w:t>
            </w:r>
          </w:p>
        </w:tc>
        <w:tc>
          <w:tcPr>
            <w:tcW w:w="1220" w:type="dxa"/>
            <w:tcBorders>
              <w:top w:val="nil"/>
              <w:left w:val="nil"/>
              <w:bottom w:val="single" w:sz="8"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0.00</w:t>
            </w:r>
          </w:p>
        </w:tc>
        <w:tc>
          <w:tcPr>
            <w:tcW w:w="1220" w:type="dxa"/>
            <w:tcBorders>
              <w:top w:val="nil"/>
              <w:left w:val="nil"/>
              <w:bottom w:val="single" w:sz="8"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0.00</w:t>
            </w:r>
          </w:p>
        </w:tc>
        <w:tc>
          <w:tcPr>
            <w:tcW w:w="1220" w:type="dxa"/>
            <w:tcBorders>
              <w:top w:val="nil"/>
              <w:left w:val="nil"/>
              <w:bottom w:val="single" w:sz="8"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0.00</w:t>
            </w:r>
          </w:p>
        </w:tc>
      </w:tr>
      <w:tr w:rsidR="000848A2" w:rsidRPr="000848A2" w:rsidTr="000848A2">
        <w:trPr>
          <w:trHeight w:val="420"/>
        </w:trPr>
        <w:tc>
          <w:tcPr>
            <w:tcW w:w="13300"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rsidR="000848A2" w:rsidRPr="000848A2" w:rsidRDefault="000848A2" w:rsidP="000848A2">
            <w:pPr>
              <w:spacing w:after="0"/>
              <w:jc w:val="center"/>
              <w:rPr>
                <w:rFonts w:eastAsia="Times New Roman" w:cs="Times New Roman"/>
                <w:b/>
                <w:bCs/>
                <w:szCs w:val="24"/>
              </w:rPr>
            </w:pPr>
            <w:r w:rsidRPr="000848A2">
              <w:rPr>
                <w:rFonts w:eastAsia="Times New Roman" w:cs="Times New Roman"/>
                <w:b/>
                <w:bCs/>
                <w:szCs w:val="24"/>
              </w:rPr>
              <w:t>General government (S13)</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6. Total revenue</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TR</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3940.96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4244.29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4534.48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4826.68</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5120.45</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7. Total expenditure[1]</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TE</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4132.82</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4558.17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4871.45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5192.64</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5442.45</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8. Net borrowing/lending</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EDP.B9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-191.86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-313.88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-336.97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-365.96</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-322.00</w:t>
            </w:r>
          </w:p>
        </w:tc>
      </w:tr>
      <w:tr w:rsidR="000848A2" w:rsidRPr="000848A2" w:rsidTr="000848A2">
        <w:trPr>
          <w:trHeight w:val="465"/>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9. Interest expenditure</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EDP.D41 incl. FISIM</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180.46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197.80</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214.99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228.90</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249.60</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10. Primary balance[2]</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-11.40</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-116.09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-121.98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-137.06</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-72.40</w:t>
            </w:r>
          </w:p>
        </w:tc>
      </w:tr>
      <w:tr w:rsidR="000848A2" w:rsidRPr="000848A2" w:rsidTr="000848A2">
        <w:trPr>
          <w:trHeight w:val="420"/>
        </w:trPr>
        <w:tc>
          <w:tcPr>
            <w:tcW w:w="5160" w:type="dxa"/>
            <w:tcBorders>
              <w:top w:val="nil"/>
              <w:left w:val="double" w:sz="6" w:space="0" w:color="auto"/>
              <w:bottom w:val="single" w:sz="8"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11. One-off and other temporary measures [3]</w:t>
            </w:r>
          </w:p>
        </w:tc>
        <w:tc>
          <w:tcPr>
            <w:tcW w:w="1020" w:type="dxa"/>
            <w:tcBorders>
              <w:top w:val="nil"/>
              <w:left w:val="nil"/>
              <w:bottom w:val="single" w:sz="8"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single" w:sz="8"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single" w:sz="8"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single" w:sz="8"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r>
      <w:tr w:rsidR="000848A2" w:rsidRPr="000848A2" w:rsidTr="000848A2">
        <w:trPr>
          <w:trHeight w:val="420"/>
        </w:trPr>
        <w:tc>
          <w:tcPr>
            <w:tcW w:w="13300"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rsidR="000848A2" w:rsidRPr="000848A2" w:rsidRDefault="000848A2" w:rsidP="000848A2">
            <w:pPr>
              <w:spacing w:after="0"/>
              <w:jc w:val="center"/>
              <w:rPr>
                <w:rFonts w:eastAsia="Times New Roman" w:cs="Times New Roman"/>
                <w:b/>
                <w:bCs/>
                <w:szCs w:val="24"/>
              </w:rPr>
            </w:pPr>
            <w:r w:rsidRPr="000848A2">
              <w:rPr>
                <w:rFonts w:eastAsia="Times New Roman" w:cs="Times New Roman"/>
                <w:b/>
                <w:bCs/>
                <w:szCs w:val="24"/>
              </w:rPr>
              <w:t>Components of revenues</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lastRenderedPageBreak/>
              <w:t>12. Total taxes  (12 = 12a+12b+12c)</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2272.35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2378.58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2531.97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2691.87</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2845.57</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12a. Taxes on production and imports</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D2</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1510.30</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1587.29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1693.03</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1788.93</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1880.57</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12b. Current taxes on income and wealth</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760.98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790.11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837.65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901.52</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963.44</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12c. Capital taxes</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D91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1.07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1.30</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1.43</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1.57</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13. Social contributions</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D61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1225.03</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1372.18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1509.38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1651.74</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1777.35</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14. Property income</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D4</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113.57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128.37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139.75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152.28</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166.06</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15. Other (15 = 16-(12+13+14)) [4]</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330.02</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365.16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353.38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330.79</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331.47</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xml:space="preserve">16 = 6. Total revenue </w:t>
            </w:r>
          </w:p>
        </w:tc>
        <w:tc>
          <w:tcPr>
            <w:tcW w:w="1020" w:type="dxa"/>
            <w:tcBorders>
              <w:top w:val="nil"/>
              <w:left w:val="nil"/>
              <w:bottom w:val="nil"/>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TR</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3940.96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4244.29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4534.48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4826.68</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5120.45</w:t>
            </w:r>
          </w:p>
        </w:tc>
      </w:tr>
      <w:tr w:rsidR="000848A2" w:rsidRPr="000848A2" w:rsidTr="000848A2">
        <w:trPr>
          <w:trHeight w:val="420"/>
        </w:trPr>
        <w:tc>
          <w:tcPr>
            <w:tcW w:w="5160" w:type="dxa"/>
            <w:tcBorders>
              <w:top w:val="nil"/>
              <w:left w:val="double" w:sz="6" w:space="0" w:color="auto"/>
              <w:bottom w:val="single" w:sz="8" w:space="0" w:color="auto"/>
              <w:right w:val="nil"/>
            </w:tcBorders>
            <w:shd w:val="clear" w:color="auto" w:fill="auto"/>
            <w:noWrap/>
            <w:vAlign w:val="bottom"/>
            <w:hideMark/>
          </w:tcPr>
          <w:p w:rsidR="000848A2" w:rsidRPr="000848A2" w:rsidRDefault="000848A2" w:rsidP="000848A2">
            <w:pPr>
              <w:spacing w:after="0"/>
              <w:jc w:val="left"/>
              <w:rPr>
                <w:rFonts w:ascii="Arial" w:eastAsia="Times New Roman" w:hAnsi="Arial" w:cs="Arial"/>
                <w:sz w:val="20"/>
                <w:szCs w:val="20"/>
              </w:rPr>
            </w:pPr>
            <w:r w:rsidRPr="000848A2">
              <w:rPr>
                <w:rFonts w:ascii="Arial" w:eastAsia="Times New Roman" w:hAnsi="Arial" w:cs="Arial"/>
                <w:sz w:val="20"/>
                <w:szCs w:val="20"/>
              </w:rPr>
              <w:t>p.m.: Tax burden (D2+D5+D61+D91-D995) [5]</w:t>
            </w:r>
          </w:p>
        </w:tc>
        <w:tc>
          <w:tcPr>
            <w:tcW w:w="1020" w:type="dxa"/>
            <w:tcBorders>
              <w:top w:val="dotted" w:sz="4" w:space="0" w:color="auto"/>
              <w:left w:val="nil"/>
              <w:bottom w:val="single" w:sz="8"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single" w:sz="8" w:space="0" w:color="000000"/>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single" w:sz="8" w:space="0" w:color="000000"/>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3497.38</w:t>
            </w:r>
          </w:p>
        </w:tc>
        <w:tc>
          <w:tcPr>
            <w:tcW w:w="1220" w:type="dxa"/>
            <w:tcBorders>
              <w:top w:val="nil"/>
              <w:left w:val="nil"/>
              <w:bottom w:val="single" w:sz="8" w:space="0" w:color="000000"/>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3750.76</w:t>
            </w:r>
          </w:p>
        </w:tc>
        <w:tc>
          <w:tcPr>
            <w:tcW w:w="1220" w:type="dxa"/>
            <w:tcBorders>
              <w:top w:val="nil"/>
              <w:left w:val="nil"/>
              <w:bottom w:val="single" w:sz="8" w:space="0" w:color="000000"/>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4041.35</w:t>
            </w:r>
          </w:p>
        </w:tc>
        <w:tc>
          <w:tcPr>
            <w:tcW w:w="1220" w:type="dxa"/>
            <w:tcBorders>
              <w:top w:val="nil"/>
              <w:left w:val="nil"/>
              <w:bottom w:val="single" w:sz="8" w:space="0" w:color="000000"/>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4343.61</w:t>
            </w:r>
          </w:p>
        </w:tc>
        <w:tc>
          <w:tcPr>
            <w:tcW w:w="1220" w:type="dxa"/>
            <w:tcBorders>
              <w:top w:val="nil"/>
              <w:left w:val="nil"/>
              <w:bottom w:val="single" w:sz="8"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4622.92</w:t>
            </w:r>
          </w:p>
        </w:tc>
      </w:tr>
      <w:tr w:rsidR="000848A2" w:rsidRPr="000848A2" w:rsidTr="000848A2">
        <w:trPr>
          <w:trHeight w:val="420"/>
        </w:trPr>
        <w:tc>
          <w:tcPr>
            <w:tcW w:w="13300" w:type="dxa"/>
            <w:gridSpan w:val="8"/>
            <w:tcBorders>
              <w:top w:val="single" w:sz="8" w:space="0" w:color="auto"/>
              <w:left w:val="double" w:sz="6" w:space="0" w:color="auto"/>
              <w:bottom w:val="single" w:sz="8" w:space="0" w:color="auto"/>
              <w:right w:val="double" w:sz="6" w:space="0" w:color="000000"/>
            </w:tcBorders>
            <w:shd w:val="clear" w:color="000000" w:fill="FFFFFF"/>
            <w:vAlign w:val="center"/>
            <w:hideMark/>
          </w:tcPr>
          <w:p w:rsidR="000848A2" w:rsidRPr="000848A2" w:rsidRDefault="000848A2" w:rsidP="000848A2">
            <w:pPr>
              <w:spacing w:after="0"/>
              <w:jc w:val="center"/>
              <w:rPr>
                <w:rFonts w:eastAsia="Times New Roman" w:cs="Times New Roman"/>
                <w:b/>
                <w:bCs/>
                <w:szCs w:val="24"/>
              </w:rPr>
            </w:pPr>
            <w:r w:rsidRPr="000848A2">
              <w:rPr>
                <w:rFonts w:eastAsia="Times New Roman" w:cs="Times New Roman"/>
                <w:b/>
                <w:bCs/>
                <w:szCs w:val="24"/>
              </w:rPr>
              <w:t>Selected components of expenditures</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17. Collective consumption</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P32</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1583.31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1803.36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1974.70</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2119.52</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2254.32</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18. Total social transfers</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D62 + D63</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1260.19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1390.44</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1537.91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1650.90</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1719.05</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18a. Social transfers in kind</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P31 = D63</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18b. Social transfers other than in kind</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D62</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1260.19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1390.44</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1537.91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1650.90</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1719.05</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xml:space="preserve">19 = 9. Interest expenditure (incl. FISIM)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EDP.D41 + FISIM</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180.46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197.80</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214.99</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228.90</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249.60</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20. Subsidies</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D3</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236.74</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245.41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242.81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253.74</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264.70</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21. Gross fixed capital formation</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P51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704.65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739.85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737.38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772.98</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784.09</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lastRenderedPageBreak/>
              <w:t>22. Other (22 = 23-(17+18+19+20+21)) [6]</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167.48</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181.32</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163.66</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166.60</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170.68</w:t>
            </w:r>
          </w:p>
        </w:tc>
      </w:tr>
      <w:tr w:rsidR="000848A2" w:rsidRPr="000848A2" w:rsidTr="000848A2">
        <w:trPr>
          <w:trHeight w:val="420"/>
        </w:trPr>
        <w:tc>
          <w:tcPr>
            <w:tcW w:w="5160" w:type="dxa"/>
            <w:tcBorders>
              <w:top w:val="nil"/>
              <w:left w:val="double" w:sz="6" w:space="0" w:color="auto"/>
              <w:bottom w:val="dotted" w:sz="4" w:space="0" w:color="auto"/>
              <w:right w:val="nil"/>
            </w:tcBorders>
            <w:shd w:val="clear" w:color="000000" w:fill="FFFFFF"/>
            <w:vAlign w:val="center"/>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 xml:space="preserve">23. Total expenditures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tted" w:sz="4" w:space="0" w:color="auto"/>
              <w:right w:val="single" w:sz="8" w:space="0" w:color="auto"/>
            </w:tcBorders>
            <w:shd w:val="clear" w:color="000000" w:fill="FFFFFF"/>
            <w:vAlign w:val="center"/>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TE [1]</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4132.82</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4558.17</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4871.45</w:t>
            </w:r>
          </w:p>
        </w:tc>
        <w:tc>
          <w:tcPr>
            <w:tcW w:w="1220" w:type="dxa"/>
            <w:tcBorders>
              <w:top w:val="nil"/>
              <w:left w:val="nil"/>
              <w:bottom w:val="dotted" w:sz="4" w:space="0" w:color="auto"/>
              <w:right w:val="dotted" w:sz="4"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5192.64</w:t>
            </w:r>
          </w:p>
        </w:tc>
        <w:tc>
          <w:tcPr>
            <w:tcW w:w="1220" w:type="dxa"/>
            <w:tcBorders>
              <w:top w:val="nil"/>
              <w:left w:val="nil"/>
              <w:bottom w:val="dotted" w:sz="4" w:space="0" w:color="auto"/>
              <w:right w:val="double" w:sz="6" w:space="0" w:color="auto"/>
            </w:tcBorders>
            <w:shd w:val="clear" w:color="000000" w:fill="FFFFFF"/>
            <w:vAlign w:val="center"/>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5442.45</w:t>
            </w:r>
          </w:p>
        </w:tc>
      </w:tr>
      <w:tr w:rsidR="000848A2" w:rsidRPr="000848A2" w:rsidTr="000848A2">
        <w:trPr>
          <w:trHeight w:val="345"/>
        </w:trPr>
        <w:tc>
          <w:tcPr>
            <w:tcW w:w="5160" w:type="dxa"/>
            <w:tcBorders>
              <w:top w:val="nil"/>
              <w:left w:val="double" w:sz="6" w:space="0" w:color="auto"/>
              <w:bottom w:val="double" w:sz="6" w:space="0" w:color="auto"/>
              <w:right w:val="nil"/>
            </w:tcBorders>
            <w:shd w:val="clear" w:color="000000" w:fill="FFFFFF"/>
            <w:vAlign w:val="bottom"/>
            <w:hideMark/>
          </w:tcPr>
          <w:p w:rsidR="000848A2" w:rsidRPr="000848A2" w:rsidRDefault="000848A2" w:rsidP="000848A2">
            <w:pPr>
              <w:spacing w:after="0"/>
              <w:jc w:val="left"/>
              <w:rPr>
                <w:rFonts w:eastAsia="Times New Roman" w:cs="Times New Roman"/>
                <w:szCs w:val="24"/>
              </w:rPr>
            </w:pPr>
            <w:r w:rsidRPr="000848A2">
              <w:rPr>
                <w:rFonts w:eastAsia="Times New Roman" w:cs="Times New Roman"/>
                <w:szCs w:val="24"/>
              </w:rPr>
              <w:t>p.m.  compensation of employees</w:t>
            </w:r>
          </w:p>
        </w:tc>
        <w:tc>
          <w:tcPr>
            <w:tcW w:w="1020" w:type="dxa"/>
            <w:tcBorders>
              <w:top w:val="nil"/>
              <w:left w:val="nil"/>
              <w:bottom w:val="double" w:sz="6" w:space="0" w:color="auto"/>
              <w:right w:val="single" w:sz="8" w:space="0" w:color="auto"/>
            </w:tcBorders>
            <w:shd w:val="clear" w:color="000000" w:fill="FFFFFF"/>
            <w:vAlign w:val="bottom"/>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 </w:t>
            </w:r>
          </w:p>
        </w:tc>
        <w:tc>
          <w:tcPr>
            <w:tcW w:w="1020" w:type="dxa"/>
            <w:tcBorders>
              <w:top w:val="nil"/>
              <w:left w:val="nil"/>
              <w:bottom w:val="double" w:sz="6" w:space="0" w:color="auto"/>
              <w:right w:val="single" w:sz="8" w:space="0" w:color="auto"/>
            </w:tcBorders>
            <w:shd w:val="clear" w:color="000000" w:fill="FFFFFF"/>
            <w:vAlign w:val="bottom"/>
            <w:hideMark/>
          </w:tcPr>
          <w:p w:rsidR="000848A2" w:rsidRPr="000848A2" w:rsidRDefault="000848A2" w:rsidP="000848A2">
            <w:pPr>
              <w:spacing w:after="0"/>
              <w:jc w:val="center"/>
              <w:rPr>
                <w:rFonts w:eastAsia="Times New Roman" w:cs="Times New Roman"/>
                <w:sz w:val="20"/>
                <w:szCs w:val="20"/>
              </w:rPr>
            </w:pPr>
            <w:r w:rsidRPr="000848A2">
              <w:rPr>
                <w:rFonts w:eastAsia="Times New Roman" w:cs="Times New Roman"/>
                <w:sz w:val="20"/>
                <w:szCs w:val="20"/>
              </w:rPr>
              <w:t>D1</w:t>
            </w:r>
          </w:p>
        </w:tc>
        <w:tc>
          <w:tcPr>
            <w:tcW w:w="1220" w:type="dxa"/>
            <w:tcBorders>
              <w:top w:val="nil"/>
              <w:left w:val="nil"/>
              <w:bottom w:val="double" w:sz="6" w:space="0" w:color="auto"/>
              <w:right w:val="dotted" w:sz="4" w:space="0" w:color="auto"/>
            </w:tcBorders>
            <w:shd w:val="clear" w:color="000000" w:fill="FFFFFF"/>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907.16</w:t>
            </w:r>
          </w:p>
        </w:tc>
        <w:tc>
          <w:tcPr>
            <w:tcW w:w="1220" w:type="dxa"/>
            <w:tcBorders>
              <w:top w:val="nil"/>
              <w:left w:val="nil"/>
              <w:bottom w:val="double" w:sz="6" w:space="0" w:color="auto"/>
              <w:right w:val="dotted" w:sz="4" w:space="0" w:color="auto"/>
            </w:tcBorders>
            <w:shd w:val="clear" w:color="000000" w:fill="FFFFFF"/>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1029.97</w:t>
            </w:r>
          </w:p>
        </w:tc>
        <w:tc>
          <w:tcPr>
            <w:tcW w:w="1220" w:type="dxa"/>
            <w:tcBorders>
              <w:top w:val="nil"/>
              <w:left w:val="nil"/>
              <w:bottom w:val="double" w:sz="6" w:space="0" w:color="auto"/>
              <w:right w:val="dotted" w:sz="4" w:space="0" w:color="auto"/>
            </w:tcBorders>
            <w:shd w:val="clear" w:color="000000" w:fill="FFFFFF"/>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1128.46</w:t>
            </w:r>
          </w:p>
        </w:tc>
        <w:tc>
          <w:tcPr>
            <w:tcW w:w="1220" w:type="dxa"/>
            <w:tcBorders>
              <w:top w:val="nil"/>
              <w:left w:val="nil"/>
              <w:bottom w:val="double" w:sz="6" w:space="0" w:color="auto"/>
              <w:right w:val="dotted" w:sz="4" w:space="0" w:color="auto"/>
            </w:tcBorders>
            <w:shd w:val="clear" w:color="000000" w:fill="FFFFFF"/>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1221.53</w:t>
            </w:r>
          </w:p>
        </w:tc>
        <w:tc>
          <w:tcPr>
            <w:tcW w:w="1220" w:type="dxa"/>
            <w:tcBorders>
              <w:top w:val="nil"/>
              <w:left w:val="nil"/>
              <w:bottom w:val="double" w:sz="6" w:space="0" w:color="auto"/>
              <w:right w:val="double" w:sz="6" w:space="0" w:color="auto"/>
            </w:tcBorders>
            <w:shd w:val="clear" w:color="000000" w:fill="FFFFFF"/>
            <w:vAlign w:val="bottom"/>
            <w:hideMark/>
          </w:tcPr>
          <w:p w:rsidR="000848A2" w:rsidRPr="000848A2" w:rsidRDefault="000848A2" w:rsidP="000848A2">
            <w:pPr>
              <w:spacing w:after="0"/>
              <w:jc w:val="center"/>
              <w:rPr>
                <w:rFonts w:eastAsia="Times New Roman" w:cs="Times New Roman"/>
                <w:szCs w:val="24"/>
              </w:rPr>
            </w:pPr>
            <w:r w:rsidRPr="000848A2">
              <w:rPr>
                <w:rFonts w:eastAsia="Times New Roman" w:cs="Times New Roman"/>
                <w:szCs w:val="24"/>
              </w:rPr>
              <w:t>1309.79</w:t>
            </w:r>
          </w:p>
        </w:tc>
      </w:tr>
    </w:tbl>
    <w:p w:rsidR="000848A2" w:rsidRPr="000848A2" w:rsidRDefault="000848A2" w:rsidP="000848A2">
      <w:pPr>
        <w:spacing w:after="0"/>
        <w:jc w:val="left"/>
        <w:rPr>
          <w:rFonts w:eastAsia="Times New Roman" w:cs="Times New Roman"/>
          <w:bCs/>
          <w:szCs w:val="24"/>
        </w:rPr>
      </w:pPr>
      <w:r>
        <w:rPr>
          <w:rFonts w:eastAsia="Times New Roman" w:cs="Times New Roman"/>
          <w:bCs/>
          <w:szCs w:val="24"/>
        </w:rPr>
        <w:fldChar w:fldCharType="end"/>
      </w:r>
    </w:p>
    <w:tbl>
      <w:tblPr>
        <w:tblW w:w="13316" w:type="dxa"/>
        <w:tblLook w:val="04A0" w:firstRow="1" w:lastRow="0" w:firstColumn="1" w:lastColumn="0" w:noHBand="0" w:noVBand="1"/>
      </w:tblPr>
      <w:tblGrid>
        <w:gridCol w:w="12103"/>
        <w:gridCol w:w="265"/>
        <w:gridCol w:w="265"/>
        <w:gridCol w:w="265"/>
        <w:gridCol w:w="265"/>
        <w:gridCol w:w="265"/>
        <w:gridCol w:w="265"/>
        <w:gridCol w:w="265"/>
      </w:tblGrid>
      <w:tr w:rsidR="000848A2" w:rsidRPr="000848A2" w:rsidTr="000848A2">
        <w:trPr>
          <w:trHeight w:val="258"/>
        </w:trPr>
        <w:tc>
          <w:tcPr>
            <w:tcW w:w="13316" w:type="dxa"/>
            <w:gridSpan w:val="8"/>
            <w:tcBorders>
              <w:top w:val="nil"/>
              <w:left w:val="nil"/>
              <w:bottom w:val="nil"/>
              <w:right w:val="nil"/>
            </w:tcBorders>
            <w:shd w:val="clear" w:color="auto" w:fill="auto"/>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[1]   Adjusted for the next flow of swap-related flows, so the TR-TE = EDP.B9.</w:t>
            </w:r>
          </w:p>
        </w:tc>
      </w:tr>
      <w:tr w:rsidR="000848A2" w:rsidRPr="000848A2" w:rsidTr="000848A2">
        <w:trPr>
          <w:trHeight w:val="258"/>
        </w:trPr>
        <w:tc>
          <w:tcPr>
            <w:tcW w:w="12646" w:type="dxa"/>
            <w:gridSpan w:val="3"/>
            <w:tcBorders>
              <w:top w:val="nil"/>
              <w:left w:val="nil"/>
              <w:bottom w:val="nil"/>
              <w:right w:val="nil"/>
            </w:tcBorders>
            <w:shd w:val="clear" w:color="000000" w:fill="FFFFFF"/>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[2]   The primary balance is calculated as (EDP B.9, item 8) plus (EDP D.41, item 9).</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r w:rsidR="000848A2" w:rsidRPr="000848A2" w:rsidTr="000848A2">
        <w:trPr>
          <w:trHeight w:val="258"/>
        </w:trPr>
        <w:tc>
          <w:tcPr>
            <w:tcW w:w="12378"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[3]   A plus sign means deficit-reducing one-off measures</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rPr>
                <w:rFonts w:eastAsia="Times New Roman" w:cs="Times New Roman"/>
                <w:sz w:val="16"/>
                <w:szCs w:val="16"/>
              </w:rPr>
            </w:pPr>
            <w:r w:rsidRPr="000848A2">
              <w:rPr>
                <w:rFonts w:eastAsia="Times New Roman" w:cs="Times New Roman"/>
                <w:sz w:val="16"/>
                <w:szCs w:val="16"/>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rPr>
                <w:rFonts w:eastAsia="Times New Roman" w:cs="Times New Roman"/>
                <w:sz w:val="16"/>
                <w:szCs w:val="16"/>
              </w:rPr>
            </w:pPr>
            <w:r w:rsidRPr="000848A2">
              <w:rPr>
                <w:rFonts w:eastAsia="Times New Roman" w:cs="Times New Roman"/>
                <w:sz w:val="16"/>
                <w:szCs w:val="16"/>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r w:rsidR="000848A2" w:rsidRPr="000848A2" w:rsidTr="000848A2">
        <w:trPr>
          <w:trHeight w:val="258"/>
        </w:trPr>
        <w:tc>
          <w:tcPr>
            <w:tcW w:w="12378" w:type="dxa"/>
            <w:tcBorders>
              <w:top w:val="nil"/>
              <w:left w:val="nil"/>
              <w:bottom w:val="nil"/>
              <w:right w:val="nil"/>
            </w:tcBorders>
            <w:shd w:val="clear" w:color="000000" w:fill="FFFFFF"/>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[4]   P.11+P.12+P.131+D.39+D.7+D.9 (other than D.91).</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r w:rsidR="000848A2" w:rsidRPr="000848A2" w:rsidTr="000848A2">
        <w:trPr>
          <w:trHeight w:val="258"/>
        </w:trPr>
        <w:tc>
          <w:tcPr>
            <w:tcW w:w="13182" w:type="dxa"/>
            <w:gridSpan w:val="7"/>
            <w:tcBorders>
              <w:top w:val="nil"/>
              <w:left w:val="nil"/>
              <w:bottom w:val="nil"/>
              <w:right w:val="nil"/>
            </w:tcBorders>
            <w:shd w:val="clear" w:color="000000" w:fill="FFFFFF"/>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[5]   Including those collected by the EU and including an adjustment for uncollected taxes and social contributions (D995), if appropriate.</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r w:rsidR="000848A2" w:rsidRPr="000848A2" w:rsidTr="000848A2">
        <w:trPr>
          <w:trHeight w:val="258"/>
        </w:trPr>
        <w:tc>
          <w:tcPr>
            <w:tcW w:w="12512" w:type="dxa"/>
            <w:gridSpan w:val="2"/>
            <w:tcBorders>
              <w:top w:val="nil"/>
              <w:left w:val="nil"/>
              <w:bottom w:val="nil"/>
              <w:right w:val="nil"/>
            </w:tcBorders>
            <w:shd w:val="clear" w:color="000000" w:fill="FFFFFF"/>
            <w:noWrap/>
            <w:vAlign w:val="bottom"/>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[6]   D.29+D4 (other than D.41)+ D.5+D.7+D.9+P.52+P.53+K.2+D.8.</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c>
          <w:tcPr>
            <w:tcW w:w="134" w:type="dxa"/>
            <w:tcBorders>
              <w:top w:val="nil"/>
              <w:left w:val="nil"/>
              <w:bottom w:val="nil"/>
              <w:right w:val="nil"/>
            </w:tcBorders>
            <w:shd w:val="clear" w:color="000000" w:fill="FFFFFF"/>
            <w:noWrap/>
            <w:vAlign w:val="center"/>
            <w:hideMark/>
          </w:tcPr>
          <w:p w:rsidR="000848A2" w:rsidRPr="000848A2" w:rsidRDefault="000848A2" w:rsidP="000848A2">
            <w:pPr>
              <w:spacing w:after="0"/>
              <w:jc w:val="left"/>
              <w:rPr>
                <w:rFonts w:eastAsia="Times New Roman" w:cs="Times New Roman"/>
                <w:sz w:val="20"/>
                <w:szCs w:val="20"/>
              </w:rPr>
            </w:pPr>
            <w:r w:rsidRPr="000848A2">
              <w:rPr>
                <w:rFonts w:eastAsia="Times New Roman" w:cs="Times New Roman"/>
                <w:sz w:val="20"/>
                <w:szCs w:val="20"/>
              </w:rPr>
              <w:t> </w:t>
            </w:r>
          </w:p>
        </w:tc>
      </w:tr>
    </w:tbl>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0848A2" w:rsidRDefault="000848A2" w:rsidP="007A0CEC">
      <w:pPr>
        <w:spacing w:after="0"/>
        <w:jc w:val="left"/>
        <w:rPr>
          <w:rFonts w:cs="Times New Roman"/>
          <w:szCs w:val="24"/>
          <w:lang w:val="sr-Latn-RS"/>
        </w:rPr>
      </w:pPr>
    </w:p>
    <w:p w:rsidR="00FD7324" w:rsidRDefault="00FD7324" w:rsidP="007A0CEC">
      <w:pPr>
        <w:spacing w:after="0"/>
        <w:jc w:val="left"/>
        <w:rPr>
          <w:rFonts w:cs="Times New Roman"/>
          <w:szCs w:val="24"/>
          <w:lang w:val="sr-Latn-RS"/>
        </w:rPr>
      </w:pPr>
      <w:r w:rsidRPr="00FD7324">
        <w:rPr>
          <w:rFonts w:cs="Times New Roman"/>
          <w:szCs w:val="24"/>
          <w:lang w:val="sr-Latn-RS"/>
        </w:rPr>
        <w:lastRenderedPageBreak/>
        <w:t>Table 2c) Discretionary measures adopted/announced according to the Programme</w:t>
      </w:r>
    </w:p>
    <w:p w:rsidR="00FD7324" w:rsidRDefault="00FD7324" w:rsidP="007A0CEC">
      <w:pPr>
        <w:spacing w:after="0"/>
        <w:jc w:val="left"/>
        <w:rPr>
          <w:rFonts w:cs="Times New Roman"/>
          <w:szCs w:val="24"/>
          <w:lang w:val="sr-Latn-RS"/>
        </w:rPr>
      </w:pPr>
    </w:p>
    <w:p w:rsidR="00FD7324" w:rsidRDefault="00FD7324"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"data!R142C2:R172C10" \a \f 4 \h  \* MERGEFORMAT </w:instrText>
      </w:r>
      <w:r>
        <w:rPr>
          <w:lang w:val="sr-Latn-RS"/>
        </w:rPr>
        <w:fldChar w:fldCharType="separate"/>
      </w:r>
    </w:p>
    <w:tbl>
      <w:tblPr>
        <w:tblW w:w="14360" w:type="dxa"/>
        <w:tblLook w:val="04A0" w:firstRow="1" w:lastRow="0" w:firstColumn="1" w:lastColumn="0" w:noHBand="0" w:noVBand="1"/>
      </w:tblPr>
      <w:tblGrid>
        <w:gridCol w:w="4777"/>
        <w:gridCol w:w="1350"/>
        <w:gridCol w:w="1614"/>
        <w:gridCol w:w="1136"/>
        <w:gridCol w:w="1186"/>
        <w:gridCol w:w="1103"/>
        <w:gridCol w:w="1103"/>
        <w:gridCol w:w="1103"/>
        <w:gridCol w:w="988"/>
      </w:tblGrid>
      <w:tr w:rsidR="00FD7324" w:rsidRPr="00FD7324" w:rsidTr="00FD7324">
        <w:trPr>
          <w:trHeight w:val="216"/>
        </w:trPr>
        <w:tc>
          <w:tcPr>
            <w:tcW w:w="4777" w:type="dxa"/>
            <w:tcBorders>
              <w:top w:val="double" w:sz="6" w:space="0" w:color="auto"/>
              <w:left w:val="double" w:sz="6" w:space="0" w:color="auto"/>
              <w:bottom w:val="double" w:sz="6"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b/>
                <w:bCs/>
                <w:sz w:val="20"/>
                <w:szCs w:val="20"/>
              </w:rPr>
            </w:pPr>
            <w:r w:rsidRPr="00FD7324">
              <w:rPr>
                <w:rFonts w:eastAsia="Times New Roman" w:cs="Times New Roman"/>
                <w:b/>
                <w:bCs/>
                <w:sz w:val="20"/>
                <w:szCs w:val="20"/>
              </w:rPr>
              <w:t>Table 2c) Discretionary measures adopted/announced according to the Programme</w:t>
            </w:r>
          </w:p>
        </w:tc>
        <w:tc>
          <w:tcPr>
            <w:tcW w:w="1350" w:type="dxa"/>
            <w:tcBorders>
              <w:top w:val="double" w:sz="6" w:space="0" w:color="auto"/>
              <w:left w:val="double" w:sz="6" w:space="0" w:color="auto"/>
              <w:bottom w:val="double" w:sz="6"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b/>
                <w:bCs/>
                <w:sz w:val="20"/>
                <w:szCs w:val="20"/>
              </w:rPr>
            </w:pPr>
            <w:r w:rsidRPr="00FD7324">
              <w:rPr>
                <w:rFonts w:eastAsia="Times New Roman" w:cs="Times New Roman"/>
                <w:b/>
                <w:bCs/>
                <w:sz w:val="20"/>
                <w:szCs w:val="20"/>
              </w:rPr>
              <w:t> </w:t>
            </w:r>
          </w:p>
        </w:tc>
        <w:tc>
          <w:tcPr>
            <w:tcW w:w="1614" w:type="dxa"/>
            <w:tcBorders>
              <w:top w:val="double" w:sz="6" w:space="0" w:color="auto"/>
              <w:left w:val="double" w:sz="6" w:space="0" w:color="auto"/>
              <w:bottom w:val="double" w:sz="6"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b/>
                <w:bCs/>
                <w:sz w:val="20"/>
                <w:szCs w:val="20"/>
              </w:rPr>
            </w:pPr>
            <w:r w:rsidRPr="00FD7324">
              <w:rPr>
                <w:rFonts w:eastAsia="Times New Roman" w:cs="Times New Roman"/>
                <w:b/>
                <w:bCs/>
                <w:sz w:val="20"/>
                <w:szCs w:val="20"/>
              </w:rPr>
              <w:t> </w:t>
            </w:r>
          </w:p>
        </w:tc>
        <w:tc>
          <w:tcPr>
            <w:tcW w:w="1136"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2023</w:t>
            </w:r>
          </w:p>
        </w:tc>
        <w:tc>
          <w:tcPr>
            <w:tcW w:w="1186" w:type="dxa"/>
            <w:tcBorders>
              <w:top w:val="double" w:sz="6" w:space="0" w:color="auto"/>
              <w:left w:val="nil"/>
              <w:bottom w:val="double" w:sz="6" w:space="0" w:color="auto"/>
              <w:right w:val="dashed"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2024</w:t>
            </w:r>
          </w:p>
        </w:tc>
        <w:tc>
          <w:tcPr>
            <w:tcW w:w="1103" w:type="dxa"/>
            <w:tcBorders>
              <w:top w:val="double" w:sz="6" w:space="0" w:color="auto"/>
              <w:left w:val="nil"/>
              <w:bottom w:val="double" w:sz="6" w:space="0" w:color="auto"/>
              <w:right w:val="dashed"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2025</w:t>
            </w:r>
          </w:p>
        </w:tc>
        <w:tc>
          <w:tcPr>
            <w:tcW w:w="1103" w:type="dxa"/>
            <w:tcBorders>
              <w:top w:val="double" w:sz="6" w:space="0" w:color="auto"/>
              <w:left w:val="nil"/>
              <w:bottom w:val="double" w:sz="6" w:space="0" w:color="auto"/>
              <w:right w:val="dashed"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2026</w:t>
            </w:r>
          </w:p>
        </w:tc>
        <w:tc>
          <w:tcPr>
            <w:tcW w:w="1103" w:type="dxa"/>
            <w:tcBorders>
              <w:top w:val="double" w:sz="6" w:space="0" w:color="auto"/>
              <w:left w:val="nil"/>
              <w:bottom w:val="double" w:sz="6" w:space="0" w:color="auto"/>
              <w:right w:val="dashed"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2027</w:t>
            </w:r>
          </w:p>
        </w:tc>
        <w:tc>
          <w:tcPr>
            <w:tcW w:w="988" w:type="dxa"/>
            <w:tcBorders>
              <w:top w:val="double" w:sz="6" w:space="0" w:color="auto"/>
              <w:left w:val="nil"/>
              <w:bottom w:val="double" w:sz="6" w:space="0" w:color="auto"/>
              <w:right w:val="double" w:sz="6"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2028</w:t>
            </w:r>
          </w:p>
        </w:tc>
      </w:tr>
      <w:tr w:rsidR="00FD7324" w:rsidRPr="00FD7324" w:rsidTr="00FD7324">
        <w:trPr>
          <w:trHeight w:val="905"/>
        </w:trPr>
        <w:tc>
          <w:tcPr>
            <w:tcW w:w="4777" w:type="dxa"/>
            <w:tcBorders>
              <w:top w:val="single" w:sz="8" w:space="0" w:color="auto"/>
              <w:left w:val="double" w:sz="6" w:space="0" w:color="auto"/>
              <w:bottom w:val="nil"/>
              <w:right w:val="nil"/>
            </w:tcBorders>
            <w:shd w:val="clear" w:color="auto" w:fill="auto"/>
            <w:vAlign w:val="center"/>
            <w:hideMark/>
          </w:tcPr>
          <w:p w:rsidR="00FD7324" w:rsidRPr="00FD7324" w:rsidRDefault="00FD7324" w:rsidP="00FD7324">
            <w:pPr>
              <w:spacing w:after="0"/>
              <w:jc w:val="center"/>
              <w:rPr>
                <w:rFonts w:eastAsia="Times New Roman" w:cs="Times New Roman"/>
                <w:b/>
                <w:bCs/>
                <w:sz w:val="20"/>
                <w:szCs w:val="20"/>
              </w:rPr>
            </w:pPr>
            <w:r w:rsidRPr="00FD7324">
              <w:rPr>
                <w:rFonts w:eastAsia="Times New Roman" w:cs="Times New Roman"/>
                <w:b/>
                <w:bCs/>
                <w:sz w:val="20"/>
                <w:szCs w:val="20"/>
              </w:rPr>
              <w:t>Measures</w:t>
            </w:r>
          </w:p>
        </w:tc>
        <w:tc>
          <w:tcPr>
            <w:tcW w:w="1350" w:type="dxa"/>
            <w:tcBorders>
              <w:top w:val="single" w:sz="8" w:space="0" w:color="auto"/>
              <w:left w:val="single" w:sz="4" w:space="0" w:color="auto"/>
              <w:bottom w:val="nil"/>
              <w:right w:val="single" w:sz="4" w:space="0" w:color="auto"/>
            </w:tcBorders>
            <w:shd w:val="clear" w:color="auto" w:fill="auto"/>
            <w:vAlign w:val="center"/>
            <w:hideMark/>
          </w:tcPr>
          <w:p w:rsidR="00FD7324" w:rsidRPr="00FD7324" w:rsidRDefault="00FD7324" w:rsidP="00FD7324">
            <w:pPr>
              <w:spacing w:after="0"/>
              <w:jc w:val="center"/>
              <w:rPr>
                <w:rFonts w:eastAsia="Times New Roman" w:cs="Times New Roman"/>
                <w:b/>
                <w:bCs/>
                <w:sz w:val="20"/>
                <w:szCs w:val="20"/>
              </w:rPr>
            </w:pPr>
            <w:r w:rsidRPr="00FD7324">
              <w:rPr>
                <w:rFonts w:eastAsia="Times New Roman" w:cs="Times New Roman"/>
                <w:b/>
                <w:bCs/>
                <w:sz w:val="20"/>
                <w:szCs w:val="20"/>
              </w:rPr>
              <w:t>ESA Code (Expenditure / Revenue component)</w:t>
            </w:r>
          </w:p>
        </w:tc>
        <w:tc>
          <w:tcPr>
            <w:tcW w:w="1614" w:type="dxa"/>
            <w:tcBorders>
              <w:top w:val="single" w:sz="8" w:space="0" w:color="auto"/>
              <w:left w:val="nil"/>
              <w:bottom w:val="nil"/>
              <w:right w:val="single" w:sz="8" w:space="0" w:color="auto"/>
            </w:tcBorders>
            <w:shd w:val="clear" w:color="auto" w:fill="auto"/>
            <w:vAlign w:val="center"/>
            <w:hideMark/>
          </w:tcPr>
          <w:p w:rsidR="00FD7324" w:rsidRPr="00FD7324" w:rsidRDefault="00FD7324" w:rsidP="00FD7324">
            <w:pPr>
              <w:spacing w:after="0"/>
              <w:jc w:val="center"/>
              <w:rPr>
                <w:rFonts w:eastAsia="Times New Roman" w:cs="Times New Roman"/>
                <w:b/>
                <w:bCs/>
                <w:sz w:val="20"/>
                <w:szCs w:val="20"/>
              </w:rPr>
            </w:pPr>
            <w:r w:rsidRPr="00FD7324">
              <w:rPr>
                <w:rFonts w:eastAsia="Times New Roman" w:cs="Times New Roman"/>
                <w:b/>
                <w:bCs/>
                <w:sz w:val="20"/>
                <w:szCs w:val="20"/>
              </w:rPr>
              <w:t xml:space="preserve">Date of adoption </w:t>
            </w:r>
            <w:r w:rsidRPr="00FD7324">
              <w:rPr>
                <w:rFonts w:eastAsia="Times New Roman" w:cs="Times New Roman"/>
                <w:b/>
                <w:bCs/>
                <w:sz w:val="20"/>
                <w:szCs w:val="20"/>
              </w:rPr>
              <w:br/>
              <w:t>(yyyy-mm)</w:t>
            </w:r>
          </w:p>
        </w:tc>
        <w:tc>
          <w:tcPr>
            <w:tcW w:w="6619" w:type="dxa"/>
            <w:gridSpan w:val="6"/>
            <w:tcBorders>
              <w:top w:val="double" w:sz="6" w:space="0" w:color="auto"/>
              <w:left w:val="single" w:sz="8" w:space="0" w:color="auto"/>
              <w:bottom w:val="single" w:sz="8" w:space="0" w:color="auto"/>
              <w:right w:val="double" w:sz="6" w:space="0" w:color="000000"/>
            </w:tcBorders>
            <w:shd w:val="clear" w:color="auto" w:fill="auto"/>
            <w:vAlign w:val="center"/>
            <w:hideMark/>
          </w:tcPr>
          <w:p w:rsidR="00FD7324" w:rsidRPr="00FD7324" w:rsidRDefault="00FD7324" w:rsidP="00FD7324">
            <w:pPr>
              <w:spacing w:after="0"/>
              <w:jc w:val="center"/>
              <w:rPr>
                <w:rFonts w:eastAsia="Times New Roman" w:cs="Times New Roman"/>
                <w:b/>
                <w:bCs/>
                <w:sz w:val="20"/>
                <w:szCs w:val="20"/>
              </w:rPr>
            </w:pPr>
            <w:r w:rsidRPr="00FD7324">
              <w:rPr>
                <w:rFonts w:eastAsia="Times New Roman" w:cs="Times New Roman"/>
                <w:b/>
                <w:bCs/>
                <w:sz w:val="20"/>
                <w:szCs w:val="20"/>
              </w:rPr>
              <w:t xml:space="preserve">Budgetary impact </w:t>
            </w:r>
            <w:r w:rsidRPr="00FD7324">
              <w:rPr>
                <w:rFonts w:eastAsia="Times New Roman" w:cs="Times New Roman"/>
                <w:sz w:val="20"/>
                <w:szCs w:val="20"/>
              </w:rPr>
              <w:t>(bn NCU)</w:t>
            </w:r>
          </w:p>
        </w:tc>
      </w:tr>
      <w:tr w:rsidR="00FD7324" w:rsidRPr="00FD7324" w:rsidTr="00FD7324">
        <w:trPr>
          <w:trHeight w:val="199"/>
        </w:trPr>
        <w:tc>
          <w:tcPr>
            <w:tcW w:w="4777" w:type="dxa"/>
            <w:tcBorders>
              <w:top w:val="single" w:sz="8" w:space="0" w:color="auto"/>
              <w:left w:val="double" w:sz="6" w:space="0" w:color="auto"/>
              <w:bottom w:val="single" w:sz="4" w:space="0" w:color="auto"/>
              <w:right w:val="single" w:sz="4" w:space="0" w:color="auto"/>
            </w:tcBorders>
            <w:shd w:val="clear" w:color="auto" w:fill="auto"/>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i/>
                <w:iCs/>
                <w:sz w:val="20"/>
                <w:szCs w:val="20"/>
              </w:rPr>
              <w:t>Temporary</w:t>
            </w:r>
            <w:r w:rsidRPr="00FD7324">
              <w:rPr>
                <w:rFonts w:eastAsia="Times New Roman" w:cs="Times New Roman"/>
                <w:sz w:val="20"/>
                <w:szCs w:val="20"/>
              </w:rPr>
              <w:t xml:space="preserve"> measures</w:t>
            </w:r>
            <w:r w:rsidRPr="00FD7324">
              <w:rPr>
                <w:rFonts w:eastAsia="Times New Roman" w:cs="Times New Roman"/>
                <w:sz w:val="20"/>
                <w:szCs w:val="20"/>
                <w:vertAlign w:val="superscript"/>
              </w:rPr>
              <w:t>1</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614" w:type="dxa"/>
            <w:tcBorders>
              <w:top w:val="single" w:sz="8" w:space="0" w:color="auto"/>
              <w:left w:val="nil"/>
              <w:bottom w:val="single" w:sz="4" w:space="0" w:color="auto"/>
              <w:right w:val="single" w:sz="8"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36" w:type="dxa"/>
            <w:tcBorders>
              <w:top w:val="single" w:sz="8" w:space="0" w:color="auto"/>
              <w:left w:val="nil"/>
              <w:bottom w:val="single"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86" w:type="dxa"/>
            <w:tcBorders>
              <w:top w:val="single" w:sz="8" w:space="0" w:color="auto"/>
              <w:left w:val="nil"/>
              <w:bottom w:val="single"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single" w:sz="8" w:space="0" w:color="auto"/>
              <w:left w:val="nil"/>
              <w:bottom w:val="single"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single" w:sz="8" w:space="0" w:color="auto"/>
              <w:left w:val="single" w:sz="4" w:space="0" w:color="auto"/>
              <w:bottom w:val="single"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single" w:sz="8" w:space="0" w:color="auto"/>
              <w:left w:val="single" w:sz="4" w:space="0" w:color="auto"/>
              <w:bottom w:val="single"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single" w:sz="8" w:space="0" w:color="auto"/>
              <w:left w:val="single" w:sz="4" w:space="0" w:color="auto"/>
              <w:bottom w:val="single"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341"/>
        </w:trPr>
        <w:tc>
          <w:tcPr>
            <w:tcW w:w="4777" w:type="dxa"/>
            <w:tcBorders>
              <w:top w:val="nil"/>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Assistance to pensioners</w:t>
            </w:r>
          </w:p>
        </w:tc>
        <w:tc>
          <w:tcPr>
            <w:tcW w:w="1350"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D62</w:t>
            </w:r>
          </w:p>
        </w:tc>
        <w:tc>
          <w:tcPr>
            <w:tcW w:w="1614" w:type="dxa"/>
            <w:tcBorders>
              <w:top w:val="nil"/>
              <w:left w:val="single" w:sz="4" w:space="0" w:color="auto"/>
              <w:bottom w:val="dotted" w:sz="4" w:space="0" w:color="auto"/>
              <w:right w:val="single" w:sz="8" w:space="0" w:color="auto"/>
            </w:tcBorders>
            <w:shd w:val="clear" w:color="auto" w:fill="auto"/>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2020-04;2021-04;2021-11;2023-09</w:t>
            </w:r>
          </w:p>
        </w:tc>
        <w:tc>
          <w:tcPr>
            <w:tcW w:w="113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-33.6</w:t>
            </w:r>
          </w:p>
        </w:tc>
        <w:tc>
          <w:tcPr>
            <w:tcW w:w="118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nil"/>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205"/>
        </w:trPr>
        <w:tc>
          <w:tcPr>
            <w:tcW w:w="4777" w:type="dxa"/>
            <w:tcBorders>
              <w:top w:val="nil"/>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Temporary reduction in oil excises</w:t>
            </w:r>
          </w:p>
        </w:tc>
        <w:tc>
          <w:tcPr>
            <w:tcW w:w="1350"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D2</w:t>
            </w:r>
          </w:p>
        </w:tc>
        <w:tc>
          <w:tcPr>
            <w:tcW w:w="1614" w:type="dxa"/>
            <w:tcBorders>
              <w:top w:val="nil"/>
              <w:left w:val="single" w:sz="4" w:space="0" w:color="auto"/>
              <w:bottom w:val="dotted" w:sz="4" w:space="0" w:color="auto"/>
              <w:right w:val="single" w:sz="8" w:space="0" w:color="auto"/>
            </w:tcBorders>
            <w:shd w:val="clear" w:color="auto" w:fill="auto"/>
            <w:noWrap/>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2022-04</w:t>
            </w:r>
          </w:p>
        </w:tc>
        <w:tc>
          <w:tcPr>
            <w:tcW w:w="113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-19</w:t>
            </w:r>
          </w:p>
        </w:tc>
        <w:tc>
          <w:tcPr>
            <w:tcW w:w="118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nil"/>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205"/>
        </w:trPr>
        <w:tc>
          <w:tcPr>
            <w:tcW w:w="4777" w:type="dxa"/>
            <w:tcBorders>
              <w:top w:val="nil"/>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Energy sector subsidies</w:t>
            </w:r>
          </w:p>
        </w:tc>
        <w:tc>
          <w:tcPr>
            <w:tcW w:w="1350"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D3</w:t>
            </w:r>
          </w:p>
        </w:tc>
        <w:tc>
          <w:tcPr>
            <w:tcW w:w="1614" w:type="dxa"/>
            <w:tcBorders>
              <w:top w:val="nil"/>
              <w:left w:val="single" w:sz="4" w:space="0" w:color="auto"/>
              <w:bottom w:val="dotted" w:sz="4" w:space="0" w:color="auto"/>
              <w:right w:val="single" w:sz="8" w:space="0" w:color="auto"/>
            </w:tcBorders>
            <w:shd w:val="clear" w:color="auto" w:fill="auto"/>
            <w:noWrap/>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2022-11</w:t>
            </w:r>
          </w:p>
        </w:tc>
        <w:tc>
          <w:tcPr>
            <w:tcW w:w="113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-43</w:t>
            </w:r>
          </w:p>
        </w:tc>
        <w:tc>
          <w:tcPr>
            <w:tcW w:w="118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-16</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nil"/>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205"/>
        </w:trPr>
        <w:tc>
          <w:tcPr>
            <w:tcW w:w="4777" w:type="dxa"/>
            <w:tcBorders>
              <w:top w:val="nil"/>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Assistance to mothers</w:t>
            </w:r>
          </w:p>
        </w:tc>
        <w:tc>
          <w:tcPr>
            <w:tcW w:w="1350"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D7</w:t>
            </w:r>
          </w:p>
        </w:tc>
        <w:tc>
          <w:tcPr>
            <w:tcW w:w="1614" w:type="dxa"/>
            <w:tcBorders>
              <w:top w:val="nil"/>
              <w:left w:val="single" w:sz="4" w:space="0" w:color="auto"/>
              <w:bottom w:val="dotted" w:sz="4" w:space="0" w:color="auto"/>
              <w:right w:val="single" w:sz="8" w:space="0" w:color="auto"/>
            </w:tcBorders>
            <w:shd w:val="clear" w:color="auto" w:fill="auto"/>
            <w:noWrap/>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2023-09</w:t>
            </w:r>
          </w:p>
        </w:tc>
        <w:tc>
          <w:tcPr>
            <w:tcW w:w="113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-12</w:t>
            </w:r>
          </w:p>
        </w:tc>
        <w:tc>
          <w:tcPr>
            <w:tcW w:w="118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nil"/>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205"/>
        </w:trPr>
        <w:tc>
          <w:tcPr>
            <w:tcW w:w="4777" w:type="dxa"/>
            <w:tcBorders>
              <w:top w:val="nil"/>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Assistance to social benefits users</w:t>
            </w:r>
          </w:p>
        </w:tc>
        <w:tc>
          <w:tcPr>
            <w:tcW w:w="1350"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D62</w:t>
            </w:r>
          </w:p>
        </w:tc>
        <w:tc>
          <w:tcPr>
            <w:tcW w:w="1614" w:type="dxa"/>
            <w:tcBorders>
              <w:top w:val="nil"/>
              <w:left w:val="single" w:sz="4" w:space="0" w:color="auto"/>
              <w:bottom w:val="dotted" w:sz="4" w:space="0" w:color="auto"/>
              <w:right w:val="single" w:sz="8" w:space="0" w:color="auto"/>
            </w:tcBorders>
            <w:shd w:val="clear" w:color="auto" w:fill="auto"/>
            <w:noWrap/>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2023-10</w:t>
            </w:r>
          </w:p>
        </w:tc>
        <w:tc>
          <w:tcPr>
            <w:tcW w:w="113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-2.5</w:t>
            </w:r>
          </w:p>
        </w:tc>
        <w:tc>
          <w:tcPr>
            <w:tcW w:w="118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nil"/>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205"/>
        </w:trPr>
        <w:tc>
          <w:tcPr>
            <w:tcW w:w="4777" w:type="dxa"/>
            <w:tcBorders>
              <w:top w:val="nil"/>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Increase in gross fixed capital formation spending</w:t>
            </w:r>
          </w:p>
        </w:tc>
        <w:tc>
          <w:tcPr>
            <w:tcW w:w="1350"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P51</w:t>
            </w:r>
          </w:p>
        </w:tc>
        <w:tc>
          <w:tcPr>
            <w:tcW w:w="1614" w:type="dxa"/>
            <w:tcBorders>
              <w:top w:val="nil"/>
              <w:left w:val="single" w:sz="4" w:space="0" w:color="auto"/>
              <w:bottom w:val="dotted" w:sz="4" w:space="0" w:color="auto"/>
              <w:right w:val="single" w:sz="8" w:space="0" w:color="auto"/>
            </w:tcBorders>
            <w:shd w:val="clear" w:color="auto" w:fill="auto"/>
            <w:noWrap/>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2025-12</w:t>
            </w:r>
          </w:p>
        </w:tc>
        <w:tc>
          <w:tcPr>
            <w:tcW w:w="113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8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-49</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-65</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-149</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-185</w:t>
            </w:r>
          </w:p>
        </w:tc>
        <w:tc>
          <w:tcPr>
            <w:tcW w:w="988" w:type="dxa"/>
            <w:tcBorders>
              <w:top w:val="nil"/>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-102</w:t>
            </w:r>
          </w:p>
        </w:tc>
      </w:tr>
      <w:tr w:rsidR="00FD7324" w:rsidRPr="00FD7324" w:rsidTr="00FD7324">
        <w:trPr>
          <w:trHeight w:val="209"/>
        </w:trPr>
        <w:tc>
          <w:tcPr>
            <w:tcW w:w="4777" w:type="dxa"/>
            <w:tcBorders>
              <w:top w:val="nil"/>
              <w:left w:val="double" w:sz="6" w:space="0" w:color="auto"/>
              <w:bottom w:val="single" w:sz="8"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2964" w:type="dxa"/>
            <w:gridSpan w:val="2"/>
            <w:tcBorders>
              <w:top w:val="single" w:sz="8" w:space="0" w:color="auto"/>
              <w:left w:val="nil"/>
              <w:bottom w:val="single" w:sz="8" w:space="0" w:color="auto"/>
              <w:right w:val="single" w:sz="8" w:space="0" w:color="000000"/>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xml:space="preserve">                 Subtotal     </w:t>
            </w:r>
          </w:p>
        </w:tc>
        <w:tc>
          <w:tcPr>
            <w:tcW w:w="1136" w:type="dxa"/>
            <w:tcBorders>
              <w:top w:val="single" w:sz="8" w:space="0" w:color="auto"/>
              <w:left w:val="nil"/>
              <w:bottom w:val="single" w:sz="8"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-110.1</w:t>
            </w:r>
          </w:p>
        </w:tc>
        <w:tc>
          <w:tcPr>
            <w:tcW w:w="1186" w:type="dxa"/>
            <w:tcBorders>
              <w:top w:val="single" w:sz="8" w:space="0" w:color="auto"/>
              <w:left w:val="nil"/>
              <w:bottom w:val="single" w:sz="8"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-65</w:t>
            </w:r>
          </w:p>
        </w:tc>
        <w:tc>
          <w:tcPr>
            <w:tcW w:w="1103" w:type="dxa"/>
            <w:tcBorders>
              <w:top w:val="single" w:sz="8" w:space="0" w:color="auto"/>
              <w:left w:val="nil"/>
              <w:bottom w:val="single" w:sz="8"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-65</w:t>
            </w:r>
          </w:p>
        </w:tc>
        <w:tc>
          <w:tcPr>
            <w:tcW w:w="1103" w:type="dxa"/>
            <w:tcBorders>
              <w:top w:val="single" w:sz="8" w:space="0" w:color="auto"/>
              <w:left w:val="single" w:sz="4" w:space="0" w:color="auto"/>
              <w:bottom w:val="single" w:sz="8"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-149</w:t>
            </w:r>
          </w:p>
        </w:tc>
        <w:tc>
          <w:tcPr>
            <w:tcW w:w="1103" w:type="dxa"/>
            <w:tcBorders>
              <w:top w:val="single" w:sz="8" w:space="0" w:color="auto"/>
              <w:left w:val="single" w:sz="4" w:space="0" w:color="auto"/>
              <w:bottom w:val="single" w:sz="8"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-185</w:t>
            </w:r>
          </w:p>
        </w:tc>
        <w:tc>
          <w:tcPr>
            <w:tcW w:w="988"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-102</w:t>
            </w:r>
          </w:p>
        </w:tc>
      </w:tr>
      <w:tr w:rsidR="00FD7324" w:rsidRPr="00FD7324" w:rsidTr="00FD7324">
        <w:trPr>
          <w:trHeight w:val="205"/>
        </w:trPr>
        <w:tc>
          <w:tcPr>
            <w:tcW w:w="4777" w:type="dxa"/>
            <w:tcBorders>
              <w:top w:val="nil"/>
              <w:left w:val="double" w:sz="6" w:space="0" w:color="auto"/>
              <w:bottom w:val="nil"/>
              <w:right w:val="single" w:sz="4" w:space="0" w:color="auto"/>
            </w:tcBorders>
            <w:shd w:val="clear" w:color="auto" w:fill="auto"/>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i/>
                <w:iCs/>
                <w:sz w:val="20"/>
                <w:szCs w:val="20"/>
              </w:rPr>
              <w:t>Non-temporary</w:t>
            </w:r>
            <w:r w:rsidRPr="00FD7324">
              <w:rPr>
                <w:rFonts w:eastAsia="Times New Roman" w:cs="Times New Roman"/>
                <w:sz w:val="20"/>
                <w:szCs w:val="20"/>
              </w:rPr>
              <w:t xml:space="preserve"> measures</w:t>
            </w:r>
            <w:r w:rsidRPr="00FD7324">
              <w:rPr>
                <w:rFonts w:eastAsia="Times New Roman" w:cs="Times New Roman"/>
                <w:sz w:val="20"/>
                <w:szCs w:val="20"/>
                <w:vertAlign w:val="superscript"/>
              </w:rPr>
              <w:t>1</w:t>
            </w:r>
          </w:p>
        </w:tc>
        <w:tc>
          <w:tcPr>
            <w:tcW w:w="1350" w:type="dxa"/>
            <w:tcBorders>
              <w:top w:val="nil"/>
              <w:left w:val="nil"/>
              <w:bottom w:val="nil"/>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614" w:type="dxa"/>
            <w:tcBorders>
              <w:top w:val="nil"/>
              <w:left w:val="single" w:sz="4" w:space="0" w:color="auto"/>
              <w:bottom w:val="single" w:sz="4" w:space="0" w:color="auto"/>
              <w:right w:val="single" w:sz="8"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36" w:type="dxa"/>
            <w:tcBorders>
              <w:top w:val="nil"/>
              <w:left w:val="nil"/>
              <w:bottom w:val="nil"/>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86" w:type="dxa"/>
            <w:tcBorders>
              <w:top w:val="nil"/>
              <w:left w:val="nil"/>
              <w:bottom w:val="nil"/>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nil"/>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nil"/>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nil"/>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nil"/>
              <w:left w:val="single" w:sz="4" w:space="0" w:color="auto"/>
              <w:bottom w:val="nil"/>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341"/>
        </w:trPr>
        <w:tc>
          <w:tcPr>
            <w:tcW w:w="4777" w:type="dxa"/>
            <w:tcBorders>
              <w:top w:val="single" w:sz="4" w:space="0" w:color="auto"/>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Decrease of pension contribution and increase of nontaxable census on wages</w:t>
            </w:r>
          </w:p>
        </w:tc>
        <w:tc>
          <w:tcPr>
            <w:tcW w:w="1350" w:type="dxa"/>
            <w:tcBorders>
              <w:top w:val="single" w:sz="4" w:space="0" w:color="auto"/>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D5, D61</w:t>
            </w:r>
          </w:p>
        </w:tc>
        <w:tc>
          <w:tcPr>
            <w:tcW w:w="1614" w:type="dxa"/>
            <w:tcBorders>
              <w:top w:val="nil"/>
              <w:left w:val="single" w:sz="4" w:space="0" w:color="auto"/>
              <w:bottom w:val="dotted" w:sz="4" w:space="0" w:color="auto"/>
              <w:right w:val="single" w:sz="8" w:space="0" w:color="auto"/>
            </w:tcBorders>
            <w:shd w:val="clear" w:color="auto" w:fill="auto"/>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2019-11;2020-11;2021-11;2022-11</w:t>
            </w:r>
          </w:p>
        </w:tc>
        <w:tc>
          <w:tcPr>
            <w:tcW w:w="1136" w:type="dxa"/>
            <w:tcBorders>
              <w:top w:val="single" w:sz="4" w:space="0" w:color="auto"/>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-41</w:t>
            </w:r>
          </w:p>
        </w:tc>
        <w:tc>
          <w:tcPr>
            <w:tcW w:w="1186" w:type="dxa"/>
            <w:tcBorders>
              <w:top w:val="single" w:sz="4" w:space="0" w:color="auto"/>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single" w:sz="4" w:space="0" w:color="auto"/>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single" w:sz="4" w:space="0" w:color="auto"/>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single" w:sz="4" w:space="0" w:color="auto"/>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single" w:sz="4" w:space="0" w:color="auto"/>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205"/>
        </w:trPr>
        <w:tc>
          <w:tcPr>
            <w:tcW w:w="4777" w:type="dxa"/>
            <w:tcBorders>
              <w:top w:val="nil"/>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Change in demographic policy</w:t>
            </w:r>
          </w:p>
        </w:tc>
        <w:tc>
          <w:tcPr>
            <w:tcW w:w="1350"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D62</w:t>
            </w:r>
          </w:p>
        </w:tc>
        <w:tc>
          <w:tcPr>
            <w:tcW w:w="1614" w:type="dxa"/>
            <w:tcBorders>
              <w:top w:val="nil"/>
              <w:left w:val="single" w:sz="4" w:space="0" w:color="auto"/>
              <w:bottom w:val="dotted" w:sz="4" w:space="0" w:color="auto"/>
              <w:right w:val="single" w:sz="8" w:space="0" w:color="auto"/>
            </w:tcBorders>
            <w:shd w:val="clear" w:color="auto" w:fill="auto"/>
            <w:noWrap/>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2021-12</w:t>
            </w:r>
          </w:p>
        </w:tc>
        <w:tc>
          <w:tcPr>
            <w:tcW w:w="113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-10</w:t>
            </w:r>
          </w:p>
        </w:tc>
        <w:tc>
          <w:tcPr>
            <w:tcW w:w="118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nil"/>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205"/>
        </w:trPr>
        <w:tc>
          <w:tcPr>
            <w:tcW w:w="4777" w:type="dxa"/>
            <w:tcBorders>
              <w:top w:val="nil"/>
              <w:left w:val="double" w:sz="6" w:space="0" w:color="auto"/>
              <w:bottom w:val="dotted" w:sz="4"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Increase of nontaxable census on wages</w:t>
            </w:r>
          </w:p>
        </w:tc>
        <w:tc>
          <w:tcPr>
            <w:tcW w:w="1350"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D5,D61</w:t>
            </w:r>
          </w:p>
        </w:tc>
        <w:tc>
          <w:tcPr>
            <w:tcW w:w="1614" w:type="dxa"/>
            <w:tcBorders>
              <w:top w:val="nil"/>
              <w:left w:val="single" w:sz="4" w:space="0" w:color="auto"/>
              <w:bottom w:val="dotted" w:sz="4" w:space="0" w:color="auto"/>
              <w:right w:val="single" w:sz="8" w:space="0" w:color="auto"/>
            </w:tcBorders>
            <w:shd w:val="clear" w:color="auto" w:fill="auto"/>
            <w:noWrap/>
            <w:vAlign w:val="center"/>
            <w:hideMark/>
          </w:tcPr>
          <w:p w:rsidR="00FD7324" w:rsidRPr="00FD7324" w:rsidRDefault="00FD7324" w:rsidP="00FD7324">
            <w:pPr>
              <w:spacing w:after="0"/>
              <w:jc w:val="center"/>
              <w:rPr>
                <w:rFonts w:eastAsia="Times New Roman" w:cs="Times New Roman"/>
                <w:sz w:val="20"/>
                <w:szCs w:val="20"/>
              </w:rPr>
            </w:pPr>
            <w:r w:rsidRPr="00FD7324">
              <w:rPr>
                <w:rFonts w:eastAsia="Times New Roman" w:cs="Times New Roman"/>
                <w:sz w:val="20"/>
                <w:szCs w:val="20"/>
              </w:rPr>
              <w:t>2023-10;2024-12</w:t>
            </w:r>
          </w:p>
        </w:tc>
        <w:tc>
          <w:tcPr>
            <w:tcW w:w="113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1186" w:type="dxa"/>
            <w:tcBorders>
              <w:top w:val="nil"/>
              <w:left w:val="nil"/>
              <w:bottom w:val="dotted" w:sz="4"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-14</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-14.5</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sz w:val="20"/>
                <w:szCs w:val="20"/>
              </w:rPr>
            </w:pPr>
            <w:r w:rsidRPr="00FD7324">
              <w:rPr>
                <w:rFonts w:eastAsia="Times New Roman" w:cs="Times New Roman"/>
                <w:sz w:val="20"/>
                <w:szCs w:val="20"/>
              </w:rPr>
              <w:t>-24.5</w:t>
            </w:r>
          </w:p>
        </w:tc>
        <w:tc>
          <w:tcPr>
            <w:tcW w:w="1103" w:type="dxa"/>
            <w:tcBorders>
              <w:top w:val="nil"/>
              <w:left w:val="single" w:sz="4" w:space="0" w:color="auto"/>
              <w:bottom w:val="dotted" w:sz="4" w:space="0" w:color="auto"/>
              <w:right w:val="nil"/>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988" w:type="dxa"/>
            <w:tcBorders>
              <w:top w:val="nil"/>
              <w:left w:val="single" w:sz="4" w:space="0" w:color="auto"/>
              <w:bottom w:val="dotted" w:sz="4" w:space="0" w:color="auto"/>
              <w:right w:val="double" w:sz="6" w:space="0" w:color="auto"/>
            </w:tcBorders>
            <w:shd w:val="clear" w:color="auto" w:fill="auto"/>
            <w:noWrap/>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r>
      <w:tr w:rsidR="00FD7324" w:rsidRPr="00FD7324" w:rsidTr="00FD7324">
        <w:trPr>
          <w:trHeight w:val="209"/>
        </w:trPr>
        <w:tc>
          <w:tcPr>
            <w:tcW w:w="4777" w:type="dxa"/>
            <w:tcBorders>
              <w:top w:val="nil"/>
              <w:left w:val="double" w:sz="6" w:space="0" w:color="auto"/>
              <w:bottom w:val="single" w:sz="8" w:space="0" w:color="auto"/>
              <w:right w:val="single" w:sz="4" w:space="0" w:color="auto"/>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2964" w:type="dxa"/>
            <w:gridSpan w:val="2"/>
            <w:tcBorders>
              <w:top w:val="single" w:sz="8" w:space="0" w:color="auto"/>
              <w:left w:val="nil"/>
              <w:bottom w:val="single" w:sz="8" w:space="0" w:color="auto"/>
              <w:right w:val="single" w:sz="8" w:space="0" w:color="000000"/>
            </w:tcBorders>
            <w:shd w:val="clear" w:color="auto" w:fill="auto"/>
            <w:vAlign w:val="center"/>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xml:space="preserve">                  Subtotal </w:t>
            </w:r>
          </w:p>
        </w:tc>
        <w:tc>
          <w:tcPr>
            <w:tcW w:w="1136" w:type="dxa"/>
            <w:tcBorders>
              <w:top w:val="single" w:sz="8" w:space="0" w:color="auto"/>
              <w:left w:val="nil"/>
              <w:bottom w:val="single" w:sz="8" w:space="0" w:color="auto"/>
              <w:right w:val="single" w:sz="8" w:space="0" w:color="auto"/>
            </w:tcBorders>
            <w:shd w:val="clear" w:color="auto" w:fill="auto"/>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-51</w:t>
            </w:r>
          </w:p>
        </w:tc>
        <w:tc>
          <w:tcPr>
            <w:tcW w:w="118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-14</w:t>
            </w:r>
          </w:p>
        </w:tc>
        <w:tc>
          <w:tcPr>
            <w:tcW w:w="1103" w:type="dxa"/>
            <w:tcBorders>
              <w:top w:val="single" w:sz="8" w:space="0" w:color="auto"/>
              <w:left w:val="nil"/>
              <w:bottom w:val="single" w:sz="8"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-14.5</w:t>
            </w:r>
          </w:p>
        </w:tc>
        <w:tc>
          <w:tcPr>
            <w:tcW w:w="1103" w:type="dxa"/>
            <w:tcBorders>
              <w:top w:val="single" w:sz="8" w:space="0" w:color="auto"/>
              <w:left w:val="single" w:sz="4" w:space="0" w:color="auto"/>
              <w:bottom w:val="single" w:sz="8"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-24.5</w:t>
            </w:r>
          </w:p>
        </w:tc>
        <w:tc>
          <w:tcPr>
            <w:tcW w:w="1103" w:type="dxa"/>
            <w:tcBorders>
              <w:top w:val="single" w:sz="8" w:space="0" w:color="auto"/>
              <w:left w:val="single" w:sz="4" w:space="0" w:color="auto"/>
              <w:bottom w:val="single" w:sz="8" w:space="0" w:color="auto"/>
              <w:right w:val="nil"/>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0</w:t>
            </w:r>
          </w:p>
        </w:tc>
        <w:tc>
          <w:tcPr>
            <w:tcW w:w="988"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0</w:t>
            </w:r>
          </w:p>
        </w:tc>
      </w:tr>
      <w:tr w:rsidR="00FD7324" w:rsidRPr="00FD7324" w:rsidTr="00FD7324">
        <w:trPr>
          <w:trHeight w:val="211"/>
        </w:trPr>
        <w:tc>
          <w:tcPr>
            <w:tcW w:w="4777" w:type="dxa"/>
            <w:tcBorders>
              <w:top w:val="nil"/>
              <w:left w:val="double" w:sz="6" w:space="0" w:color="auto"/>
              <w:bottom w:val="double" w:sz="6" w:space="0" w:color="auto"/>
              <w:right w:val="nil"/>
            </w:tcBorders>
            <w:shd w:val="clear" w:color="auto" w:fill="auto"/>
            <w:noWrap/>
            <w:vAlign w:val="bottom"/>
            <w:hideMark/>
          </w:tcPr>
          <w:p w:rsidR="00FD7324" w:rsidRPr="00FD7324" w:rsidRDefault="00FD7324" w:rsidP="00FD7324">
            <w:pPr>
              <w:spacing w:after="0"/>
              <w:jc w:val="left"/>
              <w:rPr>
                <w:rFonts w:eastAsia="Times New Roman" w:cs="Times New Roman"/>
                <w:sz w:val="20"/>
                <w:szCs w:val="20"/>
              </w:rPr>
            </w:pPr>
            <w:r w:rsidRPr="00FD7324">
              <w:rPr>
                <w:rFonts w:eastAsia="Times New Roman" w:cs="Times New Roman"/>
                <w:sz w:val="20"/>
                <w:szCs w:val="20"/>
              </w:rPr>
              <w:t> </w:t>
            </w:r>
          </w:p>
        </w:tc>
        <w:tc>
          <w:tcPr>
            <w:tcW w:w="2964" w:type="dxa"/>
            <w:gridSpan w:val="2"/>
            <w:tcBorders>
              <w:top w:val="nil"/>
              <w:left w:val="nil"/>
              <w:bottom w:val="double" w:sz="6" w:space="0" w:color="auto"/>
              <w:right w:val="single" w:sz="8" w:space="0" w:color="000000"/>
            </w:tcBorders>
            <w:shd w:val="clear" w:color="auto" w:fill="auto"/>
            <w:noWrap/>
            <w:vAlign w:val="center"/>
            <w:hideMark/>
          </w:tcPr>
          <w:p w:rsidR="00FD7324" w:rsidRPr="00FD7324" w:rsidRDefault="00FD7324" w:rsidP="00FD7324">
            <w:pPr>
              <w:spacing w:after="0"/>
              <w:jc w:val="left"/>
              <w:rPr>
                <w:rFonts w:eastAsia="Times New Roman" w:cs="Times New Roman"/>
                <w:b/>
                <w:bCs/>
                <w:sz w:val="20"/>
                <w:szCs w:val="20"/>
              </w:rPr>
            </w:pPr>
            <w:r w:rsidRPr="00FD7324">
              <w:rPr>
                <w:rFonts w:eastAsia="Times New Roman" w:cs="Times New Roman"/>
                <w:b/>
                <w:bCs/>
                <w:sz w:val="20"/>
                <w:szCs w:val="20"/>
              </w:rPr>
              <w:t xml:space="preserve">                   Total</w:t>
            </w:r>
          </w:p>
        </w:tc>
        <w:tc>
          <w:tcPr>
            <w:tcW w:w="1136" w:type="dxa"/>
            <w:tcBorders>
              <w:top w:val="nil"/>
              <w:left w:val="nil"/>
              <w:bottom w:val="double" w:sz="6"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-161.1</w:t>
            </w:r>
          </w:p>
        </w:tc>
        <w:tc>
          <w:tcPr>
            <w:tcW w:w="1186" w:type="dxa"/>
            <w:tcBorders>
              <w:top w:val="nil"/>
              <w:left w:val="nil"/>
              <w:bottom w:val="double" w:sz="6"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-79</w:t>
            </w:r>
          </w:p>
        </w:tc>
        <w:tc>
          <w:tcPr>
            <w:tcW w:w="1103" w:type="dxa"/>
            <w:tcBorders>
              <w:top w:val="nil"/>
              <w:left w:val="nil"/>
              <w:bottom w:val="double" w:sz="6"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-79.5</w:t>
            </w:r>
          </w:p>
        </w:tc>
        <w:tc>
          <w:tcPr>
            <w:tcW w:w="1103" w:type="dxa"/>
            <w:tcBorders>
              <w:top w:val="nil"/>
              <w:left w:val="nil"/>
              <w:bottom w:val="double" w:sz="6"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-173.5</w:t>
            </w:r>
          </w:p>
        </w:tc>
        <w:tc>
          <w:tcPr>
            <w:tcW w:w="1103" w:type="dxa"/>
            <w:tcBorders>
              <w:top w:val="nil"/>
              <w:left w:val="nil"/>
              <w:bottom w:val="double" w:sz="6" w:space="0" w:color="auto"/>
              <w:right w:val="single" w:sz="4"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-185</w:t>
            </w:r>
          </w:p>
        </w:tc>
        <w:tc>
          <w:tcPr>
            <w:tcW w:w="988" w:type="dxa"/>
            <w:tcBorders>
              <w:top w:val="nil"/>
              <w:left w:val="nil"/>
              <w:bottom w:val="double" w:sz="6" w:space="0" w:color="auto"/>
              <w:right w:val="double" w:sz="6" w:space="0" w:color="auto"/>
            </w:tcBorders>
            <w:shd w:val="clear" w:color="auto" w:fill="auto"/>
            <w:noWrap/>
            <w:vAlign w:val="center"/>
            <w:hideMark/>
          </w:tcPr>
          <w:p w:rsidR="00FD7324" w:rsidRPr="00FD7324" w:rsidRDefault="00FD7324" w:rsidP="00FD7324">
            <w:pPr>
              <w:spacing w:after="0"/>
              <w:jc w:val="right"/>
              <w:rPr>
                <w:rFonts w:eastAsia="Times New Roman" w:cs="Times New Roman"/>
                <w:b/>
                <w:bCs/>
                <w:sz w:val="20"/>
                <w:szCs w:val="20"/>
              </w:rPr>
            </w:pPr>
            <w:r w:rsidRPr="00FD7324">
              <w:rPr>
                <w:rFonts w:eastAsia="Times New Roman" w:cs="Times New Roman"/>
                <w:b/>
                <w:bCs/>
                <w:sz w:val="20"/>
                <w:szCs w:val="20"/>
              </w:rPr>
              <w:t>-102</w:t>
            </w:r>
          </w:p>
        </w:tc>
      </w:tr>
    </w:tbl>
    <w:p w:rsidR="00FD7324" w:rsidRPr="00FD7324" w:rsidRDefault="00FD7324" w:rsidP="00FD7324">
      <w:pPr>
        <w:spacing w:after="0"/>
        <w:jc w:val="left"/>
        <w:rPr>
          <w:rFonts w:eastAsia="Times New Roman" w:cs="Times New Roman"/>
          <w:sz w:val="16"/>
          <w:szCs w:val="16"/>
        </w:rPr>
      </w:pPr>
      <w:r>
        <w:rPr>
          <w:rFonts w:cs="Times New Roman"/>
          <w:szCs w:val="24"/>
          <w:lang w:val="sr-Latn-RS"/>
        </w:rPr>
        <w:fldChar w:fldCharType="end"/>
      </w:r>
      <w:r w:rsidRPr="00FD7324">
        <w:rPr>
          <w:rFonts w:eastAsia="Times New Roman" w:cs="Times New Roman"/>
          <w:sz w:val="16"/>
          <w:szCs w:val="16"/>
        </w:rPr>
        <w:t>[1]  For the purpose of this table, temporary measures refer to those discretionary measures that have no budgetary impact beyond the year of submission. By contrast, those measure</w:t>
      </w:r>
      <w:r>
        <w:rPr>
          <w:rFonts w:eastAsia="Times New Roman" w:cs="Times New Roman"/>
          <w:sz w:val="16"/>
          <w:szCs w:val="16"/>
        </w:rPr>
        <w:t xml:space="preserve">s adopted or announced for 2025 </w:t>
      </w:r>
      <w:r w:rsidRPr="00FD7324">
        <w:rPr>
          <w:rFonts w:eastAsia="Times New Roman" w:cs="Times New Roman"/>
          <w:sz w:val="16"/>
          <w:szCs w:val="16"/>
        </w:rPr>
        <w:t>that continue to have a fiscal effect of 0.1% of GD</w:t>
      </w:r>
      <w:r>
        <w:rPr>
          <w:rFonts w:eastAsia="Times New Roman" w:cs="Times New Roman"/>
          <w:sz w:val="16"/>
          <w:szCs w:val="16"/>
        </w:rPr>
        <w:t>P or greater until at least 2027</w:t>
      </w:r>
      <w:r w:rsidRPr="00FD7324">
        <w:rPr>
          <w:rFonts w:eastAsia="Times New Roman" w:cs="Times New Roman"/>
          <w:sz w:val="16"/>
          <w:szCs w:val="16"/>
        </w:rPr>
        <w:t xml:space="preserve"> are considered as 'non-temporary' for the purpose of this table.   </w:t>
      </w:r>
    </w:p>
    <w:p w:rsidR="00FD7324" w:rsidRDefault="00FD7324" w:rsidP="007A0CEC">
      <w:pPr>
        <w:spacing w:after="0"/>
        <w:jc w:val="left"/>
        <w:rPr>
          <w:rFonts w:cs="Times New Roman"/>
          <w:szCs w:val="24"/>
          <w:lang w:val="sr-Latn-RS"/>
        </w:rPr>
      </w:pPr>
    </w:p>
    <w:p w:rsidR="00FD7324" w:rsidRDefault="00FD7324" w:rsidP="007A0CEC">
      <w:pPr>
        <w:spacing w:after="0"/>
        <w:jc w:val="left"/>
        <w:rPr>
          <w:rFonts w:cs="Times New Roman"/>
          <w:szCs w:val="24"/>
          <w:lang w:val="sr-Latn-RS"/>
        </w:rPr>
      </w:pPr>
    </w:p>
    <w:p w:rsidR="00FD7324" w:rsidRDefault="00FD7324" w:rsidP="007A0CEC">
      <w:pPr>
        <w:spacing w:after="0"/>
        <w:jc w:val="left"/>
        <w:rPr>
          <w:rFonts w:cs="Times New Roman"/>
          <w:szCs w:val="24"/>
          <w:lang w:val="sr-Latn-RS"/>
        </w:rPr>
      </w:pPr>
    </w:p>
    <w:p w:rsidR="00FD7324" w:rsidRDefault="00FD7324" w:rsidP="007A0CEC">
      <w:pPr>
        <w:spacing w:after="0"/>
        <w:jc w:val="left"/>
        <w:rPr>
          <w:rFonts w:cs="Times New Roman"/>
          <w:szCs w:val="24"/>
          <w:lang w:val="sr-Latn-RS"/>
        </w:rPr>
      </w:pPr>
    </w:p>
    <w:p w:rsidR="00FD7324" w:rsidRDefault="00FD7324" w:rsidP="007A0CEC">
      <w:pPr>
        <w:spacing w:after="0"/>
        <w:jc w:val="left"/>
        <w:rPr>
          <w:rFonts w:cs="Times New Roman"/>
          <w:szCs w:val="24"/>
          <w:lang w:val="sr-Latn-RS"/>
        </w:rPr>
      </w:pPr>
    </w:p>
    <w:p w:rsidR="00FD7324" w:rsidRDefault="00FD7324" w:rsidP="007A0CEC">
      <w:pPr>
        <w:spacing w:after="0"/>
        <w:jc w:val="left"/>
        <w:rPr>
          <w:rFonts w:cs="Times New Roman"/>
          <w:szCs w:val="24"/>
          <w:lang w:val="sr-Latn-RS"/>
        </w:rPr>
      </w:pPr>
    </w:p>
    <w:p w:rsidR="00FD7324" w:rsidRDefault="00FD7324" w:rsidP="007A0CEC">
      <w:pPr>
        <w:spacing w:after="0"/>
        <w:jc w:val="left"/>
        <w:rPr>
          <w:rFonts w:cs="Times New Roman"/>
          <w:szCs w:val="24"/>
          <w:lang w:val="sr-Latn-RS"/>
        </w:rPr>
      </w:pPr>
    </w:p>
    <w:p w:rsidR="00C448F1" w:rsidRPr="00C448F1" w:rsidRDefault="00C448F1" w:rsidP="00C448F1">
      <w:pPr>
        <w:spacing w:after="0"/>
        <w:jc w:val="left"/>
        <w:rPr>
          <w:rFonts w:eastAsia="Times New Roman" w:cs="Times New Roman"/>
          <w:bCs/>
          <w:szCs w:val="24"/>
        </w:rPr>
      </w:pPr>
      <w:r w:rsidRPr="00C448F1">
        <w:rPr>
          <w:rFonts w:eastAsia="Times New Roman" w:cs="Times New Roman"/>
          <w:bCs/>
          <w:szCs w:val="24"/>
        </w:rPr>
        <w:lastRenderedPageBreak/>
        <w:t>Table 2c)   Discretionary measures adopted/announced according to the Programme</w:t>
      </w:r>
    </w:p>
    <w:p w:rsidR="00C448F1" w:rsidRDefault="00C448F1" w:rsidP="007A0CEC">
      <w:pPr>
        <w:spacing w:after="0"/>
        <w:jc w:val="left"/>
        <w:rPr>
          <w:rFonts w:cs="Times New Roman"/>
          <w:szCs w:val="24"/>
          <w:lang w:val="sr-Latn-RS"/>
        </w:rPr>
      </w:pPr>
    </w:p>
    <w:p w:rsidR="00C448F1" w:rsidRDefault="00C448F1"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"Tab2c-DiscretionaryMeasures!R4C2:R32C11" \a \f 4 \h  \* MERGEFORMAT </w:instrText>
      </w:r>
      <w:r>
        <w:rPr>
          <w:lang w:val="sr-Latn-RS"/>
        </w:rPr>
        <w:fldChar w:fldCharType="separate"/>
      </w:r>
    </w:p>
    <w:tbl>
      <w:tblPr>
        <w:tblW w:w="13912" w:type="dxa"/>
        <w:tblLook w:val="04A0" w:firstRow="1" w:lastRow="0" w:firstColumn="1" w:lastColumn="0" w:noHBand="0" w:noVBand="1"/>
      </w:tblPr>
      <w:tblGrid>
        <w:gridCol w:w="1277"/>
        <w:gridCol w:w="4589"/>
        <w:gridCol w:w="1570"/>
        <w:gridCol w:w="1119"/>
        <w:gridCol w:w="894"/>
        <w:gridCol w:w="887"/>
        <w:gridCol w:w="886"/>
        <w:gridCol w:w="886"/>
        <w:gridCol w:w="886"/>
        <w:gridCol w:w="918"/>
      </w:tblGrid>
      <w:tr w:rsidR="00C448F1" w:rsidRPr="00C448F1" w:rsidTr="00C448F1">
        <w:trPr>
          <w:trHeight w:val="921"/>
        </w:trPr>
        <w:tc>
          <w:tcPr>
            <w:tcW w:w="5866" w:type="dxa"/>
            <w:gridSpan w:val="2"/>
            <w:vMerge w:val="restart"/>
            <w:tcBorders>
              <w:top w:val="double" w:sz="6" w:space="0" w:color="auto"/>
              <w:left w:val="double" w:sz="6" w:space="0" w:color="auto"/>
              <w:bottom w:val="single" w:sz="8" w:space="0" w:color="000000"/>
              <w:right w:val="single" w:sz="4" w:space="0" w:color="000000"/>
            </w:tcBorders>
            <w:shd w:val="clear" w:color="auto" w:fill="auto"/>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Measures</w:t>
            </w:r>
          </w:p>
        </w:tc>
        <w:tc>
          <w:tcPr>
            <w:tcW w:w="1570" w:type="dxa"/>
            <w:vMerge w:val="restart"/>
            <w:tcBorders>
              <w:top w:val="double" w:sz="6" w:space="0" w:color="auto"/>
              <w:left w:val="single" w:sz="4" w:space="0" w:color="auto"/>
              <w:bottom w:val="single" w:sz="8" w:space="0" w:color="000000"/>
              <w:right w:val="single" w:sz="4" w:space="0" w:color="auto"/>
            </w:tcBorders>
            <w:shd w:val="clear" w:color="auto" w:fill="auto"/>
            <w:vAlign w:val="center"/>
            <w:hideMark/>
          </w:tcPr>
          <w:p w:rsidR="00C448F1" w:rsidRPr="00C448F1" w:rsidRDefault="00C448F1" w:rsidP="00C448F1">
            <w:pPr>
              <w:spacing w:after="0"/>
              <w:jc w:val="center"/>
              <w:rPr>
                <w:rFonts w:eastAsia="Times New Roman" w:cs="Times New Roman"/>
                <w:b/>
                <w:bCs/>
                <w:sz w:val="22"/>
              </w:rPr>
            </w:pPr>
            <w:r w:rsidRPr="00C448F1">
              <w:rPr>
                <w:rFonts w:eastAsia="Times New Roman" w:cs="Times New Roman"/>
                <w:b/>
                <w:bCs/>
                <w:sz w:val="22"/>
              </w:rPr>
              <w:t>ESA Code (Expenditure / Revenue component)</w:t>
            </w:r>
          </w:p>
        </w:tc>
        <w:tc>
          <w:tcPr>
            <w:tcW w:w="1119" w:type="dxa"/>
            <w:vMerge w:val="restart"/>
            <w:tcBorders>
              <w:top w:val="double" w:sz="6" w:space="0" w:color="auto"/>
              <w:left w:val="single" w:sz="4" w:space="0" w:color="auto"/>
              <w:bottom w:val="single" w:sz="8" w:space="0" w:color="000000"/>
              <w:right w:val="single" w:sz="8" w:space="0" w:color="auto"/>
            </w:tcBorders>
            <w:shd w:val="clear" w:color="auto" w:fill="auto"/>
            <w:vAlign w:val="center"/>
            <w:hideMark/>
          </w:tcPr>
          <w:p w:rsidR="00C448F1" w:rsidRPr="00C448F1" w:rsidRDefault="00C448F1" w:rsidP="00C448F1">
            <w:pPr>
              <w:spacing w:after="0"/>
              <w:jc w:val="center"/>
              <w:rPr>
                <w:rFonts w:eastAsia="Times New Roman" w:cs="Times New Roman"/>
                <w:b/>
                <w:bCs/>
                <w:sz w:val="22"/>
              </w:rPr>
            </w:pPr>
            <w:r w:rsidRPr="00C448F1">
              <w:rPr>
                <w:rFonts w:eastAsia="Times New Roman" w:cs="Times New Roman"/>
                <w:b/>
                <w:bCs/>
                <w:sz w:val="22"/>
              </w:rPr>
              <w:t xml:space="preserve">Date of adoption </w:t>
            </w:r>
          </w:p>
        </w:tc>
        <w:tc>
          <w:tcPr>
            <w:tcW w:w="5357" w:type="dxa"/>
            <w:gridSpan w:val="6"/>
            <w:tcBorders>
              <w:top w:val="double" w:sz="6" w:space="0" w:color="auto"/>
              <w:left w:val="single" w:sz="8" w:space="0" w:color="auto"/>
              <w:bottom w:val="single" w:sz="4" w:space="0" w:color="auto"/>
              <w:right w:val="double" w:sz="6" w:space="0" w:color="000000"/>
            </w:tcBorders>
            <w:shd w:val="clear" w:color="auto" w:fill="auto"/>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 xml:space="preserve">Budgetary impact </w:t>
            </w:r>
            <w:r w:rsidRPr="00C448F1">
              <w:rPr>
                <w:rFonts w:eastAsia="Times New Roman" w:cs="Times New Roman"/>
                <w:szCs w:val="24"/>
              </w:rPr>
              <w:t>(% of GDP - change from previous year)</w:t>
            </w:r>
          </w:p>
        </w:tc>
      </w:tr>
      <w:tr w:rsidR="00C448F1" w:rsidRPr="00C448F1" w:rsidTr="00C448F1">
        <w:trPr>
          <w:trHeight w:val="214"/>
        </w:trPr>
        <w:tc>
          <w:tcPr>
            <w:tcW w:w="5866" w:type="dxa"/>
            <w:gridSpan w:val="2"/>
            <w:vMerge/>
            <w:tcBorders>
              <w:top w:val="double" w:sz="6" w:space="0" w:color="auto"/>
              <w:left w:val="double" w:sz="6" w:space="0" w:color="auto"/>
              <w:bottom w:val="single" w:sz="8" w:space="0" w:color="000000"/>
              <w:right w:val="single" w:sz="4" w:space="0" w:color="000000"/>
            </w:tcBorders>
            <w:vAlign w:val="center"/>
            <w:hideMark/>
          </w:tcPr>
          <w:p w:rsidR="00C448F1" w:rsidRPr="00C448F1" w:rsidRDefault="00C448F1" w:rsidP="00C448F1">
            <w:pPr>
              <w:spacing w:after="0"/>
              <w:jc w:val="left"/>
              <w:rPr>
                <w:rFonts w:eastAsia="Times New Roman" w:cs="Times New Roman"/>
                <w:b/>
                <w:bCs/>
                <w:szCs w:val="24"/>
              </w:rPr>
            </w:pPr>
          </w:p>
        </w:tc>
        <w:tc>
          <w:tcPr>
            <w:tcW w:w="1570" w:type="dxa"/>
            <w:vMerge/>
            <w:tcBorders>
              <w:top w:val="double" w:sz="6" w:space="0" w:color="auto"/>
              <w:left w:val="single" w:sz="4" w:space="0" w:color="auto"/>
              <w:bottom w:val="single" w:sz="8" w:space="0" w:color="000000"/>
              <w:right w:val="single" w:sz="4" w:space="0" w:color="auto"/>
            </w:tcBorders>
            <w:vAlign w:val="center"/>
            <w:hideMark/>
          </w:tcPr>
          <w:p w:rsidR="00C448F1" w:rsidRPr="00C448F1" w:rsidRDefault="00C448F1" w:rsidP="00C448F1">
            <w:pPr>
              <w:spacing w:after="0"/>
              <w:jc w:val="left"/>
              <w:rPr>
                <w:rFonts w:eastAsia="Times New Roman" w:cs="Times New Roman"/>
                <w:b/>
                <w:bCs/>
                <w:szCs w:val="24"/>
              </w:rPr>
            </w:pPr>
          </w:p>
        </w:tc>
        <w:tc>
          <w:tcPr>
            <w:tcW w:w="1119" w:type="dxa"/>
            <w:vMerge/>
            <w:tcBorders>
              <w:top w:val="double" w:sz="6" w:space="0" w:color="auto"/>
              <w:left w:val="single" w:sz="4" w:space="0" w:color="auto"/>
              <w:bottom w:val="single" w:sz="8" w:space="0" w:color="000000"/>
              <w:right w:val="single" w:sz="8" w:space="0" w:color="auto"/>
            </w:tcBorders>
            <w:vAlign w:val="center"/>
            <w:hideMark/>
          </w:tcPr>
          <w:p w:rsidR="00C448F1" w:rsidRPr="00C448F1" w:rsidRDefault="00C448F1" w:rsidP="00C448F1">
            <w:pPr>
              <w:spacing w:after="0"/>
              <w:jc w:val="left"/>
              <w:rPr>
                <w:rFonts w:eastAsia="Times New Roman" w:cs="Times New Roman"/>
                <w:b/>
                <w:bCs/>
                <w:szCs w:val="24"/>
              </w:rPr>
            </w:pPr>
          </w:p>
        </w:tc>
        <w:tc>
          <w:tcPr>
            <w:tcW w:w="894" w:type="dxa"/>
            <w:tcBorders>
              <w:top w:val="nil"/>
              <w:left w:val="nil"/>
              <w:bottom w:val="single" w:sz="8" w:space="0" w:color="auto"/>
              <w:right w:val="single" w:sz="4" w:space="0" w:color="auto"/>
            </w:tcBorders>
            <w:shd w:val="clear" w:color="auto" w:fill="auto"/>
            <w:noWrap/>
            <w:vAlign w:val="bottom"/>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2023</w:t>
            </w:r>
          </w:p>
        </w:tc>
        <w:tc>
          <w:tcPr>
            <w:tcW w:w="887" w:type="dxa"/>
            <w:tcBorders>
              <w:top w:val="nil"/>
              <w:left w:val="nil"/>
              <w:bottom w:val="single" w:sz="8" w:space="0" w:color="auto"/>
              <w:right w:val="single" w:sz="4" w:space="0" w:color="auto"/>
            </w:tcBorders>
            <w:shd w:val="clear" w:color="auto" w:fill="auto"/>
            <w:noWrap/>
            <w:vAlign w:val="bottom"/>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2024</w:t>
            </w:r>
          </w:p>
        </w:tc>
        <w:tc>
          <w:tcPr>
            <w:tcW w:w="886" w:type="dxa"/>
            <w:tcBorders>
              <w:top w:val="nil"/>
              <w:left w:val="nil"/>
              <w:bottom w:val="single" w:sz="8" w:space="0" w:color="auto"/>
              <w:right w:val="nil"/>
            </w:tcBorders>
            <w:shd w:val="clear" w:color="auto" w:fill="auto"/>
            <w:noWrap/>
            <w:vAlign w:val="bottom"/>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2025</w:t>
            </w:r>
          </w:p>
        </w:tc>
        <w:tc>
          <w:tcPr>
            <w:tcW w:w="886" w:type="dxa"/>
            <w:tcBorders>
              <w:top w:val="nil"/>
              <w:left w:val="single" w:sz="4" w:space="0" w:color="auto"/>
              <w:bottom w:val="single" w:sz="8" w:space="0" w:color="auto"/>
              <w:right w:val="nil"/>
            </w:tcBorders>
            <w:shd w:val="clear" w:color="auto" w:fill="auto"/>
            <w:noWrap/>
            <w:vAlign w:val="bottom"/>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2026</w:t>
            </w:r>
          </w:p>
        </w:tc>
        <w:tc>
          <w:tcPr>
            <w:tcW w:w="886" w:type="dxa"/>
            <w:tcBorders>
              <w:top w:val="nil"/>
              <w:left w:val="single" w:sz="4" w:space="0" w:color="auto"/>
              <w:bottom w:val="single" w:sz="8" w:space="0" w:color="auto"/>
              <w:right w:val="nil"/>
            </w:tcBorders>
            <w:shd w:val="clear" w:color="auto" w:fill="auto"/>
            <w:noWrap/>
            <w:vAlign w:val="bottom"/>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2027</w:t>
            </w:r>
          </w:p>
        </w:tc>
        <w:tc>
          <w:tcPr>
            <w:tcW w:w="918" w:type="dxa"/>
            <w:tcBorders>
              <w:top w:val="nil"/>
              <w:left w:val="single" w:sz="4" w:space="0" w:color="auto"/>
              <w:bottom w:val="single" w:sz="8" w:space="0" w:color="auto"/>
              <w:right w:val="double" w:sz="6" w:space="0" w:color="auto"/>
            </w:tcBorders>
            <w:shd w:val="clear" w:color="auto" w:fill="auto"/>
            <w:noWrap/>
            <w:vAlign w:val="bottom"/>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2028</w:t>
            </w:r>
          </w:p>
        </w:tc>
      </w:tr>
      <w:tr w:rsidR="00C448F1" w:rsidRPr="00C448F1" w:rsidTr="00C448F1">
        <w:trPr>
          <w:trHeight w:val="202"/>
        </w:trPr>
        <w:tc>
          <w:tcPr>
            <w:tcW w:w="1277" w:type="dxa"/>
            <w:vMerge w:val="restart"/>
            <w:tcBorders>
              <w:top w:val="nil"/>
              <w:left w:val="double" w:sz="6" w:space="0" w:color="auto"/>
              <w:bottom w:val="nil"/>
              <w:right w:val="single" w:sz="4" w:space="0" w:color="auto"/>
            </w:tcBorders>
            <w:shd w:val="clear" w:color="auto" w:fill="auto"/>
            <w:vAlign w:val="center"/>
            <w:hideMark/>
          </w:tcPr>
          <w:p w:rsidR="00C448F1" w:rsidRPr="00C448F1" w:rsidRDefault="00C448F1" w:rsidP="00C448F1">
            <w:pPr>
              <w:spacing w:after="0"/>
              <w:jc w:val="center"/>
              <w:rPr>
                <w:rFonts w:eastAsia="Times New Roman" w:cs="Times New Roman"/>
                <w:i/>
                <w:sz w:val="22"/>
              </w:rPr>
            </w:pPr>
            <w:r w:rsidRPr="00C448F1">
              <w:rPr>
                <w:rFonts w:eastAsia="Times New Roman" w:cs="Times New Roman"/>
                <w:i/>
                <w:iCs/>
                <w:sz w:val="22"/>
              </w:rPr>
              <w:t>Temporary</w:t>
            </w:r>
            <w:r w:rsidRPr="00C448F1">
              <w:rPr>
                <w:rFonts w:eastAsia="Times New Roman" w:cs="Times New Roman"/>
                <w:i/>
                <w:sz w:val="22"/>
              </w:rPr>
              <w:t xml:space="preserve"> measures</w:t>
            </w:r>
            <w:r w:rsidRPr="00C448F1">
              <w:rPr>
                <w:rFonts w:eastAsia="Times New Roman" w:cs="Times New Roman"/>
                <w:i/>
                <w:sz w:val="22"/>
                <w:vertAlign w:val="superscript"/>
              </w:rPr>
              <w:t>1</w:t>
            </w:r>
          </w:p>
        </w:tc>
        <w:tc>
          <w:tcPr>
            <w:tcW w:w="4589"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Assistance to pensioners</w:t>
            </w:r>
          </w:p>
        </w:tc>
        <w:tc>
          <w:tcPr>
            <w:tcW w:w="1570"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D62</w:t>
            </w:r>
          </w:p>
        </w:tc>
        <w:tc>
          <w:tcPr>
            <w:tcW w:w="1119" w:type="dxa"/>
            <w:tcBorders>
              <w:top w:val="nil"/>
              <w:left w:val="nil"/>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0.1</w:t>
            </w:r>
          </w:p>
        </w:tc>
        <w:tc>
          <w:tcPr>
            <w:tcW w:w="887"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918" w:type="dxa"/>
            <w:tcBorders>
              <w:top w:val="nil"/>
              <w:left w:val="nil"/>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r>
      <w:tr w:rsidR="00C448F1" w:rsidRPr="00C448F1" w:rsidTr="00C448F1">
        <w:trPr>
          <w:trHeight w:val="202"/>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4589"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Temporary reduction in oil excises</w:t>
            </w:r>
          </w:p>
        </w:tc>
        <w:tc>
          <w:tcPr>
            <w:tcW w:w="1570"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D2</w:t>
            </w:r>
          </w:p>
        </w:tc>
        <w:tc>
          <w:tcPr>
            <w:tcW w:w="1119" w:type="dxa"/>
            <w:tcBorders>
              <w:top w:val="nil"/>
              <w:left w:val="single" w:sz="4" w:space="0" w:color="auto"/>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0.0</w:t>
            </w:r>
          </w:p>
        </w:tc>
        <w:tc>
          <w:tcPr>
            <w:tcW w:w="887"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nil"/>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918" w:type="dxa"/>
            <w:tcBorders>
              <w:top w:val="nil"/>
              <w:left w:val="single" w:sz="4" w:space="0" w:color="auto"/>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r>
      <w:tr w:rsidR="00C448F1" w:rsidRPr="00C448F1" w:rsidTr="00C448F1">
        <w:trPr>
          <w:trHeight w:val="202"/>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4589"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Energy sector subsidies</w:t>
            </w:r>
          </w:p>
        </w:tc>
        <w:tc>
          <w:tcPr>
            <w:tcW w:w="1570"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D3</w:t>
            </w:r>
          </w:p>
        </w:tc>
        <w:tc>
          <w:tcPr>
            <w:tcW w:w="1119" w:type="dxa"/>
            <w:tcBorders>
              <w:top w:val="nil"/>
              <w:left w:val="single" w:sz="4" w:space="0" w:color="auto"/>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2.0</w:t>
            </w:r>
          </w:p>
        </w:tc>
        <w:tc>
          <w:tcPr>
            <w:tcW w:w="887"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0.3</w:t>
            </w:r>
          </w:p>
        </w:tc>
        <w:tc>
          <w:tcPr>
            <w:tcW w:w="886" w:type="dxa"/>
            <w:tcBorders>
              <w:top w:val="nil"/>
              <w:left w:val="nil"/>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918" w:type="dxa"/>
            <w:tcBorders>
              <w:top w:val="nil"/>
              <w:left w:val="single" w:sz="4" w:space="0" w:color="auto"/>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r>
      <w:tr w:rsidR="00C448F1" w:rsidRPr="00C448F1" w:rsidTr="00C448F1">
        <w:trPr>
          <w:trHeight w:val="202"/>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4589"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Assistance to mothers</w:t>
            </w:r>
          </w:p>
        </w:tc>
        <w:tc>
          <w:tcPr>
            <w:tcW w:w="1570"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D7</w:t>
            </w:r>
          </w:p>
        </w:tc>
        <w:tc>
          <w:tcPr>
            <w:tcW w:w="1119" w:type="dxa"/>
            <w:tcBorders>
              <w:top w:val="nil"/>
              <w:left w:val="single" w:sz="4" w:space="0" w:color="auto"/>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-0.1</w:t>
            </w:r>
          </w:p>
        </w:tc>
        <w:tc>
          <w:tcPr>
            <w:tcW w:w="887"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nil"/>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918" w:type="dxa"/>
            <w:tcBorders>
              <w:top w:val="nil"/>
              <w:left w:val="single" w:sz="4" w:space="0" w:color="auto"/>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r>
      <w:tr w:rsidR="00C448F1" w:rsidRPr="00C448F1" w:rsidTr="00C448F1">
        <w:trPr>
          <w:trHeight w:val="202"/>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4589"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Assistance to social benefits users</w:t>
            </w:r>
          </w:p>
        </w:tc>
        <w:tc>
          <w:tcPr>
            <w:tcW w:w="1570"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D62</w:t>
            </w:r>
          </w:p>
        </w:tc>
        <w:tc>
          <w:tcPr>
            <w:tcW w:w="1119" w:type="dxa"/>
            <w:tcBorders>
              <w:top w:val="nil"/>
              <w:left w:val="single" w:sz="4" w:space="0" w:color="auto"/>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0.0</w:t>
            </w:r>
          </w:p>
        </w:tc>
        <w:tc>
          <w:tcPr>
            <w:tcW w:w="887"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nil"/>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918" w:type="dxa"/>
            <w:tcBorders>
              <w:top w:val="nil"/>
              <w:left w:val="single" w:sz="4" w:space="0" w:color="auto"/>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r>
      <w:tr w:rsidR="00C448F1" w:rsidRPr="00C448F1" w:rsidTr="00C448F1">
        <w:trPr>
          <w:trHeight w:val="202"/>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4589"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Increase in gross fixed capital formation spending</w:t>
            </w:r>
          </w:p>
        </w:tc>
        <w:tc>
          <w:tcPr>
            <w:tcW w:w="1570"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P51</w:t>
            </w:r>
          </w:p>
        </w:tc>
        <w:tc>
          <w:tcPr>
            <w:tcW w:w="1119" w:type="dxa"/>
            <w:tcBorders>
              <w:top w:val="nil"/>
              <w:left w:val="single" w:sz="4" w:space="0" w:color="auto"/>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7"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-0.5</w:t>
            </w:r>
          </w:p>
        </w:tc>
        <w:tc>
          <w:tcPr>
            <w:tcW w:w="886" w:type="dxa"/>
            <w:tcBorders>
              <w:top w:val="nil"/>
              <w:left w:val="nil"/>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-0.1</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-0.7</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-0.2</w:t>
            </w:r>
          </w:p>
        </w:tc>
        <w:tc>
          <w:tcPr>
            <w:tcW w:w="918" w:type="dxa"/>
            <w:tcBorders>
              <w:top w:val="nil"/>
              <w:left w:val="single" w:sz="4" w:space="0" w:color="auto"/>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0.7</w:t>
            </w:r>
          </w:p>
        </w:tc>
      </w:tr>
      <w:tr w:rsidR="00C448F1" w:rsidRPr="00C448F1" w:rsidTr="00C448F1">
        <w:trPr>
          <w:trHeight w:val="212"/>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7278" w:type="dxa"/>
            <w:gridSpan w:val="3"/>
            <w:tcBorders>
              <w:top w:val="single" w:sz="8" w:space="0" w:color="auto"/>
              <w:left w:val="single" w:sz="4" w:space="0" w:color="auto"/>
              <w:bottom w:val="single" w:sz="8" w:space="0" w:color="auto"/>
              <w:right w:val="single" w:sz="8" w:space="0" w:color="000000"/>
            </w:tcBorders>
            <w:shd w:val="clear" w:color="000000" w:fill="FFFFFF"/>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 xml:space="preserve">                 Subtotal     </w:t>
            </w:r>
          </w:p>
        </w:tc>
        <w:tc>
          <w:tcPr>
            <w:tcW w:w="894" w:type="dxa"/>
            <w:tcBorders>
              <w:top w:val="single" w:sz="8" w:space="0" w:color="auto"/>
              <w:left w:val="nil"/>
              <w:bottom w:val="single" w:sz="8" w:space="0" w:color="auto"/>
              <w:right w:val="single" w:sz="4" w:space="0" w:color="auto"/>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2.0</w:t>
            </w:r>
          </w:p>
        </w:tc>
        <w:tc>
          <w:tcPr>
            <w:tcW w:w="887" w:type="dxa"/>
            <w:tcBorders>
              <w:top w:val="single" w:sz="8" w:space="0" w:color="auto"/>
              <w:left w:val="nil"/>
              <w:bottom w:val="single" w:sz="8" w:space="0" w:color="auto"/>
              <w:right w:val="single" w:sz="4" w:space="0" w:color="auto"/>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-0.2</w:t>
            </w:r>
          </w:p>
        </w:tc>
        <w:tc>
          <w:tcPr>
            <w:tcW w:w="886" w:type="dxa"/>
            <w:tcBorders>
              <w:top w:val="single" w:sz="8" w:space="0" w:color="auto"/>
              <w:left w:val="nil"/>
              <w:bottom w:val="single" w:sz="8" w:space="0" w:color="auto"/>
              <w:right w:val="nil"/>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-0.1</w:t>
            </w:r>
          </w:p>
        </w:tc>
        <w:tc>
          <w:tcPr>
            <w:tcW w:w="886" w:type="dxa"/>
            <w:tcBorders>
              <w:top w:val="single" w:sz="8" w:space="0" w:color="auto"/>
              <w:left w:val="single" w:sz="4" w:space="0" w:color="auto"/>
              <w:bottom w:val="single" w:sz="8" w:space="0" w:color="auto"/>
              <w:right w:val="nil"/>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-0.7</w:t>
            </w:r>
          </w:p>
        </w:tc>
        <w:tc>
          <w:tcPr>
            <w:tcW w:w="886" w:type="dxa"/>
            <w:tcBorders>
              <w:top w:val="single" w:sz="8" w:space="0" w:color="auto"/>
              <w:left w:val="single" w:sz="4" w:space="0" w:color="auto"/>
              <w:bottom w:val="single" w:sz="8" w:space="0" w:color="auto"/>
              <w:right w:val="nil"/>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-0.2</w:t>
            </w:r>
          </w:p>
        </w:tc>
        <w:tc>
          <w:tcPr>
            <w:tcW w:w="918" w:type="dxa"/>
            <w:tcBorders>
              <w:top w:val="single" w:sz="8" w:space="0" w:color="auto"/>
              <w:left w:val="single" w:sz="4" w:space="0" w:color="auto"/>
              <w:bottom w:val="single" w:sz="8" w:space="0" w:color="auto"/>
              <w:right w:val="double" w:sz="6" w:space="0" w:color="auto"/>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0.7</w:t>
            </w:r>
          </w:p>
        </w:tc>
      </w:tr>
      <w:tr w:rsidR="00C448F1" w:rsidRPr="00C448F1" w:rsidTr="00C448F1">
        <w:trPr>
          <w:trHeight w:val="202"/>
        </w:trPr>
        <w:tc>
          <w:tcPr>
            <w:tcW w:w="1277" w:type="dxa"/>
            <w:vMerge w:val="restart"/>
            <w:tcBorders>
              <w:top w:val="nil"/>
              <w:left w:val="double" w:sz="6" w:space="0" w:color="auto"/>
              <w:bottom w:val="nil"/>
              <w:right w:val="single" w:sz="4" w:space="0" w:color="auto"/>
            </w:tcBorders>
            <w:shd w:val="clear" w:color="auto" w:fill="auto"/>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i/>
                <w:iCs/>
                <w:szCs w:val="24"/>
              </w:rPr>
              <w:t>Non-temporary</w:t>
            </w:r>
            <w:r w:rsidRPr="00C448F1">
              <w:rPr>
                <w:rFonts w:eastAsia="Times New Roman" w:cs="Times New Roman"/>
                <w:szCs w:val="24"/>
              </w:rPr>
              <w:t xml:space="preserve"> measures</w:t>
            </w:r>
            <w:r w:rsidRPr="00C448F1">
              <w:rPr>
                <w:rFonts w:eastAsia="Times New Roman" w:cs="Times New Roman"/>
                <w:szCs w:val="24"/>
                <w:vertAlign w:val="superscript"/>
              </w:rPr>
              <w:t>1</w:t>
            </w:r>
          </w:p>
        </w:tc>
        <w:tc>
          <w:tcPr>
            <w:tcW w:w="4589" w:type="dxa"/>
            <w:tcBorders>
              <w:top w:val="single" w:sz="4" w:space="0" w:color="auto"/>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Decrease of pension contribution and increase of nontaxable census on wages</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D5, D61</w:t>
            </w:r>
          </w:p>
        </w:tc>
        <w:tc>
          <w:tcPr>
            <w:tcW w:w="1119" w:type="dxa"/>
            <w:tcBorders>
              <w:top w:val="nil"/>
              <w:left w:val="nil"/>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-0.2</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single" w:sz="4" w:space="0" w:color="auto"/>
              <w:left w:val="nil"/>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single" w:sz="4" w:space="0" w:color="auto"/>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single" w:sz="4" w:space="0" w:color="auto"/>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918"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r>
      <w:tr w:rsidR="00C448F1" w:rsidRPr="00C448F1" w:rsidTr="00C448F1">
        <w:trPr>
          <w:trHeight w:val="208"/>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4589"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Change in demographic policy</w:t>
            </w:r>
          </w:p>
        </w:tc>
        <w:tc>
          <w:tcPr>
            <w:tcW w:w="1570"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D62</w:t>
            </w:r>
          </w:p>
        </w:tc>
        <w:tc>
          <w:tcPr>
            <w:tcW w:w="1119" w:type="dxa"/>
            <w:tcBorders>
              <w:top w:val="nil"/>
              <w:left w:val="nil"/>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0.1</w:t>
            </w:r>
          </w:p>
        </w:tc>
        <w:tc>
          <w:tcPr>
            <w:tcW w:w="887"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nil"/>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6" w:type="dxa"/>
            <w:tcBorders>
              <w:top w:val="nil"/>
              <w:left w:val="single" w:sz="4" w:space="0" w:color="auto"/>
              <w:bottom w:val="single" w:sz="4"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918" w:type="dxa"/>
            <w:tcBorders>
              <w:top w:val="nil"/>
              <w:left w:val="single" w:sz="4" w:space="0" w:color="auto"/>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r>
      <w:tr w:rsidR="00C448F1" w:rsidRPr="00C448F1" w:rsidTr="00C448F1">
        <w:trPr>
          <w:trHeight w:val="208"/>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4589"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Increase of nontaxable census on wages</w:t>
            </w:r>
          </w:p>
        </w:tc>
        <w:tc>
          <w:tcPr>
            <w:tcW w:w="1570"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D5,D61</w:t>
            </w:r>
          </w:p>
        </w:tc>
        <w:tc>
          <w:tcPr>
            <w:tcW w:w="1119" w:type="dxa"/>
            <w:tcBorders>
              <w:top w:val="nil"/>
              <w:left w:val="nil"/>
              <w:bottom w:val="single" w:sz="4" w:space="0" w:color="auto"/>
              <w:right w:val="single" w:sz="8"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94"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887"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-0.1</w:t>
            </w:r>
          </w:p>
        </w:tc>
        <w:tc>
          <w:tcPr>
            <w:tcW w:w="886"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0.0</w:t>
            </w:r>
          </w:p>
        </w:tc>
        <w:tc>
          <w:tcPr>
            <w:tcW w:w="886"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-0.1</w:t>
            </w:r>
          </w:p>
        </w:tc>
        <w:tc>
          <w:tcPr>
            <w:tcW w:w="886" w:type="dxa"/>
            <w:tcBorders>
              <w:top w:val="nil"/>
              <w:left w:val="nil"/>
              <w:bottom w:val="single" w:sz="4"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c>
          <w:tcPr>
            <w:tcW w:w="918" w:type="dxa"/>
            <w:tcBorders>
              <w:top w:val="nil"/>
              <w:left w:val="nil"/>
              <w:bottom w:val="single" w:sz="4"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szCs w:val="24"/>
              </w:rPr>
            </w:pPr>
            <w:r w:rsidRPr="00C448F1">
              <w:rPr>
                <w:rFonts w:eastAsia="Times New Roman" w:cs="Times New Roman"/>
                <w:szCs w:val="24"/>
              </w:rPr>
              <w:t>:</w:t>
            </w:r>
          </w:p>
        </w:tc>
      </w:tr>
      <w:tr w:rsidR="00C448F1" w:rsidRPr="00C448F1" w:rsidTr="00C448F1">
        <w:trPr>
          <w:trHeight w:val="212"/>
        </w:trPr>
        <w:tc>
          <w:tcPr>
            <w:tcW w:w="1277" w:type="dxa"/>
            <w:vMerge/>
            <w:tcBorders>
              <w:top w:val="nil"/>
              <w:left w:val="double" w:sz="6" w:space="0" w:color="auto"/>
              <w:bottom w:val="nil"/>
              <w:right w:val="single" w:sz="4" w:space="0" w:color="auto"/>
            </w:tcBorders>
            <w:vAlign w:val="center"/>
            <w:hideMark/>
          </w:tcPr>
          <w:p w:rsidR="00C448F1" w:rsidRPr="00C448F1" w:rsidRDefault="00C448F1" w:rsidP="00C448F1">
            <w:pPr>
              <w:spacing w:after="0"/>
              <w:jc w:val="left"/>
              <w:rPr>
                <w:rFonts w:eastAsia="Times New Roman" w:cs="Times New Roman"/>
                <w:szCs w:val="24"/>
              </w:rPr>
            </w:pPr>
          </w:p>
        </w:tc>
        <w:tc>
          <w:tcPr>
            <w:tcW w:w="7278" w:type="dxa"/>
            <w:gridSpan w:val="3"/>
            <w:tcBorders>
              <w:top w:val="single" w:sz="8" w:space="0" w:color="auto"/>
              <w:left w:val="nil"/>
              <w:bottom w:val="double" w:sz="6" w:space="0" w:color="auto"/>
              <w:right w:val="single" w:sz="8" w:space="0" w:color="000000"/>
            </w:tcBorders>
            <w:shd w:val="clear" w:color="000000" w:fill="FFFFFF"/>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 xml:space="preserve">                  Subtotal </w:t>
            </w:r>
          </w:p>
        </w:tc>
        <w:tc>
          <w:tcPr>
            <w:tcW w:w="894" w:type="dxa"/>
            <w:tcBorders>
              <w:top w:val="single" w:sz="8" w:space="0" w:color="auto"/>
              <w:left w:val="nil"/>
              <w:bottom w:val="double" w:sz="6" w:space="0" w:color="auto"/>
              <w:right w:val="single" w:sz="4" w:space="0" w:color="auto"/>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-0.1</w:t>
            </w:r>
          </w:p>
        </w:tc>
        <w:tc>
          <w:tcPr>
            <w:tcW w:w="887" w:type="dxa"/>
            <w:tcBorders>
              <w:top w:val="single" w:sz="8" w:space="0" w:color="auto"/>
              <w:left w:val="nil"/>
              <w:bottom w:val="double" w:sz="6" w:space="0" w:color="auto"/>
              <w:right w:val="single" w:sz="4" w:space="0" w:color="auto"/>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-0.1</w:t>
            </w:r>
          </w:p>
        </w:tc>
        <w:tc>
          <w:tcPr>
            <w:tcW w:w="886" w:type="dxa"/>
            <w:tcBorders>
              <w:top w:val="single" w:sz="8" w:space="0" w:color="auto"/>
              <w:left w:val="nil"/>
              <w:bottom w:val="double" w:sz="6" w:space="0" w:color="auto"/>
              <w:right w:val="nil"/>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0.0</w:t>
            </w:r>
          </w:p>
        </w:tc>
        <w:tc>
          <w:tcPr>
            <w:tcW w:w="886" w:type="dxa"/>
            <w:tcBorders>
              <w:top w:val="single" w:sz="8" w:space="0" w:color="auto"/>
              <w:left w:val="single" w:sz="4" w:space="0" w:color="auto"/>
              <w:bottom w:val="double" w:sz="6" w:space="0" w:color="auto"/>
              <w:right w:val="nil"/>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-0.1</w:t>
            </w:r>
          </w:p>
        </w:tc>
        <w:tc>
          <w:tcPr>
            <w:tcW w:w="886" w:type="dxa"/>
            <w:tcBorders>
              <w:top w:val="single" w:sz="8" w:space="0" w:color="auto"/>
              <w:left w:val="single" w:sz="4" w:space="0" w:color="auto"/>
              <w:bottom w:val="double" w:sz="6" w:space="0" w:color="auto"/>
              <w:right w:val="nil"/>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0.0</w:t>
            </w:r>
          </w:p>
        </w:tc>
        <w:tc>
          <w:tcPr>
            <w:tcW w:w="918" w:type="dxa"/>
            <w:tcBorders>
              <w:top w:val="single" w:sz="8" w:space="0" w:color="auto"/>
              <w:left w:val="single" w:sz="4" w:space="0" w:color="auto"/>
              <w:bottom w:val="double" w:sz="6" w:space="0" w:color="auto"/>
              <w:right w:val="double" w:sz="6" w:space="0" w:color="auto"/>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0.0</w:t>
            </w:r>
          </w:p>
        </w:tc>
      </w:tr>
      <w:tr w:rsidR="00C448F1" w:rsidRPr="00C448F1" w:rsidTr="00C448F1">
        <w:trPr>
          <w:trHeight w:val="220"/>
        </w:trPr>
        <w:tc>
          <w:tcPr>
            <w:tcW w:w="1277" w:type="dxa"/>
            <w:tcBorders>
              <w:top w:val="nil"/>
              <w:left w:val="double" w:sz="6" w:space="0" w:color="auto"/>
              <w:bottom w:val="double" w:sz="6" w:space="0" w:color="auto"/>
              <w:right w:val="nil"/>
            </w:tcBorders>
            <w:shd w:val="clear" w:color="auto" w:fill="auto"/>
            <w:noWrap/>
            <w:vAlign w:val="bottom"/>
            <w:hideMark/>
          </w:tcPr>
          <w:p w:rsidR="00C448F1" w:rsidRPr="00C448F1" w:rsidRDefault="00C448F1" w:rsidP="00C448F1">
            <w:pPr>
              <w:spacing w:after="0"/>
              <w:jc w:val="left"/>
              <w:rPr>
                <w:rFonts w:eastAsia="Times New Roman" w:cs="Times New Roman"/>
                <w:szCs w:val="24"/>
              </w:rPr>
            </w:pPr>
            <w:r w:rsidRPr="00C448F1">
              <w:rPr>
                <w:rFonts w:eastAsia="Times New Roman" w:cs="Times New Roman"/>
                <w:szCs w:val="24"/>
              </w:rPr>
              <w:t> </w:t>
            </w:r>
          </w:p>
        </w:tc>
        <w:tc>
          <w:tcPr>
            <w:tcW w:w="7278" w:type="dxa"/>
            <w:gridSpan w:val="3"/>
            <w:tcBorders>
              <w:top w:val="double" w:sz="6" w:space="0" w:color="auto"/>
              <w:left w:val="nil"/>
              <w:bottom w:val="double" w:sz="6" w:space="0" w:color="auto"/>
              <w:right w:val="single" w:sz="8" w:space="0" w:color="000000"/>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 xml:space="preserve">                   Total</w:t>
            </w:r>
          </w:p>
        </w:tc>
        <w:tc>
          <w:tcPr>
            <w:tcW w:w="894" w:type="dxa"/>
            <w:tcBorders>
              <w:top w:val="nil"/>
              <w:left w:val="nil"/>
              <w:bottom w:val="double" w:sz="6" w:space="0" w:color="auto"/>
              <w:right w:val="single" w:sz="4" w:space="0" w:color="auto"/>
            </w:tcBorders>
            <w:shd w:val="clear" w:color="000000" w:fill="FFFFFF"/>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1.9</w:t>
            </w:r>
          </w:p>
        </w:tc>
        <w:tc>
          <w:tcPr>
            <w:tcW w:w="887" w:type="dxa"/>
            <w:tcBorders>
              <w:top w:val="nil"/>
              <w:left w:val="nil"/>
              <w:bottom w:val="double" w:sz="6"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-0.3</w:t>
            </w:r>
          </w:p>
        </w:tc>
        <w:tc>
          <w:tcPr>
            <w:tcW w:w="886" w:type="dxa"/>
            <w:tcBorders>
              <w:top w:val="nil"/>
              <w:left w:val="nil"/>
              <w:bottom w:val="double" w:sz="6" w:space="0" w:color="auto"/>
              <w:right w:val="single" w:sz="4" w:space="0" w:color="auto"/>
            </w:tcBorders>
            <w:shd w:val="clear" w:color="auto" w:fill="auto"/>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-0.1</w:t>
            </w:r>
          </w:p>
        </w:tc>
        <w:tc>
          <w:tcPr>
            <w:tcW w:w="886" w:type="dxa"/>
            <w:tcBorders>
              <w:top w:val="nil"/>
              <w:left w:val="nil"/>
              <w:bottom w:val="double" w:sz="6"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-0.8</w:t>
            </w:r>
          </w:p>
        </w:tc>
        <w:tc>
          <w:tcPr>
            <w:tcW w:w="886" w:type="dxa"/>
            <w:tcBorders>
              <w:top w:val="nil"/>
              <w:left w:val="single" w:sz="4" w:space="0" w:color="auto"/>
              <w:bottom w:val="double" w:sz="6" w:space="0" w:color="auto"/>
              <w:right w:val="nil"/>
            </w:tcBorders>
            <w:shd w:val="clear" w:color="auto" w:fill="auto"/>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-0.2</w:t>
            </w:r>
          </w:p>
        </w:tc>
        <w:tc>
          <w:tcPr>
            <w:tcW w:w="918" w:type="dxa"/>
            <w:tcBorders>
              <w:top w:val="nil"/>
              <w:left w:val="single" w:sz="4" w:space="0" w:color="auto"/>
              <w:bottom w:val="double" w:sz="6" w:space="0" w:color="auto"/>
              <w:right w:val="double" w:sz="6" w:space="0" w:color="auto"/>
            </w:tcBorders>
            <w:shd w:val="clear" w:color="auto" w:fill="auto"/>
            <w:noWrap/>
            <w:vAlign w:val="center"/>
            <w:hideMark/>
          </w:tcPr>
          <w:p w:rsidR="00C448F1" w:rsidRPr="00C448F1" w:rsidRDefault="00C448F1" w:rsidP="00C448F1">
            <w:pPr>
              <w:spacing w:after="0"/>
              <w:jc w:val="center"/>
              <w:rPr>
                <w:rFonts w:eastAsia="Times New Roman" w:cs="Times New Roman"/>
                <w:b/>
                <w:bCs/>
                <w:szCs w:val="24"/>
              </w:rPr>
            </w:pPr>
            <w:r w:rsidRPr="00C448F1">
              <w:rPr>
                <w:rFonts w:eastAsia="Times New Roman" w:cs="Times New Roman"/>
                <w:b/>
                <w:bCs/>
                <w:szCs w:val="24"/>
              </w:rPr>
              <w:t>0.7</w:t>
            </w:r>
          </w:p>
        </w:tc>
      </w:tr>
    </w:tbl>
    <w:p w:rsidR="00C448F1" w:rsidRPr="00FD7324" w:rsidRDefault="00C448F1" w:rsidP="00C448F1">
      <w:pPr>
        <w:spacing w:after="0"/>
        <w:jc w:val="left"/>
        <w:rPr>
          <w:rFonts w:eastAsia="Times New Roman" w:cs="Times New Roman"/>
          <w:sz w:val="16"/>
          <w:szCs w:val="16"/>
        </w:rPr>
      </w:pPr>
      <w:r>
        <w:rPr>
          <w:rFonts w:cs="Times New Roman"/>
          <w:szCs w:val="24"/>
          <w:lang w:val="sr-Latn-RS"/>
        </w:rPr>
        <w:fldChar w:fldCharType="end"/>
      </w:r>
      <w:r w:rsidRPr="00FD7324">
        <w:rPr>
          <w:rFonts w:eastAsia="Times New Roman" w:cs="Times New Roman"/>
          <w:sz w:val="16"/>
          <w:szCs w:val="16"/>
        </w:rPr>
        <w:t>[1]  For the purpose of this table, temporary measures refer to those discretionary measures that have no budgetary impact beyond the year of submission. By contrast, those measure</w:t>
      </w:r>
      <w:r>
        <w:rPr>
          <w:rFonts w:eastAsia="Times New Roman" w:cs="Times New Roman"/>
          <w:sz w:val="16"/>
          <w:szCs w:val="16"/>
        </w:rPr>
        <w:t xml:space="preserve">s adopted or announced for 2025 </w:t>
      </w:r>
      <w:r w:rsidRPr="00FD7324">
        <w:rPr>
          <w:rFonts w:eastAsia="Times New Roman" w:cs="Times New Roman"/>
          <w:sz w:val="16"/>
          <w:szCs w:val="16"/>
        </w:rPr>
        <w:t>that continue to have a fiscal effect of 0.1% of GD</w:t>
      </w:r>
      <w:r>
        <w:rPr>
          <w:rFonts w:eastAsia="Times New Roman" w:cs="Times New Roman"/>
          <w:sz w:val="16"/>
          <w:szCs w:val="16"/>
        </w:rPr>
        <w:t>P or greater until at least 2027</w:t>
      </w:r>
      <w:r w:rsidRPr="00FD7324">
        <w:rPr>
          <w:rFonts w:eastAsia="Times New Roman" w:cs="Times New Roman"/>
          <w:sz w:val="16"/>
          <w:szCs w:val="16"/>
        </w:rPr>
        <w:t xml:space="preserve"> are considered as 'non-temporary' for the purpose of this table.   </w:t>
      </w: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r w:rsidRPr="009A3085">
        <w:rPr>
          <w:rFonts w:cs="Times New Roman"/>
          <w:szCs w:val="24"/>
          <w:lang w:val="sr-Latn-RS"/>
        </w:rPr>
        <w:lastRenderedPageBreak/>
        <w:t xml:space="preserve">Table 3: General government expenditure by function </w:t>
      </w:r>
    </w:p>
    <w:p w:rsidR="009A3085" w:rsidRDefault="009A3085" w:rsidP="007A0CEC">
      <w:pPr>
        <w:spacing w:after="0"/>
        <w:jc w:val="left"/>
        <w:rPr>
          <w:rFonts w:cs="Times New Roman"/>
          <w:szCs w:val="24"/>
          <w:lang w:val="sr-Latn-RS"/>
        </w:rPr>
      </w:pPr>
    </w:p>
    <w:p w:rsidR="009A3085" w:rsidRDefault="009A3085"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"data!R175C2:R187C9" \a \f 4 \h  \* MERGEFORMAT </w:instrText>
      </w:r>
      <w:r>
        <w:rPr>
          <w:lang w:val="sr-Latn-RS"/>
        </w:rPr>
        <w:fldChar w:fldCharType="separate"/>
      </w:r>
    </w:p>
    <w:tbl>
      <w:tblPr>
        <w:tblW w:w="14272" w:type="dxa"/>
        <w:tblLook w:val="04A0" w:firstRow="1" w:lastRow="0" w:firstColumn="1" w:lastColumn="0" w:noHBand="0" w:noVBand="1"/>
      </w:tblPr>
      <w:tblGrid>
        <w:gridCol w:w="5162"/>
        <w:gridCol w:w="1281"/>
        <w:gridCol w:w="1744"/>
        <w:gridCol w:w="1228"/>
        <w:gridCol w:w="1281"/>
        <w:gridCol w:w="1192"/>
        <w:gridCol w:w="1192"/>
        <w:gridCol w:w="1192"/>
      </w:tblGrid>
      <w:tr w:rsidR="009A3085" w:rsidRPr="009A3085" w:rsidTr="009A3085">
        <w:trPr>
          <w:trHeight w:val="276"/>
        </w:trPr>
        <w:tc>
          <w:tcPr>
            <w:tcW w:w="5162" w:type="dxa"/>
            <w:tcBorders>
              <w:top w:val="double" w:sz="6" w:space="0" w:color="auto"/>
              <w:left w:val="double" w:sz="6" w:space="0" w:color="auto"/>
              <w:bottom w:val="nil"/>
              <w:right w:val="nil"/>
            </w:tcBorders>
            <w:shd w:val="clear" w:color="auto" w:fill="auto"/>
            <w:noWrap/>
            <w:vAlign w:val="center"/>
            <w:hideMark/>
          </w:tcPr>
          <w:p w:rsidR="009A3085" w:rsidRPr="009A3085" w:rsidRDefault="009A3085" w:rsidP="009A3085">
            <w:pPr>
              <w:spacing w:after="0"/>
              <w:jc w:val="left"/>
              <w:rPr>
                <w:rFonts w:eastAsia="Times New Roman" w:cs="Times New Roman"/>
                <w:b/>
                <w:bCs/>
                <w:sz w:val="20"/>
                <w:szCs w:val="20"/>
              </w:rPr>
            </w:pPr>
            <w:r w:rsidRPr="009A3085">
              <w:rPr>
                <w:rFonts w:eastAsia="Times New Roman" w:cs="Times New Roman"/>
                <w:b/>
                <w:bCs/>
                <w:sz w:val="20"/>
                <w:szCs w:val="20"/>
              </w:rPr>
              <w:t>Table 3: General government expenditure by function (bn NCU)</w:t>
            </w:r>
          </w:p>
        </w:tc>
        <w:tc>
          <w:tcPr>
            <w:tcW w:w="1281" w:type="dxa"/>
            <w:tcBorders>
              <w:top w:val="double" w:sz="6" w:space="0" w:color="auto"/>
              <w:left w:val="single" w:sz="8" w:space="0" w:color="000000"/>
              <w:bottom w:val="nil"/>
              <w:right w:val="single" w:sz="8" w:space="0" w:color="000000"/>
            </w:tcBorders>
            <w:shd w:val="clear" w:color="auto" w:fill="auto"/>
            <w:noWrap/>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COFOG Code</w:t>
            </w:r>
          </w:p>
        </w:tc>
        <w:tc>
          <w:tcPr>
            <w:tcW w:w="1744" w:type="dxa"/>
            <w:tcBorders>
              <w:top w:val="double" w:sz="6" w:space="0" w:color="auto"/>
              <w:left w:val="nil"/>
              <w:bottom w:val="double" w:sz="6" w:space="0" w:color="auto"/>
              <w:right w:val="dashed" w:sz="4" w:space="0" w:color="auto"/>
            </w:tcBorders>
            <w:shd w:val="clear" w:color="auto" w:fill="auto"/>
            <w:noWrap/>
            <w:vAlign w:val="center"/>
            <w:hideMark/>
          </w:tcPr>
          <w:p w:rsidR="009A3085" w:rsidRPr="009A3085" w:rsidRDefault="009A3085" w:rsidP="009A3085">
            <w:pPr>
              <w:spacing w:after="0"/>
              <w:jc w:val="right"/>
              <w:rPr>
                <w:rFonts w:eastAsia="Times New Roman" w:cs="Times New Roman"/>
                <w:b/>
                <w:bCs/>
                <w:sz w:val="20"/>
                <w:szCs w:val="20"/>
              </w:rPr>
            </w:pPr>
            <w:r w:rsidRPr="009A3085">
              <w:rPr>
                <w:rFonts w:eastAsia="Times New Roman" w:cs="Times New Roman"/>
                <w:b/>
                <w:bCs/>
                <w:sz w:val="20"/>
                <w:szCs w:val="20"/>
              </w:rPr>
              <w:t>2023</w:t>
            </w:r>
          </w:p>
        </w:tc>
        <w:tc>
          <w:tcPr>
            <w:tcW w:w="1228" w:type="dxa"/>
            <w:tcBorders>
              <w:top w:val="double" w:sz="6" w:space="0" w:color="auto"/>
              <w:left w:val="nil"/>
              <w:bottom w:val="double" w:sz="6" w:space="0" w:color="auto"/>
              <w:right w:val="dashed" w:sz="4" w:space="0" w:color="auto"/>
            </w:tcBorders>
            <w:shd w:val="clear" w:color="auto" w:fill="auto"/>
            <w:noWrap/>
            <w:vAlign w:val="center"/>
            <w:hideMark/>
          </w:tcPr>
          <w:p w:rsidR="009A3085" w:rsidRPr="009A3085" w:rsidRDefault="009A3085" w:rsidP="009A3085">
            <w:pPr>
              <w:spacing w:after="0"/>
              <w:jc w:val="right"/>
              <w:rPr>
                <w:rFonts w:eastAsia="Times New Roman" w:cs="Times New Roman"/>
                <w:b/>
                <w:bCs/>
                <w:sz w:val="20"/>
                <w:szCs w:val="20"/>
              </w:rPr>
            </w:pPr>
            <w:r w:rsidRPr="009A3085">
              <w:rPr>
                <w:rFonts w:eastAsia="Times New Roman" w:cs="Times New Roman"/>
                <w:b/>
                <w:bCs/>
                <w:sz w:val="20"/>
                <w:szCs w:val="20"/>
              </w:rPr>
              <w:t>2024</w:t>
            </w:r>
          </w:p>
        </w:tc>
        <w:tc>
          <w:tcPr>
            <w:tcW w:w="1281" w:type="dxa"/>
            <w:tcBorders>
              <w:top w:val="double" w:sz="6" w:space="0" w:color="auto"/>
              <w:left w:val="nil"/>
              <w:bottom w:val="double" w:sz="6" w:space="0" w:color="auto"/>
              <w:right w:val="dashed" w:sz="4" w:space="0" w:color="auto"/>
            </w:tcBorders>
            <w:shd w:val="clear" w:color="auto" w:fill="auto"/>
            <w:noWrap/>
            <w:vAlign w:val="center"/>
            <w:hideMark/>
          </w:tcPr>
          <w:p w:rsidR="009A3085" w:rsidRPr="009A3085" w:rsidRDefault="009A3085" w:rsidP="009A3085">
            <w:pPr>
              <w:spacing w:after="0"/>
              <w:jc w:val="right"/>
              <w:rPr>
                <w:rFonts w:eastAsia="Times New Roman" w:cs="Times New Roman"/>
                <w:b/>
                <w:bCs/>
                <w:sz w:val="20"/>
                <w:szCs w:val="20"/>
              </w:rPr>
            </w:pPr>
            <w:r w:rsidRPr="009A3085">
              <w:rPr>
                <w:rFonts w:eastAsia="Times New Roman" w:cs="Times New Roman"/>
                <w:b/>
                <w:bCs/>
                <w:sz w:val="20"/>
                <w:szCs w:val="20"/>
              </w:rPr>
              <w:t>2025</w:t>
            </w:r>
          </w:p>
        </w:tc>
        <w:tc>
          <w:tcPr>
            <w:tcW w:w="1192" w:type="dxa"/>
            <w:tcBorders>
              <w:top w:val="double" w:sz="6" w:space="0" w:color="auto"/>
              <w:left w:val="nil"/>
              <w:bottom w:val="double" w:sz="6" w:space="0" w:color="auto"/>
              <w:right w:val="dashed" w:sz="4" w:space="0" w:color="auto"/>
            </w:tcBorders>
            <w:shd w:val="clear" w:color="auto" w:fill="auto"/>
            <w:noWrap/>
            <w:vAlign w:val="center"/>
            <w:hideMark/>
          </w:tcPr>
          <w:p w:rsidR="009A3085" w:rsidRPr="009A3085" w:rsidRDefault="009A3085" w:rsidP="009A3085">
            <w:pPr>
              <w:spacing w:after="0"/>
              <w:jc w:val="right"/>
              <w:rPr>
                <w:rFonts w:eastAsia="Times New Roman" w:cs="Times New Roman"/>
                <w:b/>
                <w:bCs/>
                <w:sz w:val="20"/>
                <w:szCs w:val="20"/>
              </w:rPr>
            </w:pPr>
            <w:r w:rsidRPr="009A3085">
              <w:rPr>
                <w:rFonts w:eastAsia="Times New Roman" w:cs="Times New Roman"/>
                <w:b/>
                <w:bCs/>
                <w:sz w:val="20"/>
                <w:szCs w:val="20"/>
              </w:rPr>
              <w:t>2026</w:t>
            </w:r>
          </w:p>
        </w:tc>
        <w:tc>
          <w:tcPr>
            <w:tcW w:w="1192" w:type="dxa"/>
            <w:tcBorders>
              <w:top w:val="double" w:sz="6" w:space="0" w:color="auto"/>
              <w:left w:val="nil"/>
              <w:bottom w:val="double" w:sz="6" w:space="0" w:color="auto"/>
              <w:right w:val="dashed" w:sz="4" w:space="0" w:color="auto"/>
            </w:tcBorders>
            <w:shd w:val="clear" w:color="auto" w:fill="auto"/>
            <w:noWrap/>
            <w:vAlign w:val="center"/>
            <w:hideMark/>
          </w:tcPr>
          <w:p w:rsidR="009A3085" w:rsidRPr="009A3085" w:rsidRDefault="009A3085" w:rsidP="009A3085">
            <w:pPr>
              <w:spacing w:after="0"/>
              <w:jc w:val="right"/>
              <w:rPr>
                <w:rFonts w:eastAsia="Times New Roman" w:cs="Times New Roman"/>
                <w:b/>
                <w:bCs/>
                <w:sz w:val="20"/>
                <w:szCs w:val="20"/>
              </w:rPr>
            </w:pPr>
            <w:r w:rsidRPr="009A3085">
              <w:rPr>
                <w:rFonts w:eastAsia="Times New Roman" w:cs="Times New Roman"/>
                <w:b/>
                <w:bCs/>
                <w:sz w:val="20"/>
                <w:szCs w:val="20"/>
              </w:rPr>
              <w:t>2027</w:t>
            </w:r>
          </w:p>
        </w:tc>
        <w:tc>
          <w:tcPr>
            <w:tcW w:w="1192" w:type="dxa"/>
            <w:tcBorders>
              <w:top w:val="double" w:sz="6" w:space="0" w:color="auto"/>
              <w:left w:val="nil"/>
              <w:bottom w:val="double" w:sz="6" w:space="0" w:color="auto"/>
              <w:right w:val="double" w:sz="6" w:space="0" w:color="auto"/>
            </w:tcBorders>
            <w:shd w:val="clear" w:color="auto" w:fill="auto"/>
            <w:noWrap/>
            <w:vAlign w:val="center"/>
            <w:hideMark/>
          </w:tcPr>
          <w:p w:rsidR="009A3085" w:rsidRPr="009A3085" w:rsidRDefault="009A3085" w:rsidP="009A3085">
            <w:pPr>
              <w:spacing w:after="0"/>
              <w:jc w:val="right"/>
              <w:rPr>
                <w:rFonts w:eastAsia="Times New Roman" w:cs="Times New Roman"/>
                <w:b/>
                <w:bCs/>
                <w:sz w:val="20"/>
                <w:szCs w:val="20"/>
              </w:rPr>
            </w:pPr>
            <w:r w:rsidRPr="009A3085">
              <w:rPr>
                <w:rFonts w:eastAsia="Times New Roman" w:cs="Times New Roman"/>
                <w:b/>
                <w:bCs/>
                <w:sz w:val="20"/>
                <w:szCs w:val="20"/>
              </w:rPr>
              <w:t>2028</w:t>
            </w:r>
          </w:p>
        </w:tc>
      </w:tr>
      <w:tr w:rsidR="009A3085" w:rsidRPr="009A3085" w:rsidTr="009A3085">
        <w:trPr>
          <w:trHeight w:val="267"/>
        </w:trPr>
        <w:tc>
          <w:tcPr>
            <w:tcW w:w="5162" w:type="dxa"/>
            <w:tcBorders>
              <w:top w:val="double" w:sz="6" w:space="0" w:color="000000"/>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1. General public services</w:t>
            </w:r>
          </w:p>
        </w:tc>
        <w:tc>
          <w:tcPr>
            <w:tcW w:w="1281" w:type="dxa"/>
            <w:tcBorders>
              <w:top w:val="double" w:sz="6" w:space="0" w:color="000000"/>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531.7</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634.3</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692.1</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710.2</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752.2</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788.8</w:t>
            </w:r>
          </w:p>
        </w:tc>
      </w:tr>
      <w:tr w:rsidR="009A3085" w:rsidRPr="009A3085" w:rsidTr="009A3085">
        <w:trPr>
          <w:trHeight w:val="259"/>
        </w:trPr>
        <w:tc>
          <w:tcPr>
            <w:tcW w:w="5162" w:type="dxa"/>
            <w:tcBorders>
              <w:top w:val="nil"/>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2. Defence</w:t>
            </w:r>
          </w:p>
        </w:tc>
        <w:tc>
          <w:tcPr>
            <w:tcW w:w="1281" w:type="dxa"/>
            <w:tcBorders>
              <w:top w:val="nil"/>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165.5</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224.9</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258.7</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277.3</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293.9</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307.8</w:t>
            </w:r>
          </w:p>
        </w:tc>
      </w:tr>
      <w:tr w:rsidR="009A3085" w:rsidRPr="009A3085" w:rsidTr="009A3085">
        <w:trPr>
          <w:trHeight w:val="259"/>
        </w:trPr>
        <w:tc>
          <w:tcPr>
            <w:tcW w:w="5162" w:type="dxa"/>
            <w:tcBorders>
              <w:top w:val="nil"/>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3. Public order and safety</w:t>
            </w:r>
          </w:p>
        </w:tc>
        <w:tc>
          <w:tcPr>
            <w:tcW w:w="1281" w:type="dxa"/>
            <w:tcBorders>
              <w:top w:val="nil"/>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3</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192.1</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211.5</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221.0</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239.9</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254.3</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266.4</w:t>
            </w:r>
          </w:p>
        </w:tc>
      </w:tr>
      <w:tr w:rsidR="009A3085" w:rsidRPr="009A3085" w:rsidTr="009A3085">
        <w:trPr>
          <w:trHeight w:val="259"/>
        </w:trPr>
        <w:tc>
          <w:tcPr>
            <w:tcW w:w="5162" w:type="dxa"/>
            <w:tcBorders>
              <w:top w:val="nil"/>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4. Economic affairs</w:t>
            </w:r>
          </w:p>
        </w:tc>
        <w:tc>
          <w:tcPr>
            <w:tcW w:w="1281" w:type="dxa"/>
            <w:tcBorders>
              <w:top w:val="nil"/>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665.3</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679.8</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691.7</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667.0</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704.8</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738.4</w:t>
            </w:r>
          </w:p>
        </w:tc>
      </w:tr>
      <w:tr w:rsidR="009A3085" w:rsidRPr="009A3085" w:rsidTr="009A3085">
        <w:trPr>
          <w:trHeight w:val="259"/>
        </w:trPr>
        <w:tc>
          <w:tcPr>
            <w:tcW w:w="5162" w:type="dxa"/>
            <w:tcBorders>
              <w:top w:val="nil"/>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5. Environmental protection</w:t>
            </w:r>
          </w:p>
        </w:tc>
        <w:tc>
          <w:tcPr>
            <w:tcW w:w="1281" w:type="dxa"/>
            <w:tcBorders>
              <w:top w:val="nil"/>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5</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40.1</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49.7</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50.7</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55.0</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58.6</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61.9</w:t>
            </w:r>
          </w:p>
        </w:tc>
      </w:tr>
      <w:tr w:rsidR="009A3085" w:rsidRPr="009A3085" w:rsidTr="009A3085">
        <w:trPr>
          <w:trHeight w:val="259"/>
        </w:trPr>
        <w:tc>
          <w:tcPr>
            <w:tcW w:w="5162" w:type="dxa"/>
            <w:tcBorders>
              <w:top w:val="nil"/>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6. Housing and community amenities</w:t>
            </w:r>
          </w:p>
        </w:tc>
        <w:tc>
          <w:tcPr>
            <w:tcW w:w="1281" w:type="dxa"/>
            <w:tcBorders>
              <w:top w:val="nil"/>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72.3</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74.9</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66.1</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80.4</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85.7</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90.8</w:t>
            </w:r>
          </w:p>
        </w:tc>
      </w:tr>
      <w:tr w:rsidR="009A3085" w:rsidRPr="009A3085" w:rsidTr="009A3085">
        <w:trPr>
          <w:trHeight w:val="259"/>
        </w:trPr>
        <w:tc>
          <w:tcPr>
            <w:tcW w:w="5162" w:type="dxa"/>
            <w:tcBorders>
              <w:top w:val="nil"/>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7. Health</w:t>
            </w:r>
          </w:p>
        </w:tc>
        <w:tc>
          <w:tcPr>
            <w:tcW w:w="1281" w:type="dxa"/>
            <w:tcBorders>
              <w:top w:val="nil"/>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7</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530.9</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590.5</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638.9</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702.3</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756.5</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803.4</w:t>
            </w:r>
          </w:p>
        </w:tc>
      </w:tr>
      <w:tr w:rsidR="009A3085" w:rsidRPr="009A3085" w:rsidTr="009A3085">
        <w:trPr>
          <w:trHeight w:val="259"/>
        </w:trPr>
        <w:tc>
          <w:tcPr>
            <w:tcW w:w="5162" w:type="dxa"/>
            <w:tcBorders>
              <w:top w:val="nil"/>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8. Recreation, culture and religion</w:t>
            </w:r>
          </w:p>
        </w:tc>
        <w:tc>
          <w:tcPr>
            <w:tcW w:w="1281" w:type="dxa"/>
            <w:tcBorders>
              <w:top w:val="nil"/>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8</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80.3</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82.6</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78.5</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84.5</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90.1</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95.4</w:t>
            </w:r>
          </w:p>
        </w:tc>
      </w:tr>
      <w:tr w:rsidR="009A3085" w:rsidRPr="009A3085" w:rsidTr="009A3085">
        <w:trPr>
          <w:trHeight w:val="259"/>
        </w:trPr>
        <w:tc>
          <w:tcPr>
            <w:tcW w:w="5162" w:type="dxa"/>
            <w:tcBorders>
              <w:top w:val="nil"/>
              <w:left w:val="double" w:sz="6" w:space="0" w:color="auto"/>
              <w:bottom w:val="dotted" w:sz="4" w:space="0" w:color="000000"/>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9. Education</w:t>
            </w:r>
          </w:p>
        </w:tc>
        <w:tc>
          <w:tcPr>
            <w:tcW w:w="1281" w:type="dxa"/>
            <w:tcBorders>
              <w:top w:val="nil"/>
              <w:left w:val="single" w:sz="8" w:space="0" w:color="000000"/>
              <w:bottom w:val="dotted" w:sz="4" w:space="0" w:color="000000"/>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9</w:t>
            </w:r>
          </w:p>
        </w:tc>
        <w:tc>
          <w:tcPr>
            <w:tcW w:w="1744"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297.8</w:t>
            </w:r>
          </w:p>
        </w:tc>
        <w:tc>
          <w:tcPr>
            <w:tcW w:w="1228"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342.0</w:t>
            </w:r>
          </w:p>
        </w:tc>
        <w:tc>
          <w:tcPr>
            <w:tcW w:w="1281"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477.5</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524.5</w:t>
            </w:r>
          </w:p>
        </w:tc>
        <w:tc>
          <w:tcPr>
            <w:tcW w:w="1192" w:type="dxa"/>
            <w:tcBorders>
              <w:top w:val="nil"/>
              <w:left w:val="nil"/>
              <w:bottom w:val="dotted" w:sz="4" w:space="0" w:color="000000"/>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556.6</w:t>
            </w:r>
          </w:p>
        </w:tc>
        <w:tc>
          <w:tcPr>
            <w:tcW w:w="1192" w:type="dxa"/>
            <w:tcBorders>
              <w:top w:val="nil"/>
              <w:left w:val="nil"/>
              <w:bottom w:val="dotted" w:sz="4" w:space="0" w:color="000000"/>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584.6</w:t>
            </w:r>
          </w:p>
        </w:tc>
      </w:tr>
      <w:tr w:rsidR="009A3085" w:rsidRPr="009A3085" w:rsidTr="009A3085">
        <w:trPr>
          <w:trHeight w:val="259"/>
        </w:trPr>
        <w:tc>
          <w:tcPr>
            <w:tcW w:w="5162" w:type="dxa"/>
            <w:tcBorders>
              <w:top w:val="nil"/>
              <w:left w:val="double" w:sz="6" w:space="0" w:color="auto"/>
              <w:bottom w:val="single" w:sz="4" w:space="0" w:color="auto"/>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10. Social protection</w:t>
            </w:r>
          </w:p>
        </w:tc>
        <w:tc>
          <w:tcPr>
            <w:tcW w:w="1281" w:type="dxa"/>
            <w:tcBorders>
              <w:top w:val="nil"/>
              <w:left w:val="single" w:sz="8" w:space="0" w:color="000000"/>
              <w:bottom w:val="single" w:sz="4" w:space="0" w:color="auto"/>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10</w:t>
            </w:r>
          </w:p>
        </w:tc>
        <w:tc>
          <w:tcPr>
            <w:tcW w:w="1744"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1078.4</w:t>
            </w:r>
          </w:p>
        </w:tc>
        <w:tc>
          <w:tcPr>
            <w:tcW w:w="1228"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1242.5</w:t>
            </w:r>
          </w:p>
        </w:tc>
        <w:tc>
          <w:tcPr>
            <w:tcW w:w="1281"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1383.0</w:t>
            </w:r>
          </w:p>
        </w:tc>
        <w:tc>
          <w:tcPr>
            <w:tcW w:w="1192"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1530.3</w:t>
            </w:r>
          </w:p>
        </w:tc>
        <w:tc>
          <w:tcPr>
            <w:tcW w:w="1192"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1639.9</w:t>
            </w:r>
          </w:p>
        </w:tc>
        <w:tc>
          <w:tcPr>
            <w:tcW w:w="1192" w:type="dxa"/>
            <w:tcBorders>
              <w:top w:val="nil"/>
              <w:left w:val="nil"/>
              <w:bottom w:val="single" w:sz="4" w:space="0" w:color="auto"/>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1704.9</w:t>
            </w:r>
          </w:p>
        </w:tc>
      </w:tr>
      <w:tr w:rsidR="009A3085" w:rsidRPr="009A3085" w:rsidTr="009A3085">
        <w:trPr>
          <w:trHeight w:val="259"/>
        </w:trPr>
        <w:tc>
          <w:tcPr>
            <w:tcW w:w="5162" w:type="dxa"/>
            <w:tcBorders>
              <w:top w:val="dotted" w:sz="4" w:space="0" w:color="000000"/>
              <w:left w:val="double" w:sz="6" w:space="0" w:color="auto"/>
              <w:bottom w:val="single" w:sz="4" w:space="0" w:color="auto"/>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Other relevant variables</w:t>
            </w:r>
          </w:p>
        </w:tc>
        <w:tc>
          <w:tcPr>
            <w:tcW w:w="1281" w:type="dxa"/>
            <w:tcBorders>
              <w:top w:val="nil"/>
              <w:left w:val="single" w:sz="8" w:space="0" w:color="000000"/>
              <w:bottom w:val="single" w:sz="4" w:space="0" w:color="auto"/>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 </w:t>
            </w:r>
          </w:p>
        </w:tc>
        <w:tc>
          <w:tcPr>
            <w:tcW w:w="1744"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 </w:t>
            </w:r>
          </w:p>
        </w:tc>
        <w:tc>
          <w:tcPr>
            <w:tcW w:w="1228"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ascii="Courier New" w:eastAsia="Times New Roman" w:hAnsi="Courier New" w:cs="Courier New"/>
                <w:sz w:val="20"/>
                <w:szCs w:val="20"/>
              </w:rPr>
            </w:pPr>
            <w:r w:rsidRPr="009A3085">
              <w:rPr>
                <w:rFonts w:ascii="Courier New" w:eastAsia="Times New Roman" w:hAnsi="Courier New" w:cs="Courier New"/>
                <w:sz w:val="20"/>
                <w:szCs w:val="20"/>
              </w:rPr>
              <w:t> </w:t>
            </w:r>
          </w:p>
        </w:tc>
        <w:tc>
          <w:tcPr>
            <w:tcW w:w="1281"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ascii="Courier New" w:eastAsia="Times New Roman" w:hAnsi="Courier New" w:cs="Courier New"/>
                <w:sz w:val="20"/>
                <w:szCs w:val="20"/>
              </w:rPr>
            </w:pPr>
            <w:r w:rsidRPr="009A3085">
              <w:rPr>
                <w:rFonts w:ascii="Courier New" w:eastAsia="Times New Roman" w:hAnsi="Courier New" w:cs="Courier New"/>
                <w:sz w:val="20"/>
                <w:szCs w:val="20"/>
              </w:rPr>
              <w:t> </w:t>
            </w:r>
          </w:p>
        </w:tc>
        <w:tc>
          <w:tcPr>
            <w:tcW w:w="1192"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ascii="Courier New" w:eastAsia="Times New Roman" w:hAnsi="Courier New" w:cs="Courier New"/>
                <w:sz w:val="20"/>
                <w:szCs w:val="20"/>
              </w:rPr>
            </w:pPr>
            <w:r w:rsidRPr="009A3085">
              <w:rPr>
                <w:rFonts w:ascii="Courier New" w:eastAsia="Times New Roman" w:hAnsi="Courier New" w:cs="Courier New"/>
                <w:sz w:val="20"/>
                <w:szCs w:val="20"/>
              </w:rPr>
              <w:t> </w:t>
            </w:r>
          </w:p>
        </w:tc>
        <w:tc>
          <w:tcPr>
            <w:tcW w:w="1192" w:type="dxa"/>
            <w:tcBorders>
              <w:top w:val="nil"/>
              <w:left w:val="nil"/>
              <w:bottom w:val="single" w:sz="4"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 </w:t>
            </w:r>
          </w:p>
        </w:tc>
        <w:tc>
          <w:tcPr>
            <w:tcW w:w="1192" w:type="dxa"/>
            <w:tcBorders>
              <w:top w:val="nil"/>
              <w:left w:val="nil"/>
              <w:bottom w:val="single" w:sz="4" w:space="0" w:color="auto"/>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 </w:t>
            </w:r>
          </w:p>
        </w:tc>
      </w:tr>
      <w:tr w:rsidR="009A3085" w:rsidRPr="009A3085" w:rsidTr="009A3085">
        <w:trPr>
          <w:trHeight w:val="267"/>
        </w:trPr>
        <w:tc>
          <w:tcPr>
            <w:tcW w:w="5162" w:type="dxa"/>
            <w:tcBorders>
              <w:top w:val="nil"/>
              <w:left w:val="double" w:sz="6" w:space="0" w:color="auto"/>
              <w:bottom w:val="double" w:sz="6" w:space="0" w:color="auto"/>
              <w:right w:val="nil"/>
            </w:tcBorders>
            <w:shd w:val="clear" w:color="auto" w:fill="auto"/>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11. Total expenditure (item 7 = 23 in Table 2)</w:t>
            </w:r>
          </w:p>
        </w:tc>
        <w:tc>
          <w:tcPr>
            <w:tcW w:w="1281" w:type="dxa"/>
            <w:tcBorders>
              <w:top w:val="nil"/>
              <w:left w:val="single" w:sz="8" w:space="0" w:color="000000"/>
              <w:bottom w:val="double" w:sz="6" w:space="0" w:color="auto"/>
              <w:right w:val="single" w:sz="8" w:space="0" w:color="000000"/>
            </w:tcBorders>
            <w:shd w:val="clear" w:color="auto" w:fill="auto"/>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TE</w:t>
            </w:r>
          </w:p>
        </w:tc>
        <w:tc>
          <w:tcPr>
            <w:tcW w:w="1744" w:type="dxa"/>
            <w:tcBorders>
              <w:top w:val="nil"/>
              <w:left w:val="nil"/>
              <w:bottom w:val="double" w:sz="6"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3654.4</w:t>
            </w:r>
          </w:p>
        </w:tc>
        <w:tc>
          <w:tcPr>
            <w:tcW w:w="1228" w:type="dxa"/>
            <w:tcBorders>
              <w:top w:val="nil"/>
              <w:left w:val="nil"/>
              <w:bottom w:val="double" w:sz="6"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4132.8</w:t>
            </w:r>
          </w:p>
        </w:tc>
        <w:tc>
          <w:tcPr>
            <w:tcW w:w="1281" w:type="dxa"/>
            <w:tcBorders>
              <w:top w:val="nil"/>
              <w:left w:val="nil"/>
              <w:bottom w:val="double" w:sz="6"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4558.2</w:t>
            </w:r>
          </w:p>
        </w:tc>
        <w:tc>
          <w:tcPr>
            <w:tcW w:w="1192" w:type="dxa"/>
            <w:tcBorders>
              <w:top w:val="nil"/>
              <w:left w:val="nil"/>
              <w:bottom w:val="double" w:sz="6"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4871.4</w:t>
            </w:r>
          </w:p>
        </w:tc>
        <w:tc>
          <w:tcPr>
            <w:tcW w:w="1192" w:type="dxa"/>
            <w:tcBorders>
              <w:top w:val="nil"/>
              <w:left w:val="nil"/>
              <w:bottom w:val="double" w:sz="6" w:space="0" w:color="auto"/>
              <w:right w:val="dotted" w:sz="4" w:space="0" w:color="000000"/>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5192.6</w:t>
            </w:r>
          </w:p>
        </w:tc>
        <w:tc>
          <w:tcPr>
            <w:tcW w:w="1192" w:type="dxa"/>
            <w:tcBorders>
              <w:top w:val="nil"/>
              <w:left w:val="nil"/>
              <w:bottom w:val="double" w:sz="6" w:space="0" w:color="auto"/>
              <w:right w:val="double" w:sz="6" w:space="0" w:color="auto"/>
            </w:tcBorders>
            <w:shd w:val="clear" w:color="auto" w:fill="auto"/>
            <w:noWrap/>
            <w:vAlign w:val="bottom"/>
            <w:hideMark/>
          </w:tcPr>
          <w:p w:rsidR="009A3085" w:rsidRPr="009A3085" w:rsidRDefault="009A3085" w:rsidP="009A3085">
            <w:pPr>
              <w:spacing w:after="0"/>
              <w:jc w:val="right"/>
              <w:rPr>
                <w:rFonts w:eastAsia="Times New Roman" w:cs="Times New Roman"/>
                <w:sz w:val="20"/>
                <w:szCs w:val="20"/>
              </w:rPr>
            </w:pPr>
            <w:r w:rsidRPr="009A3085">
              <w:rPr>
                <w:rFonts w:eastAsia="Times New Roman" w:cs="Times New Roman"/>
                <w:sz w:val="20"/>
                <w:szCs w:val="20"/>
              </w:rPr>
              <w:t>5442.4</w:t>
            </w:r>
          </w:p>
        </w:tc>
      </w:tr>
    </w:tbl>
    <w:p w:rsidR="009A3085" w:rsidRDefault="009A3085" w:rsidP="007A0CEC">
      <w:pPr>
        <w:spacing w:after="0"/>
        <w:jc w:val="left"/>
        <w:rPr>
          <w:rFonts w:cs="Times New Roman"/>
          <w:szCs w:val="24"/>
          <w:lang w:val="sr-Latn-RS"/>
        </w:rPr>
      </w:pPr>
      <w:r>
        <w:rPr>
          <w:rFonts w:cs="Times New Roman"/>
          <w:szCs w:val="24"/>
          <w:lang w:val="sr-Latn-RS"/>
        </w:rPr>
        <w:fldChar w:fldCharType="end"/>
      </w:r>
    </w:p>
    <w:p w:rsidR="009A3085" w:rsidRDefault="009A3085"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"Tab3-GG exp by funct.!R4C2:R16C9" \a \f 4 \h  \* MERGEFORMAT </w:instrText>
      </w:r>
      <w:r>
        <w:rPr>
          <w:lang w:val="sr-Latn-RS"/>
        </w:rPr>
        <w:fldChar w:fldCharType="separate"/>
      </w:r>
    </w:p>
    <w:tbl>
      <w:tblPr>
        <w:tblW w:w="14272" w:type="dxa"/>
        <w:tblLook w:val="04A0" w:firstRow="1" w:lastRow="0" w:firstColumn="1" w:lastColumn="0" w:noHBand="0" w:noVBand="1"/>
      </w:tblPr>
      <w:tblGrid>
        <w:gridCol w:w="5739"/>
        <w:gridCol w:w="1219"/>
        <w:gridCol w:w="1219"/>
        <w:gridCol w:w="1219"/>
        <w:gridCol w:w="1219"/>
        <w:gridCol w:w="1219"/>
        <w:gridCol w:w="1219"/>
        <w:gridCol w:w="1219"/>
      </w:tblGrid>
      <w:tr w:rsidR="009A3085" w:rsidRPr="009A3085" w:rsidTr="009A3085">
        <w:trPr>
          <w:trHeight w:val="398"/>
        </w:trPr>
        <w:tc>
          <w:tcPr>
            <w:tcW w:w="5739" w:type="dxa"/>
            <w:vMerge w:val="restart"/>
            <w:tcBorders>
              <w:top w:val="double" w:sz="6" w:space="0" w:color="000000"/>
              <w:left w:val="double" w:sz="6" w:space="0" w:color="000000"/>
              <w:bottom w:val="single" w:sz="8" w:space="0" w:color="000000"/>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 of GDP</w:t>
            </w:r>
          </w:p>
        </w:tc>
        <w:tc>
          <w:tcPr>
            <w:tcW w:w="1219" w:type="dxa"/>
            <w:vMerge w:val="restart"/>
            <w:tcBorders>
              <w:top w:val="double" w:sz="6" w:space="0" w:color="000000"/>
              <w:left w:val="dotted" w:sz="4" w:space="0" w:color="auto"/>
              <w:bottom w:val="single" w:sz="8" w:space="0" w:color="000000"/>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COFOG Code</w:t>
            </w:r>
          </w:p>
        </w:tc>
        <w:tc>
          <w:tcPr>
            <w:tcW w:w="1219" w:type="dxa"/>
            <w:tcBorders>
              <w:top w:val="double" w:sz="6" w:space="0" w:color="000000"/>
              <w:left w:val="nil"/>
              <w:bottom w:val="nil"/>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Year</w:t>
            </w:r>
          </w:p>
        </w:tc>
        <w:tc>
          <w:tcPr>
            <w:tcW w:w="1219" w:type="dxa"/>
            <w:tcBorders>
              <w:top w:val="double" w:sz="6" w:space="0" w:color="000000"/>
              <w:left w:val="nil"/>
              <w:bottom w:val="nil"/>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Year</w:t>
            </w:r>
          </w:p>
        </w:tc>
        <w:tc>
          <w:tcPr>
            <w:tcW w:w="1219" w:type="dxa"/>
            <w:tcBorders>
              <w:top w:val="double" w:sz="6" w:space="0" w:color="000000"/>
              <w:left w:val="nil"/>
              <w:bottom w:val="nil"/>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Year</w:t>
            </w:r>
          </w:p>
        </w:tc>
        <w:tc>
          <w:tcPr>
            <w:tcW w:w="1219" w:type="dxa"/>
            <w:tcBorders>
              <w:top w:val="double" w:sz="6" w:space="0" w:color="000000"/>
              <w:left w:val="nil"/>
              <w:bottom w:val="nil"/>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Year</w:t>
            </w:r>
          </w:p>
        </w:tc>
        <w:tc>
          <w:tcPr>
            <w:tcW w:w="1219" w:type="dxa"/>
            <w:tcBorders>
              <w:top w:val="double" w:sz="6" w:space="0" w:color="000000"/>
              <w:left w:val="nil"/>
              <w:bottom w:val="nil"/>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Year</w:t>
            </w:r>
          </w:p>
        </w:tc>
        <w:tc>
          <w:tcPr>
            <w:tcW w:w="1219" w:type="dxa"/>
            <w:tcBorders>
              <w:top w:val="double" w:sz="6" w:space="0" w:color="000000"/>
              <w:left w:val="nil"/>
              <w:bottom w:val="nil"/>
              <w:right w:val="double" w:sz="6"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Year</w:t>
            </w:r>
          </w:p>
        </w:tc>
      </w:tr>
      <w:tr w:rsidR="009A3085" w:rsidRPr="009A3085" w:rsidTr="009A3085">
        <w:trPr>
          <w:trHeight w:val="20"/>
        </w:trPr>
        <w:tc>
          <w:tcPr>
            <w:tcW w:w="5739" w:type="dxa"/>
            <w:vMerge/>
            <w:tcBorders>
              <w:top w:val="double" w:sz="6" w:space="0" w:color="000000"/>
              <w:left w:val="double" w:sz="6" w:space="0" w:color="000000"/>
              <w:bottom w:val="single" w:sz="8" w:space="0" w:color="000000"/>
              <w:right w:val="dotted" w:sz="4" w:space="0" w:color="auto"/>
            </w:tcBorders>
            <w:vAlign w:val="center"/>
            <w:hideMark/>
          </w:tcPr>
          <w:p w:rsidR="009A3085" w:rsidRPr="009A3085" w:rsidRDefault="009A3085" w:rsidP="009A3085">
            <w:pPr>
              <w:spacing w:after="0"/>
              <w:jc w:val="left"/>
              <w:rPr>
                <w:rFonts w:eastAsia="Times New Roman" w:cs="Times New Roman"/>
                <w:sz w:val="20"/>
                <w:szCs w:val="20"/>
              </w:rPr>
            </w:pPr>
          </w:p>
        </w:tc>
        <w:tc>
          <w:tcPr>
            <w:tcW w:w="1219" w:type="dxa"/>
            <w:vMerge/>
            <w:tcBorders>
              <w:top w:val="double" w:sz="6" w:space="0" w:color="000000"/>
              <w:left w:val="dotted" w:sz="4" w:space="0" w:color="auto"/>
              <w:bottom w:val="single" w:sz="8" w:space="0" w:color="000000"/>
              <w:right w:val="single" w:sz="8" w:space="0" w:color="auto"/>
            </w:tcBorders>
            <w:vAlign w:val="center"/>
            <w:hideMark/>
          </w:tcPr>
          <w:p w:rsidR="009A3085" w:rsidRPr="009A3085" w:rsidRDefault="009A3085" w:rsidP="009A3085">
            <w:pPr>
              <w:spacing w:after="0"/>
              <w:jc w:val="left"/>
              <w:rPr>
                <w:rFonts w:eastAsia="Times New Roman" w:cs="Times New Roman"/>
                <w:sz w:val="20"/>
                <w:szCs w:val="20"/>
              </w:rPr>
            </w:pPr>
          </w:p>
        </w:tc>
        <w:tc>
          <w:tcPr>
            <w:tcW w:w="1219" w:type="dxa"/>
            <w:tcBorders>
              <w:top w:val="nil"/>
              <w:left w:val="nil"/>
              <w:bottom w:val="single" w:sz="8"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2023</w:t>
            </w:r>
          </w:p>
        </w:tc>
        <w:tc>
          <w:tcPr>
            <w:tcW w:w="1219" w:type="dxa"/>
            <w:tcBorders>
              <w:top w:val="nil"/>
              <w:left w:val="nil"/>
              <w:bottom w:val="single" w:sz="8"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2024</w:t>
            </w:r>
          </w:p>
        </w:tc>
        <w:tc>
          <w:tcPr>
            <w:tcW w:w="1219" w:type="dxa"/>
            <w:tcBorders>
              <w:top w:val="nil"/>
              <w:left w:val="nil"/>
              <w:bottom w:val="single" w:sz="8"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2025</w:t>
            </w:r>
          </w:p>
        </w:tc>
        <w:tc>
          <w:tcPr>
            <w:tcW w:w="1219" w:type="dxa"/>
            <w:tcBorders>
              <w:top w:val="nil"/>
              <w:left w:val="nil"/>
              <w:bottom w:val="single" w:sz="8"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2026</w:t>
            </w:r>
          </w:p>
        </w:tc>
        <w:tc>
          <w:tcPr>
            <w:tcW w:w="1219" w:type="dxa"/>
            <w:tcBorders>
              <w:top w:val="nil"/>
              <w:left w:val="nil"/>
              <w:bottom w:val="single" w:sz="8"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2027</w:t>
            </w:r>
          </w:p>
        </w:tc>
        <w:tc>
          <w:tcPr>
            <w:tcW w:w="1219" w:type="dxa"/>
            <w:tcBorders>
              <w:top w:val="nil"/>
              <w:left w:val="nil"/>
              <w:bottom w:val="single" w:sz="8" w:space="0" w:color="auto"/>
              <w:right w:val="double" w:sz="6"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2028</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1. General public services</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6.0</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6.7</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6.4</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6.3</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6.2</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2. Defence</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1.9</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2.3</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2.4</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2.4</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3. Public order and safety</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3</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2.2</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2.2</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2.1</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2.2</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2.1</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2.1</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4. Economic affairs</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7.5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7.0</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6.7</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6.0</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5.9</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5.8</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5. Environmental protection</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0.5</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0.5</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6. Housing and community amenities</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0.8</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0.8</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0.6</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0.7</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0.7</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0.7</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7. Health</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7</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6.0</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6.1</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6.2</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6.3</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6.3</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6.3</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8. Recreation, culture and religion</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8</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0.9</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0.8</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0.8</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0.8</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0.7</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0.7</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9. Education</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9</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3.4</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3.5</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4.6</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4.7</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4.6</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4.6</w:t>
            </w:r>
          </w:p>
        </w:tc>
      </w:tr>
      <w:tr w:rsidR="009A3085" w:rsidRPr="009A3085" w:rsidTr="009A3085">
        <w:trPr>
          <w:trHeight w:val="216"/>
        </w:trPr>
        <w:tc>
          <w:tcPr>
            <w:tcW w:w="5739" w:type="dxa"/>
            <w:tcBorders>
              <w:top w:val="nil"/>
              <w:left w:val="double" w:sz="6" w:space="0" w:color="000000"/>
              <w:bottom w:val="dotted" w:sz="4" w:space="0" w:color="auto"/>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10. Social protection</w:t>
            </w:r>
          </w:p>
        </w:tc>
        <w:tc>
          <w:tcPr>
            <w:tcW w:w="1219" w:type="dxa"/>
            <w:tcBorders>
              <w:top w:val="nil"/>
              <w:left w:val="nil"/>
              <w:bottom w:val="dotted" w:sz="4" w:space="0" w:color="auto"/>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10</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12.2</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12.7</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13.3</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13.8</w:t>
            </w:r>
          </w:p>
        </w:tc>
        <w:tc>
          <w:tcPr>
            <w:tcW w:w="1219" w:type="dxa"/>
            <w:tcBorders>
              <w:top w:val="nil"/>
              <w:left w:val="nil"/>
              <w:bottom w:val="dotted" w:sz="4" w:space="0" w:color="auto"/>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13.6</w:t>
            </w:r>
          </w:p>
        </w:tc>
        <w:tc>
          <w:tcPr>
            <w:tcW w:w="1219" w:type="dxa"/>
            <w:tcBorders>
              <w:top w:val="nil"/>
              <w:left w:val="nil"/>
              <w:bottom w:val="dotted" w:sz="4" w:space="0" w:color="auto"/>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13.3</w:t>
            </w:r>
          </w:p>
        </w:tc>
      </w:tr>
      <w:tr w:rsidR="009A3085" w:rsidRPr="009A3085" w:rsidTr="009A3085">
        <w:trPr>
          <w:trHeight w:val="216"/>
        </w:trPr>
        <w:tc>
          <w:tcPr>
            <w:tcW w:w="5739" w:type="dxa"/>
            <w:tcBorders>
              <w:top w:val="nil"/>
              <w:left w:val="double" w:sz="6" w:space="0" w:color="000000"/>
              <w:bottom w:val="double" w:sz="6" w:space="0" w:color="000000"/>
              <w:right w:val="dotted" w:sz="4" w:space="0" w:color="auto"/>
            </w:tcBorders>
            <w:shd w:val="clear" w:color="000000" w:fill="FFFFFF"/>
            <w:vAlign w:val="center"/>
            <w:hideMark/>
          </w:tcPr>
          <w:p w:rsidR="009A3085" w:rsidRPr="009A3085" w:rsidRDefault="009A3085" w:rsidP="009A3085">
            <w:pPr>
              <w:spacing w:after="0"/>
              <w:jc w:val="left"/>
              <w:rPr>
                <w:rFonts w:eastAsia="Times New Roman" w:cs="Times New Roman"/>
                <w:sz w:val="20"/>
                <w:szCs w:val="20"/>
              </w:rPr>
            </w:pPr>
            <w:r w:rsidRPr="009A3085">
              <w:rPr>
                <w:rFonts w:eastAsia="Times New Roman" w:cs="Times New Roman"/>
                <w:sz w:val="20"/>
                <w:szCs w:val="20"/>
              </w:rPr>
              <w:t>11. Total expenditure (item 7 = 23 in Table 2)</w:t>
            </w:r>
          </w:p>
        </w:tc>
        <w:tc>
          <w:tcPr>
            <w:tcW w:w="1219" w:type="dxa"/>
            <w:tcBorders>
              <w:top w:val="nil"/>
              <w:left w:val="nil"/>
              <w:bottom w:val="double" w:sz="6" w:space="0" w:color="000000"/>
              <w:right w:val="single" w:sz="8"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TE</w:t>
            </w:r>
          </w:p>
        </w:tc>
        <w:tc>
          <w:tcPr>
            <w:tcW w:w="1219" w:type="dxa"/>
            <w:tcBorders>
              <w:top w:val="nil"/>
              <w:left w:val="nil"/>
              <w:bottom w:val="double" w:sz="6" w:space="0" w:color="000000"/>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4,132.8</w:t>
            </w:r>
          </w:p>
        </w:tc>
        <w:tc>
          <w:tcPr>
            <w:tcW w:w="1219" w:type="dxa"/>
            <w:tcBorders>
              <w:top w:val="nil"/>
              <w:left w:val="nil"/>
              <w:bottom w:val="double" w:sz="6" w:space="0" w:color="000000"/>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42.4</w:t>
            </w:r>
          </w:p>
        </w:tc>
        <w:tc>
          <w:tcPr>
            <w:tcW w:w="1219" w:type="dxa"/>
            <w:tcBorders>
              <w:top w:val="nil"/>
              <w:left w:val="nil"/>
              <w:bottom w:val="double" w:sz="6" w:space="0" w:color="000000"/>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43.9</w:t>
            </w:r>
          </w:p>
        </w:tc>
        <w:tc>
          <w:tcPr>
            <w:tcW w:w="1219" w:type="dxa"/>
            <w:tcBorders>
              <w:top w:val="nil"/>
              <w:left w:val="nil"/>
              <w:bottom w:val="double" w:sz="6" w:space="0" w:color="000000"/>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43.9</w:t>
            </w:r>
          </w:p>
        </w:tc>
        <w:tc>
          <w:tcPr>
            <w:tcW w:w="1219" w:type="dxa"/>
            <w:tcBorders>
              <w:top w:val="nil"/>
              <w:left w:val="nil"/>
              <w:bottom w:val="double" w:sz="6" w:space="0" w:color="000000"/>
              <w:right w:val="dotted" w:sz="4" w:space="0" w:color="auto"/>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43.1</w:t>
            </w:r>
          </w:p>
        </w:tc>
        <w:tc>
          <w:tcPr>
            <w:tcW w:w="1219" w:type="dxa"/>
            <w:tcBorders>
              <w:top w:val="nil"/>
              <w:left w:val="nil"/>
              <w:bottom w:val="double" w:sz="6" w:space="0" w:color="000000"/>
              <w:right w:val="double" w:sz="6" w:space="0" w:color="000000"/>
            </w:tcBorders>
            <w:shd w:val="clear" w:color="000000" w:fill="FFFFFF"/>
            <w:vAlign w:val="center"/>
            <w:hideMark/>
          </w:tcPr>
          <w:p w:rsidR="009A3085" w:rsidRPr="009A3085" w:rsidRDefault="009A3085" w:rsidP="009A3085">
            <w:pPr>
              <w:spacing w:after="0"/>
              <w:jc w:val="center"/>
              <w:rPr>
                <w:rFonts w:eastAsia="Times New Roman" w:cs="Times New Roman"/>
                <w:sz w:val="20"/>
                <w:szCs w:val="20"/>
              </w:rPr>
            </w:pPr>
            <w:r w:rsidRPr="009A3085">
              <w:rPr>
                <w:rFonts w:eastAsia="Times New Roman" w:cs="Times New Roman"/>
                <w:sz w:val="20"/>
                <w:szCs w:val="20"/>
              </w:rPr>
              <w:t>42.5</w:t>
            </w:r>
          </w:p>
        </w:tc>
      </w:tr>
    </w:tbl>
    <w:p w:rsidR="00165976" w:rsidRDefault="009A3085" w:rsidP="007A0CEC">
      <w:pPr>
        <w:spacing w:after="0"/>
        <w:jc w:val="left"/>
        <w:rPr>
          <w:rFonts w:cs="Times New Roman"/>
          <w:szCs w:val="24"/>
          <w:lang w:val="sr-Latn-RS"/>
        </w:rPr>
      </w:pPr>
      <w:r>
        <w:rPr>
          <w:rFonts w:cs="Times New Roman"/>
          <w:szCs w:val="24"/>
          <w:lang w:val="sr-Latn-RS"/>
        </w:rPr>
        <w:fldChar w:fldCharType="end"/>
      </w:r>
      <w:r w:rsidR="00165976" w:rsidRPr="00704BDC">
        <w:rPr>
          <w:rFonts w:cs="Times New Roman"/>
          <w:szCs w:val="24"/>
          <w:lang w:val="sr-Latn-RS"/>
        </w:rPr>
        <w:br w:type="page"/>
      </w:r>
    </w:p>
    <w:p w:rsidR="009A3085" w:rsidRDefault="00B926AC" w:rsidP="007A0CEC">
      <w:pPr>
        <w:spacing w:after="0"/>
        <w:jc w:val="left"/>
        <w:rPr>
          <w:rFonts w:cs="Times New Roman"/>
          <w:szCs w:val="24"/>
          <w:lang w:val="sr-Latn-RS"/>
        </w:rPr>
      </w:pPr>
      <w:r w:rsidRPr="00B926AC">
        <w:rPr>
          <w:rFonts w:cs="Times New Roman"/>
          <w:szCs w:val="24"/>
          <w:lang w:val="sr-Latn-RS"/>
        </w:rPr>
        <w:lastRenderedPageBreak/>
        <w:t>Table 4:  General government debt developments</w:t>
      </w:r>
    </w:p>
    <w:p w:rsidR="00B926AC" w:rsidRDefault="00B926AC" w:rsidP="007A0CEC">
      <w:pPr>
        <w:spacing w:after="0"/>
        <w:jc w:val="left"/>
        <w:rPr>
          <w:rFonts w:cs="Times New Roman"/>
          <w:szCs w:val="24"/>
          <w:lang w:val="sr-Latn-RS"/>
        </w:rPr>
      </w:pPr>
    </w:p>
    <w:p w:rsidR="00B926AC" w:rsidRDefault="00B926AC"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"data!R190C2:R201C9" \a \f 4 \h  \* MERGEFORMAT </w:instrText>
      </w:r>
      <w:r>
        <w:rPr>
          <w:lang w:val="sr-Latn-RS"/>
        </w:rPr>
        <w:fldChar w:fldCharType="separate"/>
      </w:r>
    </w:p>
    <w:tbl>
      <w:tblPr>
        <w:tblW w:w="14196" w:type="dxa"/>
        <w:tblLook w:val="04A0" w:firstRow="1" w:lastRow="0" w:firstColumn="1" w:lastColumn="0" w:noHBand="0" w:noVBand="1"/>
      </w:tblPr>
      <w:tblGrid>
        <w:gridCol w:w="5134"/>
        <w:gridCol w:w="1274"/>
        <w:gridCol w:w="1735"/>
        <w:gridCol w:w="1221"/>
        <w:gridCol w:w="1274"/>
        <w:gridCol w:w="1186"/>
        <w:gridCol w:w="1186"/>
        <w:gridCol w:w="1186"/>
      </w:tblGrid>
      <w:tr w:rsidR="00B926AC" w:rsidRPr="00B926AC" w:rsidTr="00B926AC">
        <w:trPr>
          <w:trHeight w:val="268"/>
        </w:trPr>
        <w:tc>
          <w:tcPr>
            <w:tcW w:w="5134" w:type="dxa"/>
            <w:tcBorders>
              <w:top w:val="double" w:sz="6" w:space="0" w:color="auto"/>
              <w:left w:val="double" w:sz="6" w:space="0" w:color="auto"/>
              <w:bottom w:val="double" w:sz="6" w:space="0" w:color="auto"/>
              <w:right w:val="nil"/>
            </w:tcBorders>
            <w:shd w:val="clear" w:color="auto" w:fill="auto"/>
            <w:noWrap/>
            <w:vAlign w:val="center"/>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Table 4:  General government debt developments</w:t>
            </w:r>
          </w:p>
        </w:tc>
        <w:tc>
          <w:tcPr>
            <w:tcW w:w="1274"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 </w:t>
            </w:r>
          </w:p>
        </w:tc>
        <w:tc>
          <w:tcPr>
            <w:tcW w:w="1735" w:type="dxa"/>
            <w:tcBorders>
              <w:top w:val="double" w:sz="6" w:space="0" w:color="auto"/>
              <w:left w:val="nil"/>
              <w:bottom w:val="double" w:sz="6" w:space="0" w:color="auto"/>
              <w:right w:val="dashed" w:sz="4" w:space="0" w:color="auto"/>
            </w:tcBorders>
            <w:shd w:val="clear" w:color="auto" w:fill="auto"/>
            <w:noWrap/>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2023</w:t>
            </w:r>
          </w:p>
        </w:tc>
        <w:tc>
          <w:tcPr>
            <w:tcW w:w="1221" w:type="dxa"/>
            <w:tcBorders>
              <w:top w:val="double" w:sz="6" w:space="0" w:color="auto"/>
              <w:left w:val="nil"/>
              <w:bottom w:val="double" w:sz="6" w:space="0" w:color="auto"/>
              <w:right w:val="dashed" w:sz="4" w:space="0" w:color="auto"/>
            </w:tcBorders>
            <w:shd w:val="clear" w:color="auto" w:fill="auto"/>
            <w:noWrap/>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2024</w:t>
            </w:r>
          </w:p>
        </w:tc>
        <w:tc>
          <w:tcPr>
            <w:tcW w:w="1274" w:type="dxa"/>
            <w:tcBorders>
              <w:top w:val="double" w:sz="6" w:space="0" w:color="auto"/>
              <w:left w:val="nil"/>
              <w:bottom w:val="double" w:sz="6" w:space="0" w:color="auto"/>
              <w:right w:val="dashed" w:sz="4" w:space="0" w:color="auto"/>
            </w:tcBorders>
            <w:shd w:val="clear" w:color="auto" w:fill="auto"/>
            <w:noWrap/>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2025</w:t>
            </w:r>
          </w:p>
        </w:tc>
        <w:tc>
          <w:tcPr>
            <w:tcW w:w="1186" w:type="dxa"/>
            <w:tcBorders>
              <w:top w:val="double" w:sz="6" w:space="0" w:color="auto"/>
              <w:left w:val="nil"/>
              <w:bottom w:val="double" w:sz="6" w:space="0" w:color="auto"/>
              <w:right w:val="dashed" w:sz="4" w:space="0" w:color="auto"/>
            </w:tcBorders>
            <w:shd w:val="clear" w:color="auto" w:fill="auto"/>
            <w:noWrap/>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2026</w:t>
            </w:r>
          </w:p>
        </w:tc>
        <w:tc>
          <w:tcPr>
            <w:tcW w:w="1186" w:type="dxa"/>
            <w:tcBorders>
              <w:top w:val="double" w:sz="6" w:space="0" w:color="auto"/>
              <w:left w:val="nil"/>
              <w:bottom w:val="double" w:sz="6" w:space="0" w:color="auto"/>
              <w:right w:val="dashed" w:sz="4" w:space="0" w:color="auto"/>
            </w:tcBorders>
            <w:shd w:val="clear" w:color="auto" w:fill="auto"/>
            <w:noWrap/>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2027</w:t>
            </w:r>
          </w:p>
        </w:tc>
        <w:tc>
          <w:tcPr>
            <w:tcW w:w="1186" w:type="dxa"/>
            <w:tcBorders>
              <w:top w:val="double" w:sz="6" w:space="0" w:color="auto"/>
              <w:left w:val="nil"/>
              <w:bottom w:val="double" w:sz="6" w:space="0" w:color="auto"/>
              <w:right w:val="double" w:sz="6" w:space="0" w:color="auto"/>
            </w:tcBorders>
            <w:shd w:val="clear" w:color="auto" w:fill="auto"/>
            <w:noWrap/>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2028</w:t>
            </w:r>
          </w:p>
        </w:tc>
      </w:tr>
      <w:tr w:rsidR="00B926AC" w:rsidRPr="00B926AC" w:rsidTr="00B926AC">
        <w:trPr>
          <w:trHeight w:val="268"/>
        </w:trPr>
        <w:tc>
          <w:tcPr>
            <w:tcW w:w="5134" w:type="dxa"/>
            <w:tcBorders>
              <w:top w:val="nil"/>
              <w:left w:val="double" w:sz="6" w:space="0" w:color="auto"/>
              <w:bottom w:val="single" w:sz="8" w:space="0" w:color="auto"/>
              <w:right w:val="single" w:sz="8" w:space="0" w:color="auto"/>
            </w:tcBorders>
            <w:shd w:val="clear" w:color="auto" w:fill="auto"/>
            <w:noWrap/>
            <w:vAlign w:val="bottom"/>
            <w:hideMark/>
          </w:tcPr>
          <w:p w:rsidR="00B926AC" w:rsidRPr="00B926AC" w:rsidRDefault="00B926AC" w:rsidP="00B926AC">
            <w:pPr>
              <w:spacing w:after="0"/>
              <w:jc w:val="left"/>
              <w:rPr>
                <w:rFonts w:eastAsia="Times New Roman" w:cs="Times New Roman"/>
                <w:sz w:val="20"/>
                <w:szCs w:val="20"/>
              </w:rPr>
            </w:pPr>
            <w:hyperlink r:id="rId54" w:anchor="RANGE!B175" w:history="1">
              <w:r w:rsidRPr="00B926AC">
                <w:rPr>
                  <w:rFonts w:eastAsia="Times New Roman" w:cs="Times New Roman"/>
                  <w:sz w:val="20"/>
                  <w:szCs w:val="20"/>
                </w:rPr>
                <w:t>Gross debt [1]</w:t>
              </w:r>
            </w:hyperlink>
          </w:p>
        </w:tc>
        <w:tc>
          <w:tcPr>
            <w:tcW w:w="1274" w:type="dxa"/>
            <w:tcBorders>
              <w:top w:val="nil"/>
              <w:left w:val="nil"/>
              <w:bottom w:val="single" w:sz="8"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bn NCU</w:t>
            </w:r>
          </w:p>
        </w:tc>
        <w:tc>
          <w:tcPr>
            <w:tcW w:w="1735" w:type="dxa"/>
            <w:tcBorders>
              <w:top w:val="nil"/>
              <w:left w:val="nil"/>
              <w:bottom w:val="single" w:sz="8"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4,266.6</w:t>
            </w:r>
          </w:p>
        </w:tc>
        <w:tc>
          <w:tcPr>
            <w:tcW w:w="1221" w:type="dxa"/>
            <w:tcBorders>
              <w:top w:val="nil"/>
              <w:left w:val="nil"/>
              <w:bottom w:val="single" w:sz="8"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4,576.5</w:t>
            </w:r>
          </w:p>
        </w:tc>
        <w:tc>
          <w:tcPr>
            <w:tcW w:w="1274" w:type="dxa"/>
            <w:tcBorders>
              <w:top w:val="nil"/>
              <w:left w:val="nil"/>
              <w:bottom w:val="single" w:sz="8"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4,669.4</w:t>
            </w:r>
          </w:p>
        </w:tc>
        <w:tc>
          <w:tcPr>
            <w:tcW w:w="1186" w:type="dxa"/>
            <w:tcBorders>
              <w:top w:val="nil"/>
              <w:left w:val="nil"/>
              <w:bottom w:val="single" w:sz="8"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4,928.3</w:t>
            </w:r>
          </w:p>
        </w:tc>
        <w:tc>
          <w:tcPr>
            <w:tcW w:w="1186" w:type="dxa"/>
            <w:tcBorders>
              <w:top w:val="nil"/>
              <w:left w:val="nil"/>
              <w:bottom w:val="single" w:sz="8"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5,326.1</w:t>
            </w:r>
          </w:p>
        </w:tc>
        <w:tc>
          <w:tcPr>
            <w:tcW w:w="1186" w:type="dxa"/>
            <w:tcBorders>
              <w:top w:val="nil"/>
              <w:left w:val="nil"/>
              <w:bottom w:val="single" w:sz="8"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5,647.9</w:t>
            </w:r>
          </w:p>
        </w:tc>
      </w:tr>
      <w:tr w:rsidR="00B926AC" w:rsidRPr="00B926AC" w:rsidTr="00B926AC">
        <w:trPr>
          <w:trHeight w:val="251"/>
        </w:trPr>
        <w:tc>
          <w:tcPr>
            <w:tcW w:w="5134" w:type="dxa"/>
            <w:tcBorders>
              <w:top w:val="nil"/>
              <w:left w:val="double" w:sz="6" w:space="0" w:color="auto"/>
              <w:bottom w:val="single" w:sz="4" w:space="0" w:color="auto"/>
              <w:right w:val="nil"/>
            </w:tcBorders>
            <w:shd w:val="clear" w:color="auto" w:fill="auto"/>
            <w:vAlign w:val="center"/>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Contributions to change in gross debt</w:t>
            </w:r>
          </w:p>
        </w:tc>
        <w:tc>
          <w:tcPr>
            <w:tcW w:w="1274" w:type="dxa"/>
            <w:tcBorders>
              <w:top w:val="nil"/>
              <w:left w:val="single" w:sz="8" w:space="0" w:color="auto"/>
              <w:bottom w:val="single"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b/>
                <w:bCs/>
                <w:sz w:val="20"/>
                <w:szCs w:val="20"/>
              </w:rPr>
            </w:pPr>
            <w:r w:rsidRPr="00B926AC">
              <w:rPr>
                <w:rFonts w:eastAsia="Times New Roman" w:cs="Times New Roman"/>
                <w:b/>
                <w:bCs/>
                <w:sz w:val="20"/>
                <w:szCs w:val="20"/>
              </w:rPr>
              <w:t> </w:t>
            </w:r>
          </w:p>
        </w:tc>
        <w:tc>
          <w:tcPr>
            <w:tcW w:w="1735"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 </w:t>
            </w:r>
          </w:p>
        </w:tc>
        <w:tc>
          <w:tcPr>
            <w:tcW w:w="1221"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 </w:t>
            </w:r>
          </w:p>
        </w:tc>
        <w:tc>
          <w:tcPr>
            <w:tcW w:w="1274"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 </w:t>
            </w:r>
          </w:p>
        </w:tc>
        <w:tc>
          <w:tcPr>
            <w:tcW w:w="1186"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 </w:t>
            </w:r>
          </w:p>
        </w:tc>
        <w:tc>
          <w:tcPr>
            <w:tcW w:w="1186"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20"/>
                <w:szCs w:val="20"/>
              </w:rPr>
            </w:pPr>
            <w:r w:rsidRPr="00B926AC">
              <w:rPr>
                <w:rFonts w:eastAsia="Times New Roman" w:cs="Times New Roman"/>
                <w:b/>
                <w:bCs/>
                <w:sz w:val="20"/>
                <w:szCs w:val="20"/>
              </w:rPr>
              <w:t> </w:t>
            </w:r>
          </w:p>
        </w:tc>
        <w:tc>
          <w:tcPr>
            <w:tcW w:w="1186" w:type="dxa"/>
            <w:tcBorders>
              <w:top w:val="nil"/>
              <w:left w:val="nil"/>
              <w:bottom w:val="single" w:sz="4"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r>
      <w:tr w:rsidR="00B926AC" w:rsidRPr="00B926AC" w:rsidTr="00B926AC">
        <w:trPr>
          <w:trHeight w:val="251"/>
        </w:trPr>
        <w:tc>
          <w:tcPr>
            <w:tcW w:w="5134" w:type="dxa"/>
            <w:tcBorders>
              <w:top w:val="nil"/>
              <w:left w:val="double" w:sz="6" w:space="0" w:color="auto"/>
              <w:bottom w:val="dotted" w:sz="4" w:space="0" w:color="auto"/>
              <w:right w:val="nil"/>
            </w:tcBorders>
            <w:shd w:val="clear" w:color="auto" w:fill="auto"/>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5. Stock-flow adjustment</w:t>
            </w:r>
          </w:p>
        </w:tc>
        <w:tc>
          <w:tcPr>
            <w:tcW w:w="1274" w:type="dxa"/>
            <w:tcBorders>
              <w:top w:val="nil"/>
              <w:left w:val="single" w:sz="8" w:space="0" w:color="auto"/>
              <w:bottom w:val="dotted"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bn NCU</w:t>
            </w:r>
          </w:p>
        </w:tc>
        <w:tc>
          <w:tcPr>
            <w:tcW w:w="1735" w:type="dxa"/>
            <w:tcBorders>
              <w:top w:val="dotted" w:sz="4" w:space="0" w:color="auto"/>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21" w:type="dxa"/>
            <w:tcBorders>
              <w:top w:val="dotted" w:sz="4" w:space="0" w:color="auto"/>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74" w:type="dxa"/>
            <w:tcBorders>
              <w:top w:val="dotted" w:sz="4" w:space="0" w:color="auto"/>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dotted" w:sz="4" w:space="0" w:color="auto"/>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dotted" w:sz="4" w:space="0" w:color="auto"/>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uble" w:sz="6"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r w:rsidR="00B926AC" w:rsidRPr="00B926AC" w:rsidTr="00B926AC">
        <w:trPr>
          <w:trHeight w:val="251"/>
        </w:trPr>
        <w:tc>
          <w:tcPr>
            <w:tcW w:w="5134" w:type="dxa"/>
            <w:tcBorders>
              <w:top w:val="nil"/>
              <w:left w:val="double" w:sz="6" w:space="0" w:color="auto"/>
              <w:bottom w:val="dotted" w:sz="4" w:space="0" w:color="auto"/>
              <w:right w:val="nil"/>
            </w:tcBorders>
            <w:shd w:val="clear" w:color="auto" w:fill="auto"/>
            <w:vAlign w:val="center"/>
            <w:hideMark/>
          </w:tcPr>
          <w:p w:rsidR="00B926AC" w:rsidRPr="00B926AC" w:rsidRDefault="00B926AC" w:rsidP="00B926AC">
            <w:pPr>
              <w:spacing w:after="0"/>
              <w:jc w:val="left"/>
              <w:rPr>
                <w:rFonts w:eastAsia="Times New Roman" w:cs="Times New Roman"/>
                <w:i/>
                <w:iCs/>
                <w:sz w:val="20"/>
                <w:szCs w:val="20"/>
              </w:rPr>
            </w:pPr>
            <w:r w:rsidRPr="00B926AC">
              <w:rPr>
                <w:rFonts w:eastAsia="Times New Roman" w:cs="Times New Roman"/>
                <w:i/>
                <w:iCs/>
                <w:sz w:val="20"/>
                <w:szCs w:val="20"/>
              </w:rPr>
              <w:t>of which:</w:t>
            </w:r>
          </w:p>
        </w:tc>
        <w:tc>
          <w:tcPr>
            <w:tcW w:w="1274" w:type="dxa"/>
            <w:tcBorders>
              <w:top w:val="nil"/>
              <w:left w:val="single" w:sz="8" w:space="0" w:color="auto"/>
              <w:bottom w:val="dotted"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 </w:t>
            </w:r>
          </w:p>
        </w:tc>
        <w:tc>
          <w:tcPr>
            <w:tcW w:w="1735"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21"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74"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r w:rsidR="00B926AC" w:rsidRPr="00B926AC" w:rsidTr="00B926AC">
        <w:trPr>
          <w:trHeight w:val="251"/>
        </w:trPr>
        <w:tc>
          <w:tcPr>
            <w:tcW w:w="5134" w:type="dxa"/>
            <w:tcBorders>
              <w:top w:val="nil"/>
              <w:left w:val="double" w:sz="6" w:space="0" w:color="auto"/>
              <w:bottom w:val="dotted" w:sz="4" w:space="0" w:color="auto"/>
              <w:right w:val="nil"/>
            </w:tcBorders>
            <w:shd w:val="clear" w:color="auto" w:fill="auto"/>
            <w:vAlign w:val="center"/>
            <w:hideMark/>
          </w:tcPr>
          <w:p w:rsidR="00B926AC" w:rsidRPr="00B926AC" w:rsidRDefault="00B926AC" w:rsidP="00B926AC">
            <w:pPr>
              <w:spacing w:after="0"/>
              <w:jc w:val="left"/>
              <w:rPr>
                <w:rFonts w:eastAsia="Times New Roman" w:cs="Times New Roman"/>
                <w:sz w:val="20"/>
                <w:szCs w:val="20"/>
              </w:rPr>
            </w:pPr>
            <w:hyperlink r:id="rId55" w:anchor="RANGE!B176" w:history="1">
              <w:r w:rsidRPr="00B926AC">
                <w:rPr>
                  <w:rFonts w:eastAsia="Times New Roman" w:cs="Times New Roman"/>
                  <w:sz w:val="20"/>
                  <w:szCs w:val="20"/>
                </w:rPr>
                <w:t>- Differences between cash and accruals[4]</w:t>
              </w:r>
            </w:hyperlink>
          </w:p>
        </w:tc>
        <w:tc>
          <w:tcPr>
            <w:tcW w:w="1274" w:type="dxa"/>
            <w:tcBorders>
              <w:top w:val="nil"/>
              <w:left w:val="single" w:sz="8" w:space="0" w:color="auto"/>
              <w:bottom w:val="dotted"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bn NCU</w:t>
            </w:r>
          </w:p>
        </w:tc>
        <w:tc>
          <w:tcPr>
            <w:tcW w:w="1735"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21"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74"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r w:rsidR="00B926AC" w:rsidRPr="00B926AC" w:rsidTr="00B926AC">
        <w:trPr>
          <w:trHeight w:val="251"/>
        </w:trPr>
        <w:tc>
          <w:tcPr>
            <w:tcW w:w="5134" w:type="dxa"/>
            <w:tcBorders>
              <w:top w:val="nil"/>
              <w:left w:val="double" w:sz="6" w:space="0" w:color="auto"/>
              <w:bottom w:val="nil"/>
              <w:right w:val="single" w:sz="8" w:space="0" w:color="auto"/>
            </w:tcBorders>
            <w:shd w:val="clear" w:color="auto" w:fill="auto"/>
            <w:noWrap/>
            <w:vAlign w:val="bottom"/>
            <w:hideMark/>
          </w:tcPr>
          <w:p w:rsidR="00B926AC" w:rsidRPr="00B926AC" w:rsidRDefault="00B926AC" w:rsidP="00B926AC">
            <w:pPr>
              <w:spacing w:after="0"/>
              <w:jc w:val="left"/>
              <w:rPr>
                <w:rFonts w:eastAsia="Times New Roman" w:cs="Times New Roman"/>
                <w:sz w:val="20"/>
                <w:szCs w:val="20"/>
              </w:rPr>
            </w:pPr>
            <w:hyperlink r:id="rId56" w:anchor="RANGE!B177" w:history="1">
              <w:r w:rsidRPr="00B926AC">
                <w:rPr>
                  <w:rFonts w:eastAsia="Times New Roman" w:cs="Times New Roman"/>
                  <w:sz w:val="20"/>
                  <w:szCs w:val="20"/>
                </w:rPr>
                <w:t>- Net accumulation of financial assets[5]</w:t>
              </w:r>
            </w:hyperlink>
          </w:p>
        </w:tc>
        <w:tc>
          <w:tcPr>
            <w:tcW w:w="1274" w:type="dxa"/>
            <w:tcBorders>
              <w:top w:val="nil"/>
              <w:left w:val="nil"/>
              <w:bottom w:val="dotted"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bn NCU</w:t>
            </w:r>
          </w:p>
        </w:tc>
        <w:tc>
          <w:tcPr>
            <w:tcW w:w="1735"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21"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74"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r w:rsidR="00B926AC" w:rsidRPr="00B926AC" w:rsidTr="00B926AC">
        <w:trPr>
          <w:trHeight w:val="251"/>
        </w:trPr>
        <w:tc>
          <w:tcPr>
            <w:tcW w:w="5134" w:type="dxa"/>
            <w:tcBorders>
              <w:top w:val="dotted" w:sz="4" w:space="0" w:color="auto"/>
              <w:left w:val="double" w:sz="6" w:space="0" w:color="auto"/>
              <w:bottom w:val="dotted" w:sz="4" w:space="0" w:color="auto"/>
              <w:right w:val="single" w:sz="8" w:space="0" w:color="auto"/>
            </w:tcBorders>
            <w:shd w:val="clear" w:color="auto" w:fill="auto"/>
            <w:vAlign w:val="center"/>
            <w:hideMark/>
          </w:tcPr>
          <w:p w:rsidR="00B926AC" w:rsidRPr="00B926AC" w:rsidRDefault="00B926AC" w:rsidP="00B926AC">
            <w:pPr>
              <w:spacing w:after="0"/>
              <w:jc w:val="left"/>
              <w:rPr>
                <w:rFonts w:eastAsia="Times New Roman" w:cs="Times New Roman"/>
                <w:i/>
                <w:iCs/>
                <w:sz w:val="20"/>
                <w:szCs w:val="20"/>
              </w:rPr>
            </w:pPr>
            <w:r w:rsidRPr="00B926AC">
              <w:rPr>
                <w:rFonts w:eastAsia="Times New Roman" w:cs="Times New Roman"/>
                <w:i/>
                <w:iCs/>
                <w:sz w:val="20"/>
                <w:szCs w:val="20"/>
              </w:rPr>
              <w:t>of which:</w:t>
            </w:r>
          </w:p>
        </w:tc>
        <w:tc>
          <w:tcPr>
            <w:tcW w:w="1274" w:type="dxa"/>
            <w:tcBorders>
              <w:top w:val="nil"/>
              <w:left w:val="nil"/>
              <w:bottom w:val="dotted"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 </w:t>
            </w:r>
          </w:p>
        </w:tc>
        <w:tc>
          <w:tcPr>
            <w:tcW w:w="1735"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21"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74"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r w:rsidR="00B926AC" w:rsidRPr="00B926AC" w:rsidTr="00B926AC">
        <w:trPr>
          <w:trHeight w:val="251"/>
        </w:trPr>
        <w:tc>
          <w:tcPr>
            <w:tcW w:w="5134" w:type="dxa"/>
            <w:tcBorders>
              <w:top w:val="nil"/>
              <w:left w:val="double" w:sz="6" w:space="0" w:color="auto"/>
              <w:bottom w:val="dotted" w:sz="4" w:space="0" w:color="auto"/>
              <w:right w:val="single" w:sz="8" w:space="0" w:color="auto"/>
            </w:tcBorders>
            <w:shd w:val="clear" w:color="auto" w:fill="auto"/>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 Privatisation proceeds</w:t>
            </w:r>
          </w:p>
        </w:tc>
        <w:tc>
          <w:tcPr>
            <w:tcW w:w="1274" w:type="dxa"/>
            <w:tcBorders>
              <w:top w:val="nil"/>
              <w:left w:val="nil"/>
              <w:bottom w:val="dotted"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bn NCU</w:t>
            </w:r>
          </w:p>
        </w:tc>
        <w:tc>
          <w:tcPr>
            <w:tcW w:w="1735"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21"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74"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tted" w:sz="4"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r w:rsidR="00B926AC" w:rsidRPr="00B926AC" w:rsidTr="00B926AC">
        <w:trPr>
          <w:trHeight w:val="251"/>
        </w:trPr>
        <w:tc>
          <w:tcPr>
            <w:tcW w:w="5134" w:type="dxa"/>
            <w:tcBorders>
              <w:top w:val="nil"/>
              <w:left w:val="double" w:sz="6" w:space="0" w:color="auto"/>
              <w:bottom w:val="single" w:sz="4" w:space="0" w:color="auto"/>
              <w:right w:val="single" w:sz="8" w:space="0" w:color="auto"/>
            </w:tcBorders>
            <w:shd w:val="clear" w:color="auto" w:fill="auto"/>
            <w:noWrap/>
            <w:vAlign w:val="bottom"/>
            <w:hideMark/>
          </w:tcPr>
          <w:p w:rsidR="00B926AC" w:rsidRPr="00B926AC" w:rsidRDefault="00B926AC" w:rsidP="00B926AC">
            <w:pPr>
              <w:spacing w:after="0"/>
              <w:jc w:val="left"/>
              <w:rPr>
                <w:rFonts w:eastAsia="Times New Roman" w:cs="Times New Roman"/>
                <w:sz w:val="20"/>
                <w:szCs w:val="20"/>
              </w:rPr>
            </w:pPr>
            <w:hyperlink r:id="rId57" w:anchor="RANGE!B178" w:history="1">
              <w:r w:rsidRPr="00B926AC">
                <w:rPr>
                  <w:rFonts w:eastAsia="Times New Roman" w:cs="Times New Roman"/>
                  <w:sz w:val="20"/>
                  <w:szCs w:val="20"/>
                </w:rPr>
                <w:t>- Valuation effects and other[6]</w:t>
              </w:r>
            </w:hyperlink>
          </w:p>
        </w:tc>
        <w:tc>
          <w:tcPr>
            <w:tcW w:w="1274" w:type="dxa"/>
            <w:tcBorders>
              <w:top w:val="nil"/>
              <w:left w:val="nil"/>
              <w:bottom w:val="dotted"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bn NCU</w:t>
            </w:r>
          </w:p>
        </w:tc>
        <w:tc>
          <w:tcPr>
            <w:tcW w:w="1735" w:type="dxa"/>
            <w:tcBorders>
              <w:top w:val="nil"/>
              <w:left w:val="nil"/>
              <w:bottom w:val="single"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21" w:type="dxa"/>
            <w:tcBorders>
              <w:top w:val="nil"/>
              <w:left w:val="nil"/>
              <w:bottom w:val="single"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74" w:type="dxa"/>
            <w:tcBorders>
              <w:top w:val="nil"/>
              <w:left w:val="nil"/>
              <w:bottom w:val="single"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single"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single" w:sz="4"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single" w:sz="4"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r w:rsidR="00B926AC" w:rsidRPr="00B926AC" w:rsidTr="00B926AC">
        <w:trPr>
          <w:trHeight w:val="242"/>
        </w:trPr>
        <w:tc>
          <w:tcPr>
            <w:tcW w:w="5134" w:type="dxa"/>
            <w:tcBorders>
              <w:top w:val="nil"/>
              <w:left w:val="double" w:sz="6" w:space="0" w:color="auto"/>
              <w:bottom w:val="single" w:sz="4" w:space="0" w:color="auto"/>
              <w:right w:val="nil"/>
            </w:tcBorders>
            <w:shd w:val="clear" w:color="auto" w:fill="auto"/>
            <w:vAlign w:val="center"/>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Other relevant variables</w:t>
            </w:r>
          </w:p>
        </w:tc>
        <w:tc>
          <w:tcPr>
            <w:tcW w:w="1274"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b/>
                <w:bCs/>
                <w:sz w:val="20"/>
                <w:szCs w:val="20"/>
              </w:rPr>
            </w:pPr>
            <w:r w:rsidRPr="00B926AC">
              <w:rPr>
                <w:rFonts w:eastAsia="Times New Roman" w:cs="Times New Roman"/>
                <w:b/>
                <w:bCs/>
                <w:sz w:val="20"/>
                <w:szCs w:val="20"/>
              </w:rPr>
              <w:t> </w:t>
            </w:r>
          </w:p>
        </w:tc>
        <w:tc>
          <w:tcPr>
            <w:tcW w:w="1735"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18"/>
                <w:szCs w:val="18"/>
              </w:rPr>
            </w:pPr>
            <w:r w:rsidRPr="00B926AC">
              <w:rPr>
                <w:rFonts w:eastAsia="Times New Roman" w:cs="Times New Roman"/>
                <w:b/>
                <w:bCs/>
                <w:sz w:val="18"/>
                <w:szCs w:val="18"/>
              </w:rPr>
              <w:t> </w:t>
            </w:r>
          </w:p>
        </w:tc>
        <w:tc>
          <w:tcPr>
            <w:tcW w:w="1221"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18"/>
                <w:szCs w:val="18"/>
              </w:rPr>
            </w:pPr>
            <w:r w:rsidRPr="00B926AC">
              <w:rPr>
                <w:rFonts w:eastAsia="Times New Roman" w:cs="Times New Roman"/>
                <w:b/>
                <w:bCs/>
                <w:sz w:val="18"/>
                <w:szCs w:val="18"/>
              </w:rPr>
              <w:t> </w:t>
            </w:r>
          </w:p>
        </w:tc>
        <w:tc>
          <w:tcPr>
            <w:tcW w:w="1274"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18"/>
                <w:szCs w:val="18"/>
              </w:rPr>
            </w:pPr>
            <w:r w:rsidRPr="00B926AC">
              <w:rPr>
                <w:rFonts w:eastAsia="Times New Roman" w:cs="Times New Roman"/>
                <w:b/>
                <w:bCs/>
                <w:sz w:val="18"/>
                <w:szCs w:val="18"/>
              </w:rPr>
              <w:t> </w:t>
            </w:r>
          </w:p>
        </w:tc>
        <w:tc>
          <w:tcPr>
            <w:tcW w:w="1186"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18"/>
                <w:szCs w:val="18"/>
              </w:rPr>
            </w:pPr>
            <w:r w:rsidRPr="00B926AC">
              <w:rPr>
                <w:rFonts w:eastAsia="Times New Roman" w:cs="Times New Roman"/>
                <w:b/>
                <w:bCs/>
                <w:sz w:val="18"/>
                <w:szCs w:val="18"/>
              </w:rPr>
              <w:t> </w:t>
            </w:r>
          </w:p>
        </w:tc>
        <w:tc>
          <w:tcPr>
            <w:tcW w:w="1186" w:type="dxa"/>
            <w:tcBorders>
              <w:top w:val="nil"/>
              <w:left w:val="nil"/>
              <w:bottom w:val="single" w:sz="4" w:space="0" w:color="auto"/>
              <w:right w:val="nil"/>
            </w:tcBorders>
            <w:shd w:val="clear" w:color="auto" w:fill="auto"/>
            <w:vAlign w:val="center"/>
            <w:hideMark/>
          </w:tcPr>
          <w:p w:rsidR="00B926AC" w:rsidRPr="00B926AC" w:rsidRDefault="00B926AC" w:rsidP="00B926AC">
            <w:pPr>
              <w:spacing w:after="0"/>
              <w:jc w:val="right"/>
              <w:rPr>
                <w:rFonts w:eastAsia="Times New Roman" w:cs="Times New Roman"/>
                <w:b/>
                <w:bCs/>
                <w:sz w:val="18"/>
                <w:szCs w:val="18"/>
              </w:rPr>
            </w:pPr>
            <w:r w:rsidRPr="00B926AC">
              <w:rPr>
                <w:rFonts w:eastAsia="Times New Roman" w:cs="Times New Roman"/>
                <w:b/>
                <w:bCs/>
                <w:sz w:val="18"/>
                <w:szCs w:val="18"/>
              </w:rPr>
              <w:t> </w:t>
            </w:r>
          </w:p>
        </w:tc>
        <w:tc>
          <w:tcPr>
            <w:tcW w:w="1186" w:type="dxa"/>
            <w:tcBorders>
              <w:top w:val="nil"/>
              <w:left w:val="nil"/>
              <w:bottom w:val="single" w:sz="4"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r w:rsidR="00B926AC" w:rsidRPr="00B926AC" w:rsidTr="00B926AC">
        <w:trPr>
          <w:trHeight w:val="259"/>
        </w:trPr>
        <w:tc>
          <w:tcPr>
            <w:tcW w:w="5134" w:type="dxa"/>
            <w:tcBorders>
              <w:top w:val="nil"/>
              <w:left w:val="double" w:sz="6" w:space="0" w:color="auto"/>
              <w:bottom w:val="double" w:sz="6" w:space="0" w:color="auto"/>
              <w:right w:val="single" w:sz="8" w:space="0" w:color="auto"/>
            </w:tcBorders>
            <w:shd w:val="clear" w:color="auto" w:fill="auto"/>
            <w:noWrap/>
            <w:vAlign w:val="bottom"/>
            <w:hideMark/>
          </w:tcPr>
          <w:p w:rsidR="00B926AC" w:rsidRPr="00B926AC" w:rsidRDefault="00B926AC" w:rsidP="00B926AC">
            <w:pPr>
              <w:spacing w:after="0"/>
              <w:jc w:val="left"/>
              <w:rPr>
                <w:rFonts w:eastAsia="Times New Roman" w:cs="Times New Roman"/>
                <w:sz w:val="20"/>
                <w:szCs w:val="20"/>
              </w:rPr>
            </w:pPr>
            <w:hyperlink r:id="rId58" w:anchor="RANGE!B179" w:history="1">
              <w:r w:rsidRPr="00B926AC">
                <w:rPr>
                  <w:rFonts w:eastAsia="Times New Roman" w:cs="Times New Roman"/>
                  <w:sz w:val="20"/>
                  <w:szCs w:val="20"/>
                </w:rPr>
                <w:t>6. Liquid financial assets[8]</w:t>
              </w:r>
            </w:hyperlink>
          </w:p>
        </w:tc>
        <w:tc>
          <w:tcPr>
            <w:tcW w:w="1274" w:type="dxa"/>
            <w:tcBorders>
              <w:top w:val="nil"/>
              <w:left w:val="nil"/>
              <w:bottom w:val="double" w:sz="6" w:space="0" w:color="auto"/>
              <w:right w:val="single" w:sz="8" w:space="0" w:color="auto"/>
            </w:tcBorders>
            <w:shd w:val="clear" w:color="auto" w:fill="auto"/>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bn NCU</w:t>
            </w:r>
          </w:p>
        </w:tc>
        <w:tc>
          <w:tcPr>
            <w:tcW w:w="1735" w:type="dxa"/>
            <w:tcBorders>
              <w:top w:val="nil"/>
              <w:left w:val="nil"/>
              <w:bottom w:val="double" w:sz="6"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21" w:type="dxa"/>
            <w:tcBorders>
              <w:top w:val="nil"/>
              <w:left w:val="nil"/>
              <w:bottom w:val="double" w:sz="6"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274" w:type="dxa"/>
            <w:tcBorders>
              <w:top w:val="nil"/>
              <w:left w:val="nil"/>
              <w:bottom w:val="double" w:sz="6"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uble" w:sz="6"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uble" w:sz="6" w:space="0" w:color="auto"/>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c>
          <w:tcPr>
            <w:tcW w:w="1186" w:type="dxa"/>
            <w:tcBorders>
              <w:top w:val="nil"/>
              <w:left w:val="nil"/>
              <w:bottom w:val="double" w:sz="6" w:space="0" w:color="auto"/>
              <w:right w:val="double" w:sz="6" w:space="0" w:color="auto"/>
            </w:tcBorders>
            <w:shd w:val="clear" w:color="auto" w:fill="auto"/>
            <w:noWrap/>
            <w:vAlign w:val="bottom"/>
            <w:hideMark/>
          </w:tcPr>
          <w:p w:rsidR="00B926AC" w:rsidRPr="00B926AC" w:rsidRDefault="00B926AC" w:rsidP="00B926AC">
            <w:pPr>
              <w:spacing w:after="0"/>
              <w:jc w:val="right"/>
              <w:rPr>
                <w:rFonts w:eastAsia="Times New Roman" w:cs="Times New Roman"/>
                <w:sz w:val="18"/>
                <w:szCs w:val="18"/>
              </w:rPr>
            </w:pPr>
            <w:r w:rsidRPr="00B926AC">
              <w:rPr>
                <w:rFonts w:eastAsia="Times New Roman" w:cs="Times New Roman"/>
                <w:sz w:val="18"/>
                <w:szCs w:val="18"/>
              </w:rPr>
              <w:t> </w:t>
            </w:r>
          </w:p>
        </w:tc>
      </w:tr>
    </w:tbl>
    <w:p w:rsidR="00B926AC" w:rsidRDefault="00B926AC" w:rsidP="007A0CEC">
      <w:pPr>
        <w:spacing w:after="0"/>
        <w:jc w:val="left"/>
        <w:rPr>
          <w:rFonts w:cs="Times New Roman"/>
          <w:szCs w:val="24"/>
          <w:lang w:val="sr-Latn-RS"/>
        </w:rPr>
      </w:pPr>
      <w:r>
        <w:rPr>
          <w:rFonts w:cs="Times New Roman"/>
          <w:szCs w:val="24"/>
          <w:lang w:val="sr-Latn-RS"/>
        </w:rPr>
        <w:fldChar w:fldCharType="end"/>
      </w:r>
    </w:p>
    <w:tbl>
      <w:tblPr>
        <w:tblW w:w="9360" w:type="dxa"/>
        <w:tblLook w:val="04A0" w:firstRow="1" w:lastRow="0" w:firstColumn="1" w:lastColumn="0" w:noHBand="0" w:noVBand="1"/>
      </w:tblPr>
      <w:tblGrid>
        <w:gridCol w:w="9360"/>
      </w:tblGrid>
      <w:tr w:rsidR="00B926AC" w:rsidRPr="00B926AC" w:rsidTr="00B926AC">
        <w:trPr>
          <w:trHeight w:val="258"/>
        </w:trPr>
        <w:tc>
          <w:tcPr>
            <w:tcW w:w="9360" w:type="dxa"/>
            <w:tcBorders>
              <w:top w:val="nil"/>
              <w:left w:val="nil"/>
              <w:bottom w:val="nil"/>
              <w:right w:val="nil"/>
            </w:tcBorders>
            <w:shd w:val="clear" w:color="auto" w:fill="auto"/>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[1] As defined in Regulation 3605/93 (not an ESA concept).</w:t>
            </w:r>
          </w:p>
        </w:tc>
      </w:tr>
      <w:tr w:rsidR="00B926AC" w:rsidRPr="00B926AC" w:rsidTr="00B926AC">
        <w:trPr>
          <w:trHeight w:val="258"/>
        </w:trPr>
        <w:tc>
          <w:tcPr>
            <w:tcW w:w="9360" w:type="dxa"/>
            <w:tcBorders>
              <w:top w:val="nil"/>
              <w:left w:val="nil"/>
              <w:bottom w:val="nil"/>
              <w:right w:val="nil"/>
            </w:tcBorders>
            <w:shd w:val="clear" w:color="auto" w:fill="auto"/>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 xml:space="preserve">[4] The differences concerning interest expenditure, other expenditure and revenue could be distinguished when relevant. </w:t>
            </w:r>
          </w:p>
        </w:tc>
      </w:tr>
      <w:tr w:rsidR="00B926AC" w:rsidRPr="00B926AC" w:rsidTr="00B926AC">
        <w:trPr>
          <w:trHeight w:val="258"/>
        </w:trPr>
        <w:tc>
          <w:tcPr>
            <w:tcW w:w="9360" w:type="dxa"/>
            <w:tcBorders>
              <w:top w:val="nil"/>
              <w:left w:val="nil"/>
              <w:bottom w:val="nil"/>
              <w:right w:val="nil"/>
            </w:tcBorders>
            <w:shd w:val="clear" w:color="auto" w:fill="auto"/>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[5] Liquid assets, assets on third countries, government controlled enterprises and the difference between quoted and non-quoted assets could be distinguished when relevant.</w:t>
            </w:r>
          </w:p>
        </w:tc>
      </w:tr>
      <w:tr w:rsidR="00B926AC" w:rsidRPr="00B926AC" w:rsidTr="00B926AC">
        <w:trPr>
          <w:trHeight w:val="258"/>
        </w:trPr>
        <w:tc>
          <w:tcPr>
            <w:tcW w:w="9360" w:type="dxa"/>
            <w:tcBorders>
              <w:top w:val="nil"/>
              <w:left w:val="nil"/>
              <w:bottom w:val="nil"/>
              <w:right w:val="nil"/>
            </w:tcBorders>
            <w:shd w:val="clear" w:color="auto" w:fill="auto"/>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[6] Changes du to exchange rage movement, and operation in secondary market could be distinguished when relevant.</w:t>
            </w:r>
          </w:p>
        </w:tc>
      </w:tr>
      <w:tr w:rsidR="00B926AC" w:rsidRPr="00B926AC" w:rsidTr="00B926AC">
        <w:trPr>
          <w:trHeight w:val="258"/>
        </w:trPr>
        <w:tc>
          <w:tcPr>
            <w:tcW w:w="9360" w:type="dxa"/>
            <w:tcBorders>
              <w:top w:val="nil"/>
              <w:left w:val="nil"/>
              <w:bottom w:val="nil"/>
              <w:right w:val="nil"/>
            </w:tcBorders>
            <w:shd w:val="clear" w:color="auto" w:fill="auto"/>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[8] AF1, AF2, AF3 (consolidated at market value), AF5 (if quoted at stock exchange; including mutual fund shares).</w:t>
            </w:r>
          </w:p>
        </w:tc>
      </w:tr>
    </w:tbl>
    <w:p w:rsidR="00B926AC" w:rsidRDefault="00B926AC" w:rsidP="007A0CEC">
      <w:pPr>
        <w:spacing w:after="0"/>
        <w:jc w:val="left"/>
        <w:rPr>
          <w:rFonts w:cs="Times New Roman"/>
          <w:szCs w:val="24"/>
          <w:lang w:val="sr-Latn-RS"/>
        </w:rPr>
      </w:pPr>
    </w:p>
    <w:p w:rsidR="00B926AC" w:rsidRDefault="00B926AC" w:rsidP="007A0CEC">
      <w:pPr>
        <w:spacing w:after="0"/>
        <w:jc w:val="left"/>
        <w:rPr>
          <w:rFonts w:cs="Times New Roman"/>
          <w:szCs w:val="24"/>
          <w:lang w:val="sr-Latn-RS"/>
        </w:rPr>
      </w:pPr>
    </w:p>
    <w:p w:rsidR="00B926AC" w:rsidRDefault="00B926AC" w:rsidP="007A0CEC">
      <w:pPr>
        <w:spacing w:after="0"/>
        <w:jc w:val="left"/>
        <w:rPr>
          <w:rFonts w:cs="Times New Roman"/>
          <w:szCs w:val="24"/>
          <w:lang w:val="sr-Latn-RS"/>
        </w:rPr>
      </w:pPr>
    </w:p>
    <w:p w:rsidR="00B926AC" w:rsidRDefault="00B926AC" w:rsidP="007A0CEC">
      <w:pPr>
        <w:spacing w:after="0"/>
        <w:jc w:val="left"/>
        <w:rPr>
          <w:rFonts w:cs="Times New Roman"/>
          <w:szCs w:val="24"/>
          <w:lang w:val="sr-Latn-RS"/>
        </w:rPr>
      </w:pPr>
    </w:p>
    <w:p w:rsidR="00B926AC" w:rsidRDefault="00B926AC" w:rsidP="007A0CEC">
      <w:pPr>
        <w:spacing w:after="0"/>
        <w:jc w:val="left"/>
        <w:rPr>
          <w:rFonts w:cs="Times New Roman"/>
          <w:szCs w:val="24"/>
          <w:lang w:val="sr-Latn-RS"/>
        </w:rPr>
      </w:pPr>
    </w:p>
    <w:p w:rsidR="00B926AC" w:rsidRDefault="00B926AC" w:rsidP="007A0CEC">
      <w:pPr>
        <w:spacing w:after="0"/>
        <w:jc w:val="left"/>
        <w:rPr>
          <w:rFonts w:cs="Times New Roman"/>
          <w:szCs w:val="24"/>
          <w:lang w:val="sr-Latn-RS"/>
        </w:rPr>
      </w:pPr>
    </w:p>
    <w:p w:rsidR="00B926AC" w:rsidRDefault="00B926AC" w:rsidP="007A0CEC">
      <w:pPr>
        <w:spacing w:after="0"/>
        <w:jc w:val="left"/>
        <w:rPr>
          <w:rFonts w:cs="Times New Roman"/>
          <w:szCs w:val="24"/>
          <w:lang w:val="sr-Latn-RS"/>
        </w:rPr>
      </w:pPr>
    </w:p>
    <w:p w:rsidR="00B926AC" w:rsidRDefault="00B926AC" w:rsidP="007A0CEC">
      <w:pPr>
        <w:spacing w:after="0"/>
        <w:jc w:val="left"/>
        <w:rPr>
          <w:rFonts w:cs="Times New Roman"/>
          <w:szCs w:val="24"/>
          <w:lang w:val="sr-Latn-RS"/>
        </w:rPr>
      </w:pPr>
    </w:p>
    <w:p w:rsidR="00B926AC" w:rsidRDefault="00B926AC"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"Tab4-GG Debt!R4C2:R24C9" \a \f 4 \h  \* MERGEFORMAT </w:instrText>
      </w:r>
      <w:r>
        <w:rPr>
          <w:lang w:val="sr-Latn-RS"/>
        </w:rPr>
        <w:fldChar w:fldCharType="separate"/>
      </w:r>
    </w:p>
    <w:tbl>
      <w:tblPr>
        <w:tblW w:w="14215" w:type="dxa"/>
        <w:tblLook w:val="04A0" w:firstRow="1" w:lastRow="0" w:firstColumn="1" w:lastColumn="0" w:noHBand="0" w:noVBand="1"/>
      </w:tblPr>
      <w:tblGrid>
        <w:gridCol w:w="5586"/>
        <w:gridCol w:w="1271"/>
        <w:gridCol w:w="1271"/>
        <w:gridCol w:w="1720"/>
        <w:gridCol w:w="1421"/>
        <w:gridCol w:w="1471"/>
        <w:gridCol w:w="1475"/>
      </w:tblGrid>
      <w:tr w:rsidR="00B926AC" w:rsidRPr="00B926AC" w:rsidTr="00B926AC">
        <w:trPr>
          <w:trHeight w:val="241"/>
        </w:trPr>
        <w:tc>
          <w:tcPr>
            <w:tcW w:w="5586" w:type="dxa"/>
            <w:vMerge w:val="restart"/>
            <w:tcBorders>
              <w:top w:val="double" w:sz="6" w:space="0" w:color="auto"/>
              <w:left w:val="double" w:sz="6" w:space="0" w:color="auto"/>
              <w:bottom w:val="single" w:sz="8" w:space="0" w:color="000000"/>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lastRenderedPageBreak/>
              <w:t>% of GDP</w:t>
            </w:r>
          </w:p>
        </w:tc>
        <w:tc>
          <w:tcPr>
            <w:tcW w:w="1271" w:type="dxa"/>
            <w:vMerge w:val="restart"/>
            <w:tcBorders>
              <w:top w:val="double" w:sz="6" w:space="0" w:color="auto"/>
              <w:left w:val="dotted" w:sz="4" w:space="0" w:color="auto"/>
              <w:bottom w:val="single" w:sz="8" w:space="0" w:color="000000"/>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ESA code</w:t>
            </w:r>
          </w:p>
        </w:tc>
        <w:tc>
          <w:tcPr>
            <w:tcW w:w="1271" w:type="dxa"/>
            <w:tcBorders>
              <w:top w:val="double" w:sz="6" w:space="0" w:color="auto"/>
              <w:left w:val="nil"/>
              <w:bottom w:val="nil"/>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Year</w:t>
            </w:r>
          </w:p>
        </w:tc>
        <w:tc>
          <w:tcPr>
            <w:tcW w:w="1720" w:type="dxa"/>
            <w:tcBorders>
              <w:top w:val="double" w:sz="6" w:space="0" w:color="auto"/>
              <w:left w:val="nil"/>
              <w:bottom w:val="nil"/>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Year</w:t>
            </w:r>
          </w:p>
        </w:tc>
        <w:tc>
          <w:tcPr>
            <w:tcW w:w="1421" w:type="dxa"/>
            <w:tcBorders>
              <w:top w:val="double" w:sz="6" w:space="0" w:color="auto"/>
              <w:left w:val="nil"/>
              <w:bottom w:val="nil"/>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Year</w:t>
            </w:r>
          </w:p>
        </w:tc>
        <w:tc>
          <w:tcPr>
            <w:tcW w:w="1471" w:type="dxa"/>
            <w:tcBorders>
              <w:top w:val="double" w:sz="6" w:space="0" w:color="auto"/>
              <w:left w:val="nil"/>
              <w:bottom w:val="nil"/>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Year</w:t>
            </w:r>
          </w:p>
        </w:tc>
        <w:tc>
          <w:tcPr>
            <w:tcW w:w="1471" w:type="dxa"/>
            <w:tcBorders>
              <w:top w:val="double" w:sz="6" w:space="0" w:color="auto"/>
              <w:left w:val="nil"/>
              <w:bottom w:val="nil"/>
              <w:right w:val="double" w:sz="6"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Year</w:t>
            </w:r>
          </w:p>
        </w:tc>
      </w:tr>
      <w:tr w:rsidR="00B926AC" w:rsidRPr="00B926AC" w:rsidTr="00B926AC">
        <w:trPr>
          <w:trHeight w:val="241"/>
        </w:trPr>
        <w:tc>
          <w:tcPr>
            <w:tcW w:w="5586" w:type="dxa"/>
            <w:vMerge/>
            <w:tcBorders>
              <w:top w:val="double" w:sz="6" w:space="0" w:color="auto"/>
              <w:left w:val="double" w:sz="6" w:space="0" w:color="auto"/>
              <w:bottom w:val="single" w:sz="8" w:space="0" w:color="000000"/>
              <w:right w:val="dotted" w:sz="4" w:space="0" w:color="auto"/>
            </w:tcBorders>
            <w:vAlign w:val="center"/>
            <w:hideMark/>
          </w:tcPr>
          <w:p w:rsidR="00B926AC" w:rsidRPr="00B926AC" w:rsidRDefault="00B926AC" w:rsidP="00B926AC">
            <w:pPr>
              <w:spacing w:after="0"/>
              <w:jc w:val="left"/>
              <w:rPr>
                <w:rFonts w:eastAsia="Times New Roman" w:cs="Times New Roman"/>
                <w:szCs w:val="24"/>
              </w:rPr>
            </w:pPr>
          </w:p>
        </w:tc>
        <w:tc>
          <w:tcPr>
            <w:tcW w:w="1271" w:type="dxa"/>
            <w:vMerge/>
            <w:tcBorders>
              <w:top w:val="double" w:sz="6" w:space="0" w:color="auto"/>
              <w:left w:val="dotted" w:sz="4" w:space="0" w:color="auto"/>
              <w:bottom w:val="single" w:sz="8" w:space="0" w:color="000000"/>
              <w:right w:val="single" w:sz="8" w:space="0" w:color="auto"/>
            </w:tcBorders>
            <w:vAlign w:val="center"/>
            <w:hideMark/>
          </w:tcPr>
          <w:p w:rsidR="00B926AC" w:rsidRPr="00B926AC" w:rsidRDefault="00B926AC" w:rsidP="00B926AC">
            <w:pPr>
              <w:spacing w:after="0"/>
              <w:jc w:val="left"/>
              <w:rPr>
                <w:rFonts w:eastAsia="Times New Roman" w:cs="Times New Roman"/>
                <w:szCs w:val="24"/>
              </w:rPr>
            </w:pPr>
          </w:p>
        </w:tc>
        <w:tc>
          <w:tcPr>
            <w:tcW w:w="127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2024</w:t>
            </w:r>
          </w:p>
        </w:tc>
        <w:tc>
          <w:tcPr>
            <w:tcW w:w="1720"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2025</w:t>
            </w:r>
          </w:p>
        </w:tc>
        <w:tc>
          <w:tcPr>
            <w:tcW w:w="142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2026</w:t>
            </w:r>
          </w:p>
        </w:tc>
        <w:tc>
          <w:tcPr>
            <w:tcW w:w="147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2027</w:t>
            </w:r>
          </w:p>
        </w:tc>
        <w:tc>
          <w:tcPr>
            <w:tcW w:w="1471" w:type="dxa"/>
            <w:tcBorders>
              <w:top w:val="nil"/>
              <w:left w:val="nil"/>
              <w:bottom w:val="single" w:sz="8" w:space="0" w:color="auto"/>
              <w:right w:val="double" w:sz="6"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2028</w:t>
            </w:r>
          </w:p>
        </w:tc>
      </w:tr>
      <w:tr w:rsidR="00B926AC" w:rsidRPr="00B926AC" w:rsidTr="00B926AC">
        <w:trPr>
          <w:trHeight w:val="241"/>
        </w:trPr>
        <w:tc>
          <w:tcPr>
            <w:tcW w:w="5586" w:type="dxa"/>
            <w:tcBorders>
              <w:top w:val="nil"/>
              <w:left w:val="double" w:sz="6" w:space="0" w:color="auto"/>
              <w:bottom w:val="single" w:sz="8" w:space="0" w:color="auto"/>
              <w:right w:val="dotted" w:sz="4" w:space="0" w:color="auto"/>
            </w:tcBorders>
            <w:shd w:val="clear" w:color="auto" w:fill="auto"/>
            <w:noWrap/>
            <w:vAlign w:val="bottom"/>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1. Gross debt [1]</w:t>
            </w:r>
          </w:p>
        </w:tc>
        <w:tc>
          <w:tcPr>
            <w:tcW w:w="1271" w:type="dxa"/>
            <w:tcBorders>
              <w:top w:val="nil"/>
              <w:left w:val="nil"/>
              <w:bottom w:val="single" w:sz="8" w:space="0" w:color="auto"/>
              <w:right w:val="single" w:sz="8" w:space="0" w:color="auto"/>
            </w:tcBorders>
            <w:shd w:val="clear" w:color="000000" w:fill="FFFFFF"/>
            <w:vAlign w:val="center"/>
            <w:hideMark/>
          </w:tcPr>
          <w:p w:rsidR="00B926AC" w:rsidRPr="00B926AC" w:rsidRDefault="00B926AC" w:rsidP="00B926AC">
            <w:pPr>
              <w:spacing w:after="0"/>
              <w:jc w:val="left"/>
              <w:rPr>
                <w:rFonts w:eastAsia="Times New Roman" w:cs="Times New Roman"/>
                <w:szCs w:val="24"/>
              </w:rPr>
            </w:pPr>
            <w:r w:rsidRPr="00B926AC">
              <w:rPr>
                <w:rFonts w:eastAsia="Times New Roman" w:cs="Times New Roman"/>
                <w:szCs w:val="24"/>
              </w:rPr>
              <w:t> </w:t>
            </w:r>
          </w:p>
        </w:tc>
        <w:tc>
          <w:tcPr>
            <w:tcW w:w="127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46.9</w:t>
            </w:r>
          </w:p>
        </w:tc>
        <w:tc>
          <w:tcPr>
            <w:tcW w:w="1720"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45.0</w:t>
            </w:r>
          </w:p>
        </w:tc>
        <w:tc>
          <w:tcPr>
            <w:tcW w:w="142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44.5</w:t>
            </w:r>
          </w:p>
        </w:tc>
        <w:tc>
          <w:tcPr>
            <w:tcW w:w="147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44.3</w:t>
            </w:r>
          </w:p>
        </w:tc>
        <w:tc>
          <w:tcPr>
            <w:tcW w:w="1471" w:type="dxa"/>
            <w:tcBorders>
              <w:top w:val="nil"/>
              <w:left w:val="nil"/>
              <w:bottom w:val="single" w:sz="8"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44.1</w:t>
            </w:r>
          </w:p>
        </w:tc>
      </w:tr>
      <w:tr w:rsidR="00B926AC" w:rsidRPr="00B926AC" w:rsidTr="00B926AC">
        <w:trPr>
          <w:trHeight w:val="241"/>
        </w:trPr>
        <w:tc>
          <w:tcPr>
            <w:tcW w:w="5586" w:type="dxa"/>
            <w:tcBorders>
              <w:top w:val="nil"/>
              <w:left w:val="double" w:sz="6" w:space="0" w:color="auto"/>
              <w:bottom w:val="single" w:sz="8" w:space="0" w:color="auto"/>
              <w:right w:val="dotted" w:sz="4" w:space="0" w:color="auto"/>
            </w:tcBorders>
            <w:shd w:val="clear" w:color="000000" w:fill="FFFFFF"/>
            <w:vAlign w:val="center"/>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2. Change in gross debt ratio</w:t>
            </w:r>
          </w:p>
        </w:tc>
        <w:tc>
          <w:tcPr>
            <w:tcW w:w="1271" w:type="dxa"/>
            <w:tcBorders>
              <w:top w:val="nil"/>
              <w:left w:val="nil"/>
              <w:bottom w:val="single" w:sz="8" w:space="0" w:color="auto"/>
              <w:right w:val="single" w:sz="8" w:space="0" w:color="auto"/>
            </w:tcBorders>
            <w:shd w:val="clear" w:color="000000" w:fill="FFFFFF"/>
            <w:vAlign w:val="center"/>
            <w:hideMark/>
          </w:tcPr>
          <w:p w:rsidR="00B926AC" w:rsidRPr="00B926AC" w:rsidRDefault="00B926AC" w:rsidP="00B926AC">
            <w:pPr>
              <w:spacing w:after="0"/>
              <w:jc w:val="left"/>
              <w:rPr>
                <w:rFonts w:eastAsia="Times New Roman" w:cs="Times New Roman"/>
                <w:szCs w:val="24"/>
              </w:rPr>
            </w:pPr>
            <w:r w:rsidRPr="00B926AC">
              <w:rPr>
                <w:rFonts w:eastAsia="Times New Roman" w:cs="Times New Roman"/>
                <w:szCs w:val="24"/>
              </w:rPr>
              <w:t> </w:t>
            </w:r>
          </w:p>
        </w:tc>
        <w:tc>
          <w:tcPr>
            <w:tcW w:w="127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-1.4</w:t>
            </w:r>
          </w:p>
        </w:tc>
        <w:tc>
          <w:tcPr>
            <w:tcW w:w="1720"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-2.0</w:t>
            </w:r>
          </w:p>
        </w:tc>
        <w:tc>
          <w:tcPr>
            <w:tcW w:w="142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-0.5</w:t>
            </w:r>
          </w:p>
        </w:tc>
        <w:tc>
          <w:tcPr>
            <w:tcW w:w="1471" w:type="dxa"/>
            <w:tcBorders>
              <w:top w:val="nil"/>
              <w:left w:val="nil"/>
              <w:bottom w:val="single" w:sz="8"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-0.2</w:t>
            </w:r>
          </w:p>
        </w:tc>
        <w:tc>
          <w:tcPr>
            <w:tcW w:w="1471" w:type="dxa"/>
            <w:tcBorders>
              <w:top w:val="nil"/>
              <w:left w:val="nil"/>
              <w:bottom w:val="single" w:sz="8"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-0.2</w:t>
            </w:r>
          </w:p>
        </w:tc>
      </w:tr>
      <w:tr w:rsidR="00B926AC" w:rsidRPr="00B926AC" w:rsidTr="00B926AC">
        <w:trPr>
          <w:trHeight w:val="241"/>
        </w:trPr>
        <w:tc>
          <w:tcPr>
            <w:tcW w:w="14215" w:type="dxa"/>
            <w:gridSpan w:val="7"/>
            <w:tcBorders>
              <w:top w:val="single" w:sz="8" w:space="0" w:color="auto"/>
              <w:left w:val="double" w:sz="6" w:space="0" w:color="auto"/>
              <w:bottom w:val="single" w:sz="8" w:space="0" w:color="auto"/>
              <w:right w:val="nil"/>
            </w:tcBorders>
            <w:shd w:val="clear" w:color="000000" w:fill="FFFFFF"/>
            <w:vAlign w:val="center"/>
            <w:hideMark/>
          </w:tcPr>
          <w:p w:rsidR="00B926AC" w:rsidRPr="00B926AC" w:rsidRDefault="00B926AC" w:rsidP="00B926AC">
            <w:pPr>
              <w:spacing w:after="0"/>
              <w:jc w:val="center"/>
              <w:rPr>
                <w:rFonts w:eastAsia="Times New Roman" w:cs="Times New Roman"/>
                <w:b/>
                <w:bCs/>
                <w:szCs w:val="24"/>
              </w:rPr>
            </w:pPr>
            <w:r w:rsidRPr="00B926AC">
              <w:rPr>
                <w:rFonts w:eastAsia="Times New Roman" w:cs="Times New Roman"/>
                <w:b/>
                <w:bCs/>
                <w:szCs w:val="24"/>
              </w:rPr>
              <w:t>Contributions to change in gross debt</w:t>
            </w:r>
          </w:p>
        </w:tc>
      </w:tr>
      <w:tr w:rsidR="00B926AC" w:rsidRPr="00B926AC" w:rsidTr="00B926AC">
        <w:trPr>
          <w:trHeight w:val="241"/>
        </w:trPr>
        <w:tc>
          <w:tcPr>
            <w:tcW w:w="5586" w:type="dxa"/>
            <w:tcBorders>
              <w:top w:val="nil"/>
              <w:left w:val="double" w:sz="6" w:space="0" w:color="auto"/>
              <w:bottom w:val="dotted" w:sz="4" w:space="0" w:color="auto"/>
              <w:right w:val="dotted" w:sz="4" w:space="0" w:color="auto"/>
            </w:tcBorders>
            <w:shd w:val="clear" w:color="auto" w:fill="auto"/>
            <w:noWrap/>
            <w:vAlign w:val="bottom"/>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3. Primary balance [2]</w:t>
            </w:r>
          </w:p>
        </w:tc>
        <w:tc>
          <w:tcPr>
            <w:tcW w:w="1271" w:type="dxa"/>
            <w:tcBorders>
              <w:top w:val="nil"/>
              <w:left w:val="nil"/>
              <w:bottom w:val="dotted" w:sz="4"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0.1</w:t>
            </w:r>
          </w:p>
        </w:tc>
        <w:tc>
          <w:tcPr>
            <w:tcW w:w="1720"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1.1</w:t>
            </w:r>
          </w:p>
        </w:tc>
        <w:tc>
          <w:tcPr>
            <w:tcW w:w="1421"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1.1</w:t>
            </w:r>
          </w:p>
        </w:tc>
        <w:tc>
          <w:tcPr>
            <w:tcW w:w="1471"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1.1</w:t>
            </w:r>
          </w:p>
        </w:tc>
        <w:tc>
          <w:tcPr>
            <w:tcW w:w="1471" w:type="dxa"/>
            <w:tcBorders>
              <w:top w:val="nil"/>
              <w:left w:val="nil"/>
              <w:bottom w:val="dotted" w:sz="4"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0.6</w:t>
            </w:r>
          </w:p>
        </w:tc>
      </w:tr>
      <w:tr w:rsidR="00B926AC" w:rsidRPr="00B926AC" w:rsidTr="00B926AC">
        <w:trPr>
          <w:trHeight w:val="241"/>
        </w:trPr>
        <w:tc>
          <w:tcPr>
            <w:tcW w:w="5586" w:type="dxa"/>
            <w:tcBorders>
              <w:top w:val="dotted" w:sz="4" w:space="0" w:color="auto"/>
              <w:left w:val="double" w:sz="6" w:space="0" w:color="auto"/>
              <w:bottom w:val="dotted" w:sz="4" w:space="0" w:color="auto"/>
              <w:right w:val="dotted" w:sz="4" w:space="0" w:color="auto"/>
            </w:tcBorders>
            <w:shd w:val="clear" w:color="auto" w:fill="auto"/>
            <w:noWrap/>
            <w:vAlign w:val="bottom"/>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4.  Interest expenditure  [3]</w:t>
            </w:r>
          </w:p>
        </w:tc>
        <w:tc>
          <w:tcPr>
            <w:tcW w:w="1271" w:type="dxa"/>
            <w:tcBorders>
              <w:top w:val="dotted" w:sz="4" w:space="0" w:color="auto"/>
              <w:left w:val="nil"/>
              <w:bottom w:val="dotted" w:sz="4"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EDP D.41</w:t>
            </w:r>
          </w:p>
        </w:tc>
        <w:tc>
          <w:tcPr>
            <w:tcW w:w="1271" w:type="dxa"/>
            <w:tcBorders>
              <w:top w:val="dotted" w:sz="4" w:space="0" w:color="auto"/>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1.9</w:t>
            </w:r>
          </w:p>
        </w:tc>
        <w:tc>
          <w:tcPr>
            <w:tcW w:w="1720" w:type="dxa"/>
            <w:tcBorders>
              <w:top w:val="dotted" w:sz="4" w:space="0" w:color="auto"/>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1.9</w:t>
            </w:r>
          </w:p>
        </w:tc>
        <w:tc>
          <w:tcPr>
            <w:tcW w:w="1421" w:type="dxa"/>
            <w:tcBorders>
              <w:top w:val="dotted" w:sz="4" w:space="0" w:color="auto"/>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1.9</w:t>
            </w:r>
          </w:p>
        </w:tc>
        <w:tc>
          <w:tcPr>
            <w:tcW w:w="1471" w:type="dxa"/>
            <w:tcBorders>
              <w:top w:val="dotted" w:sz="4" w:space="0" w:color="auto"/>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1.9</w:t>
            </w:r>
          </w:p>
        </w:tc>
        <w:tc>
          <w:tcPr>
            <w:tcW w:w="1471" w:type="dxa"/>
            <w:tcBorders>
              <w:top w:val="dotted" w:sz="4" w:space="0" w:color="auto"/>
              <w:left w:val="nil"/>
              <w:bottom w:val="dotted" w:sz="4"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1.9</w:t>
            </w:r>
          </w:p>
        </w:tc>
      </w:tr>
      <w:tr w:rsidR="00B926AC" w:rsidRPr="00B926AC" w:rsidTr="00B926AC">
        <w:trPr>
          <w:trHeight w:val="241"/>
        </w:trPr>
        <w:tc>
          <w:tcPr>
            <w:tcW w:w="5586" w:type="dxa"/>
            <w:tcBorders>
              <w:top w:val="nil"/>
              <w:left w:val="double" w:sz="6" w:space="0" w:color="auto"/>
              <w:bottom w:val="dotted" w:sz="4" w:space="0" w:color="auto"/>
              <w:right w:val="dotted" w:sz="4" w:space="0" w:color="auto"/>
            </w:tcBorders>
            <w:shd w:val="clear" w:color="auto" w:fill="auto"/>
            <w:noWrap/>
            <w:vAlign w:val="bottom"/>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5. Real growth effect</w:t>
            </w:r>
          </w:p>
        </w:tc>
        <w:tc>
          <w:tcPr>
            <w:tcW w:w="1271" w:type="dxa"/>
            <w:tcBorders>
              <w:top w:val="nil"/>
              <w:left w:val="nil"/>
              <w:bottom w:val="dotted" w:sz="4"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 </w:t>
            </w:r>
          </w:p>
        </w:tc>
        <w:tc>
          <w:tcPr>
            <w:tcW w:w="1271"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-1.7</w:t>
            </w:r>
          </w:p>
        </w:tc>
        <w:tc>
          <w:tcPr>
            <w:tcW w:w="1720"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-1.0</w:t>
            </w:r>
          </w:p>
        </w:tc>
        <w:tc>
          <w:tcPr>
            <w:tcW w:w="1421"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-1.2</w:t>
            </w:r>
          </w:p>
        </w:tc>
        <w:tc>
          <w:tcPr>
            <w:tcW w:w="1471"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-2.1</w:t>
            </w:r>
          </w:p>
        </w:tc>
        <w:tc>
          <w:tcPr>
            <w:tcW w:w="1471" w:type="dxa"/>
            <w:tcBorders>
              <w:top w:val="nil"/>
              <w:left w:val="nil"/>
              <w:bottom w:val="dotted" w:sz="4"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-1.4</w:t>
            </w:r>
          </w:p>
        </w:tc>
      </w:tr>
      <w:tr w:rsidR="00B926AC" w:rsidRPr="00B926AC" w:rsidTr="00B926AC">
        <w:trPr>
          <w:trHeight w:val="241"/>
        </w:trPr>
        <w:tc>
          <w:tcPr>
            <w:tcW w:w="5586" w:type="dxa"/>
            <w:tcBorders>
              <w:top w:val="nil"/>
              <w:left w:val="double" w:sz="6" w:space="0" w:color="auto"/>
              <w:bottom w:val="single" w:sz="4" w:space="0" w:color="auto"/>
              <w:right w:val="dotted" w:sz="4" w:space="0" w:color="auto"/>
            </w:tcBorders>
            <w:shd w:val="clear" w:color="auto" w:fill="auto"/>
            <w:noWrap/>
            <w:vAlign w:val="bottom"/>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6. Inflation effect</w:t>
            </w:r>
          </w:p>
        </w:tc>
        <w:tc>
          <w:tcPr>
            <w:tcW w:w="1271" w:type="dxa"/>
            <w:tcBorders>
              <w:top w:val="nil"/>
              <w:left w:val="nil"/>
              <w:bottom w:val="single" w:sz="4"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 w:val="20"/>
                <w:szCs w:val="20"/>
              </w:rPr>
            </w:pPr>
            <w:r w:rsidRPr="00B926AC">
              <w:rPr>
                <w:rFonts w:eastAsia="Times New Roman" w:cs="Times New Roman"/>
                <w:sz w:val="20"/>
                <w:szCs w:val="20"/>
              </w:rPr>
              <w:t> </w:t>
            </w:r>
          </w:p>
        </w:tc>
        <w:tc>
          <w:tcPr>
            <w:tcW w:w="127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-0.5</w:t>
            </w:r>
          </w:p>
        </w:tc>
        <w:tc>
          <w:tcPr>
            <w:tcW w:w="1720"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-0.5</w:t>
            </w:r>
          </w:p>
        </w:tc>
        <w:tc>
          <w:tcPr>
            <w:tcW w:w="142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-0.4</w:t>
            </w:r>
          </w:p>
        </w:tc>
        <w:tc>
          <w:tcPr>
            <w:tcW w:w="147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-0.4</w:t>
            </w:r>
          </w:p>
        </w:tc>
        <w:tc>
          <w:tcPr>
            <w:tcW w:w="1471" w:type="dxa"/>
            <w:tcBorders>
              <w:top w:val="nil"/>
              <w:left w:val="nil"/>
              <w:bottom w:val="single" w:sz="4"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-0.4</w:t>
            </w:r>
          </w:p>
        </w:tc>
      </w:tr>
      <w:tr w:rsidR="00B926AC" w:rsidRPr="00B926AC" w:rsidTr="00B926AC">
        <w:trPr>
          <w:trHeight w:val="241"/>
        </w:trPr>
        <w:tc>
          <w:tcPr>
            <w:tcW w:w="5586" w:type="dxa"/>
            <w:tcBorders>
              <w:top w:val="nil"/>
              <w:left w:val="double" w:sz="6" w:space="0" w:color="auto"/>
              <w:bottom w:val="single" w:sz="4" w:space="0" w:color="auto"/>
              <w:right w:val="dotted" w:sz="4" w:space="0" w:color="auto"/>
            </w:tcBorders>
            <w:shd w:val="clear" w:color="000000" w:fill="FFFFFF"/>
            <w:vAlign w:val="center"/>
            <w:hideMark/>
          </w:tcPr>
          <w:p w:rsidR="00B926AC" w:rsidRPr="00B926AC" w:rsidRDefault="00B926AC" w:rsidP="00B926AC">
            <w:pPr>
              <w:spacing w:after="0"/>
              <w:jc w:val="left"/>
              <w:rPr>
                <w:rFonts w:eastAsia="Times New Roman" w:cs="Times New Roman"/>
                <w:b/>
                <w:bCs/>
                <w:sz w:val="20"/>
                <w:szCs w:val="20"/>
              </w:rPr>
            </w:pPr>
            <w:bookmarkStart w:id="74" w:name="RANGE!B14"/>
            <w:r w:rsidRPr="00B926AC">
              <w:rPr>
                <w:rFonts w:eastAsia="Times New Roman" w:cs="Times New Roman"/>
                <w:b/>
                <w:bCs/>
                <w:sz w:val="20"/>
                <w:szCs w:val="20"/>
              </w:rPr>
              <w:t xml:space="preserve">  7. Stock-flow adjustment</w:t>
            </w:r>
            <w:bookmarkEnd w:id="74"/>
          </w:p>
        </w:tc>
        <w:tc>
          <w:tcPr>
            <w:tcW w:w="1271" w:type="dxa"/>
            <w:tcBorders>
              <w:top w:val="dotted" w:sz="4" w:space="0" w:color="auto"/>
              <w:left w:val="nil"/>
              <w:bottom w:val="single" w:sz="4"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dotted" w:sz="4" w:space="0" w:color="auto"/>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0.0</w:t>
            </w:r>
          </w:p>
        </w:tc>
        <w:tc>
          <w:tcPr>
            <w:tcW w:w="1720" w:type="dxa"/>
            <w:tcBorders>
              <w:top w:val="dotted" w:sz="4" w:space="0" w:color="auto"/>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0.0</w:t>
            </w:r>
          </w:p>
        </w:tc>
        <w:tc>
          <w:tcPr>
            <w:tcW w:w="1421" w:type="dxa"/>
            <w:tcBorders>
              <w:top w:val="dotted" w:sz="4" w:space="0" w:color="auto"/>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0.0</w:t>
            </w:r>
          </w:p>
        </w:tc>
        <w:tc>
          <w:tcPr>
            <w:tcW w:w="1471" w:type="dxa"/>
            <w:tcBorders>
              <w:top w:val="dotted" w:sz="4" w:space="0" w:color="auto"/>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0.0</w:t>
            </w:r>
          </w:p>
        </w:tc>
        <w:tc>
          <w:tcPr>
            <w:tcW w:w="1471" w:type="dxa"/>
            <w:tcBorders>
              <w:top w:val="dotted" w:sz="4" w:space="0" w:color="auto"/>
              <w:left w:val="nil"/>
              <w:bottom w:val="single" w:sz="4"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0.0</w:t>
            </w:r>
          </w:p>
        </w:tc>
      </w:tr>
      <w:tr w:rsidR="00B926AC" w:rsidRPr="00B926AC" w:rsidTr="00B926AC">
        <w:trPr>
          <w:trHeight w:val="241"/>
        </w:trPr>
        <w:tc>
          <w:tcPr>
            <w:tcW w:w="5586" w:type="dxa"/>
            <w:tcBorders>
              <w:top w:val="nil"/>
              <w:left w:val="double" w:sz="6" w:space="0" w:color="auto"/>
              <w:bottom w:val="nil"/>
              <w:right w:val="dotted" w:sz="4" w:space="0" w:color="auto"/>
            </w:tcBorders>
            <w:shd w:val="clear" w:color="000000" w:fill="FFFFFF"/>
            <w:vAlign w:val="center"/>
            <w:hideMark/>
          </w:tcPr>
          <w:p w:rsidR="00B926AC" w:rsidRPr="00B926AC" w:rsidRDefault="00B926AC" w:rsidP="00B926AC">
            <w:pPr>
              <w:spacing w:after="0"/>
              <w:jc w:val="left"/>
              <w:rPr>
                <w:rFonts w:eastAsia="Times New Roman" w:cs="Times New Roman"/>
                <w:i/>
                <w:iCs/>
                <w:sz w:val="20"/>
                <w:szCs w:val="20"/>
              </w:rPr>
            </w:pPr>
            <w:r w:rsidRPr="00B926AC">
              <w:rPr>
                <w:rFonts w:eastAsia="Times New Roman" w:cs="Times New Roman"/>
                <w:i/>
                <w:iCs/>
                <w:sz w:val="20"/>
                <w:szCs w:val="20"/>
              </w:rPr>
              <w:t>of which:</w:t>
            </w:r>
          </w:p>
        </w:tc>
        <w:tc>
          <w:tcPr>
            <w:tcW w:w="1271" w:type="dxa"/>
            <w:tcBorders>
              <w:top w:val="nil"/>
              <w:left w:val="nil"/>
              <w:bottom w:val="nil"/>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c>
          <w:tcPr>
            <w:tcW w:w="1720"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c>
          <w:tcPr>
            <w:tcW w:w="142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c>
          <w:tcPr>
            <w:tcW w:w="147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c>
          <w:tcPr>
            <w:tcW w:w="1471" w:type="dxa"/>
            <w:tcBorders>
              <w:top w:val="nil"/>
              <w:left w:val="nil"/>
              <w:bottom w:val="nil"/>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r>
      <w:tr w:rsidR="00B926AC" w:rsidRPr="00B926AC" w:rsidTr="00B926AC">
        <w:trPr>
          <w:trHeight w:val="241"/>
        </w:trPr>
        <w:tc>
          <w:tcPr>
            <w:tcW w:w="5586" w:type="dxa"/>
            <w:tcBorders>
              <w:top w:val="nil"/>
              <w:left w:val="double" w:sz="6" w:space="0" w:color="auto"/>
              <w:bottom w:val="nil"/>
              <w:right w:val="dotted" w:sz="4" w:space="0" w:color="auto"/>
            </w:tcBorders>
            <w:shd w:val="clear" w:color="000000" w:fill="FFFFFF"/>
            <w:noWrap/>
            <w:vAlign w:val="bottom"/>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 xml:space="preserve">   - Differences between cash and accruals [4]</w:t>
            </w:r>
          </w:p>
        </w:tc>
        <w:tc>
          <w:tcPr>
            <w:tcW w:w="1271" w:type="dxa"/>
            <w:tcBorders>
              <w:top w:val="nil"/>
              <w:left w:val="nil"/>
              <w:bottom w:val="nil"/>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720"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2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nil"/>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r>
      <w:tr w:rsidR="00B926AC" w:rsidRPr="00B926AC" w:rsidTr="00B926AC">
        <w:trPr>
          <w:trHeight w:val="241"/>
        </w:trPr>
        <w:tc>
          <w:tcPr>
            <w:tcW w:w="5586" w:type="dxa"/>
            <w:tcBorders>
              <w:top w:val="nil"/>
              <w:left w:val="double" w:sz="6" w:space="0" w:color="auto"/>
              <w:bottom w:val="single" w:sz="4" w:space="0" w:color="auto"/>
              <w:right w:val="dotted" w:sz="4" w:space="0" w:color="auto"/>
            </w:tcBorders>
            <w:shd w:val="clear" w:color="auto" w:fill="auto"/>
            <w:noWrap/>
            <w:vAlign w:val="bottom"/>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 xml:space="preserve">  - Net accumulation of financial assets [5]</w:t>
            </w:r>
          </w:p>
        </w:tc>
        <w:tc>
          <w:tcPr>
            <w:tcW w:w="1271" w:type="dxa"/>
            <w:tcBorders>
              <w:top w:val="nil"/>
              <w:left w:val="nil"/>
              <w:bottom w:val="single" w:sz="4"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720"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2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single" w:sz="4"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r>
      <w:tr w:rsidR="00B926AC" w:rsidRPr="00B926AC" w:rsidTr="00B926AC">
        <w:trPr>
          <w:trHeight w:val="241"/>
        </w:trPr>
        <w:tc>
          <w:tcPr>
            <w:tcW w:w="5586" w:type="dxa"/>
            <w:tcBorders>
              <w:top w:val="nil"/>
              <w:left w:val="double" w:sz="6" w:space="0" w:color="auto"/>
              <w:bottom w:val="nil"/>
              <w:right w:val="dotted" w:sz="4" w:space="0" w:color="auto"/>
            </w:tcBorders>
            <w:shd w:val="clear" w:color="000000" w:fill="FFFFFF"/>
            <w:vAlign w:val="center"/>
            <w:hideMark/>
          </w:tcPr>
          <w:p w:rsidR="00B926AC" w:rsidRPr="00B926AC" w:rsidRDefault="00B926AC" w:rsidP="00B926AC">
            <w:pPr>
              <w:spacing w:after="0"/>
              <w:jc w:val="left"/>
              <w:rPr>
                <w:rFonts w:eastAsia="Times New Roman" w:cs="Times New Roman"/>
                <w:i/>
                <w:iCs/>
                <w:sz w:val="20"/>
                <w:szCs w:val="20"/>
              </w:rPr>
            </w:pPr>
            <w:r w:rsidRPr="00B926AC">
              <w:rPr>
                <w:rFonts w:eastAsia="Times New Roman" w:cs="Times New Roman"/>
                <w:i/>
                <w:iCs/>
                <w:sz w:val="20"/>
                <w:szCs w:val="20"/>
              </w:rPr>
              <w:t>of which:</w:t>
            </w:r>
          </w:p>
        </w:tc>
        <w:tc>
          <w:tcPr>
            <w:tcW w:w="1271" w:type="dxa"/>
            <w:tcBorders>
              <w:top w:val="nil"/>
              <w:left w:val="nil"/>
              <w:bottom w:val="nil"/>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c>
          <w:tcPr>
            <w:tcW w:w="1720"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c>
          <w:tcPr>
            <w:tcW w:w="142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c>
          <w:tcPr>
            <w:tcW w:w="147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c>
          <w:tcPr>
            <w:tcW w:w="1471" w:type="dxa"/>
            <w:tcBorders>
              <w:top w:val="nil"/>
              <w:left w:val="nil"/>
              <w:bottom w:val="nil"/>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 </w:t>
            </w:r>
          </w:p>
        </w:tc>
      </w:tr>
      <w:tr w:rsidR="00B926AC" w:rsidRPr="00B926AC" w:rsidTr="00B926AC">
        <w:trPr>
          <w:trHeight w:val="241"/>
        </w:trPr>
        <w:tc>
          <w:tcPr>
            <w:tcW w:w="5586" w:type="dxa"/>
            <w:tcBorders>
              <w:top w:val="nil"/>
              <w:left w:val="double" w:sz="6" w:space="0" w:color="auto"/>
              <w:bottom w:val="nil"/>
              <w:right w:val="dotted" w:sz="4" w:space="0" w:color="auto"/>
            </w:tcBorders>
            <w:shd w:val="clear" w:color="000000" w:fill="FFFFFF"/>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 xml:space="preserve">   - Privatisation proceeds</w:t>
            </w:r>
          </w:p>
        </w:tc>
        <w:tc>
          <w:tcPr>
            <w:tcW w:w="1271" w:type="dxa"/>
            <w:tcBorders>
              <w:top w:val="nil"/>
              <w:left w:val="nil"/>
              <w:bottom w:val="nil"/>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720"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2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nil"/>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nil"/>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r>
      <w:tr w:rsidR="00B926AC" w:rsidRPr="00B926AC" w:rsidTr="00B926AC">
        <w:trPr>
          <w:trHeight w:val="241"/>
        </w:trPr>
        <w:tc>
          <w:tcPr>
            <w:tcW w:w="5586" w:type="dxa"/>
            <w:tcBorders>
              <w:top w:val="nil"/>
              <w:left w:val="double" w:sz="6" w:space="0" w:color="auto"/>
              <w:bottom w:val="single" w:sz="4" w:space="0" w:color="auto"/>
              <w:right w:val="dotted" w:sz="4" w:space="0" w:color="auto"/>
            </w:tcBorders>
            <w:shd w:val="clear" w:color="auto" w:fill="auto"/>
            <w:noWrap/>
            <w:vAlign w:val="bottom"/>
            <w:hideMark/>
          </w:tcPr>
          <w:p w:rsidR="00B926AC" w:rsidRPr="00B926AC" w:rsidRDefault="00B926AC" w:rsidP="00B926AC">
            <w:pPr>
              <w:spacing w:after="0"/>
              <w:jc w:val="left"/>
              <w:rPr>
                <w:rFonts w:eastAsia="Times New Roman" w:cs="Times New Roman"/>
                <w:sz w:val="20"/>
                <w:szCs w:val="20"/>
              </w:rPr>
            </w:pPr>
            <w:bookmarkStart w:id="75" w:name="RANGE!B20"/>
            <w:r w:rsidRPr="00B926AC">
              <w:rPr>
                <w:rFonts w:eastAsia="Times New Roman" w:cs="Times New Roman"/>
                <w:sz w:val="20"/>
                <w:szCs w:val="20"/>
              </w:rPr>
              <w:t xml:space="preserve">   - Valuation effects and other [6]</w:t>
            </w:r>
            <w:bookmarkEnd w:id="75"/>
          </w:p>
        </w:tc>
        <w:tc>
          <w:tcPr>
            <w:tcW w:w="1271" w:type="dxa"/>
            <w:tcBorders>
              <w:top w:val="nil"/>
              <w:left w:val="nil"/>
              <w:bottom w:val="single" w:sz="4"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720"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2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single"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single" w:sz="4"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r>
      <w:tr w:rsidR="00B926AC" w:rsidRPr="00B926AC" w:rsidTr="00B926AC">
        <w:trPr>
          <w:trHeight w:val="241"/>
        </w:trPr>
        <w:tc>
          <w:tcPr>
            <w:tcW w:w="5586" w:type="dxa"/>
            <w:tcBorders>
              <w:top w:val="nil"/>
              <w:left w:val="double" w:sz="6" w:space="0" w:color="auto"/>
              <w:bottom w:val="single" w:sz="8" w:space="0" w:color="auto"/>
              <w:right w:val="nil"/>
            </w:tcBorders>
            <w:shd w:val="clear" w:color="auto" w:fill="auto"/>
            <w:noWrap/>
            <w:vAlign w:val="bottom"/>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p.m. implicit interest rate on debt [7]</w:t>
            </w:r>
          </w:p>
        </w:tc>
        <w:tc>
          <w:tcPr>
            <w:tcW w:w="1271" w:type="dxa"/>
            <w:tcBorders>
              <w:top w:val="nil"/>
              <w:left w:val="nil"/>
              <w:bottom w:val="single" w:sz="8"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r w:rsidRPr="00B926AC">
              <w:rPr>
                <w:rFonts w:eastAsia="Times New Roman" w:cs="Times New Roman"/>
                <w:szCs w:val="24"/>
              </w:rPr>
              <w:t> </w:t>
            </w:r>
          </w:p>
        </w:tc>
        <w:tc>
          <w:tcPr>
            <w:tcW w:w="1271" w:type="dxa"/>
            <w:tcBorders>
              <w:top w:val="nil"/>
              <w:left w:val="nil"/>
              <w:bottom w:val="single" w:sz="8" w:space="0" w:color="000000"/>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color w:val="000000"/>
                <w:sz w:val="20"/>
                <w:szCs w:val="20"/>
              </w:rPr>
            </w:pPr>
            <w:r w:rsidRPr="00B926AC">
              <w:rPr>
                <w:rFonts w:eastAsia="Times New Roman" w:cs="Times New Roman"/>
                <w:color w:val="000000"/>
                <w:sz w:val="20"/>
                <w:szCs w:val="20"/>
              </w:rPr>
              <w:t>4.2</w:t>
            </w:r>
          </w:p>
        </w:tc>
        <w:tc>
          <w:tcPr>
            <w:tcW w:w="1720" w:type="dxa"/>
            <w:tcBorders>
              <w:top w:val="nil"/>
              <w:left w:val="nil"/>
              <w:bottom w:val="single" w:sz="8" w:space="0" w:color="000000"/>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color w:val="000000"/>
                <w:sz w:val="20"/>
                <w:szCs w:val="20"/>
              </w:rPr>
            </w:pPr>
            <w:r w:rsidRPr="00B926AC">
              <w:rPr>
                <w:rFonts w:eastAsia="Times New Roman" w:cs="Times New Roman"/>
                <w:color w:val="000000"/>
                <w:sz w:val="20"/>
                <w:szCs w:val="20"/>
              </w:rPr>
              <w:t>4.3</w:t>
            </w:r>
          </w:p>
        </w:tc>
        <w:tc>
          <w:tcPr>
            <w:tcW w:w="1421" w:type="dxa"/>
            <w:tcBorders>
              <w:top w:val="nil"/>
              <w:left w:val="nil"/>
              <w:bottom w:val="single" w:sz="8" w:space="0" w:color="000000"/>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color w:val="000000"/>
                <w:sz w:val="20"/>
                <w:szCs w:val="20"/>
              </w:rPr>
            </w:pPr>
            <w:r w:rsidRPr="00B926AC">
              <w:rPr>
                <w:rFonts w:eastAsia="Times New Roman" w:cs="Times New Roman"/>
                <w:color w:val="000000"/>
                <w:sz w:val="20"/>
                <w:szCs w:val="20"/>
              </w:rPr>
              <w:t>4.6</w:t>
            </w:r>
          </w:p>
        </w:tc>
        <w:tc>
          <w:tcPr>
            <w:tcW w:w="1471" w:type="dxa"/>
            <w:tcBorders>
              <w:top w:val="nil"/>
              <w:left w:val="nil"/>
              <w:bottom w:val="single" w:sz="8" w:space="0" w:color="000000"/>
              <w:right w:val="dotted" w:sz="4" w:space="0" w:color="auto"/>
            </w:tcBorders>
            <w:shd w:val="clear" w:color="auto" w:fill="auto"/>
            <w:vAlign w:val="center"/>
            <w:hideMark/>
          </w:tcPr>
          <w:p w:rsidR="00B926AC" w:rsidRPr="00B926AC" w:rsidRDefault="00B926AC" w:rsidP="00B926AC">
            <w:pPr>
              <w:spacing w:after="0"/>
              <w:jc w:val="right"/>
              <w:rPr>
                <w:rFonts w:eastAsia="Times New Roman" w:cs="Times New Roman"/>
                <w:color w:val="000000"/>
                <w:sz w:val="20"/>
                <w:szCs w:val="20"/>
              </w:rPr>
            </w:pPr>
            <w:r w:rsidRPr="00B926AC">
              <w:rPr>
                <w:rFonts w:eastAsia="Times New Roman" w:cs="Times New Roman"/>
                <w:color w:val="000000"/>
                <w:sz w:val="20"/>
                <w:szCs w:val="20"/>
              </w:rPr>
              <w:t>4.6</w:t>
            </w:r>
          </w:p>
        </w:tc>
        <w:tc>
          <w:tcPr>
            <w:tcW w:w="1471" w:type="dxa"/>
            <w:tcBorders>
              <w:top w:val="nil"/>
              <w:left w:val="nil"/>
              <w:bottom w:val="single" w:sz="8" w:space="0" w:color="000000"/>
              <w:right w:val="double" w:sz="6" w:space="0" w:color="auto"/>
            </w:tcBorders>
            <w:shd w:val="clear" w:color="auto" w:fill="auto"/>
            <w:vAlign w:val="center"/>
            <w:hideMark/>
          </w:tcPr>
          <w:p w:rsidR="00B926AC" w:rsidRPr="00B926AC" w:rsidRDefault="00B926AC" w:rsidP="00B926AC">
            <w:pPr>
              <w:spacing w:after="0"/>
              <w:jc w:val="right"/>
              <w:rPr>
                <w:rFonts w:eastAsia="Times New Roman" w:cs="Times New Roman"/>
                <w:color w:val="000000"/>
                <w:sz w:val="20"/>
                <w:szCs w:val="20"/>
              </w:rPr>
            </w:pPr>
            <w:r w:rsidRPr="00B926AC">
              <w:rPr>
                <w:rFonts w:eastAsia="Times New Roman" w:cs="Times New Roman"/>
                <w:color w:val="000000"/>
                <w:sz w:val="20"/>
                <w:szCs w:val="20"/>
              </w:rPr>
              <w:t>4.7</w:t>
            </w:r>
          </w:p>
        </w:tc>
      </w:tr>
      <w:tr w:rsidR="00B926AC" w:rsidRPr="00B926AC" w:rsidTr="00B926AC">
        <w:trPr>
          <w:trHeight w:val="241"/>
        </w:trPr>
        <w:tc>
          <w:tcPr>
            <w:tcW w:w="14215" w:type="dxa"/>
            <w:gridSpan w:val="7"/>
            <w:tcBorders>
              <w:top w:val="single" w:sz="8" w:space="0" w:color="auto"/>
              <w:left w:val="double" w:sz="6" w:space="0" w:color="auto"/>
              <w:bottom w:val="single" w:sz="8" w:space="0" w:color="auto"/>
              <w:right w:val="nil"/>
            </w:tcBorders>
            <w:shd w:val="clear" w:color="000000" w:fill="FFFFFF"/>
            <w:vAlign w:val="center"/>
            <w:hideMark/>
          </w:tcPr>
          <w:p w:rsidR="00B926AC" w:rsidRPr="00B926AC" w:rsidRDefault="00B926AC" w:rsidP="00B926AC">
            <w:pPr>
              <w:spacing w:after="0"/>
              <w:jc w:val="center"/>
              <w:rPr>
                <w:rFonts w:eastAsia="Times New Roman" w:cs="Times New Roman"/>
                <w:b/>
                <w:bCs/>
                <w:szCs w:val="24"/>
              </w:rPr>
            </w:pPr>
            <w:r w:rsidRPr="00B926AC">
              <w:rPr>
                <w:rFonts w:eastAsia="Times New Roman" w:cs="Times New Roman"/>
                <w:b/>
                <w:bCs/>
                <w:szCs w:val="24"/>
              </w:rPr>
              <w:t>Other relevant variables</w:t>
            </w:r>
          </w:p>
        </w:tc>
      </w:tr>
      <w:tr w:rsidR="00B926AC" w:rsidRPr="00B926AC" w:rsidTr="00B926AC">
        <w:trPr>
          <w:trHeight w:val="241"/>
        </w:trPr>
        <w:tc>
          <w:tcPr>
            <w:tcW w:w="5586" w:type="dxa"/>
            <w:tcBorders>
              <w:top w:val="nil"/>
              <w:left w:val="double" w:sz="6" w:space="0" w:color="auto"/>
              <w:bottom w:val="dotted" w:sz="4" w:space="0" w:color="auto"/>
              <w:right w:val="dotted" w:sz="4" w:space="0" w:color="auto"/>
            </w:tcBorders>
            <w:shd w:val="clear" w:color="auto" w:fill="auto"/>
            <w:noWrap/>
            <w:vAlign w:val="bottom"/>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8. Liquid financial assets [8]</w:t>
            </w:r>
          </w:p>
        </w:tc>
        <w:tc>
          <w:tcPr>
            <w:tcW w:w="1271" w:type="dxa"/>
            <w:tcBorders>
              <w:top w:val="nil"/>
              <w:left w:val="nil"/>
              <w:bottom w:val="dotted" w:sz="4"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bookmarkStart w:id="76" w:name="RANGE!D23"/>
            <w:r w:rsidRPr="00B926AC">
              <w:rPr>
                <w:rFonts w:eastAsia="Times New Roman" w:cs="Times New Roman"/>
                <w:szCs w:val="24"/>
              </w:rPr>
              <w:t> </w:t>
            </w:r>
            <w:bookmarkEnd w:id="76"/>
          </w:p>
        </w:tc>
        <w:tc>
          <w:tcPr>
            <w:tcW w:w="1271" w:type="dxa"/>
            <w:tcBorders>
              <w:top w:val="nil"/>
              <w:left w:val="nil"/>
              <w:bottom w:val="dash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720"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21"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dotted" w:sz="4"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dotted" w:sz="4"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r>
      <w:tr w:rsidR="00B926AC" w:rsidRPr="00B926AC" w:rsidTr="00B926AC">
        <w:trPr>
          <w:trHeight w:val="241"/>
        </w:trPr>
        <w:tc>
          <w:tcPr>
            <w:tcW w:w="5586" w:type="dxa"/>
            <w:tcBorders>
              <w:top w:val="nil"/>
              <w:left w:val="double" w:sz="6" w:space="0" w:color="auto"/>
              <w:bottom w:val="double" w:sz="6" w:space="0" w:color="auto"/>
              <w:right w:val="dotted" w:sz="4" w:space="0" w:color="auto"/>
            </w:tcBorders>
            <w:shd w:val="clear" w:color="000000" w:fill="FFFFFF"/>
            <w:vAlign w:val="center"/>
            <w:hideMark/>
          </w:tcPr>
          <w:p w:rsidR="00B926AC" w:rsidRPr="00B926AC" w:rsidRDefault="00B926AC" w:rsidP="00B926AC">
            <w:pPr>
              <w:spacing w:after="0"/>
              <w:jc w:val="left"/>
              <w:rPr>
                <w:rFonts w:eastAsia="Times New Roman" w:cs="Times New Roman"/>
                <w:b/>
                <w:bCs/>
                <w:sz w:val="20"/>
                <w:szCs w:val="20"/>
              </w:rPr>
            </w:pPr>
            <w:r w:rsidRPr="00B926AC">
              <w:rPr>
                <w:rFonts w:eastAsia="Times New Roman" w:cs="Times New Roman"/>
                <w:b/>
                <w:bCs/>
                <w:sz w:val="20"/>
                <w:szCs w:val="20"/>
              </w:rPr>
              <w:t xml:space="preserve">  9. Net financial debt (9 = 1 - 8)</w:t>
            </w:r>
          </w:p>
        </w:tc>
        <w:tc>
          <w:tcPr>
            <w:tcW w:w="1271" w:type="dxa"/>
            <w:tcBorders>
              <w:top w:val="nil"/>
              <w:left w:val="nil"/>
              <w:bottom w:val="double" w:sz="6" w:space="0" w:color="auto"/>
              <w:right w:val="single" w:sz="8" w:space="0" w:color="auto"/>
            </w:tcBorders>
            <w:shd w:val="clear" w:color="000000" w:fill="FFFFFF"/>
            <w:vAlign w:val="center"/>
            <w:hideMark/>
          </w:tcPr>
          <w:p w:rsidR="00B926AC" w:rsidRPr="00B926AC" w:rsidRDefault="00B926AC" w:rsidP="00B926AC">
            <w:pPr>
              <w:spacing w:after="0"/>
              <w:jc w:val="center"/>
              <w:rPr>
                <w:rFonts w:eastAsia="Times New Roman" w:cs="Times New Roman"/>
                <w:szCs w:val="24"/>
              </w:rPr>
            </w:pPr>
            <w:bookmarkStart w:id="77" w:name="RANGE!D24"/>
            <w:r w:rsidRPr="00B926AC">
              <w:rPr>
                <w:rFonts w:eastAsia="Times New Roman" w:cs="Times New Roman"/>
                <w:szCs w:val="24"/>
              </w:rPr>
              <w:t> </w:t>
            </w:r>
            <w:bookmarkEnd w:id="77"/>
          </w:p>
        </w:tc>
        <w:tc>
          <w:tcPr>
            <w:tcW w:w="1271" w:type="dxa"/>
            <w:tcBorders>
              <w:top w:val="nil"/>
              <w:left w:val="nil"/>
              <w:bottom w:val="double" w:sz="6"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720" w:type="dxa"/>
            <w:tcBorders>
              <w:top w:val="nil"/>
              <w:left w:val="nil"/>
              <w:bottom w:val="double" w:sz="6"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21" w:type="dxa"/>
            <w:tcBorders>
              <w:top w:val="nil"/>
              <w:left w:val="nil"/>
              <w:bottom w:val="double" w:sz="6"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double" w:sz="6" w:space="0" w:color="auto"/>
              <w:right w:val="dotted" w:sz="4"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c>
          <w:tcPr>
            <w:tcW w:w="1471" w:type="dxa"/>
            <w:tcBorders>
              <w:top w:val="nil"/>
              <w:left w:val="nil"/>
              <w:bottom w:val="double" w:sz="6" w:space="0" w:color="auto"/>
              <w:right w:val="double" w:sz="6" w:space="0" w:color="auto"/>
            </w:tcBorders>
            <w:shd w:val="clear" w:color="000000" w:fill="FFFFFF"/>
            <w:vAlign w:val="center"/>
            <w:hideMark/>
          </w:tcPr>
          <w:p w:rsidR="00B926AC" w:rsidRPr="00B926AC" w:rsidRDefault="00B926AC" w:rsidP="00B926AC">
            <w:pPr>
              <w:spacing w:after="0"/>
              <w:jc w:val="right"/>
              <w:rPr>
                <w:rFonts w:eastAsia="Times New Roman" w:cs="Times New Roman"/>
                <w:sz w:val="20"/>
                <w:szCs w:val="20"/>
              </w:rPr>
            </w:pPr>
            <w:r w:rsidRPr="00B926AC">
              <w:rPr>
                <w:rFonts w:eastAsia="Times New Roman" w:cs="Times New Roman"/>
                <w:sz w:val="20"/>
                <w:szCs w:val="20"/>
              </w:rPr>
              <w:t>:</w:t>
            </w:r>
          </w:p>
        </w:tc>
      </w:tr>
    </w:tbl>
    <w:p w:rsidR="00B926AC" w:rsidRDefault="00B926AC" w:rsidP="00B926AC">
      <w:pPr>
        <w:spacing w:after="0"/>
        <w:jc w:val="left"/>
        <w:rPr>
          <w:rFonts w:cs="Times New Roman"/>
          <w:szCs w:val="24"/>
          <w:lang w:val="sr-Latn-RS"/>
        </w:rPr>
      </w:pPr>
      <w:r>
        <w:rPr>
          <w:rFonts w:cs="Times New Roman"/>
          <w:szCs w:val="24"/>
          <w:lang w:val="sr-Latn-RS"/>
        </w:rPr>
        <w:fldChar w:fldCharType="end"/>
      </w:r>
    </w:p>
    <w:tbl>
      <w:tblPr>
        <w:tblW w:w="9360" w:type="dxa"/>
        <w:tblLook w:val="04A0" w:firstRow="1" w:lastRow="0" w:firstColumn="1" w:lastColumn="0" w:noHBand="0" w:noVBand="1"/>
      </w:tblPr>
      <w:tblGrid>
        <w:gridCol w:w="9360"/>
      </w:tblGrid>
      <w:tr w:rsidR="00B926AC" w:rsidRPr="00B926AC" w:rsidTr="00B926AC">
        <w:trPr>
          <w:trHeight w:val="240"/>
        </w:trPr>
        <w:tc>
          <w:tcPr>
            <w:tcW w:w="9360" w:type="dxa"/>
            <w:tcBorders>
              <w:top w:val="nil"/>
              <w:left w:val="nil"/>
              <w:bottom w:val="nil"/>
              <w:right w:val="nil"/>
            </w:tcBorders>
            <w:shd w:val="clear" w:color="000000" w:fill="FFFFFF"/>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[1]   As defined in Regulation 3605/93 (not an ESA concept).</w:t>
            </w:r>
          </w:p>
        </w:tc>
      </w:tr>
      <w:tr w:rsidR="00B926AC" w:rsidRPr="00B926AC" w:rsidTr="00B926AC">
        <w:trPr>
          <w:trHeight w:val="240"/>
        </w:trPr>
        <w:tc>
          <w:tcPr>
            <w:tcW w:w="9360" w:type="dxa"/>
            <w:tcBorders>
              <w:top w:val="nil"/>
              <w:left w:val="nil"/>
              <w:bottom w:val="nil"/>
              <w:right w:val="nil"/>
            </w:tcBorders>
            <w:shd w:val="clear" w:color="000000" w:fill="FFFFFF"/>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[2]   Cf. item 10 in Table 2.</w:t>
            </w:r>
          </w:p>
        </w:tc>
      </w:tr>
      <w:tr w:rsidR="00B926AC" w:rsidRPr="00B926AC" w:rsidTr="00B926AC">
        <w:trPr>
          <w:trHeight w:val="240"/>
        </w:trPr>
        <w:tc>
          <w:tcPr>
            <w:tcW w:w="9360" w:type="dxa"/>
            <w:tcBorders>
              <w:top w:val="nil"/>
              <w:left w:val="nil"/>
              <w:bottom w:val="nil"/>
              <w:right w:val="nil"/>
            </w:tcBorders>
            <w:shd w:val="clear" w:color="000000" w:fill="FFFFFF"/>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[3]   Cf. item 9 in Table 2.</w:t>
            </w:r>
          </w:p>
        </w:tc>
      </w:tr>
      <w:tr w:rsidR="00B926AC" w:rsidRPr="00B926AC" w:rsidTr="00B926AC">
        <w:trPr>
          <w:trHeight w:val="240"/>
        </w:trPr>
        <w:tc>
          <w:tcPr>
            <w:tcW w:w="9360" w:type="dxa"/>
            <w:tcBorders>
              <w:top w:val="nil"/>
              <w:left w:val="nil"/>
              <w:bottom w:val="nil"/>
              <w:right w:val="nil"/>
            </w:tcBorders>
            <w:shd w:val="clear" w:color="000000" w:fill="FFFFFF"/>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 xml:space="preserve">[4]   The differences concerning interest expenditure, other expenditure and revenue could be distinguished when relevant. </w:t>
            </w:r>
          </w:p>
        </w:tc>
      </w:tr>
      <w:tr w:rsidR="00B926AC" w:rsidRPr="00B926AC" w:rsidTr="00B926AC">
        <w:trPr>
          <w:trHeight w:val="240"/>
        </w:trPr>
        <w:tc>
          <w:tcPr>
            <w:tcW w:w="9360" w:type="dxa"/>
            <w:tcBorders>
              <w:top w:val="nil"/>
              <w:left w:val="nil"/>
              <w:bottom w:val="nil"/>
              <w:right w:val="nil"/>
            </w:tcBorders>
            <w:shd w:val="clear" w:color="000000" w:fill="FFFFFF"/>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[5]   Liquid assets, assets on third countries, government controlled enterprises and the difference between quoted and</w:t>
            </w:r>
            <w:r>
              <w:rPr>
                <w:rFonts w:eastAsia="Times New Roman" w:cs="Times New Roman"/>
                <w:sz w:val="20"/>
                <w:szCs w:val="20"/>
              </w:rPr>
              <w:t xml:space="preserve"> </w:t>
            </w:r>
            <w:r w:rsidRPr="00B926AC">
              <w:rPr>
                <w:rFonts w:eastAsia="Times New Roman" w:cs="Times New Roman"/>
                <w:sz w:val="20"/>
                <w:szCs w:val="20"/>
              </w:rPr>
              <w:t>non-quoted assets could be distinguished when relevant.</w:t>
            </w:r>
          </w:p>
        </w:tc>
      </w:tr>
      <w:tr w:rsidR="00B926AC" w:rsidRPr="00B926AC" w:rsidTr="00B926AC">
        <w:trPr>
          <w:trHeight w:val="240"/>
        </w:trPr>
        <w:tc>
          <w:tcPr>
            <w:tcW w:w="9360" w:type="dxa"/>
            <w:tcBorders>
              <w:top w:val="nil"/>
              <w:left w:val="nil"/>
              <w:bottom w:val="nil"/>
              <w:right w:val="nil"/>
            </w:tcBorders>
            <w:shd w:val="clear" w:color="000000" w:fill="FFFFFF"/>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[6]   Changes du to exchange rage movement, and operation in secondary market could be distinguished when relevant.</w:t>
            </w:r>
          </w:p>
        </w:tc>
      </w:tr>
      <w:tr w:rsidR="00B926AC" w:rsidRPr="00B926AC" w:rsidTr="00B926AC">
        <w:trPr>
          <w:trHeight w:val="240"/>
        </w:trPr>
        <w:tc>
          <w:tcPr>
            <w:tcW w:w="9360" w:type="dxa"/>
            <w:tcBorders>
              <w:top w:val="nil"/>
              <w:left w:val="nil"/>
              <w:bottom w:val="nil"/>
              <w:right w:val="nil"/>
            </w:tcBorders>
            <w:shd w:val="clear" w:color="000000" w:fill="FFFFFF"/>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[7]   Proxied by interest expenditure divided by the debt level of the previous year.</w:t>
            </w:r>
          </w:p>
        </w:tc>
      </w:tr>
      <w:tr w:rsidR="00B926AC" w:rsidRPr="00B926AC" w:rsidTr="00B926AC">
        <w:trPr>
          <w:trHeight w:val="240"/>
        </w:trPr>
        <w:tc>
          <w:tcPr>
            <w:tcW w:w="9360" w:type="dxa"/>
            <w:tcBorders>
              <w:top w:val="nil"/>
              <w:left w:val="nil"/>
              <w:bottom w:val="nil"/>
              <w:right w:val="nil"/>
            </w:tcBorders>
            <w:shd w:val="clear" w:color="000000" w:fill="FFFFFF"/>
            <w:noWrap/>
            <w:vAlign w:val="center"/>
            <w:hideMark/>
          </w:tcPr>
          <w:p w:rsidR="00B926AC" w:rsidRPr="00B926AC" w:rsidRDefault="00B926AC" w:rsidP="00B926AC">
            <w:pPr>
              <w:spacing w:after="0"/>
              <w:jc w:val="left"/>
              <w:rPr>
                <w:rFonts w:eastAsia="Times New Roman" w:cs="Times New Roman"/>
                <w:sz w:val="20"/>
                <w:szCs w:val="20"/>
              </w:rPr>
            </w:pPr>
            <w:r w:rsidRPr="00B926AC">
              <w:rPr>
                <w:rFonts w:eastAsia="Times New Roman" w:cs="Times New Roman"/>
                <w:sz w:val="20"/>
                <w:szCs w:val="20"/>
              </w:rPr>
              <w:t>[8]   AF1, AF2, AF3 (consolidated at market value), AF5 (if quoted at stock exchange; including mutual fund shares).</w:t>
            </w:r>
          </w:p>
        </w:tc>
      </w:tr>
    </w:tbl>
    <w:p w:rsidR="00B926AC" w:rsidRDefault="005336CF" w:rsidP="007A0CEC">
      <w:pPr>
        <w:spacing w:after="0"/>
        <w:jc w:val="left"/>
        <w:rPr>
          <w:rFonts w:cs="Times New Roman"/>
          <w:szCs w:val="24"/>
          <w:lang w:val="sr-Latn-RS"/>
        </w:rPr>
      </w:pPr>
      <w:r w:rsidRPr="005336CF">
        <w:lastRenderedPageBreak/>
        <w:drawing>
          <wp:inline distT="0" distB="0" distL="0" distR="0">
            <wp:extent cx="8251190" cy="22536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1190" cy="2253615"/>
                    </a:xfrm>
                    <a:prstGeom prst="rect">
                      <a:avLst/>
                    </a:prstGeom>
                    <a:noFill/>
                    <a:ln>
                      <a:noFill/>
                    </a:ln>
                  </pic:spPr>
                </pic:pic>
              </a:graphicData>
            </a:graphic>
          </wp:inline>
        </w:drawing>
      </w: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9A3085" w:rsidRDefault="009A3085" w:rsidP="007A0CEC">
      <w:pPr>
        <w:spacing w:after="0"/>
        <w:jc w:val="left"/>
        <w:rPr>
          <w:rFonts w:cs="Times New Roman"/>
          <w:szCs w:val="24"/>
          <w:lang w:val="sr-Latn-RS"/>
        </w:rPr>
      </w:pPr>
    </w:p>
    <w:p w:rsidR="005336CF" w:rsidRDefault="005336CF" w:rsidP="007A0CEC">
      <w:pPr>
        <w:spacing w:after="0"/>
        <w:jc w:val="left"/>
        <w:rPr>
          <w:rFonts w:cs="Times New Roman"/>
          <w:szCs w:val="24"/>
          <w:lang w:val="sr-Latn-RS"/>
        </w:rPr>
      </w:pPr>
    </w:p>
    <w:p w:rsidR="005336CF" w:rsidRDefault="005336CF" w:rsidP="007A0CEC">
      <w:pPr>
        <w:spacing w:after="0"/>
        <w:jc w:val="left"/>
        <w:rPr>
          <w:rFonts w:cs="Times New Roman"/>
          <w:szCs w:val="24"/>
          <w:lang w:val="sr-Latn-RS"/>
        </w:rPr>
      </w:pPr>
    </w:p>
    <w:p w:rsidR="005336CF" w:rsidRDefault="005336CF" w:rsidP="007A0CEC">
      <w:pPr>
        <w:spacing w:after="0"/>
        <w:jc w:val="left"/>
        <w:rPr>
          <w:rFonts w:cs="Times New Roman"/>
          <w:szCs w:val="24"/>
          <w:lang w:val="sr-Latn-RS"/>
        </w:rPr>
      </w:pPr>
    </w:p>
    <w:p w:rsidR="005336CF" w:rsidRDefault="005336CF" w:rsidP="007A0CEC">
      <w:pPr>
        <w:spacing w:after="0"/>
        <w:jc w:val="left"/>
        <w:rPr>
          <w:rFonts w:cs="Times New Roman"/>
          <w:szCs w:val="24"/>
          <w:lang w:val="sr-Latn-RS"/>
        </w:rPr>
      </w:pPr>
    </w:p>
    <w:p w:rsidR="005336CF" w:rsidRDefault="005336CF" w:rsidP="007A0CEC">
      <w:pPr>
        <w:spacing w:after="0"/>
        <w:jc w:val="left"/>
        <w:rPr>
          <w:rFonts w:eastAsia="Times New Roman" w:cs="Times New Roman"/>
          <w:b/>
          <w:bCs/>
          <w:sz w:val="20"/>
          <w:szCs w:val="20"/>
        </w:rPr>
      </w:pPr>
    </w:p>
    <w:p w:rsidR="005336CF" w:rsidRPr="005336CF" w:rsidRDefault="005336CF" w:rsidP="007A0CEC">
      <w:pPr>
        <w:spacing w:after="0"/>
        <w:jc w:val="left"/>
        <w:rPr>
          <w:lang w:val="sr-Latn-RS"/>
        </w:rPr>
      </w:pPr>
      <w:r w:rsidRPr="005336CF">
        <w:rPr>
          <w:rFonts w:eastAsia="Times New Roman" w:cs="Times New Roman"/>
          <w:bCs/>
          <w:sz w:val="20"/>
          <w:szCs w:val="20"/>
        </w:rPr>
        <w:lastRenderedPageBreak/>
        <w:t>Table 5: Cyclical developments</w:t>
      </w:r>
    </w:p>
    <w:p w:rsidR="005336CF" w:rsidRDefault="005336CF"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"data!R209C2:R217C9" \a \f 4 \h  \* MERGEFORMAT </w:instrText>
      </w:r>
      <w:r>
        <w:rPr>
          <w:lang w:val="sr-Latn-RS"/>
        </w:rPr>
        <w:fldChar w:fldCharType="separate"/>
      </w:r>
    </w:p>
    <w:tbl>
      <w:tblPr>
        <w:tblW w:w="14827" w:type="dxa"/>
        <w:tblLook w:val="04A0" w:firstRow="1" w:lastRow="0" w:firstColumn="1" w:lastColumn="0" w:noHBand="0" w:noVBand="1"/>
      </w:tblPr>
      <w:tblGrid>
        <w:gridCol w:w="5357"/>
        <w:gridCol w:w="1337"/>
        <w:gridCol w:w="1818"/>
        <w:gridCol w:w="1274"/>
        <w:gridCol w:w="1330"/>
        <w:gridCol w:w="1237"/>
        <w:gridCol w:w="1237"/>
        <w:gridCol w:w="1237"/>
      </w:tblGrid>
      <w:tr w:rsidR="005336CF" w:rsidRPr="005336CF" w:rsidTr="005336CF">
        <w:trPr>
          <w:trHeight w:val="276"/>
        </w:trPr>
        <w:tc>
          <w:tcPr>
            <w:tcW w:w="5357" w:type="dxa"/>
            <w:tcBorders>
              <w:top w:val="double" w:sz="6" w:space="0" w:color="auto"/>
              <w:left w:val="double" w:sz="6" w:space="0" w:color="auto"/>
              <w:bottom w:val="double" w:sz="6" w:space="0" w:color="auto"/>
              <w:right w:val="nil"/>
            </w:tcBorders>
            <w:shd w:val="clear" w:color="auto" w:fill="auto"/>
            <w:noWrap/>
            <w:vAlign w:val="center"/>
            <w:hideMark/>
          </w:tcPr>
          <w:p w:rsidR="005336CF" w:rsidRPr="005336CF" w:rsidRDefault="005336CF" w:rsidP="005336CF">
            <w:pPr>
              <w:spacing w:after="0"/>
              <w:jc w:val="left"/>
              <w:rPr>
                <w:rFonts w:eastAsia="Times New Roman" w:cs="Times New Roman"/>
                <w:b/>
                <w:bCs/>
                <w:sz w:val="20"/>
                <w:szCs w:val="20"/>
              </w:rPr>
            </w:pPr>
            <w:r w:rsidRPr="005336CF">
              <w:rPr>
                <w:rFonts w:eastAsia="Times New Roman" w:cs="Times New Roman"/>
                <w:b/>
                <w:bCs/>
                <w:sz w:val="20"/>
                <w:szCs w:val="20"/>
              </w:rPr>
              <w:t>Table 5: Cyclical developments</w:t>
            </w:r>
          </w:p>
        </w:tc>
        <w:tc>
          <w:tcPr>
            <w:tcW w:w="1337" w:type="dxa"/>
            <w:tcBorders>
              <w:top w:val="double" w:sz="6" w:space="0" w:color="auto"/>
              <w:left w:val="single" w:sz="8" w:space="0" w:color="auto"/>
              <w:bottom w:val="double" w:sz="6" w:space="0" w:color="auto"/>
              <w:right w:val="nil"/>
            </w:tcBorders>
            <w:shd w:val="clear" w:color="auto" w:fill="auto"/>
            <w:noWrap/>
            <w:vAlign w:val="center"/>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w:t>
            </w:r>
          </w:p>
        </w:tc>
        <w:tc>
          <w:tcPr>
            <w:tcW w:w="1817" w:type="dxa"/>
            <w:tcBorders>
              <w:top w:val="double" w:sz="6" w:space="0" w:color="auto"/>
              <w:left w:val="nil"/>
              <w:bottom w:val="double" w:sz="6" w:space="0" w:color="auto"/>
              <w:right w:val="single" w:sz="8" w:space="0" w:color="auto"/>
            </w:tcBorders>
            <w:shd w:val="clear" w:color="auto" w:fill="auto"/>
            <w:noWrap/>
            <w:vAlign w:val="center"/>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w:t>
            </w:r>
          </w:p>
        </w:tc>
        <w:tc>
          <w:tcPr>
            <w:tcW w:w="1274" w:type="dxa"/>
            <w:tcBorders>
              <w:top w:val="double" w:sz="6" w:space="0" w:color="auto"/>
              <w:left w:val="nil"/>
              <w:bottom w:val="double" w:sz="6" w:space="0" w:color="auto"/>
              <w:right w:val="dashed" w:sz="4" w:space="0" w:color="auto"/>
            </w:tcBorders>
            <w:shd w:val="clear" w:color="auto" w:fill="auto"/>
            <w:noWrap/>
            <w:vAlign w:val="center"/>
            <w:hideMark/>
          </w:tcPr>
          <w:p w:rsidR="005336CF" w:rsidRPr="005336CF" w:rsidRDefault="005336CF" w:rsidP="005336CF">
            <w:pPr>
              <w:spacing w:after="0"/>
              <w:jc w:val="right"/>
              <w:rPr>
                <w:rFonts w:eastAsia="Times New Roman" w:cs="Times New Roman"/>
                <w:b/>
                <w:bCs/>
                <w:sz w:val="20"/>
                <w:szCs w:val="20"/>
              </w:rPr>
            </w:pPr>
            <w:r w:rsidRPr="005336CF">
              <w:rPr>
                <w:rFonts w:eastAsia="Times New Roman" w:cs="Times New Roman"/>
                <w:b/>
                <w:bCs/>
                <w:sz w:val="20"/>
                <w:szCs w:val="20"/>
              </w:rPr>
              <w:t>2024</w:t>
            </w:r>
          </w:p>
        </w:tc>
        <w:tc>
          <w:tcPr>
            <w:tcW w:w="1330" w:type="dxa"/>
            <w:tcBorders>
              <w:top w:val="double" w:sz="6" w:space="0" w:color="auto"/>
              <w:left w:val="nil"/>
              <w:bottom w:val="double" w:sz="6" w:space="0" w:color="auto"/>
              <w:right w:val="dashed" w:sz="4" w:space="0" w:color="auto"/>
            </w:tcBorders>
            <w:shd w:val="clear" w:color="auto" w:fill="auto"/>
            <w:noWrap/>
            <w:vAlign w:val="center"/>
            <w:hideMark/>
          </w:tcPr>
          <w:p w:rsidR="005336CF" w:rsidRPr="005336CF" w:rsidRDefault="005336CF" w:rsidP="005336CF">
            <w:pPr>
              <w:spacing w:after="0"/>
              <w:jc w:val="right"/>
              <w:rPr>
                <w:rFonts w:eastAsia="Times New Roman" w:cs="Times New Roman"/>
                <w:b/>
                <w:bCs/>
                <w:sz w:val="20"/>
                <w:szCs w:val="20"/>
              </w:rPr>
            </w:pPr>
            <w:r w:rsidRPr="005336CF">
              <w:rPr>
                <w:rFonts w:eastAsia="Times New Roman" w:cs="Times New Roman"/>
                <w:b/>
                <w:bCs/>
                <w:sz w:val="20"/>
                <w:szCs w:val="20"/>
              </w:rPr>
              <w:t>2025</w:t>
            </w:r>
          </w:p>
        </w:tc>
        <w:tc>
          <w:tcPr>
            <w:tcW w:w="1237" w:type="dxa"/>
            <w:tcBorders>
              <w:top w:val="double" w:sz="6" w:space="0" w:color="auto"/>
              <w:left w:val="nil"/>
              <w:bottom w:val="double" w:sz="6" w:space="0" w:color="auto"/>
              <w:right w:val="dashed" w:sz="4" w:space="0" w:color="auto"/>
            </w:tcBorders>
            <w:shd w:val="clear" w:color="auto" w:fill="auto"/>
            <w:noWrap/>
            <w:vAlign w:val="center"/>
            <w:hideMark/>
          </w:tcPr>
          <w:p w:rsidR="005336CF" w:rsidRPr="005336CF" w:rsidRDefault="005336CF" w:rsidP="005336CF">
            <w:pPr>
              <w:spacing w:after="0"/>
              <w:jc w:val="right"/>
              <w:rPr>
                <w:rFonts w:eastAsia="Times New Roman" w:cs="Times New Roman"/>
                <w:b/>
                <w:bCs/>
                <w:sz w:val="20"/>
                <w:szCs w:val="20"/>
              </w:rPr>
            </w:pPr>
            <w:r w:rsidRPr="005336CF">
              <w:rPr>
                <w:rFonts w:eastAsia="Times New Roman" w:cs="Times New Roman"/>
                <w:b/>
                <w:bCs/>
                <w:sz w:val="20"/>
                <w:szCs w:val="20"/>
              </w:rPr>
              <w:t>2026</w:t>
            </w:r>
          </w:p>
        </w:tc>
        <w:tc>
          <w:tcPr>
            <w:tcW w:w="1237" w:type="dxa"/>
            <w:tcBorders>
              <w:top w:val="double" w:sz="6" w:space="0" w:color="auto"/>
              <w:left w:val="nil"/>
              <w:bottom w:val="double" w:sz="6" w:space="0" w:color="auto"/>
              <w:right w:val="dashed" w:sz="4" w:space="0" w:color="auto"/>
            </w:tcBorders>
            <w:shd w:val="clear" w:color="auto" w:fill="auto"/>
            <w:noWrap/>
            <w:vAlign w:val="center"/>
            <w:hideMark/>
          </w:tcPr>
          <w:p w:rsidR="005336CF" w:rsidRPr="005336CF" w:rsidRDefault="005336CF" w:rsidP="005336CF">
            <w:pPr>
              <w:spacing w:after="0"/>
              <w:jc w:val="right"/>
              <w:rPr>
                <w:rFonts w:eastAsia="Times New Roman" w:cs="Times New Roman"/>
                <w:b/>
                <w:bCs/>
                <w:sz w:val="20"/>
                <w:szCs w:val="20"/>
              </w:rPr>
            </w:pPr>
            <w:r w:rsidRPr="005336CF">
              <w:rPr>
                <w:rFonts w:eastAsia="Times New Roman" w:cs="Times New Roman"/>
                <w:b/>
                <w:bCs/>
                <w:sz w:val="20"/>
                <w:szCs w:val="20"/>
              </w:rPr>
              <w:t>2027</w:t>
            </w:r>
          </w:p>
        </w:tc>
        <w:tc>
          <w:tcPr>
            <w:tcW w:w="1237" w:type="dxa"/>
            <w:tcBorders>
              <w:top w:val="double" w:sz="6" w:space="0" w:color="auto"/>
              <w:left w:val="nil"/>
              <w:bottom w:val="double" w:sz="6" w:space="0" w:color="auto"/>
              <w:right w:val="double" w:sz="6" w:space="0" w:color="auto"/>
            </w:tcBorders>
            <w:shd w:val="clear" w:color="auto" w:fill="auto"/>
            <w:noWrap/>
            <w:vAlign w:val="center"/>
            <w:hideMark/>
          </w:tcPr>
          <w:p w:rsidR="005336CF" w:rsidRPr="005336CF" w:rsidRDefault="005336CF" w:rsidP="005336CF">
            <w:pPr>
              <w:spacing w:after="0"/>
              <w:jc w:val="right"/>
              <w:rPr>
                <w:rFonts w:eastAsia="Times New Roman" w:cs="Times New Roman"/>
                <w:b/>
                <w:bCs/>
                <w:sz w:val="20"/>
                <w:szCs w:val="20"/>
              </w:rPr>
            </w:pPr>
            <w:r w:rsidRPr="005336CF">
              <w:rPr>
                <w:rFonts w:eastAsia="Times New Roman" w:cs="Times New Roman"/>
                <w:b/>
                <w:bCs/>
                <w:sz w:val="20"/>
                <w:szCs w:val="20"/>
              </w:rPr>
              <w:t>2028</w:t>
            </w:r>
          </w:p>
        </w:tc>
      </w:tr>
      <w:tr w:rsidR="005336CF" w:rsidRPr="005336CF" w:rsidTr="005336CF">
        <w:trPr>
          <w:trHeight w:val="267"/>
        </w:trPr>
        <w:tc>
          <w:tcPr>
            <w:tcW w:w="5357" w:type="dxa"/>
            <w:tcBorders>
              <w:top w:val="dotted" w:sz="4" w:space="0" w:color="000000"/>
              <w:left w:val="double" w:sz="6" w:space="0" w:color="000000"/>
              <w:bottom w:val="dotted" w:sz="4" w:space="0" w:color="000000"/>
              <w:right w:val="nil"/>
            </w:tcBorders>
            <w:shd w:val="clear" w:color="auto" w:fill="auto"/>
            <w:vAlign w:val="bottom"/>
            <w:hideMark/>
          </w:tcPr>
          <w:p w:rsidR="005336CF" w:rsidRPr="005336CF" w:rsidRDefault="005336CF" w:rsidP="005336CF">
            <w:pPr>
              <w:spacing w:after="0"/>
              <w:ind w:firstLineChars="100" w:firstLine="200"/>
              <w:jc w:val="left"/>
              <w:rPr>
                <w:rFonts w:eastAsia="Times New Roman" w:cs="Times New Roman"/>
                <w:sz w:val="20"/>
                <w:szCs w:val="20"/>
              </w:rPr>
            </w:pPr>
            <w:r w:rsidRPr="005336CF">
              <w:rPr>
                <w:rFonts w:eastAsia="Times New Roman" w:cs="Times New Roman"/>
                <w:sz w:val="20"/>
                <w:szCs w:val="20"/>
              </w:rPr>
              <w:t>4. One-off and other temporary measures [1]</w:t>
            </w:r>
          </w:p>
        </w:tc>
        <w:tc>
          <w:tcPr>
            <w:tcW w:w="3155" w:type="dxa"/>
            <w:gridSpan w:val="2"/>
            <w:tcBorders>
              <w:top w:val="double" w:sz="6" w:space="0" w:color="auto"/>
              <w:left w:val="single" w:sz="8" w:space="0" w:color="000000"/>
              <w:bottom w:val="dotted" w:sz="4" w:space="0" w:color="000000"/>
              <w:right w:val="single" w:sz="8" w:space="0" w:color="000000"/>
            </w:tcBorders>
            <w:shd w:val="clear" w:color="auto" w:fill="auto"/>
            <w:noWrap/>
            <w:vAlign w:val="bottom"/>
            <w:hideMark/>
          </w:tcPr>
          <w:p w:rsidR="005336CF" w:rsidRPr="005336CF" w:rsidRDefault="005336CF" w:rsidP="005336CF">
            <w:pPr>
              <w:spacing w:after="0"/>
              <w:jc w:val="center"/>
              <w:rPr>
                <w:rFonts w:eastAsia="Times New Roman" w:cs="Times New Roman"/>
                <w:sz w:val="16"/>
                <w:szCs w:val="16"/>
              </w:rPr>
            </w:pPr>
            <w:r w:rsidRPr="005336CF">
              <w:rPr>
                <w:rFonts w:eastAsia="Times New Roman" w:cs="Times New Roman"/>
                <w:sz w:val="16"/>
                <w:szCs w:val="16"/>
              </w:rPr>
              <w:t>% of GDP</w:t>
            </w:r>
          </w:p>
        </w:tc>
        <w:tc>
          <w:tcPr>
            <w:tcW w:w="1274" w:type="dxa"/>
            <w:tcBorders>
              <w:top w:val="dotted" w:sz="4" w:space="0" w:color="000000"/>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c>
          <w:tcPr>
            <w:tcW w:w="1330" w:type="dxa"/>
            <w:tcBorders>
              <w:top w:val="dotted" w:sz="4" w:space="0" w:color="000000"/>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-0.6</w:t>
            </w:r>
          </w:p>
        </w:tc>
        <w:tc>
          <w:tcPr>
            <w:tcW w:w="1237" w:type="dxa"/>
            <w:tcBorders>
              <w:top w:val="dotted" w:sz="4" w:space="0" w:color="000000"/>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-1.3</w:t>
            </w:r>
          </w:p>
        </w:tc>
        <w:tc>
          <w:tcPr>
            <w:tcW w:w="1237" w:type="dxa"/>
            <w:tcBorders>
              <w:top w:val="dotted" w:sz="4" w:space="0" w:color="000000"/>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-1.5</w:t>
            </w:r>
          </w:p>
        </w:tc>
        <w:tc>
          <w:tcPr>
            <w:tcW w:w="1237" w:type="dxa"/>
            <w:tcBorders>
              <w:top w:val="dotted" w:sz="4" w:space="0" w:color="000000"/>
              <w:left w:val="nil"/>
              <w:bottom w:val="dotted" w:sz="4" w:space="0" w:color="000000"/>
              <w:right w:val="double" w:sz="6"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-0.8</w:t>
            </w:r>
          </w:p>
        </w:tc>
      </w:tr>
      <w:tr w:rsidR="005336CF" w:rsidRPr="005336CF" w:rsidTr="005336CF">
        <w:trPr>
          <w:trHeight w:val="259"/>
        </w:trPr>
        <w:tc>
          <w:tcPr>
            <w:tcW w:w="5357" w:type="dxa"/>
            <w:tcBorders>
              <w:top w:val="nil"/>
              <w:left w:val="double" w:sz="6" w:space="0" w:color="000000"/>
              <w:bottom w:val="single" w:sz="4" w:space="0" w:color="auto"/>
              <w:right w:val="nil"/>
            </w:tcBorders>
            <w:shd w:val="clear" w:color="auto" w:fill="auto"/>
            <w:vAlign w:val="bottom"/>
            <w:hideMark/>
          </w:tcPr>
          <w:p w:rsidR="005336CF" w:rsidRPr="005336CF" w:rsidRDefault="005336CF" w:rsidP="005336CF">
            <w:pPr>
              <w:spacing w:after="0"/>
              <w:ind w:firstLineChars="100" w:firstLine="200"/>
              <w:jc w:val="left"/>
              <w:rPr>
                <w:rFonts w:eastAsia="Times New Roman" w:cs="Times New Roman"/>
                <w:sz w:val="20"/>
                <w:szCs w:val="20"/>
              </w:rPr>
            </w:pPr>
            <w:r w:rsidRPr="005336CF">
              <w:rPr>
                <w:rFonts w:eastAsia="Times New Roman" w:cs="Times New Roman"/>
                <w:sz w:val="20"/>
                <w:szCs w:val="20"/>
              </w:rPr>
              <w:t xml:space="preserve">5. Potential GDP growth </w:t>
            </w:r>
          </w:p>
        </w:tc>
        <w:tc>
          <w:tcPr>
            <w:tcW w:w="3155" w:type="dxa"/>
            <w:gridSpan w:val="2"/>
            <w:tcBorders>
              <w:top w:val="dotted" w:sz="4" w:space="0" w:color="000000"/>
              <w:left w:val="single" w:sz="8" w:space="0" w:color="000000"/>
              <w:bottom w:val="single" w:sz="4" w:space="0" w:color="auto"/>
              <w:right w:val="single" w:sz="8" w:space="0" w:color="000000"/>
            </w:tcBorders>
            <w:shd w:val="clear" w:color="auto" w:fill="auto"/>
            <w:noWrap/>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yoy</w:t>
            </w:r>
          </w:p>
        </w:tc>
        <w:tc>
          <w:tcPr>
            <w:tcW w:w="1274"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3.9</w:t>
            </w:r>
          </w:p>
        </w:tc>
        <w:tc>
          <w:tcPr>
            <w:tcW w:w="133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3.9</w:t>
            </w:r>
          </w:p>
        </w:tc>
        <w:tc>
          <w:tcPr>
            <w:tcW w:w="1237"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3.7</w:t>
            </w:r>
          </w:p>
        </w:tc>
        <w:tc>
          <w:tcPr>
            <w:tcW w:w="1237"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3.8</w:t>
            </w:r>
          </w:p>
        </w:tc>
        <w:tc>
          <w:tcPr>
            <w:tcW w:w="1237" w:type="dxa"/>
            <w:tcBorders>
              <w:top w:val="nil"/>
              <w:left w:val="nil"/>
              <w:bottom w:val="single" w:sz="4" w:space="0" w:color="auto"/>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3.9</w:t>
            </w:r>
          </w:p>
        </w:tc>
      </w:tr>
      <w:tr w:rsidR="005336CF" w:rsidRPr="005336CF" w:rsidTr="005336CF">
        <w:trPr>
          <w:trHeight w:val="259"/>
        </w:trPr>
        <w:tc>
          <w:tcPr>
            <w:tcW w:w="5357" w:type="dxa"/>
            <w:tcBorders>
              <w:top w:val="nil"/>
              <w:left w:val="double" w:sz="6" w:space="0" w:color="000000"/>
              <w:bottom w:val="single" w:sz="4" w:space="0" w:color="000000"/>
              <w:right w:val="nil"/>
            </w:tcBorders>
            <w:shd w:val="clear" w:color="auto" w:fill="auto"/>
            <w:vAlign w:val="bottom"/>
            <w:hideMark/>
          </w:tcPr>
          <w:p w:rsidR="005336CF" w:rsidRPr="005336CF" w:rsidRDefault="005336CF" w:rsidP="005336CF">
            <w:pPr>
              <w:spacing w:after="0"/>
              <w:ind w:firstLineChars="200" w:firstLine="400"/>
              <w:jc w:val="left"/>
              <w:rPr>
                <w:rFonts w:eastAsia="Times New Roman" w:cs="Times New Roman"/>
                <w:sz w:val="20"/>
                <w:szCs w:val="20"/>
              </w:rPr>
            </w:pPr>
            <w:r w:rsidRPr="005336CF">
              <w:rPr>
                <w:rFonts w:eastAsia="Times New Roman" w:cs="Times New Roman"/>
                <w:sz w:val="20"/>
                <w:szCs w:val="20"/>
              </w:rPr>
              <w:t>Contributions:</w:t>
            </w:r>
          </w:p>
        </w:tc>
        <w:tc>
          <w:tcPr>
            <w:tcW w:w="1337" w:type="dxa"/>
            <w:tcBorders>
              <w:top w:val="nil"/>
              <w:left w:val="single" w:sz="8" w:space="0" w:color="000000"/>
              <w:bottom w:val="single" w:sz="4" w:space="0" w:color="000000"/>
              <w:right w:val="nil"/>
            </w:tcBorders>
            <w:shd w:val="clear" w:color="auto" w:fill="auto"/>
            <w:noWrap/>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w:t>
            </w:r>
          </w:p>
        </w:tc>
        <w:tc>
          <w:tcPr>
            <w:tcW w:w="1817" w:type="dxa"/>
            <w:tcBorders>
              <w:top w:val="nil"/>
              <w:left w:val="nil"/>
              <w:bottom w:val="single" w:sz="4" w:space="0" w:color="000000"/>
              <w:right w:val="single" w:sz="8" w:space="0" w:color="auto"/>
            </w:tcBorders>
            <w:shd w:val="clear" w:color="auto" w:fill="auto"/>
            <w:noWrap/>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w:t>
            </w:r>
          </w:p>
        </w:tc>
        <w:tc>
          <w:tcPr>
            <w:tcW w:w="1274" w:type="dxa"/>
            <w:tcBorders>
              <w:top w:val="nil"/>
              <w:left w:val="nil"/>
              <w:bottom w:val="single" w:sz="4" w:space="0" w:color="000000"/>
              <w:right w:val="nil"/>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330" w:type="dxa"/>
            <w:tcBorders>
              <w:top w:val="nil"/>
              <w:left w:val="nil"/>
              <w:bottom w:val="single" w:sz="4" w:space="0" w:color="000000"/>
              <w:right w:val="nil"/>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37" w:type="dxa"/>
            <w:tcBorders>
              <w:top w:val="nil"/>
              <w:left w:val="nil"/>
              <w:bottom w:val="single" w:sz="4" w:space="0" w:color="000000"/>
              <w:right w:val="nil"/>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37" w:type="dxa"/>
            <w:tcBorders>
              <w:top w:val="nil"/>
              <w:left w:val="nil"/>
              <w:bottom w:val="single" w:sz="4" w:space="0" w:color="000000"/>
              <w:right w:val="nil"/>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37" w:type="dxa"/>
            <w:tcBorders>
              <w:top w:val="nil"/>
              <w:left w:val="nil"/>
              <w:bottom w:val="single" w:sz="4" w:space="0" w:color="000000"/>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r>
      <w:tr w:rsidR="005336CF" w:rsidRPr="005336CF" w:rsidTr="005336CF">
        <w:trPr>
          <w:trHeight w:val="259"/>
        </w:trPr>
        <w:tc>
          <w:tcPr>
            <w:tcW w:w="5357" w:type="dxa"/>
            <w:tcBorders>
              <w:top w:val="nil"/>
              <w:left w:val="double" w:sz="6" w:space="0" w:color="000000"/>
              <w:bottom w:val="dotted" w:sz="4" w:space="0" w:color="000000"/>
              <w:right w:val="nil"/>
            </w:tcBorders>
            <w:shd w:val="clear" w:color="auto" w:fill="auto"/>
            <w:vAlign w:val="bottom"/>
            <w:hideMark/>
          </w:tcPr>
          <w:p w:rsidR="005336CF" w:rsidRPr="005336CF" w:rsidRDefault="005336CF" w:rsidP="005336CF">
            <w:pPr>
              <w:spacing w:after="0"/>
              <w:ind w:firstLineChars="300" w:firstLine="600"/>
              <w:jc w:val="left"/>
              <w:rPr>
                <w:rFonts w:eastAsia="Times New Roman" w:cs="Times New Roman"/>
                <w:sz w:val="20"/>
                <w:szCs w:val="20"/>
              </w:rPr>
            </w:pPr>
            <w:r w:rsidRPr="005336CF">
              <w:rPr>
                <w:rFonts w:eastAsia="Times New Roman" w:cs="Times New Roman"/>
                <w:sz w:val="20"/>
                <w:szCs w:val="20"/>
              </w:rPr>
              <w:t>- labour</w:t>
            </w:r>
          </w:p>
        </w:tc>
        <w:tc>
          <w:tcPr>
            <w:tcW w:w="3155" w:type="dxa"/>
            <w:gridSpan w:val="2"/>
            <w:tcBorders>
              <w:top w:val="single" w:sz="4" w:space="0" w:color="000000"/>
              <w:left w:val="single" w:sz="8" w:space="0" w:color="000000"/>
              <w:bottom w:val="dotted" w:sz="4" w:space="0" w:color="000000"/>
              <w:right w:val="single" w:sz="8" w:space="0" w:color="000000"/>
            </w:tcBorders>
            <w:shd w:val="clear" w:color="auto" w:fill="auto"/>
            <w:noWrap/>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74"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0.8</w:t>
            </w:r>
          </w:p>
        </w:tc>
        <w:tc>
          <w:tcPr>
            <w:tcW w:w="133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0.6</w:t>
            </w:r>
          </w:p>
        </w:tc>
        <w:tc>
          <w:tcPr>
            <w:tcW w:w="1237"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0.4</w:t>
            </w:r>
          </w:p>
        </w:tc>
        <w:tc>
          <w:tcPr>
            <w:tcW w:w="1237"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0.2</w:t>
            </w:r>
          </w:p>
        </w:tc>
        <w:tc>
          <w:tcPr>
            <w:tcW w:w="1237" w:type="dxa"/>
            <w:tcBorders>
              <w:top w:val="nil"/>
              <w:left w:val="nil"/>
              <w:bottom w:val="dotted" w:sz="4" w:space="0" w:color="000000"/>
              <w:right w:val="double" w:sz="6"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r>
      <w:tr w:rsidR="005336CF" w:rsidRPr="005336CF" w:rsidTr="005336CF">
        <w:trPr>
          <w:trHeight w:val="259"/>
        </w:trPr>
        <w:tc>
          <w:tcPr>
            <w:tcW w:w="5357" w:type="dxa"/>
            <w:tcBorders>
              <w:top w:val="nil"/>
              <w:left w:val="double" w:sz="6" w:space="0" w:color="000000"/>
              <w:bottom w:val="dotted" w:sz="4" w:space="0" w:color="000000"/>
              <w:right w:val="nil"/>
            </w:tcBorders>
            <w:shd w:val="clear" w:color="auto" w:fill="auto"/>
            <w:vAlign w:val="bottom"/>
            <w:hideMark/>
          </w:tcPr>
          <w:p w:rsidR="005336CF" w:rsidRPr="005336CF" w:rsidRDefault="005336CF" w:rsidP="005336CF">
            <w:pPr>
              <w:spacing w:after="0"/>
              <w:ind w:firstLineChars="300" w:firstLine="600"/>
              <w:jc w:val="left"/>
              <w:rPr>
                <w:rFonts w:eastAsia="Times New Roman" w:cs="Times New Roman"/>
                <w:sz w:val="20"/>
                <w:szCs w:val="20"/>
              </w:rPr>
            </w:pPr>
            <w:r w:rsidRPr="005336CF">
              <w:rPr>
                <w:rFonts w:eastAsia="Times New Roman" w:cs="Times New Roman"/>
                <w:sz w:val="20"/>
                <w:szCs w:val="20"/>
              </w:rPr>
              <w:t>- capital</w:t>
            </w:r>
          </w:p>
        </w:tc>
        <w:tc>
          <w:tcPr>
            <w:tcW w:w="3155" w:type="dxa"/>
            <w:gridSpan w:val="2"/>
            <w:tcBorders>
              <w:top w:val="dotted" w:sz="4" w:space="0" w:color="000000"/>
              <w:left w:val="single" w:sz="8" w:space="0" w:color="000000"/>
              <w:bottom w:val="dotted" w:sz="4" w:space="0" w:color="000000"/>
              <w:right w:val="single" w:sz="8" w:space="0" w:color="000000"/>
            </w:tcBorders>
            <w:shd w:val="clear" w:color="auto" w:fill="auto"/>
            <w:noWrap/>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74"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33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1.8</w:t>
            </w:r>
          </w:p>
        </w:tc>
        <w:tc>
          <w:tcPr>
            <w:tcW w:w="1237"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237"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237" w:type="dxa"/>
            <w:tcBorders>
              <w:top w:val="nil"/>
              <w:left w:val="nil"/>
              <w:bottom w:val="dotted" w:sz="4" w:space="0" w:color="000000"/>
              <w:right w:val="double" w:sz="6"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r>
      <w:tr w:rsidR="005336CF" w:rsidRPr="005336CF" w:rsidTr="005336CF">
        <w:trPr>
          <w:trHeight w:val="259"/>
        </w:trPr>
        <w:tc>
          <w:tcPr>
            <w:tcW w:w="5357" w:type="dxa"/>
            <w:tcBorders>
              <w:top w:val="nil"/>
              <w:left w:val="double" w:sz="6" w:space="0" w:color="000000"/>
              <w:bottom w:val="single" w:sz="4" w:space="0" w:color="auto"/>
              <w:right w:val="nil"/>
            </w:tcBorders>
            <w:shd w:val="clear" w:color="auto" w:fill="auto"/>
            <w:vAlign w:val="bottom"/>
            <w:hideMark/>
          </w:tcPr>
          <w:p w:rsidR="005336CF" w:rsidRPr="005336CF" w:rsidRDefault="005336CF" w:rsidP="005336CF">
            <w:pPr>
              <w:spacing w:after="0"/>
              <w:ind w:firstLineChars="300" w:firstLine="600"/>
              <w:jc w:val="left"/>
              <w:rPr>
                <w:rFonts w:eastAsia="Times New Roman" w:cs="Times New Roman"/>
                <w:sz w:val="20"/>
                <w:szCs w:val="20"/>
              </w:rPr>
            </w:pPr>
            <w:r w:rsidRPr="005336CF">
              <w:rPr>
                <w:rFonts w:eastAsia="Times New Roman" w:cs="Times New Roman"/>
                <w:sz w:val="20"/>
                <w:szCs w:val="20"/>
              </w:rPr>
              <w:t>- total factor productivity</w:t>
            </w:r>
          </w:p>
        </w:tc>
        <w:tc>
          <w:tcPr>
            <w:tcW w:w="3155" w:type="dxa"/>
            <w:gridSpan w:val="2"/>
            <w:tcBorders>
              <w:top w:val="dotted" w:sz="4" w:space="0" w:color="000000"/>
              <w:left w:val="single" w:sz="8" w:space="0" w:color="000000"/>
              <w:bottom w:val="single" w:sz="4" w:space="0" w:color="auto"/>
              <w:right w:val="single" w:sz="8" w:space="0" w:color="000000"/>
            </w:tcBorders>
            <w:shd w:val="clear" w:color="auto" w:fill="auto"/>
            <w:noWrap/>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74" w:type="dxa"/>
            <w:tcBorders>
              <w:top w:val="nil"/>
              <w:left w:val="nil"/>
              <w:bottom w:val="single" w:sz="4" w:space="0" w:color="auto"/>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1.2</w:t>
            </w:r>
          </w:p>
        </w:tc>
        <w:tc>
          <w:tcPr>
            <w:tcW w:w="1330" w:type="dxa"/>
            <w:tcBorders>
              <w:top w:val="nil"/>
              <w:left w:val="nil"/>
              <w:bottom w:val="single" w:sz="4" w:space="0" w:color="auto"/>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1.5</w:t>
            </w:r>
          </w:p>
        </w:tc>
        <w:tc>
          <w:tcPr>
            <w:tcW w:w="1237" w:type="dxa"/>
            <w:tcBorders>
              <w:top w:val="nil"/>
              <w:left w:val="nil"/>
              <w:bottom w:val="single" w:sz="4" w:space="0" w:color="auto"/>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1.4</w:t>
            </w:r>
          </w:p>
        </w:tc>
        <w:tc>
          <w:tcPr>
            <w:tcW w:w="1237" w:type="dxa"/>
            <w:tcBorders>
              <w:top w:val="nil"/>
              <w:left w:val="nil"/>
              <w:bottom w:val="single" w:sz="4" w:space="0" w:color="auto"/>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1.6</w:t>
            </w:r>
          </w:p>
        </w:tc>
        <w:tc>
          <w:tcPr>
            <w:tcW w:w="1237" w:type="dxa"/>
            <w:tcBorders>
              <w:top w:val="nil"/>
              <w:left w:val="nil"/>
              <w:bottom w:val="single" w:sz="4" w:space="0" w:color="auto"/>
              <w:right w:val="double" w:sz="6"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1.7</w:t>
            </w:r>
          </w:p>
        </w:tc>
      </w:tr>
      <w:tr w:rsidR="005336CF" w:rsidRPr="005336CF" w:rsidTr="005336CF">
        <w:trPr>
          <w:trHeight w:val="259"/>
        </w:trPr>
        <w:tc>
          <w:tcPr>
            <w:tcW w:w="5357" w:type="dxa"/>
            <w:tcBorders>
              <w:top w:val="nil"/>
              <w:left w:val="double" w:sz="6" w:space="0" w:color="000000"/>
              <w:bottom w:val="dotted" w:sz="4" w:space="0" w:color="000000"/>
              <w:right w:val="nil"/>
            </w:tcBorders>
            <w:shd w:val="clear" w:color="auto" w:fill="auto"/>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xml:space="preserve">   6. Output gap</w:t>
            </w:r>
          </w:p>
        </w:tc>
        <w:tc>
          <w:tcPr>
            <w:tcW w:w="3155" w:type="dxa"/>
            <w:gridSpan w:val="2"/>
            <w:tcBorders>
              <w:top w:val="single" w:sz="4" w:space="0" w:color="auto"/>
              <w:left w:val="single" w:sz="8" w:space="0" w:color="000000"/>
              <w:bottom w:val="dotted" w:sz="4" w:space="0" w:color="000000"/>
              <w:right w:val="single" w:sz="8" w:space="0" w:color="000000"/>
            </w:tcBorders>
            <w:shd w:val="clear" w:color="auto" w:fill="auto"/>
            <w:noWrap/>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of GDP</w:t>
            </w:r>
          </w:p>
        </w:tc>
        <w:tc>
          <w:tcPr>
            <w:tcW w:w="1274"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0.7</w:t>
            </w:r>
          </w:p>
        </w:tc>
        <w:tc>
          <w:tcPr>
            <w:tcW w:w="133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-0.4</w:t>
            </w:r>
          </w:p>
        </w:tc>
        <w:tc>
          <w:tcPr>
            <w:tcW w:w="1237"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-1.0</w:t>
            </w:r>
          </w:p>
        </w:tc>
        <w:tc>
          <w:tcPr>
            <w:tcW w:w="1237"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c>
          <w:tcPr>
            <w:tcW w:w="1237" w:type="dxa"/>
            <w:tcBorders>
              <w:top w:val="nil"/>
              <w:left w:val="nil"/>
              <w:bottom w:val="dotted" w:sz="4" w:space="0" w:color="000000"/>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0.0</w:t>
            </w:r>
          </w:p>
        </w:tc>
      </w:tr>
      <w:tr w:rsidR="005336CF" w:rsidRPr="005336CF" w:rsidTr="005336CF">
        <w:trPr>
          <w:trHeight w:val="267"/>
        </w:trPr>
        <w:tc>
          <w:tcPr>
            <w:tcW w:w="5357" w:type="dxa"/>
            <w:tcBorders>
              <w:top w:val="nil"/>
              <w:left w:val="double" w:sz="6" w:space="0" w:color="000000"/>
              <w:bottom w:val="double" w:sz="6" w:space="0" w:color="000000"/>
              <w:right w:val="nil"/>
            </w:tcBorders>
            <w:shd w:val="clear" w:color="auto" w:fill="auto"/>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xml:space="preserve">   7. Cyclical budgetary component</w:t>
            </w:r>
          </w:p>
        </w:tc>
        <w:tc>
          <w:tcPr>
            <w:tcW w:w="3155" w:type="dxa"/>
            <w:gridSpan w:val="2"/>
            <w:tcBorders>
              <w:top w:val="dotted" w:sz="4" w:space="0" w:color="000000"/>
              <w:left w:val="single" w:sz="8" w:space="0" w:color="000000"/>
              <w:bottom w:val="double" w:sz="6" w:space="0" w:color="000000"/>
              <w:right w:val="single" w:sz="8" w:space="0" w:color="000000"/>
            </w:tcBorders>
            <w:shd w:val="clear" w:color="auto" w:fill="auto"/>
            <w:noWrap/>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of GDP</w:t>
            </w:r>
          </w:p>
        </w:tc>
        <w:tc>
          <w:tcPr>
            <w:tcW w:w="1274" w:type="dxa"/>
            <w:tcBorders>
              <w:top w:val="nil"/>
              <w:left w:val="nil"/>
              <w:bottom w:val="double" w:sz="6"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c>
          <w:tcPr>
            <w:tcW w:w="1330" w:type="dxa"/>
            <w:tcBorders>
              <w:top w:val="nil"/>
              <w:left w:val="nil"/>
              <w:bottom w:val="double" w:sz="6"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-0.1</w:t>
            </w:r>
          </w:p>
        </w:tc>
        <w:tc>
          <w:tcPr>
            <w:tcW w:w="1237" w:type="dxa"/>
            <w:tcBorders>
              <w:top w:val="nil"/>
              <w:left w:val="nil"/>
              <w:bottom w:val="double" w:sz="6"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c>
          <w:tcPr>
            <w:tcW w:w="1237" w:type="dxa"/>
            <w:tcBorders>
              <w:top w:val="nil"/>
              <w:left w:val="nil"/>
              <w:bottom w:val="double" w:sz="6"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0.1</w:t>
            </w:r>
          </w:p>
        </w:tc>
        <w:tc>
          <w:tcPr>
            <w:tcW w:w="1237" w:type="dxa"/>
            <w:tcBorders>
              <w:top w:val="nil"/>
              <w:left w:val="nil"/>
              <w:bottom w:val="double" w:sz="6" w:space="0" w:color="000000"/>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0.0</w:t>
            </w:r>
          </w:p>
        </w:tc>
      </w:tr>
    </w:tbl>
    <w:p w:rsidR="005336CF" w:rsidRPr="005336CF" w:rsidRDefault="005336CF" w:rsidP="007A0CEC">
      <w:pPr>
        <w:spacing w:after="0"/>
        <w:jc w:val="left"/>
        <w:rPr>
          <w:rFonts w:cs="Times New Roman"/>
          <w:szCs w:val="24"/>
          <w:lang w:val="sr-Latn-RS"/>
        </w:rPr>
      </w:pPr>
      <w:r>
        <w:rPr>
          <w:rFonts w:cs="Times New Roman"/>
          <w:szCs w:val="24"/>
          <w:lang w:val="sr-Latn-RS"/>
        </w:rPr>
        <w:fldChar w:fldCharType="end"/>
      </w: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"Tab5-Cycl. dev.!R4C3:R19C9" \a \f 4 \h </w:instrText>
      </w:r>
      <w:r>
        <w:rPr>
          <w:lang w:val="sr-Latn-RS"/>
        </w:rPr>
        <w:fldChar w:fldCharType="separate"/>
      </w:r>
    </w:p>
    <w:tbl>
      <w:tblPr>
        <w:tblW w:w="10440" w:type="dxa"/>
        <w:tblLook w:val="04A0" w:firstRow="1" w:lastRow="0" w:firstColumn="1" w:lastColumn="0" w:noHBand="0" w:noVBand="1"/>
      </w:tblPr>
      <w:tblGrid>
        <w:gridCol w:w="4080"/>
        <w:gridCol w:w="1020"/>
        <w:gridCol w:w="1260"/>
        <w:gridCol w:w="1020"/>
        <w:gridCol w:w="1020"/>
        <w:gridCol w:w="1020"/>
        <w:gridCol w:w="1020"/>
      </w:tblGrid>
      <w:tr w:rsidR="005336CF" w:rsidRPr="005336CF" w:rsidTr="005336CF">
        <w:trPr>
          <w:trHeight w:val="266"/>
        </w:trPr>
        <w:tc>
          <w:tcPr>
            <w:tcW w:w="4080" w:type="dxa"/>
            <w:tcBorders>
              <w:top w:val="double" w:sz="6" w:space="0" w:color="000000"/>
              <w:left w:val="double" w:sz="6" w:space="0" w:color="000000"/>
              <w:bottom w:val="nil"/>
              <w:right w:val="nil"/>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of GDP</w:t>
            </w:r>
          </w:p>
        </w:tc>
        <w:tc>
          <w:tcPr>
            <w:tcW w:w="1020" w:type="dxa"/>
            <w:tcBorders>
              <w:top w:val="double" w:sz="6" w:space="0" w:color="000000"/>
              <w:left w:val="single" w:sz="4" w:space="0" w:color="000000"/>
              <w:bottom w:val="nil"/>
              <w:right w:val="single" w:sz="4" w:space="0" w:color="000000"/>
            </w:tcBorders>
            <w:shd w:val="clear" w:color="000000" w:fill="FFFFFF"/>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ESA Code</w:t>
            </w:r>
          </w:p>
        </w:tc>
        <w:tc>
          <w:tcPr>
            <w:tcW w:w="1260" w:type="dxa"/>
            <w:tcBorders>
              <w:top w:val="double" w:sz="6" w:space="0" w:color="000000"/>
              <w:left w:val="nil"/>
              <w:bottom w:val="nil"/>
              <w:right w:val="nil"/>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Year</w:t>
            </w:r>
          </w:p>
        </w:tc>
        <w:tc>
          <w:tcPr>
            <w:tcW w:w="1020" w:type="dxa"/>
            <w:tcBorders>
              <w:top w:val="double" w:sz="6" w:space="0" w:color="000000"/>
              <w:left w:val="dotted" w:sz="4" w:space="0" w:color="000000"/>
              <w:bottom w:val="nil"/>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Year</w:t>
            </w:r>
          </w:p>
        </w:tc>
        <w:tc>
          <w:tcPr>
            <w:tcW w:w="1020" w:type="dxa"/>
            <w:tcBorders>
              <w:top w:val="double" w:sz="6" w:space="0" w:color="000000"/>
              <w:left w:val="nil"/>
              <w:bottom w:val="nil"/>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Year</w:t>
            </w:r>
          </w:p>
        </w:tc>
        <w:tc>
          <w:tcPr>
            <w:tcW w:w="1020" w:type="dxa"/>
            <w:tcBorders>
              <w:top w:val="double" w:sz="6" w:space="0" w:color="000000"/>
              <w:left w:val="nil"/>
              <w:bottom w:val="nil"/>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Year</w:t>
            </w:r>
          </w:p>
        </w:tc>
        <w:tc>
          <w:tcPr>
            <w:tcW w:w="1020" w:type="dxa"/>
            <w:tcBorders>
              <w:top w:val="double" w:sz="6" w:space="0" w:color="000000"/>
              <w:left w:val="nil"/>
              <w:bottom w:val="nil"/>
              <w:right w:val="double" w:sz="6"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Year</w:t>
            </w:r>
          </w:p>
        </w:tc>
      </w:tr>
      <w:tr w:rsidR="005336CF" w:rsidRPr="005336CF" w:rsidTr="005336CF">
        <w:trPr>
          <w:trHeight w:val="258"/>
        </w:trPr>
        <w:tc>
          <w:tcPr>
            <w:tcW w:w="4080" w:type="dxa"/>
            <w:tcBorders>
              <w:top w:val="nil"/>
              <w:left w:val="double" w:sz="6" w:space="0" w:color="000000"/>
              <w:bottom w:val="single" w:sz="4" w:space="0" w:color="000000"/>
              <w:right w:val="nil"/>
            </w:tcBorders>
            <w:shd w:val="clear" w:color="000000" w:fill="FFFFFF"/>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w:t>
            </w:r>
          </w:p>
        </w:tc>
        <w:tc>
          <w:tcPr>
            <w:tcW w:w="1020" w:type="dxa"/>
            <w:tcBorders>
              <w:top w:val="nil"/>
              <w:left w:val="single" w:sz="4" w:space="0" w:color="000000"/>
              <w:bottom w:val="single" w:sz="4" w:space="0" w:color="000000"/>
              <w:right w:val="single" w:sz="4" w:space="0" w:color="000000"/>
            </w:tcBorders>
            <w:shd w:val="clear" w:color="000000" w:fill="FFFFFF"/>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single" w:sz="4" w:space="0" w:color="000000"/>
              <w:right w:val="nil"/>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2024</w:t>
            </w:r>
          </w:p>
        </w:tc>
        <w:tc>
          <w:tcPr>
            <w:tcW w:w="1020" w:type="dxa"/>
            <w:tcBorders>
              <w:top w:val="nil"/>
              <w:left w:val="dotted" w:sz="4" w:space="0" w:color="000000"/>
              <w:bottom w:val="single"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2025</w:t>
            </w:r>
          </w:p>
        </w:tc>
        <w:tc>
          <w:tcPr>
            <w:tcW w:w="1020" w:type="dxa"/>
            <w:tcBorders>
              <w:top w:val="nil"/>
              <w:left w:val="nil"/>
              <w:bottom w:val="single"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2026</w:t>
            </w:r>
          </w:p>
        </w:tc>
        <w:tc>
          <w:tcPr>
            <w:tcW w:w="1020" w:type="dxa"/>
            <w:tcBorders>
              <w:top w:val="nil"/>
              <w:left w:val="nil"/>
              <w:bottom w:val="single"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2027</w:t>
            </w:r>
          </w:p>
        </w:tc>
        <w:tc>
          <w:tcPr>
            <w:tcW w:w="1020" w:type="dxa"/>
            <w:tcBorders>
              <w:top w:val="nil"/>
              <w:left w:val="nil"/>
              <w:bottom w:val="single" w:sz="4" w:space="0" w:color="000000"/>
              <w:right w:val="double" w:sz="6"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2028</w:t>
            </w:r>
          </w:p>
        </w:tc>
      </w:tr>
      <w:tr w:rsidR="005336CF" w:rsidRPr="005336CF" w:rsidTr="005336CF">
        <w:trPr>
          <w:trHeight w:val="255"/>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ind w:firstLineChars="100" w:firstLine="200"/>
              <w:jc w:val="left"/>
              <w:rPr>
                <w:rFonts w:eastAsia="Times New Roman" w:cs="Times New Roman"/>
                <w:sz w:val="20"/>
                <w:szCs w:val="20"/>
              </w:rPr>
            </w:pPr>
            <w:r w:rsidRPr="005336CF">
              <w:rPr>
                <w:rFonts w:eastAsia="Times New Roman" w:cs="Times New Roman"/>
                <w:sz w:val="20"/>
                <w:szCs w:val="20"/>
              </w:rPr>
              <w:t>1.  Real GDP growth (%, yoy)</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left"/>
              <w:rPr>
                <w:rFonts w:eastAsia="Times New Roman" w:cs="Times New Roman"/>
                <w:sz w:val="18"/>
                <w:szCs w:val="18"/>
              </w:rPr>
            </w:pPr>
            <w:r w:rsidRPr="005336CF">
              <w:rPr>
                <w:rFonts w:eastAsia="Times New Roman" w:cs="Times New Roman"/>
                <w:sz w:val="18"/>
                <w:szCs w:val="18"/>
              </w:rPr>
              <w:t>B1g</w:t>
            </w:r>
          </w:p>
        </w:tc>
        <w:tc>
          <w:tcPr>
            <w:tcW w:w="1260" w:type="dxa"/>
            <w:tcBorders>
              <w:top w:val="nil"/>
              <w:left w:val="nil"/>
              <w:bottom w:val="dotted"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3.9</w:t>
            </w:r>
          </w:p>
        </w:tc>
        <w:tc>
          <w:tcPr>
            <w:tcW w:w="1020" w:type="dxa"/>
            <w:tcBorders>
              <w:top w:val="nil"/>
              <w:left w:val="nil"/>
              <w:bottom w:val="dotted"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2.3</w:t>
            </w:r>
          </w:p>
        </w:tc>
        <w:tc>
          <w:tcPr>
            <w:tcW w:w="1020" w:type="dxa"/>
            <w:tcBorders>
              <w:top w:val="nil"/>
              <w:left w:val="nil"/>
              <w:bottom w:val="dotted"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3.0</w:t>
            </w:r>
          </w:p>
        </w:tc>
        <w:tc>
          <w:tcPr>
            <w:tcW w:w="1020" w:type="dxa"/>
            <w:tcBorders>
              <w:top w:val="nil"/>
              <w:left w:val="nil"/>
              <w:bottom w:val="dotted"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5.0</w:t>
            </w:r>
          </w:p>
        </w:tc>
        <w:tc>
          <w:tcPr>
            <w:tcW w:w="1020" w:type="dxa"/>
            <w:tcBorders>
              <w:top w:val="nil"/>
              <w:left w:val="nil"/>
              <w:bottom w:val="dotted" w:sz="4" w:space="0" w:color="000000"/>
              <w:right w:val="double" w:sz="6"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3.5</w:t>
            </w:r>
          </w:p>
        </w:tc>
      </w:tr>
      <w:tr w:rsidR="005336CF" w:rsidRPr="005336CF" w:rsidTr="005336CF">
        <w:trPr>
          <w:trHeight w:val="300"/>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ind w:firstLineChars="100" w:firstLine="200"/>
              <w:jc w:val="left"/>
              <w:rPr>
                <w:rFonts w:eastAsia="Times New Roman" w:cs="Times New Roman"/>
                <w:sz w:val="20"/>
                <w:szCs w:val="20"/>
              </w:rPr>
            </w:pPr>
            <w:r w:rsidRPr="005336CF">
              <w:rPr>
                <w:rFonts w:eastAsia="Times New Roman" w:cs="Times New Roman"/>
                <w:sz w:val="20"/>
                <w:szCs w:val="20"/>
              </w:rPr>
              <w:t xml:space="preserve">2.  Net lending of general government </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left"/>
              <w:rPr>
                <w:rFonts w:eastAsia="Times New Roman" w:cs="Times New Roman"/>
                <w:sz w:val="18"/>
                <w:szCs w:val="18"/>
              </w:rPr>
            </w:pPr>
            <w:r w:rsidRPr="005336CF">
              <w:rPr>
                <w:rFonts w:eastAsia="Times New Roman" w:cs="Times New Roman"/>
                <w:sz w:val="18"/>
                <w:szCs w:val="18"/>
              </w:rPr>
              <w:t>EDP.B.9</w:t>
            </w:r>
          </w:p>
        </w:tc>
        <w:tc>
          <w:tcPr>
            <w:tcW w:w="1260" w:type="dxa"/>
            <w:tcBorders>
              <w:top w:val="nil"/>
              <w:left w:val="nil"/>
              <w:bottom w:val="dotted"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-2.0</w:t>
            </w:r>
          </w:p>
        </w:tc>
        <w:tc>
          <w:tcPr>
            <w:tcW w:w="1020" w:type="dxa"/>
            <w:tcBorders>
              <w:top w:val="nil"/>
              <w:left w:val="nil"/>
              <w:bottom w:val="dotted"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-3.0</w:t>
            </w:r>
          </w:p>
        </w:tc>
        <w:tc>
          <w:tcPr>
            <w:tcW w:w="1020" w:type="dxa"/>
            <w:tcBorders>
              <w:top w:val="nil"/>
              <w:left w:val="nil"/>
              <w:bottom w:val="dotted"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-3.0</w:t>
            </w:r>
          </w:p>
        </w:tc>
        <w:tc>
          <w:tcPr>
            <w:tcW w:w="1020" w:type="dxa"/>
            <w:tcBorders>
              <w:top w:val="nil"/>
              <w:left w:val="nil"/>
              <w:bottom w:val="dotted" w:sz="4" w:space="0" w:color="000000"/>
              <w:right w:val="dotted"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-3.0</w:t>
            </w:r>
          </w:p>
        </w:tc>
        <w:tc>
          <w:tcPr>
            <w:tcW w:w="1020" w:type="dxa"/>
            <w:tcBorders>
              <w:top w:val="nil"/>
              <w:left w:val="nil"/>
              <w:bottom w:val="dotted" w:sz="4" w:space="0" w:color="000000"/>
              <w:right w:val="double" w:sz="6"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-2.5</w:t>
            </w:r>
          </w:p>
        </w:tc>
      </w:tr>
      <w:tr w:rsidR="005336CF" w:rsidRPr="005336CF" w:rsidTr="005336CF">
        <w:trPr>
          <w:trHeight w:val="300"/>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ind w:firstLineChars="100" w:firstLine="200"/>
              <w:jc w:val="left"/>
              <w:rPr>
                <w:rFonts w:eastAsia="Times New Roman" w:cs="Times New Roman"/>
                <w:sz w:val="20"/>
                <w:szCs w:val="20"/>
              </w:rPr>
            </w:pPr>
            <w:r w:rsidRPr="005336CF">
              <w:rPr>
                <w:rFonts w:eastAsia="Times New Roman" w:cs="Times New Roman"/>
                <w:sz w:val="20"/>
                <w:szCs w:val="20"/>
              </w:rPr>
              <w:t>3.  Interest expenditure</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left"/>
              <w:rPr>
                <w:rFonts w:eastAsia="Times New Roman" w:cs="Times New Roman"/>
                <w:sz w:val="16"/>
                <w:szCs w:val="16"/>
              </w:rPr>
            </w:pPr>
            <w:r w:rsidRPr="005336CF">
              <w:rPr>
                <w:rFonts w:eastAsia="Times New Roman" w:cs="Times New Roman"/>
                <w:sz w:val="16"/>
                <w:szCs w:val="16"/>
              </w:rPr>
              <w:t>EDP.D.41</w:t>
            </w:r>
          </w:p>
        </w:tc>
        <w:tc>
          <w:tcPr>
            <w:tcW w:w="1260" w:type="dxa"/>
            <w:tcBorders>
              <w:top w:val="nil"/>
              <w:left w:val="nil"/>
              <w:bottom w:val="dotted" w:sz="4" w:space="0" w:color="000000"/>
              <w:right w:val="dotted" w:sz="4" w:space="0" w:color="000000"/>
            </w:tcBorders>
            <w:shd w:val="clear" w:color="000000" w:fill="FFFFFF"/>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020" w:type="dxa"/>
            <w:tcBorders>
              <w:top w:val="nil"/>
              <w:left w:val="nil"/>
              <w:bottom w:val="dotted" w:sz="4" w:space="0" w:color="000000"/>
              <w:right w:val="dotted" w:sz="4" w:space="0" w:color="000000"/>
            </w:tcBorders>
            <w:shd w:val="clear" w:color="000000" w:fill="FFFFFF"/>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020" w:type="dxa"/>
            <w:tcBorders>
              <w:top w:val="nil"/>
              <w:left w:val="nil"/>
              <w:bottom w:val="dotted" w:sz="4" w:space="0" w:color="000000"/>
              <w:right w:val="dotted" w:sz="4" w:space="0" w:color="000000"/>
            </w:tcBorders>
            <w:shd w:val="clear" w:color="000000" w:fill="FFFFFF"/>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020" w:type="dxa"/>
            <w:tcBorders>
              <w:top w:val="nil"/>
              <w:left w:val="nil"/>
              <w:bottom w:val="dotted" w:sz="4" w:space="0" w:color="000000"/>
              <w:right w:val="dotted" w:sz="4" w:space="0" w:color="000000"/>
            </w:tcBorders>
            <w:shd w:val="clear" w:color="000000" w:fill="FFFFFF"/>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020" w:type="dxa"/>
            <w:tcBorders>
              <w:top w:val="nil"/>
              <w:left w:val="nil"/>
              <w:bottom w:val="dotted" w:sz="4" w:space="0" w:color="000000"/>
              <w:right w:val="double" w:sz="6" w:space="0" w:color="000000"/>
            </w:tcBorders>
            <w:shd w:val="clear" w:color="000000" w:fill="FFFFFF"/>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r>
      <w:tr w:rsidR="005336CF" w:rsidRPr="005336CF" w:rsidTr="005336CF">
        <w:trPr>
          <w:trHeight w:val="285"/>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ind w:firstLineChars="100" w:firstLine="200"/>
              <w:jc w:val="left"/>
              <w:rPr>
                <w:rFonts w:eastAsia="Times New Roman" w:cs="Times New Roman"/>
                <w:sz w:val="20"/>
                <w:szCs w:val="20"/>
              </w:rPr>
            </w:pPr>
            <w:r w:rsidRPr="005336CF">
              <w:rPr>
                <w:rFonts w:eastAsia="Times New Roman" w:cs="Times New Roman"/>
                <w:sz w:val="20"/>
                <w:szCs w:val="20"/>
              </w:rPr>
              <w:t>4. One-off and other temporary measures [1]</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left"/>
              <w:rPr>
                <w:rFonts w:eastAsia="Times New Roman" w:cs="Times New Roman"/>
                <w:sz w:val="16"/>
                <w:szCs w:val="16"/>
              </w:rPr>
            </w:pPr>
            <w:r w:rsidRPr="005336CF">
              <w:rPr>
                <w:rFonts w:eastAsia="Times New Roman" w:cs="Times New Roman"/>
                <w:sz w:val="16"/>
                <w:szCs w:val="16"/>
              </w:rPr>
              <w:t> </w:t>
            </w:r>
          </w:p>
        </w:tc>
        <w:tc>
          <w:tcPr>
            <w:tcW w:w="126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-0.6</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-1.3</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-1.5</w:t>
            </w:r>
          </w:p>
        </w:tc>
        <w:tc>
          <w:tcPr>
            <w:tcW w:w="1020" w:type="dxa"/>
            <w:tcBorders>
              <w:top w:val="nil"/>
              <w:left w:val="nil"/>
              <w:bottom w:val="dotted" w:sz="4" w:space="0" w:color="000000"/>
              <w:right w:val="double" w:sz="6"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-0.8</w:t>
            </w:r>
          </w:p>
        </w:tc>
      </w:tr>
      <w:tr w:rsidR="005336CF" w:rsidRPr="005336CF" w:rsidTr="005336CF">
        <w:trPr>
          <w:trHeight w:val="258"/>
        </w:trPr>
        <w:tc>
          <w:tcPr>
            <w:tcW w:w="4080" w:type="dxa"/>
            <w:tcBorders>
              <w:top w:val="nil"/>
              <w:left w:val="double" w:sz="6" w:space="0" w:color="000000"/>
              <w:bottom w:val="single" w:sz="4" w:space="0" w:color="auto"/>
              <w:right w:val="nil"/>
            </w:tcBorders>
            <w:shd w:val="clear" w:color="000000" w:fill="FFFFFF"/>
            <w:vAlign w:val="bottom"/>
            <w:hideMark/>
          </w:tcPr>
          <w:p w:rsidR="005336CF" w:rsidRPr="005336CF" w:rsidRDefault="005336CF" w:rsidP="005336CF">
            <w:pPr>
              <w:spacing w:after="0"/>
              <w:ind w:firstLineChars="100" w:firstLine="200"/>
              <w:jc w:val="left"/>
              <w:rPr>
                <w:rFonts w:eastAsia="Times New Roman" w:cs="Times New Roman"/>
                <w:sz w:val="20"/>
                <w:szCs w:val="20"/>
              </w:rPr>
            </w:pPr>
            <w:r w:rsidRPr="005336CF">
              <w:rPr>
                <w:rFonts w:eastAsia="Times New Roman" w:cs="Times New Roman"/>
                <w:sz w:val="20"/>
                <w:szCs w:val="20"/>
              </w:rPr>
              <w:t>5. Potential GDP growth (%, yoy)</w:t>
            </w:r>
          </w:p>
        </w:tc>
        <w:tc>
          <w:tcPr>
            <w:tcW w:w="1020" w:type="dxa"/>
            <w:tcBorders>
              <w:top w:val="nil"/>
              <w:left w:val="single" w:sz="4" w:space="0" w:color="000000"/>
              <w:bottom w:val="single" w:sz="4" w:space="0" w:color="auto"/>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3.9</w:t>
            </w:r>
          </w:p>
        </w:tc>
        <w:tc>
          <w:tcPr>
            <w:tcW w:w="102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3.9</w:t>
            </w:r>
          </w:p>
        </w:tc>
        <w:tc>
          <w:tcPr>
            <w:tcW w:w="102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3.7</w:t>
            </w:r>
          </w:p>
        </w:tc>
        <w:tc>
          <w:tcPr>
            <w:tcW w:w="102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3.8</w:t>
            </w:r>
          </w:p>
        </w:tc>
        <w:tc>
          <w:tcPr>
            <w:tcW w:w="1020" w:type="dxa"/>
            <w:tcBorders>
              <w:top w:val="nil"/>
              <w:left w:val="nil"/>
              <w:bottom w:val="single" w:sz="4" w:space="0" w:color="auto"/>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3.9</w:t>
            </w:r>
          </w:p>
        </w:tc>
      </w:tr>
      <w:tr w:rsidR="005336CF" w:rsidRPr="005336CF" w:rsidTr="005336CF">
        <w:trPr>
          <w:trHeight w:val="255"/>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ind w:firstLineChars="200" w:firstLine="400"/>
              <w:jc w:val="left"/>
              <w:rPr>
                <w:rFonts w:eastAsia="Times New Roman" w:cs="Times New Roman"/>
                <w:sz w:val="20"/>
                <w:szCs w:val="20"/>
              </w:rPr>
            </w:pPr>
            <w:r w:rsidRPr="005336CF">
              <w:rPr>
                <w:rFonts w:eastAsia="Times New Roman" w:cs="Times New Roman"/>
                <w:sz w:val="20"/>
                <w:szCs w:val="20"/>
              </w:rPr>
              <w:t>Contributions:</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020" w:type="dxa"/>
            <w:tcBorders>
              <w:top w:val="nil"/>
              <w:left w:val="nil"/>
              <w:bottom w:val="dotted" w:sz="4" w:space="0" w:color="000000"/>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r>
      <w:tr w:rsidR="005336CF" w:rsidRPr="005336CF" w:rsidTr="005336CF">
        <w:trPr>
          <w:trHeight w:val="300"/>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ind w:firstLineChars="300" w:firstLine="600"/>
              <w:jc w:val="left"/>
              <w:rPr>
                <w:rFonts w:eastAsia="Times New Roman" w:cs="Times New Roman"/>
                <w:sz w:val="20"/>
                <w:szCs w:val="20"/>
              </w:rPr>
            </w:pPr>
            <w:r w:rsidRPr="005336CF">
              <w:rPr>
                <w:rFonts w:eastAsia="Times New Roman" w:cs="Times New Roman"/>
                <w:sz w:val="20"/>
                <w:szCs w:val="20"/>
              </w:rPr>
              <w:t>- labour</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0.8</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0.6</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0.4</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0.2</w:t>
            </w:r>
          </w:p>
        </w:tc>
        <w:tc>
          <w:tcPr>
            <w:tcW w:w="1020" w:type="dxa"/>
            <w:tcBorders>
              <w:top w:val="nil"/>
              <w:left w:val="nil"/>
              <w:bottom w:val="dotted" w:sz="4" w:space="0" w:color="000000"/>
              <w:right w:val="double" w:sz="6"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r>
      <w:tr w:rsidR="005336CF" w:rsidRPr="005336CF" w:rsidTr="005336CF">
        <w:trPr>
          <w:trHeight w:val="300"/>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ind w:firstLineChars="300" w:firstLine="600"/>
              <w:jc w:val="left"/>
              <w:rPr>
                <w:rFonts w:eastAsia="Times New Roman" w:cs="Times New Roman"/>
                <w:sz w:val="20"/>
                <w:szCs w:val="20"/>
              </w:rPr>
            </w:pPr>
            <w:r w:rsidRPr="005336CF">
              <w:rPr>
                <w:rFonts w:eastAsia="Times New Roman" w:cs="Times New Roman"/>
                <w:sz w:val="20"/>
                <w:szCs w:val="20"/>
              </w:rPr>
              <w:t>- capital</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1.8</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020" w:type="dxa"/>
            <w:tcBorders>
              <w:top w:val="nil"/>
              <w:left w:val="nil"/>
              <w:bottom w:val="dotted" w:sz="4" w:space="0" w:color="000000"/>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c>
          <w:tcPr>
            <w:tcW w:w="1020" w:type="dxa"/>
            <w:tcBorders>
              <w:top w:val="nil"/>
              <w:left w:val="nil"/>
              <w:bottom w:val="dotted" w:sz="4" w:space="0" w:color="000000"/>
              <w:right w:val="double" w:sz="6"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1.9</w:t>
            </w:r>
          </w:p>
        </w:tc>
      </w:tr>
      <w:tr w:rsidR="005336CF" w:rsidRPr="005336CF" w:rsidTr="005336CF">
        <w:trPr>
          <w:trHeight w:val="258"/>
        </w:trPr>
        <w:tc>
          <w:tcPr>
            <w:tcW w:w="4080" w:type="dxa"/>
            <w:tcBorders>
              <w:top w:val="nil"/>
              <w:left w:val="double" w:sz="6" w:space="0" w:color="000000"/>
              <w:bottom w:val="single" w:sz="4" w:space="0" w:color="auto"/>
              <w:right w:val="nil"/>
            </w:tcBorders>
            <w:shd w:val="clear" w:color="000000" w:fill="FFFFFF"/>
            <w:vAlign w:val="bottom"/>
            <w:hideMark/>
          </w:tcPr>
          <w:p w:rsidR="005336CF" w:rsidRPr="005336CF" w:rsidRDefault="005336CF" w:rsidP="005336CF">
            <w:pPr>
              <w:spacing w:after="0"/>
              <w:ind w:firstLineChars="300" w:firstLine="600"/>
              <w:jc w:val="left"/>
              <w:rPr>
                <w:rFonts w:eastAsia="Times New Roman" w:cs="Times New Roman"/>
                <w:sz w:val="20"/>
                <w:szCs w:val="20"/>
              </w:rPr>
            </w:pPr>
            <w:r w:rsidRPr="005336CF">
              <w:rPr>
                <w:rFonts w:eastAsia="Times New Roman" w:cs="Times New Roman"/>
                <w:sz w:val="20"/>
                <w:szCs w:val="20"/>
              </w:rPr>
              <w:t>- total factor productivity</w:t>
            </w:r>
          </w:p>
        </w:tc>
        <w:tc>
          <w:tcPr>
            <w:tcW w:w="1020" w:type="dxa"/>
            <w:tcBorders>
              <w:top w:val="nil"/>
              <w:left w:val="single" w:sz="4" w:space="0" w:color="000000"/>
              <w:bottom w:val="single" w:sz="4" w:space="0" w:color="auto"/>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single" w:sz="4" w:space="0" w:color="auto"/>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1.2</w:t>
            </w:r>
          </w:p>
        </w:tc>
        <w:tc>
          <w:tcPr>
            <w:tcW w:w="1020" w:type="dxa"/>
            <w:tcBorders>
              <w:top w:val="nil"/>
              <w:left w:val="nil"/>
              <w:bottom w:val="single" w:sz="4" w:space="0" w:color="auto"/>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1.5</w:t>
            </w:r>
          </w:p>
        </w:tc>
        <w:tc>
          <w:tcPr>
            <w:tcW w:w="1020" w:type="dxa"/>
            <w:tcBorders>
              <w:top w:val="nil"/>
              <w:left w:val="nil"/>
              <w:bottom w:val="single" w:sz="4" w:space="0" w:color="auto"/>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1.4</w:t>
            </w:r>
          </w:p>
        </w:tc>
        <w:tc>
          <w:tcPr>
            <w:tcW w:w="1020" w:type="dxa"/>
            <w:tcBorders>
              <w:top w:val="nil"/>
              <w:left w:val="nil"/>
              <w:bottom w:val="single" w:sz="4" w:space="0" w:color="auto"/>
              <w:right w:val="dotted" w:sz="4"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1.6</w:t>
            </w:r>
          </w:p>
        </w:tc>
        <w:tc>
          <w:tcPr>
            <w:tcW w:w="1020" w:type="dxa"/>
            <w:tcBorders>
              <w:top w:val="nil"/>
              <w:left w:val="nil"/>
              <w:bottom w:val="single" w:sz="4" w:space="0" w:color="auto"/>
              <w:right w:val="double" w:sz="6" w:space="0" w:color="000000"/>
            </w:tcBorders>
            <w:shd w:val="clear" w:color="auto" w:fill="auto"/>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1.7</w:t>
            </w:r>
          </w:p>
        </w:tc>
      </w:tr>
      <w:tr w:rsidR="005336CF" w:rsidRPr="005336CF" w:rsidTr="005336CF">
        <w:trPr>
          <w:trHeight w:val="255"/>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xml:space="preserve">   6. Output gap</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0.7</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-0.4</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-1.0</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c>
          <w:tcPr>
            <w:tcW w:w="1020" w:type="dxa"/>
            <w:tcBorders>
              <w:top w:val="nil"/>
              <w:left w:val="nil"/>
              <w:bottom w:val="dotted" w:sz="4" w:space="0" w:color="000000"/>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0.0</w:t>
            </w:r>
          </w:p>
        </w:tc>
      </w:tr>
      <w:tr w:rsidR="005336CF" w:rsidRPr="005336CF" w:rsidTr="005336CF">
        <w:trPr>
          <w:trHeight w:val="300"/>
        </w:trPr>
        <w:tc>
          <w:tcPr>
            <w:tcW w:w="4080" w:type="dxa"/>
            <w:tcBorders>
              <w:top w:val="nil"/>
              <w:left w:val="double" w:sz="6" w:space="0" w:color="000000"/>
              <w:bottom w:val="single" w:sz="4" w:space="0" w:color="auto"/>
              <w:right w:val="nil"/>
            </w:tcBorders>
            <w:shd w:val="clear" w:color="000000" w:fill="FFFFFF"/>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xml:space="preserve">   7. Cyclical budgetary component</w:t>
            </w:r>
          </w:p>
        </w:tc>
        <w:tc>
          <w:tcPr>
            <w:tcW w:w="1020" w:type="dxa"/>
            <w:tcBorders>
              <w:top w:val="nil"/>
              <w:left w:val="single" w:sz="4" w:space="0" w:color="000000"/>
              <w:bottom w:val="single" w:sz="4" w:space="0" w:color="auto"/>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c>
          <w:tcPr>
            <w:tcW w:w="102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-0.1</w:t>
            </w:r>
          </w:p>
        </w:tc>
        <w:tc>
          <w:tcPr>
            <w:tcW w:w="102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-0.3</w:t>
            </w:r>
          </w:p>
        </w:tc>
        <w:tc>
          <w:tcPr>
            <w:tcW w:w="1020" w:type="dxa"/>
            <w:tcBorders>
              <w:top w:val="nil"/>
              <w:left w:val="nil"/>
              <w:bottom w:val="single" w:sz="4" w:space="0" w:color="auto"/>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0.1</w:t>
            </w:r>
          </w:p>
        </w:tc>
        <w:tc>
          <w:tcPr>
            <w:tcW w:w="1020" w:type="dxa"/>
            <w:tcBorders>
              <w:top w:val="nil"/>
              <w:left w:val="nil"/>
              <w:bottom w:val="single" w:sz="4" w:space="0" w:color="auto"/>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0.0</w:t>
            </w:r>
          </w:p>
        </w:tc>
      </w:tr>
      <w:tr w:rsidR="005336CF" w:rsidRPr="005336CF" w:rsidTr="005336CF">
        <w:trPr>
          <w:trHeight w:val="300"/>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xml:space="preserve">   8. Cyclically-adjusted balance (2-7)</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-2.3</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-2.9</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-2.7</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-3.1</w:t>
            </w:r>
          </w:p>
        </w:tc>
        <w:tc>
          <w:tcPr>
            <w:tcW w:w="1020" w:type="dxa"/>
            <w:tcBorders>
              <w:top w:val="nil"/>
              <w:left w:val="nil"/>
              <w:bottom w:val="dotted" w:sz="4" w:space="0" w:color="000000"/>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-2.5</w:t>
            </w:r>
          </w:p>
        </w:tc>
      </w:tr>
      <w:tr w:rsidR="005336CF" w:rsidRPr="005336CF" w:rsidTr="005336CF">
        <w:trPr>
          <w:trHeight w:val="300"/>
        </w:trPr>
        <w:tc>
          <w:tcPr>
            <w:tcW w:w="4080" w:type="dxa"/>
            <w:tcBorders>
              <w:top w:val="nil"/>
              <w:left w:val="double" w:sz="6" w:space="0" w:color="000000"/>
              <w:bottom w:val="dotted" w:sz="4" w:space="0" w:color="000000"/>
              <w:right w:val="nil"/>
            </w:tcBorders>
            <w:shd w:val="clear" w:color="000000" w:fill="FFFFFF"/>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xml:space="preserve">   9. Cyclically-adjusted primary balance (8+3)</w:t>
            </w:r>
          </w:p>
        </w:tc>
        <w:tc>
          <w:tcPr>
            <w:tcW w:w="1020" w:type="dxa"/>
            <w:tcBorders>
              <w:top w:val="nil"/>
              <w:left w:val="single" w:sz="4" w:space="0" w:color="000000"/>
              <w:bottom w:val="dotted" w:sz="4" w:space="0" w:color="000000"/>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-0.4</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-1.0</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-0.8</w:t>
            </w:r>
          </w:p>
        </w:tc>
        <w:tc>
          <w:tcPr>
            <w:tcW w:w="1020" w:type="dxa"/>
            <w:tcBorders>
              <w:top w:val="nil"/>
              <w:left w:val="nil"/>
              <w:bottom w:val="dotted" w:sz="4"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-1.2</w:t>
            </w:r>
          </w:p>
        </w:tc>
        <w:tc>
          <w:tcPr>
            <w:tcW w:w="1020" w:type="dxa"/>
            <w:tcBorders>
              <w:top w:val="nil"/>
              <w:left w:val="nil"/>
              <w:bottom w:val="dotted" w:sz="4" w:space="0" w:color="000000"/>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-0.6</w:t>
            </w:r>
          </w:p>
        </w:tc>
      </w:tr>
      <w:tr w:rsidR="005336CF" w:rsidRPr="005336CF" w:rsidTr="005336CF">
        <w:trPr>
          <w:trHeight w:val="266"/>
        </w:trPr>
        <w:tc>
          <w:tcPr>
            <w:tcW w:w="4080" w:type="dxa"/>
            <w:tcBorders>
              <w:top w:val="nil"/>
              <w:left w:val="double" w:sz="6" w:space="0" w:color="000000"/>
              <w:bottom w:val="double" w:sz="6" w:space="0" w:color="000000"/>
              <w:right w:val="nil"/>
            </w:tcBorders>
            <w:shd w:val="clear" w:color="000000" w:fill="FFFFFF"/>
            <w:vAlign w:val="bottom"/>
            <w:hideMark/>
          </w:tcPr>
          <w:p w:rsidR="005336CF" w:rsidRPr="005336CF" w:rsidRDefault="005336CF" w:rsidP="005336CF">
            <w:pPr>
              <w:spacing w:after="0"/>
              <w:jc w:val="left"/>
              <w:rPr>
                <w:rFonts w:eastAsia="Times New Roman" w:cs="Times New Roman"/>
                <w:sz w:val="20"/>
                <w:szCs w:val="20"/>
              </w:rPr>
            </w:pPr>
            <w:r w:rsidRPr="005336CF">
              <w:rPr>
                <w:rFonts w:eastAsia="Times New Roman" w:cs="Times New Roman"/>
                <w:sz w:val="20"/>
                <w:szCs w:val="20"/>
              </w:rPr>
              <w:t xml:space="preserve">   10. Structural balance (8-4)</w:t>
            </w:r>
          </w:p>
        </w:tc>
        <w:tc>
          <w:tcPr>
            <w:tcW w:w="1020" w:type="dxa"/>
            <w:tcBorders>
              <w:top w:val="nil"/>
              <w:left w:val="single" w:sz="4" w:space="0" w:color="000000"/>
              <w:bottom w:val="double" w:sz="6" w:space="0" w:color="000000"/>
              <w:right w:val="single" w:sz="4" w:space="0" w:color="000000"/>
            </w:tcBorders>
            <w:shd w:val="clear" w:color="000000" w:fill="FFFFFF"/>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 </w:t>
            </w:r>
          </w:p>
        </w:tc>
        <w:tc>
          <w:tcPr>
            <w:tcW w:w="1260" w:type="dxa"/>
            <w:tcBorders>
              <w:top w:val="nil"/>
              <w:left w:val="nil"/>
              <w:bottom w:val="double" w:sz="6"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-2.0</w:t>
            </w:r>
          </w:p>
        </w:tc>
        <w:tc>
          <w:tcPr>
            <w:tcW w:w="1020" w:type="dxa"/>
            <w:tcBorders>
              <w:top w:val="nil"/>
              <w:left w:val="nil"/>
              <w:bottom w:val="double" w:sz="6"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-2.3</w:t>
            </w:r>
          </w:p>
        </w:tc>
        <w:tc>
          <w:tcPr>
            <w:tcW w:w="1020" w:type="dxa"/>
            <w:tcBorders>
              <w:top w:val="nil"/>
              <w:left w:val="nil"/>
              <w:bottom w:val="double" w:sz="6"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-1.4</w:t>
            </w:r>
          </w:p>
        </w:tc>
        <w:tc>
          <w:tcPr>
            <w:tcW w:w="1020" w:type="dxa"/>
            <w:tcBorders>
              <w:top w:val="nil"/>
              <w:left w:val="nil"/>
              <w:bottom w:val="double" w:sz="6" w:space="0" w:color="000000"/>
              <w:right w:val="dotted" w:sz="4"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-1.6</w:t>
            </w:r>
          </w:p>
        </w:tc>
        <w:tc>
          <w:tcPr>
            <w:tcW w:w="1020" w:type="dxa"/>
            <w:tcBorders>
              <w:top w:val="nil"/>
              <w:left w:val="nil"/>
              <w:bottom w:val="double" w:sz="6" w:space="0" w:color="000000"/>
              <w:right w:val="double" w:sz="6" w:space="0" w:color="000000"/>
            </w:tcBorders>
            <w:shd w:val="clear" w:color="auto" w:fill="auto"/>
            <w:vAlign w:val="bottom"/>
            <w:hideMark/>
          </w:tcPr>
          <w:p w:rsidR="005336CF" w:rsidRPr="005336CF" w:rsidRDefault="005336CF" w:rsidP="005336CF">
            <w:pPr>
              <w:spacing w:after="0"/>
              <w:jc w:val="center"/>
              <w:rPr>
                <w:rFonts w:eastAsia="Times New Roman" w:cs="Times New Roman"/>
                <w:sz w:val="20"/>
                <w:szCs w:val="20"/>
              </w:rPr>
            </w:pPr>
            <w:r w:rsidRPr="005336CF">
              <w:rPr>
                <w:rFonts w:eastAsia="Times New Roman" w:cs="Times New Roman"/>
                <w:sz w:val="20"/>
                <w:szCs w:val="20"/>
              </w:rPr>
              <w:t>-1.7</w:t>
            </w:r>
          </w:p>
        </w:tc>
      </w:tr>
    </w:tbl>
    <w:p w:rsidR="009A3085" w:rsidRDefault="005336CF" w:rsidP="007A0CEC">
      <w:pPr>
        <w:spacing w:after="0"/>
        <w:jc w:val="left"/>
        <w:rPr>
          <w:rFonts w:cs="Times New Roman"/>
          <w:szCs w:val="24"/>
          <w:lang w:val="sr-Latn-RS"/>
        </w:rPr>
      </w:pPr>
      <w:r>
        <w:rPr>
          <w:rFonts w:cs="Times New Roman"/>
          <w:szCs w:val="24"/>
          <w:lang w:val="sr-Latn-RS"/>
        </w:rPr>
        <w:fldChar w:fldCharType="end"/>
      </w:r>
    </w:p>
    <w:p w:rsidR="005336CF" w:rsidRPr="005336CF" w:rsidRDefault="005336CF" w:rsidP="007A0CEC">
      <w:pPr>
        <w:spacing w:after="0"/>
        <w:jc w:val="left"/>
        <w:rPr>
          <w:rFonts w:cs="Times New Roman"/>
          <w:sz w:val="20"/>
          <w:szCs w:val="20"/>
          <w:lang w:val="sr-Latn-RS"/>
        </w:rPr>
      </w:pPr>
      <w:r w:rsidRPr="005336CF">
        <w:rPr>
          <w:rFonts w:cs="Times New Roman"/>
          <w:sz w:val="20"/>
          <w:szCs w:val="20"/>
          <w:lang w:val="sr-Latn-RS"/>
        </w:rPr>
        <w:t>[1] A plus sign means deficit-reducing one-off measures</w:t>
      </w:r>
    </w:p>
    <w:p w:rsidR="005336CF" w:rsidRDefault="005336CF" w:rsidP="007A0CEC">
      <w:pPr>
        <w:spacing w:after="0"/>
        <w:jc w:val="left"/>
        <w:rPr>
          <w:rFonts w:cs="Times New Roman"/>
          <w:szCs w:val="24"/>
          <w:lang w:val="sr-Latn-RS"/>
        </w:rPr>
      </w:pPr>
    </w:p>
    <w:p w:rsidR="00115584" w:rsidRDefault="00115584" w:rsidP="007A0CEC">
      <w:pPr>
        <w:spacing w:after="0"/>
        <w:jc w:val="left"/>
        <w:rPr>
          <w:rFonts w:cs="Times New Roman"/>
          <w:szCs w:val="24"/>
          <w:lang w:val="sr-Latn-RS"/>
        </w:rPr>
      </w:pPr>
      <w:r w:rsidRPr="00115584">
        <w:rPr>
          <w:rFonts w:cs="Times New Roman"/>
          <w:szCs w:val="24"/>
          <w:lang w:val="sr-Latn-RS"/>
        </w:rPr>
        <w:lastRenderedPageBreak/>
        <w:t>Table 6:  Divergence from previous programme</w:t>
      </w:r>
    </w:p>
    <w:p w:rsidR="00115584" w:rsidRDefault="00115584" w:rsidP="007A0CEC">
      <w:pPr>
        <w:spacing w:after="0"/>
        <w:jc w:val="left"/>
        <w:rPr>
          <w:rFonts w:cs="Times New Roman"/>
          <w:szCs w:val="24"/>
          <w:lang w:val="sr-Latn-RS"/>
        </w:rPr>
      </w:pPr>
    </w:p>
    <w:p w:rsidR="00115584" w:rsidRDefault="00115584"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"data!R221C2:R224C9" \a \f 4 \h </w:instrText>
      </w:r>
      <w:r w:rsidR="008F0F2C">
        <w:rPr>
          <w:lang w:val="sr-Latn-RS"/>
        </w:rPr>
        <w:instrText xml:space="preserve"> \* MERGEFORMAT </w:instrText>
      </w:r>
      <w:r>
        <w:rPr>
          <w:lang w:val="sr-Latn-RS"/>
        </w:rPr>
        <w:fldChar w:fldCharType="separate"/>
      </w:r>
    </w:p>
    <w:tbl>
      <w:tblPr>
        <w:tblW w:w="14133" w:type="dxa"/>
        <w:tblLook w:val="04A0" w:firstRow="1" w:lastRow="0" w:firstColumn="1" w:lastColumn="0" w:noHBand="0" w:noVBand="1"/>
      </w:tblPr>
      <w:tblGrid>
        <w:gridCol w:w="5107"/>
        <w:gridCol w:w="1275"/>
        <w:gridCol w:w="1732"/>
        <w:gridCol w:w="1215"/>
        <w:gridCol w:w="1267"/>
        <w:gridCol w:w="1179"/>
        <w:gridCol w:w="1179"/>
        <w:gridCol w:w="1179"/>
      </w:tblGrid>
      <w:tr w:rsidR="00115584" w:rsidRPr="00115584" w:rsidTr="008F0F2C">
        <w:trPr>
          <w:trHeight w:val="233"/>
        </w:trPr>
        <w:tc>
          <w:tcPr>
            <w:tcW w:w="5107" w:type="dxa"/>
            <w:tcBorders>
              <w:top w:val="double" w:sz="6" w:space="0" w:color="auto"/>
              <w:left w:val="double" w:sz="6" w:space="0" w:color="auto"/>
              <w:bottom w:val="double" w:sz="6" w:space="0" w:color="auto"/>
              <w:right w:val="nil"/>
            </w:tcBorders>
            <w:shd w:val="clear" w:color="auto" w:fill="auto"/>
            <w:noWrap/>
            <w:vAlign w:val="center"/>
            <w:hideMark/>
          </w:tcPr>
          <w:p w:rsidR="00115584" w:rsidRPr="00115584" w:rsidRDefault="00115584" w:rsidP="00115584">
            <w:pPr>
              <w:spacing w:after="0"/>
              <w:jc w:val="left"/>
              <w:rPr>
                <w:rFonts w:eastAsia="Times New Roman" w:cs="Times New Roman"/>
                <w:b/>
                <w:bCs/>
                <w:sz w:val="20"/>
                <w:szCs w:val="20"/>
              </w:rPr>
            </w:pPr>
            <w:r w:rsidRPr="00115584">
              <w:rPr>
                <w:rFonts w:eastAsia="Times New Roman" w:cs="Times New Roman"/>
                <w:b/>
                <w:bCs/>
                <w:sz w:val="20"/>
                <w:szCs w:val="20"/>
              </w:rPr>
              <w:t>Table 6:  Divergence from previous programme</w:t>
            </w:r>
          </w:p>
        </w:tc>
        <w:tc>
          <w:tcPr>
            <w:tcW w:w="1275" w:type="dxa"/>
            <w:tcBorders>
              <w:top w:val="double" w:sz="6" w:space="0" w:color="auto"/>
              <w:left w:val="single" w:sz="8" w:space="0" w:color="auto"/>
              <w:bottom w:val="double" w:sz="6" w:space="0" w:color="auto"/>
              <w:right w:val="nil"/>
            </w:tcBorders>
            <w:shd w:val="clear" w:color="auto" w:fill="auto"/>
            <w:noWrap/>
            <w:vAlign w:val="center"/>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 </w:t>
            </w:r>
          </w:p>
        </w:tc>
        <w:tc>
          <w:tcPr>
            <w:tcW w:w="1732" w:type="dxa"/>
            <w:tcBorders>
              <w:top w:val="double" w:sz="6" w:space="0" w:color="auto"/>
              <w:left w:val="nil"/>
              <w:bottom w:val="double" w:sz="6" w:space="0" w:color="auto"/>
              <w:right w:val="single" w:sz="8" w:space="0" w:color="auto"/>
            </w:tcBorders>
            <w:shd w:val="clear" w:color="auto" w:fill="auto"/>
            <w:noWrap/>
            <w:vAlign w:val="center"/>
            <w:hideMark/>
          </w:tcPr>
          <w:p w:rsidR="00115584" w:rsidRPr="00115584" w:rsidRDefault="00115584" w:rsidP="00115584">
            <w:pPr>
              <w:spacing w:after="0"/>
              <w:jc w:val="right"/>
              <w:rPr>
                <w:rFonts w:eastAsia="Times New Roman" w:cs="Times New Roman"/>
                <w:b/>
                <w:bCs/>
                <w:sz w:val="20"/>
                <w:szCs w:val="20"/>
              </w:rPr>
            </w:pPr>
            <w:r w:rsidRPr="00115584">
              <w:rPr>
                <w:rFonts w:eastAsia="Times New Roman" w:cs="Times New Roman"/>
                <w:b/>
                <w:bCs/>
                <w:sz w:val="20"/>
                <w:szCs w:val="20"/>
              </w:rPr>
              <w:t> </w:t>
            </w:r>
          </w:p>
        </w:tc>
        <w:tc>
          <w:tcPr>
            <w:tcW w:w="1215" w:type="dxa"/>
            <w:tcBorders>
              <w:top w:val="double" w:sz="6" w:space="0" w:color="auto"/>
              <w:left w:val="nil"/>
              <w:bottom w:val="double" w:sz="6" w:space="0" w:color="auto"/>
              <w:right w:val="dashed" w:sz="4" w:space="0" w:color="auto"/>
            </w:tcBorders>
            <w:shd w:val="clear" w:color="auto" w:fill="auto"/>
            <w:noWrap/>
            <w:vAlign w:val="center"/>
            <w:hideMark/>
          </w:tcPr>
          <w:p w:rsidR="00115584" w:rsidRPr="00115584" w:rsidRDefault="00115584" w:rsidP="00115584">
            <w:pPr>
              <w:spacing w:after="0"/>
              <w:jc w:val="right"/>
              <w:rPr>
                <w:rFonts w:eastAsia="Times New Roman" w:cs="Times New Roman"/>
                <w:b/>
                <w:bCs/>
                <w:sz w:val="20"/>
                <w:szCs w:val="20"/>
              </w:rPr>
            </w:pPr>
            <w:r w:rsidRPr="00115584">
              <w:rPr>
                <w:rFonts w:eastAsia="Times New Roman" w:cs="Times New Roman"/>
                <w:b/>
                <w:bCs/>
                <w:sz w:val="20"/>
                <w:szCs w:val="20"/>
              </w:rPr>
              <w:t>2024</w:t>
            </w:r>
          </w:p>
        </w:tc>
        <w:tc>
          <w:tcPr>
            <w:tcW w:w="1267" w:type="dxa"/>
            <w:tcBorders>
              <w:top w:val="double" w:sz="6" w:space="0" w:color="auto"/>
              <w:left w:val="nil"/>
              <w:bottom w:val="double" w:sz="6" w:space="0" w:color="auto"/>
              <w:right w:val="dashed" w:sz="4" w:space="0" w:color="auto"/>
            </w:tcBorders>
            <w:shd w:val="clear" w:color="auto" w:fill="auto"/>
            <w:noWrap/>
            <w:vAlign w:val="center"/>
            <w:hideMark/>
          </w:tcPr>
          <w:p w:rsidR="00115584" w:rsidRPr="00115584" w:rsidRDefault="00115584" w:rsidP="00115584">
            <w:pPr>
              <w:spacing w:after="0"/>
              <w:jc w:val="right"/>
              <w:rPr>
                <w:rFonts w:eastAsia="Times New Roman" w:cs="Times New Roman"/>
                <w:b/>
                <w:bCs/>
                <w:sz w:val="20"/>
                <w:szCs w:val="20"/>
              </w:rPr>
            </w:pPr>
            <w:r w:rsidRPr="00115584">
              <w:rPr>
                <w:rFonts w:eastAsia="Times New Roman" w:cs="Times New Roman"/>
                <w:b/>
                <w:bCs/>
                <w:sz w:val="20"/>
                <w:szCs w:val="20"/>
              </w:rPr>
              <w:t>2025</w:t>
            </w:r>
          </w:p>
        </w:tc>
        <w:tc>
          <w:tcPr>
            <w:tcW w:w="1179" w:type="dxa"/>
            <w:tcBorders>
              <w:top w:val="double" w:sz="6" w:space="0" w:color="auto"/>
              <w:left w:val="nil"/>
              <w:bottom w:val="double" w:sz="6" w:space="0" w:color="auto"/>
              <w:right w:val="dashed" w:sz="4" w:space="0" w:color="auto"/>
            </w:tcBorders>
            <w:shd w:val="clear" w:color="auto" w:fill="auto"/>
            <w:noWrap/>
            <w:vAlign w:val="center"/>
            <w:hideMark/>
          </w:tcPr>
          <w:p w:rsidR="00115584" w:rsidRPr="00115584" w:rsidRDefault="00115584" w:rsidP="00115584">
            <w:pPr>
              <w:spacing w:after="0"/>
              <w:jc w:val="right"/>
              <w:rPr>
                <w:rFonts w:eastAsia="Times New Roman" w:cs="Times New Roman"/>
                <w:b/>
                <w:bCs/>
                <w:sz w:val="20"/>
                <w:szCs w:val="20"/>
              </w:rPr>
            </w:pPr>
            <w:r w:rsidRPr="00115584">
              <w:rPr>
                <w:rFonts w:eastAsia="Times New Roman" w:cs="Times New Roman"/>
                <w:b/>
                <w:bCs/>
                <w:sz w:val="20"/>
                <w:szCs w:val="20"/>
              </w:rPr>
              <w:t>2026</w:t>
            </w:r>
          </w:p>
        </w:tc>
        <w:tc>
          <w:tcPr>
            <w:tcW w:w="1179" w:type="dxa"/>
            <w:tcBorders>
              <w:top w:val="double" w:sz="6" w:space="0" w:color="auto"/>
              <w:left w:val="nil"/>
              <w:bottom w:val="double" w:sz="6" w:space="0" w:color="auto"/>
              <w:right w:val="dashed" w:sz="4" w:space="0" w:color="auto"/>
            </w:tcBorders>
            <w:shd w:val="clear" w:color="auto" w:fill="auto"/>
            <w:noWrap/>
            <w:vAlign w:val="center"/>
            <w:hideMark/>
          </w:tcPr>
          <w:p w:rsidR="00115584" w:rsidRPr="00115584" w:rsidRDefault="00115584" w:rsidP="00115584">
            <w:pPr>
              <w:spacing w:after="0"/>
              <w:jc w:val="right"/>
              <w:rPr>
                <w:rFonts w:eastAsia="Times New Roman" w:cs="Times New Roman"/>
                <w:b/>
                <w:bCs/>
                <w:sz w:val="20"/>
                <w:szCs w:val="20"/>
              </w:rPr>
            </w:pPr>
            <w:r w:rsidRPr="00115584">
              <w:rPr>
                <w:rFonts w:eastAsia="Times New Roman" w:cs="Times New Roman"/>
                <w:b/>
                <w:bCs/>
                <w:sz w:val="20"/>
                <w:szCs w:val="20"/>
              </w:rPr>
              <w:t>2027</w:t>
            </w:r>
          </w:p>
        </w:tc>
        <w:tc>
          <w:tcPr>
            <w:tcW w:w="1179" w:type="dxa"/>
            <w:tcBorders>
              <w:top w:val="double" w:sz="6" w:space="0" w:color="auto"/>
              <w:left w:val="nil"/>
              <w:bottom w:val="double" w:sz="6" w:space="0" w:color="auto"/>
              <w:right w:val="double" w:sz="6" w:space="0" w:color="auto"/>
            </w:tcBorders>
            <w:shd w:val="clear" w:color="auto" w:fill="auto"/>
            <w:noWrap/>
            <w:vAlign w:val="center"/>
            <w:hideMark/>
          </w:tcPr>
          <w:p w:rsidR="00115584" w:rsidRPr="00115584" w:rsidRDefault="00115584" w:rsidP="00115584">
            <w:pPr>
              <w:spacing w:after="0"/>
              <w:jc w:val="right"/>
              <w:rPr>
                <w:rFonts w:eastAsia="Times New Roman" w:cs="Times New Roman"/>
                <w:b/>
                <w:bCs/>
                <w:sz w:val="20"/>
                <w:szCs w:val="20"/>
              </w:rPr>
            </w:pPr>
            <w:r w:rsidRPr="00115584">
              <w:rPr>
                <w:rFonts w:eastAsia="Times New Roman" w:cs="Times New Roman"/>
                <w:b/>
                <w:bCs/>
                <w:sz w:val="20"/>
                <w:szCs w:val="20"/>
              </w:rPr>
              <w:t>2028</w:t>
            </w:r>
          </w:p>
        </w:tc>
      </w:tr>
      <w:tr w:rsidR="00115584" w:rsidRPr="00115584" w:rsidTr="008F0F2C">
        <w:trPr>
          <w:trHeight w:val="226"/>
        </w:trPr>
        <w:tc>
          <w:tcPr>
            <w:tcW w:w="5107" w:type="dxa"/>
            <w:tcBorders>
              <w:top w:val="nil"/>
              <w:left w:val="double" w:sz="6" w:space="0" w:color="auto"/>
              <w:bottom w:val="dashed" w:sz="4" w:space="0" w:color="auto"/>
              <w:right w:val="nil"/>
            </w:tcBorders>
            <w:shd w:val="clear" w:color="auto" w:fill="auto"/>
            <w:hideMark/>
          </w:tcPr>
          <w:p w:rsidR="00115584" w:rsidRPr="00115584" w:rsidRDefault="00115584" w:rsidP="00115584">
            <w:pPr>
              <w:spacing w:after="0"/>
              <w:jc w:val="left"/>
              <w:rPr>
                <w:rFonts w:eastAsia="Times New Roman" w:cs="Times New Roman"/>
                <w:sz w:val="20"/>
                <w:szCs w:val="20"/>
              </w:rPr>
            </w:pPr>
            <w:r w:rsidRPr="00115584">
              <w:rPr>
                <w:rFonts w:eastAsia="Times New Roman" w:cs="Times New Roman"/>
                <w:sz w:val="20"/>
                <w:szCs w:val="20"/>
              </w:rPr>
              <w:t>1. GDP growth</w:t>
            </w:r>
          </w:p>
        </w:tc>
        <w:tc>
          <w:tcPr>
            <w:tcW w:w="3007" w:type="dxa"/>
            <w:gridSpan w:val="2"/>
            <w:tcBorders>
              <w:top w:val="double" w:sz="6" w:space="0" w:color="auto"/>
              <w:left w:val="single" w:sz="8" w:space="0" w:color="auto"/>
              <w:bottom w:val="dashed" w:sz="4" w:space="0" w:color="auto"/>
              <w:right w:val="single" w:sz="8" w:space="0" w:color="000000"/>
            </w:tcBorders>
            <w:shd w:val="clear" w:color="auto" w:fill="auto"/>
            <w:noWrap/>
            <w:hideMark/>
          </w:tcPr>
          <w:p w:rsidR="00115584" w:rsidRPr="00115584" w:rsidRDefault="00115584" w:rsidP="00115584">
            <w:pPr>
              <w:spacing w:after="0"/>
              <w:jc w:val="left"/>
              <w:rPr>
                <w:rFonts w:eastAsia="Times New Roman" w:cs="Times New Roman"/>
                <w:sz w:val="20"/>
                <w:szCs w:val="20"/>
              </w:rPr>
            </w:pPr>
            <w:r w:rsidRPr="00115584">
              <w:rPr>
                <w:rFonts w:eastAsia="Times New Roman" w:cs="Times New Roman"/>
                <w:sz w:val="20"/>
                <w:szCs w:val="20"/>
              </w:rPr>
              <w:t>%, yoy, previous programme</w:t>
            </w:r>
          </w:p>
        </w:tc>
        <w:tc>
          <w:tcPr>
            <w:tcW w:w="1215" w:type="dxa"/>
            <w:tcBorders>
              <w:top w:val="nil"/>
              <w:left w:val="nil"/>
              <w:bottom w:val="dotted" w:sz="4"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3.8</w:t>
            </w:r>
          </w:p>
        </w:tc>
        <w:tc>
          <w:tcPr>
            <w:tcW w:w="1267" w:type="dxa"/>
            <w:tcBorders>
              <w:top w:val="nil"/>
              <w:left w:val="nil"/>
              <w:bottom w:val="dotted" w:sz="4"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4.2</w:t>
            </w:r>
          </w:p>
        </w:tc>
        <w:tc>
          <w:tcPr>
            <w:tcW w:w="1179" w:type="dxa"/>
            <w:tcBorders>
              <w:top w:val="nil"/>
              <w:left w:val="nil"/>
              <w:bottom w:val="dotted" w:sz="4"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4.0</w:t>
            </w:r>
          </w:p>
        </w:tc>
        <w:tc>
          <w:tcPr>
            <w:tcW w:w="1179" w:type="dxa"/>
            <w:tcBorders>
              <w:top w:val="nil"/>
              <w:left w:val="nil"/>
              <w:bottom w:val="dotted" w:sz="4"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5.0</w:t>
            </w:r>
          </w:p>
        </w:tc>
        <w:tc>
          <w:tcPr>
            <w:tcW w:w="1179" w:type="dxa"/>
            <w:tcBorders>
              <w:top w:val="nil"/>
              <w:left w:val="nil"/>
              <w:bottom w:val="dotted" w:sz="4" w:space="0" w:color="auto"/>
              <w:right w:val="double" w:sz="6"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 </w:t>
            </w:r>
          </w:p>
        </w:tc>
      </w:tr>
      <w:tr w:rsidR="00115584" w:rsidRPr="00115584" w:rsidTr="008F0F2C">
        <w:trPr>
          <w:trHeight w:val="219"/>
        </w:trPr>
        <w:tc>
          <w:tcPr>
            <w:tcW w:w="5107" w:type="dxa"/>
            <w:tcBorders>
              <w:top w:val="nil"/>
              <w:left w:val="double" w:sz="6" w:space="0" w:color="auto"/>
              <w:bottom w:val="dashed" w:sz="4" w:space="0" w:color="auto"/>
              <w:right w:val="nil"/>
            </w:tcBorders>
            <w:shd w:val="clear" w:color="auto" w:fill="auto"/>
            <w:noWrap/>
            <w:hideMark/>
          </w:tcPr>
          <w:p w:rsidR="00115584" w:rsidRPr="00115584" w:rsidRDefault="00115584" w:rsidP="00115584">
            <w:pPr>
              <w:spacing w:after="0"/>
              <w:jc w:val="left"/>
              <w:rPr>
                <w:rFonts w:eastAsia="Times New Roman" w:cs="Times New Roman"/>
                <w:sz w:val="20"/>
                <w:szCs w:val="20"/>
              </w:rPr>
            </w:pPr>
            <w:r w:rsidRPr="00115584">
              <w:rPr>
                <w:rFonts w:eastAsia="Times New Roman" w:cs="Times New Roman"/>
                <w:sz w:val="20"/>
                <w:szCs w:val="20"/>
              </w:rPr>
              <w:t>2. General government net lending</w:t>
            </w:r>
          </w:p>
        </w:tc>
        <w:tc>
          <w:tcPr>
            <w:tcW w:w="3007" w:type="dxa"/>
            <w:gridSpan w:val="2"/>
            <w:tcBorders>
              <w:top w:val="dashed" w:sz="4" w:space="0" w:color="auto"/>
              <w:left w:val="single" w:sz="8" w:space="0" w:color="auto"/>
              <w:bottom w:val="dashed" w:sz="4" w:space="0" w:color="auto"/>
              <w:right w:val="single" w:sz="8" w:space="0" w:color="000000"/>
            </w:tcBorders>
            <w:shd w:val="clear" w:color="auto" w:fill="auto"/>
            <w:noWrap/>
            <w:hideMark/>
          </w:tcPr>
          <w:p w:rsidR="00115584" w:rsidRPr="00115584" w:rsidRDefault="00115584" w:rsidP="00115584">
            <w:pPr>
              <w:spacing w:after="0"/>
              <w:jc w:val="left"/>
              <w:rPr>
                <w:rFonts w:eastAsia="Times New Roman" w:cs="Times New Roman"/>
                <w:sz w:val="20"/>
                <w:szCs w:val="20"/>
              </w:rPr>
            </w:pPr>
            <w:r w:rsidRPr="00115584">
              <w:rPr>
                <w:rFonts w:eastAsia="Times New Roman" w:cs="Times New Roman"/>
                <w:sz w:val="20"/>
                <w:szCs w:val="20"/>
              </w:rPr>
              <w:t>% of GDP, previous programme</w:t>
            </w:r>
          </w:p>
        </w:tc>
        <w:tc>
          <w:tcPr>
            <w:tcW w:w="1215" w:type="dxa"/>
            <w:tcBorders>
              <w:top w:val="nil"/>
              <w:left w:val="nil"/>
              <w:bottom w:val="dashed" w:sz="4"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-2.7</w:t>
            </w:r>
          </w:p>
        </w:tc>
        <w:tc>
          <w:tcPr>
            <w:tcW w:w="1267" w:type="dxa"/>
            <w:tcBorders>
              <w:top w:val="nil"/>
              <w:left w:val="nil"/>
              <w:bottom w:val="dashed" w:sz="4"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-3.0</w:t>
            </w:r>
          </w:p>
        </w:tc>
        <w:tc>
          <w:tcPr>
            <w:tcW w:w="1179" w:type="dxa"/>
            <w:tcBorders>
              <w:top w:val="nil"/>
              <w:left w:val="nil"/>
              <w:bottom w:val="dashed" w:sz="4"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-3.0</w:t>
            </w:r>
          </w:p>
        </w:tc>
        <w:tc>
          <w:tcPr>
            <w:tcW w:w="1179" w:type="dxa"/>
            <w:tcBorders>
              <w:top w:val="nil"/>
              <w:left w:val="nil"/>
              <w:bottom w:val="dashed" w:sz="4"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-3.0</w:t>
            </w:r>
          </w:p>
        </w:tc>
        <w:tc>
          <w:tcPr>
            <w:tcW w:w="1179" w:type="dxa"/>
            <w:tcBorders>
              <w:top w:val="nil"/>
              <w:left w:val="nil"/>
              <w:bottom w:val="dashed" w:sz="4" w:space="0" w:color="auto"/>
              <w:right w:val="double" w:sz="6"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 </w:t>
            </w:r>
          </w:p>
        </w:tc>
      </w:tr>
      <w:tr w:rsidR="00115584" w:rsidRPr="00115584" w:rsidTr="008F0F2C">
        <w:trPr>
          <w:trHeight w:val="226"/>
        </w:trPr>
        <w:tc>
          <w:tcPr>
            <w:tcW w:w="5107" w:type="dxa"/>
            <w:tcBorders>
              <w:top w:val="nil"/>
              <w:left w:val="double" w:sz="6" w:space="0" w:color="auto"/>
              <w:bottom w:val="double" w:sz="6" w:space="0" w:color="auto"/>
              <w:right w:val="nil"/>
            </w:tcBorders>
            <w:shd w:val="clear" w:color="auto" w:fill="auto"/>
            <w:noWrap/>
            <w:hideMark/>
          </w:tcPr>
          <w:p w:rsidR="00115584" w:rsidRPr="00115584" w:rsidRDefault="00115584" w:rsidP="00115584">
            <w:pPr>
              <w:spacing w:after="0"/>
              <w:jc w:val="left"/>
              <w:rPr>
                <w:rFonts w:eastAsia="Times New Roman" w:cs="Times New Roman"/>
                <w:sz w:val="20"/>
                <w:szCs w:val="20"/>
              </w:rPr>
            </w:pPr>
            <w:r w:rsidRPr="00115584">
              <w:rPr>
                <w:rFonts w:eastAsia="Times New Roman" w:cs="Times New Roman"/>
                <w:sz w:val="20"/>
                <w:szCs w:val="20"/>
              </w:rPr>
              <w:t>3. General government gross debt</w:t>
            </w:r>
          </w:p>
        </w:tc>
        <w:tc>
          <w:tcPr>
            <w:tcW w:w="3007" w:type="dxa"/>
            <w:gridSpan w:val="2"/>
            <w:tcBorders>
              <w:top w:val="nil"/>
              <w:left w:val="single" w:sz="8" w:space="0" w:color="auto"/>
              <w:bottom w:val="double" w:sz="6" w:space="0" w:color="auto"/>
              <w:right w:val="single" w:sz="8" w:space="0" w:color="000000"/>
            </w:tcBorders>
            <w:shd w:val="clear" w:color="auto" w:fill="auto"/>
            <w:noWrap/>
            <w:hideMark/>
          </w:tcPr>
          <w:p w:rsidR="00115584" w:rsidRPr="00115584" w:rsidRDefault="00115584" w:rsidP="00115584">
            <w:pPr>
              <w:spacing w:after="0"/>
              <w:jc w:val="left"/>
              <w:rPr>
                <w:rFonts w:eastAsia="Times New Roman" w:cs="Times New Roman"/>
                <w:sz w:val="20"/>
                <w:szCs w:val="20"/>
              </w:rPr>
            </w:pPr>
            <w:r w:rsidRPr="00115584">
              <w:rPr>
                <w:rFonts w:eastAsia="Times New Roman" w:cs="Times New Roman"/>
                <w:sz w:val="20"/>
                <w:szCs w:val="20"/>
              </w:rPr>
              <w:t>% of GDP, previous programme</w:t>
            </w:r>
          </w:p>
        </w:tc>
        <w:tc>
          <w:tcPr>
            <w:tcW w:w="1215" w:type="dxa"/>
            <w:tcBorders>
              <w:top w:val="nil"/>
              <w:left w:val="nil"/>
              <w:bottom w:val="double" w:sz="6"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47.9</w:t>
            </w:r>
          </w:p>
        </w:tc>
        <w:tc>
          <w:tcPr>
            <w:tcW w:w="1267" w:type="dxa"/>
            <w:tcBorders>
              <w:top w:val="nil"/>
              <w:left w:val="nil"/>
              <w:bottom w:val="double" w:sz="6"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47.5</w:t>
            </w:r>
          </w:p>
        </w:tc>
        <w:tc>
          <w:tcPr>
            <w:tcW w:w="1179" w:type="dxa"/>
            <w:tcBorders>
              <w:top w:val="nil"/>
              <w:left w:val="nil"/>
              <w:bottom w:val="double" w:sz="6"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47.0</w:t>
            </w:r>
          </w:p>
        </w:tc>
        <w:tc>
          <w:tcPr>
            <w:tcW w:w="1179" w:type="dxa"/>
            <w:tcBorders>
              <w:top w:val="nil"/>
              <w:left w:val="nil"/>
              <w:bottom w:val="double" w:sz="6" w:space="0" w:color="auto"/>
              <w:right w:val="dotted" w:sz="4"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46.5</w:t>
            </w:r>
          </w:p>
        </w:tc>
        <w:tc>
          <w:tcPr>
            <w:tcW w:w="1179" w:type="dxa"/>
            <w:tcBorders>
              <w:top w:val="nil"/>
              <w:left w:val="nil"/>
              <w:bottom w:val="double" w:sz="6" w:space="0" w:color="auto"/>
              <w:right w:val="double" w:sz="6" w:space="0" w:color="auto"/>
            </w:tcBorders>
            <w:shd w:val="clear" w:color="auto" w:fill="auto"/>
            <w:hideMark/>
          </w:tcPr>
          <w:p w:rsidR="00115584" w:rsidRPr="00115584" w:rsidRDefault="00115584" w:rsidP="00115584">
            <w:pPr>
              <w:spacing w:after="0"/>
              <w:jc w:val="center"/>
              <w:rPr>
                <w:rFonts w:eastAsia="Times New Roman" w:cs="Times New Roman"/>
                <w:sz w:val="20"/>
                <w:szCs w:val="20"/>
              </w:rPr>
            </w:pPr>
            <w:r w:rsidRPr="00115584">
              <w:rPr>
                <w:rFonts w:eastAsia="Times New Roman" w:cs="Times New Roman"/>
                <w:sz w:val="20"/>
                <w:szCs w:val="20"/>
              </w:rPr>
              <w:t> </w:t>
            </w:r>
          </w:p>
        </w:tc>
      </w:tr>
    </w:tbl>
    <w:p w:rsidR="00115584" w:rsidRDefault="00115584" w:rsidP="007A0CEC">
      <w:pPr>
        <w:spacing w:after="0"/>
        <w:jc w:val="left"/>
        <w:rPr>
          <w:rFonts w:cs="Times New Roman"/>
          <w:szCs w:val="24"/>
          <w:lang w:val="sr-Latn-RS"/>
        </w:rPr>
      </w:pPr>
      <w:r>
        <w:rPr>
          <w:rFonts w:cs="Times New Roman"/>
          <w:szCs w:val="24"/>
          <w:lang w:val="sr-Latn-RS"/>
        </w:rPr>
        <w:fldChar w:fldCharType="end"/>
      </w:r>
    </w:p>
    <w:p w:rsidR="008F0F2C" w:rsidRDefault="008F0F2C"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"Tab6-Divergence!R4C2:R17C7" \a \f 4 \h  \* MERGEFORMAT </w:instrText>
      </w:r>
      <w:r>
        <w:rPr>
          <w:lang w:val="sr-Latn-RS"/>
        </w:rPr>
        <w:fldChar w:fldCharType="separate"/>
      </w:r>
    </w:p>
    <w:tbl>
      <w:tblPr>
        <w:tblW w:w="14155" w:type="dxa"/>
        <w:tblLook w:val="04A0" w:firstRow="1" w:lastRow="0" w:firstColumn="1" w:lastColumn="0" w:noHBand="0" w:noVBand="1"/>
      </w:tblPr>
      <w:tblGrid>
        <w:gridCol w:w="5960"/>
        <w:gridCol w:w="1639"/>
        <w:gridCol w:w="1639"/>
        <w:gridCol w:w="1639"/>
        <w:gridCol w:w="1639"/>
        <w:gridCol w:w="1639"/>
      </w:tblGrid>
      <w:tr w:rsidR="008F0F2C" w:rsidRPr="008F0F2C" w:rsidTr="008F0F2C">
        <w:trPr>
          <w:trHeight w:val="290"/>
        </w:trPr>
        <w:tc>
          <w:tcPr>
            <w:tcW w:w="5960" w:type="dxa"/>
            <w:vMerge w:val="restart"/>
            <w:tcBorders>
              <w:top w:val="double" w:sz="6" w:space="0" w:color="auto"/>
              <w:left w:val="double" w:sz="6" w:space="0" w:color="auto"/>
              <w:bottom w:val="single" w:sz="8" w:space="0" w:color="000000"/>
              <w:right w:val="single" w:sz="8"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 </w:t>
            </w:r>
          </w:p>
        </w:tc>
        <w:tc>
          <w:tcPr>
            <w:tcW w:w="1639" w:type="dxa"/>
            <w:tcBorders>
              <w:top w:val="double" w:sz="6" w:space="0" w:color="auto"/>
              <w:left w:val="nil"/>
              <w:bottom w:val="nil"/>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Year</w:t>
            </w:r>
          </w:p>
        </w:tc>
        <w:tc>
          <w:tcPr>
            <w:tcW w:w="1639" w:type="dxa"/>
            <w:tcBorders>
              <w:top w:val="double" w:sz="6" w:space="0" w:color="auto"/>
              <w:left w:val="nil"/>
              <w:bottom w:val="nil"/>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Year</w:t>
            </w:r>
          </w:p>
        </w:tc>
        <w:tc>
          <w:tcPr>
            <w:tcW w:w="1639" w:type="dxa"/>
            <w:tcBorders>
              <w:top w:val="double" w:sz="6" w:space="0" w:color="auto"/>
              <w:left w:val="nil"/>
              <w:bottom w:val="nil"/>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Year</w:t>
            </w:r>
          </w:p>
        </w:tc>
        <w:tc>
          <w:tcPr>
            <w:tcW w:w="1639" w:type="dxa"/>
            <w:tcBorders>
              <w:top w:val="double" w:sz="6" w:space="0" w:color="auto"/>
              <w:left w:val="nil"/>
              <w:bottom w:val="nil"/>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Year</w:t>
            </w:r>
          </w:p>
        </w:tc>
        <w:tc>
          <w:tcPr>
            <w:tcW w:w="1639" w:type="dxa"/>
            <w:tcBorders>
              <w:top w:val="double" w:sz="6" w:space="0" w:color="auto"/>
              <w:left w:val="nil"/>
              <w:bottom w:val="nil"/>
              <w:right w:val="double" w:sz="6"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Year</w:t>
            </w:r>
          </w:p>
        </w:tc>
      </w:tr>
      <w:tr w:rsidR="008F0F2C" w:rsidRPr="008F0F2C" w:rsidTr="008F0F2C">
        <w:trPr>
          <w:trHeight w:val="290"/>
        </w:trPr>
        <w:tc>
          <w:tcPr>
            <w:tcW w:w="5960" w:type="dxa"/>
            <w:vMerge/>
            <w:tcBorders>
              <w:top w:val="double" w:sz="6" w:space="0" w:color="auto"/>
              <w:left w:val="double" w:sz="6" w:space="0" w:color="auto"/>
              <w:bottom w:val="single" w:sz="8" w:space="0" w:color="000000"/>
              <w:right w:val="single" w:sz="8" w:space="0" w:color="auto"/>
            </w:tcBorders>
            <w:vAlign w:val="center"/>
            <w:hideMark/>
          </w:tcPr>
          <w:p w:rsidR="008F0F2C" w:rsidRPr="008F0F2C" w:rsidRDefault="008F0F2C" w:rsidP="008F0F2C">
            <w:pPr>
              <w:spacing w:after="0"/>
              <w:jc w:val="left"/>
              <w:rPr>
                <w:rFonts w:eastAsia="Times New Roman" w:cs="Times New Roman"/>
                <w:szCs w:val="24"/>
              </w:rPr>
            </w:pP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2024</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2025</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2026</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2027</w:t>
            </w:r>
          </w:p>
        </w:tc>
        <w:tc>
          <w:tcPr>
            <w:tcW w:w="1639" w:type="dxa"/>
            <w:tcBorders>
              <w:top w:val="nil"/>
              <w:left w:val="nil"/>
              <w:bottom w:val="single" w:sz="8" w:space="0" w:color="auto"/>
              <w:right w:val="double" w:sz="6"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2028</w:t>
            </w:r>
          </w:p>
        </w:tc>
      </w:tr>
      <w:tr w:rsidR="008F0F2C" w:rsidRPr="008F0F2C" w:rsidTr="008F0F2C">
        <w:trPr>
          <w:trHeight w:val="290"/>
        </w:trPr>
        <w:tc>
          <w:tcPr>
            <w:tcW w:w="14155" w:type="dxa"/>
            <w:gridSpan w:val="6"/>
            <w:tcBorders>
              <w:top w:val="single" w:sz="8" w:space="0" w:color="auto"/>
              <w:left w:val="double" w:sz="6" w:space="0" w:color="auto"/>
              <w:bottom w:val="single" w:sz="4" w:space="0" w:color="auto"/>
              <w:right w:val="double" w:sz="6" w:space="0" w:color="000000"/>
            </w:tcBorders>
            <w:shd w:val="clear" w:color="000000" w:fill="FFFFFF"/>
            <w:hideMark/>
          </w:tcPr>
          <w:p w:rsidR="008F0F2C" w:rsidRPr="008F0F2C" w:rsidRDefault="008F0F2C" w:rsidP="008F0F2C">
            <w:pPr>
              <w:spacing w:after="0"/>
              <w:jc w:val="center"/>
              <w:rPr>
                <w:rFonts w:eastAsia="Times New Roman" w:cs="Times New Roman"/>
                <w:b/>
                <w:bCs/>
                <w:szCs w:val="24"/>
              </w:rPr>
            </w:pPr>
            <w:r w:rsidRPr="008F0F2C">
              <w:rPr>
                <w:rFonts w:eastAsia="Times New Roman" w:cs="Times New Roman"/>
                <w:b/>
                <w:bCs/>
                <w:szCs w:val="24"/>
              </w:rPr>
              <w:t>1. GDP growth (%, yoy)</w:t>
            </w:r>
          </w:p>
        </w:tc>
      </w:tr>
      <w:tr w:rsidR="008F0F2C" w:rsidRPr="008F0F2C" w:rsidTr="008F0F2C">
        <w:trPr>
          <w:trHeight w:val="290"/>
        </w:trPr>
        <w:tc>
          <w:tcPr>
            <w:tcW w:w="5960" w:type="dxa"/>
            <w:tcBorders>
              <w:top w:val="nil"/>
              <w:left w:val="double" w:sz="6" w:space="0" w:color="auto"/>
              <w:bottom w:val="dotted" w:sz="4"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r w:rsidRPr="008F0F2C">
              <w:rPr>
                <w:rFonts w:eastAsia="Times New Roman" w:cs="Times New Roman"/>
                <w:szCs w:val="24"/>
              </w:rPr>
              <w:t>Previous programme</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3.8</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4.2</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4.0</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5.0</w:t>
            </w:r>
          </w:p>
        </w:tc>
        <w:tc>
          <w:tcPr>
            <w:tcW w:w="1639" w:type="dxa"/>
            <w:tcBorders>
              <w:top w:val="nil"/>
              <w:left w:val="nil"/>
              <w:bottom w:val="dotted" w:sz="4" w:space="0" w:color="auto"/>
              <w:right w:val="double" w:sz="6"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w:t>
            </w:r>
          </w:p>
        </w:tc>
      </w:tr>
      <w:tr w:rsidR="008F0F2C" w:rsidRPr="008F0F2C" w:rsidTr="008F0F2C">
        <w:trPr>
          <w:trHeight w:val="290"/>
        </w:trPr>
        <w:tc>
          <w:tcPr>
            <w:tcW w:w="5960" w:type="dxa"/>
            <w:tcBorders>
              <w:top w:val="nil"/>
              <w:left w:val="double" w:sz="6" w:space="0" w:color="auto"/>
              <w:bottom w:val="dotted" w:sz="4"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r w:rsidRPr="008F0F2C">
              <w:rPr>
                <w:rFonts w:eastAsia="Times New Roman" w:cs="Times New Roman"/>
                <w:szCs w:val="24"/>
              </w:rPr>
              <w:t>Latest update</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3.9</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2.3</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3.0</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5.0</w:t>
            </w:r>
          </w:p>
        </w:tc>
        <w:tc>
          <w:tcPr>
            <w:tcW w:w="1639" w:type="dxa"/>
            <w:tcBorders>
              <w:top w:val="nil"/>
              <w:left w:val="nil"/>
              <w:bottom w:val="dotted" w:sz="4" w:space="0" w:color="auto"/>
              <w:right w:val="double" w:sz="6"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3.5</w:t>
            </w:r>
          </w:p>
        </w:tc>
      </w:tr>
      <w:tr w:rsidR="008F0F2C" w:rsidRPr="008F0F2C" w:rsidTr="008F0F2C">
        <w:trPr>
          <w:trHeight w:val="290"/>
        </w:trPr>
        <w:tc>
          <w:tcPr>
            <w:tcW w:w="5960" w:type="dxa"/>
            <w:tcBorders>
              <w:top w:val="nil"/>
              <w:left w:val="double" w:sz="6" w:space="0" w:color="auto"/>
              <w:bottom w:val="single" w:sz="8"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r w:rsidRPr="008F0F2C">
              <w:rPr>
                <w:rFonts w:eastAsia="Times New Roman" w:cs="Times New Roman"/>
                <w:szCs w:val="24"/>
              </w:rPr>
              <w:t>Difference (percentage points)</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0.1</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-1.9</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-1.0</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0.0</w:t>
            </w:r>
          </w:p>
        </w:tc>
        <w:tc>
          <w:tcPr>
            <w:tcW w:w="1639" w:type="dxa"/>
            <w:tcBorders>
              <w:top w:val="nil"/>
              <w:left w:val="nil"/>
              <w:bottom w:val="single" w:sz="8" w:space="0" w:color="auto"/>
              <w:right w:val="double" w:sz="6"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w:t>
            </w:r>
          </w:p>
        </w:tc>
      </w:tr>
      <w:tr w:rsidR="008F0F2C" w:rsidRPr="008F0F2C" w:rsidTr="008F0F2C">
        <w:trPr>
          <w:trHeight w:val="290"/>
        </w:trPr>
        <w:tc>
          <w:tcPr>
            <w:tcW w:w="14155" w:type="dxa"/>
            <w:gridSpan w:val="6"/>
            <w:tcBorders>
              <w:top w:val="single" w:sz="8" w:space="0" w:color="auto"/>
              <w:left w:val="double" w:sz="6" w:space="0" w:color="auto"/>
              <w:bottom w:val="single" w:sz="4" w:space="0" w:color="auto"/>
              <w:right w:val="double" w:sz="6" w:space="0" w:color="000000"/>
            </w:tcBorders>
            <w:shd w:val="clear" w:color="000000" w:fill="FFFFFF"/>
            <w:hideMark/>
          </w:tcPr>
          <w:p w:rsidR="008F0F2C" w:rsidRPr="008F0F2C" w:rsidRDefault="008F0F2C" w:rsidP="008F0F2C">
            <w:pPr>
              <w:spacing w:after="0"/>
              <w:jc w:val="center"/>
              <w:rPr>
                <w:rFonts w:eastAsia="Times New Roman" w:cs="Times New Roman"/>
                <w:b/>
                <w:bCs/>
                <w:szCs w:val="24"/>
              </w:rPr>
            </w:pPr>
            <w:r w:rsidRPr="008F0F2C">
              <w:rPr>
                <w:rFonts w:eastAsia="Times New Roman" w:cs="Times New Roman"/>
                <w:b/>
                <w:bCs/>
                <w:szCs w:val="24"/>
              </w:rPr>
              <w:t>2. General government net lending  (% of GDP)</w:t>
            </w:r>
          </w:p>
        </w:tc>
      </w:tr>
      <w:tr w:rsidR="008F0F2C" w:rsidRPr="008F0F2C" w:rsidTr="008F0F2C">
        <w:trPr>
          <w:trHeight w:val="290"/>
        </w:trPr>
        <w:tc>
          <w:tcPr>
            <w:tcW w:w="5960" w:type="dxa"/>
            <w:tcBorders>
              <w:top w:val="nil"/>
              <w:left w:val="double" w:sz="6" w:space="0" w:color="auto"/>
              <w:bottom w:val="dotted" w:sz="4"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r w:rsidRPr="008F0F2C">
              <w:rPr>
                <w:rFonts w:eastAsia="Times New Roman" w:cs="Times New Roman"/>
                <w:szCs w:val="24"/>
              </w:rPr>
              <w:t>Previous programme</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-2.7</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-3.0</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-3.0</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-3.0</w:t>
            </w:r>
          </w:p>
        </w:tc>
        <w:tc>
          <w:tcPr>
            <w:tcW w:w="1639" w:type="dxa"/>
            <w:tcBorders>
              <w:top w:val="nil"/>
              <w:left w:val="nil"/>
              <w:bottom w:val="dotted" w:sz="4" w:space="0" w:color="auto"/>
              <w:right w:val="double" w:sz="6"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w:t>
            </w:r>
          </w:p>
        </w:tc>
      </w:tr>
      <w:tr w:rsidR="008F0F2C" w:rsidRPr="008F0F2C" w:rsidTr="008F0F2C">
        <w:trPr>
          <w:trHeight w:val="290"/>
        </w:trPr>
        <w:tc>
          <w:tcPr>
            <w:tcW w:w="5960" w:type="dxa"/>
            <w:tcBorders>
              <w:top w:val="nil"/>
              <w:left w:val="double" w:sz="6" w:space="0" w:color="auto"/>
              <w:bottom w:val="dotted" w:sz="4"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r w:rsidRPr="008F0F2C">
              <w:rPr>
                <w:rFonts w:eastAsia="Times New Roman" w:cs="Times New Roman"/>
                <w:szCs w:val="24"/>
              </w:rPr>
              <w:t>Latest update</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-2.0</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-3.0</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-3.0</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-3.0</w:t>
            </w:r>
          </w:p>
        </w:tc>
        <w:tc>
          <w:tcPr>
            <w:tcW w:w="1639" w:type="dxa"/>
            <w:tcBorders>
              <w:top w:val="nil"/>
              <w:left w:val="nil"/>
              <w:bottom w:val="dotted" w:sz="4" w:space="0" w:color="auto"/>
              <w:right w:val="double" w:sz="6"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-2.5</w:t>
            </w:r>
          </w:p>
        </w:tc>
      </w:tr>
      <w:tr w:rsidR="008F0F2C" w:rsidRPr="008F0F2C" w:rsidTr="008F0F2C">
        <w:trPr>
          <w:trHeight w:val="290"/>
        </w:trPr>
        <w:tc>
          <w:tcPr>
            <w:tcW w:w="5960" w:type="dxa"/>
            <w:tcBorders>
              <w:top w:val="nil"/>
              <w:left w:val="double" w:sz="6" w:space="0" w:color="auto"/>
              <w:bottom w:val="single" w:sz="8"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r w:rsidRPr="008F0F2C">
              <w:rPr>
                <w:rFonts w:eastAsia="Times New Roman" w:cs="Times New Roman"/>
                <w:szCs w:val="24"/>
              </w:rPr>
              <w:t>Difference</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0.7</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0.0</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0.0</w:t>
            </w:r>
          </w:p>
        </w:tc>
        <w:tc>
          <w:tcPr>
            <w:tcW w:w="1639" w:type="dxa"/>
            <w:tcBorders>
              <w:top w:val="nil"/>
              <w:left w:val="nil"/>
              <w:bottom w:val="single" w:sz="8"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0.0</w:t>
            </w:r>
          </w:p>
        </w:tc>
        <w:tc>
          <w:tcPr>
            <w:tcW w:w="1639" w:type="dxa"/>
            <w:tcBorders>
              <w:top w:val="nil"/>
              <w:left w:val="nil"/>
              <w:bottom w:val="single" w:sz="8" w:space="0" w:color="auto"/>
              <w:right w:val="double" w:sz="6"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w:t>
            </w:r>
          </w:p>
        </w:tc>
      </w:tr>
      <w:tr w:rsidR="008F0F2C" w:rsidRPr="008F0F2C" w:rsidTr="008F0F2C">
        <w:trPr>
          <w:trHeight w:val="290"/>
        </w:trPr>
        <w:tc>
          <w:tcPr>
            <w:tcW w:w="14155" w:type="dxa"/>
            <w:gridSpan w:val="6"/>
            <w:tcBorders>
              <w:top w:val="single" w:sz="8" w:space="0" w:color="auto"/>
              <w:left w:val="double" w:sz="6" w:space="0" w:color="auto"/>
              <w:bottom w:val="single" w:sz="4" w:space="0" w:color="auto"/>
              <w:right w:val="double" w:sz="6" w:space="0" w:color="000000"/>
            </w:tcBorders>
            <w:shd w:val="clear" w:color="000000" w:fill="FFFFFF"/>
            <w:hideMark/>
          </w:tcPr>
          <w:p w:rsidR="008F0F2C" w:rsidRPr="008F0F2C" w:rsidRDefault="008F0F2C" w:rsidP="008F0F2C">
            <w:pPr>
              <w:spacing w:after="0"/>
              <w:jc w:val="center"/>
              <w:rPr>
                <w:rFonts w:eastAsia="Times New Roman" w:cs="Times New Roman"/>
                <w:b/>
                <w:bCs/>
                <w:szCs w:val="24"/>
              </w:rPr>
            </w:pPr>
            <w:r w:rsidRPr="008F0F2C">
              <w:rPr>
                <w:rFonts w:eastAsia="Times New Roman" w:cs="Times New Roman"/>
                <w:b/>
                <w:bCs/>
                <w:szCs w:val="24"/>
              </w:rPr>
              <w:t>3. General government gross debt (% of GDP)</w:t>
            </w:r>
          </w:p>
        </w:tc>
      </w:tr>
      <w:tr w:rsidR="008F0F2C" w:rsidRPr="008F0F2C" w:rsidTr="008F0F2C">
        <w:trPr>
          <w:trHeight w:val="290"/>
        </w:trPr>
        <w:tc>
          <w:tcPr>
            <w:tcW w:w="5960" w:type="dxa"/>
            <w:tcBorders>
              <w:top w:val="nil"/>
              <w:left w:val="double" w:sz="6" w:space="0" w:color="auto"/>
              <w:bottom w:val="dotted" w:sz="4"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r w:rsidRPr="008F0F2C">
              <w:rPr>
                <w:rFonts w:eastAsia="Times New Roman" w:cs="Times New Roman"/>
                <w:szCs w:val="24"/>
              </w:rPr>
              <w:t>Previous programme</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47.9</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47.5</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47.0</w:t>
            </w:r>
          </w:p>
        </w:tc>
        <w:tc>
          <w:tcPr>
            <w:tcW w:w="1639" w:type="dxa"/>
            <w:tcBorders>
              <w:top w:val="nil"/>
              <w:left w:val="nil"/>
              <w:bottom w:val="dotted" w:sz="4" w:space="0" w:color="auto"/>
              <w:right w:val="dotted" w:sz="4"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46.5</w:t>
            </w:r>
          </w:p>
        </w:tc>
        <w:tc>
          <w:tcPr>
            <w:tcW w:w="1639" w:type="dxa"/>
            <w:tcBorders>
              <w:top w:val="nil"/>
              <w:left w:val="nil"/>
              <w:bottom w:val="dotted" w:sz="4" w:space="0" w:color="auto"/>
              <w:right w:val="double" w:sz="6" w:space="0" w:color="auto"/>
            </w:tcBorders>
            <w:shd w:val="clear" w:color="auto" w:fill="auto"/>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w:t>
            </w:r>
          </w:p>
        </w:tc>
      </w:tr>
      <w:tr w:rsidR="008F0F2C" w:rsidRPr="008F0F2C" w:rsidTr="008F0F2C">
        <w:trPr>
          <w:trHeight w:val="290"/>
        </w:trPr>
        <w:tc>
          <w:tcPr>
            <w:tcW w:w="5960" w:type="dxa"/>
            <w:tcBorders>
              <w:top w:val="nil"/>
              <w:left w:val="double" w:sz="6" w:space="0" w:color="auto"/>
              <w:bottom w:val="dotted" w:sz="4"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r w:rsidRPr="008F0F2C">
              <w:rPr>
                <w:rFonts w:eastAsia="Times New Roman" w:cs="Times New Roman"/>
                <w:szCs w:val="24"/>
              </w:rPr>
              <w:t>Latest update</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46.9</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45.0</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44.5</w:t>
            </w:r>
          </w:p>
        </w:tc>
        <w:tc>
          <w:tcPr>
            <w:tcW w:w="1639" w:type="dxa"/>
            <w:tcBorders>
              <w:top w:val="nil"/>
              <w:left w:val="nil"/>
              <w:bottom w:val="dotted" w:sz="4"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44.3</w:t>
            </w:r>
          </w:p>
        </w:tc>
        <w:tc>
          <w:tcPr>
            <w:tcW w:w="1639" w:type="dxa"/>
            <w:tcBorders>
              <w:top w:val="nil"/>
              <w:left w:val="nil"/>
              <w:bottom w:val="dotted" w:sz="4" w:space="0" w:color="auto"/>
              <w:right w:val="double" w:sz="6"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44.1</w:t>
            </w:r>
          </w:p>
        </w:tc>
      </w:tr>
      <w:tr w:rsidR="008F0F2C" w:rsidRPr="008F0F2C" w:rsidTr="008F0F2C">
        <w:trPr>
          <w:trHeight w:val="290"/>
        </w:trPr>
        <w:tc>
          <w:tcPr>
            <w:tcW w:w="5960" w:type="dxa"/>
            <w:tcBorders>
              <w:top w:val="nil"/>
              <w:left w:val="double" w:sz="6" w:space="0" w:color="auto"/>
              <w:bottom w:val="double" w:sz="6" w:space="0" w:color="auto"/>
              <w:right w:val="single" w:sz="8" w:space="0" w:color="auto"/>
            </w:tcBorders>
            <w:shd w:val="clear" w:color="000000" w:fill="FFFFFF"/>
            <w:hideMark/>
          </w:tcPr>
          <w:p w:rsidR="008F0F2C" w:rsidRPr="008F0F2C" w:rsidRDefault="008F0F2C" w:rsidP="008F0F2C">
            <w:pPr>
              <w:spacing w:after="0"/>
              <w:jc w:val="left"/>
              <w:rPr>
                <w:rFonts w:eastAsia="Times New Roman" w:cs="Times New Roman"/>
                <w:szCs w:val="24"/>
              </w:rPr>
            </w:pPr>
            <w:bookmarkStart w:id="78" w:name="RANGE!B17"/>
            <w:r w:rsidRPr="008F0F2C">
              <w:rPr>
                <w:rFonts w:eastAsia="Times New Roman" w:cs="Times New Roman"/>
                <w:szCs w:val="24"/>
              </w:rPr>
              <w:t>Difference</w:t>
            </w:r>
            <w:bookmarkEnd w:id="78"/>
          </w:p>
        </w:tc>
        <w:tc>
          <w:tcPr>
            <w:tcW w:w="1639" w:type="dxa"/>
            <w:tcBorders>
              <w:top w:val="nil"/>
              <w:left w:val="nil"/>
              <w:bottom w:val="double" w:sz="6"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-1.0</w:t>
            </w:r>
          </w:p>
        </w:tc>
        <w:tc>
          <w:tcPr>
            <w:tcW w:w="1639" w:type="dxa"/>
            <w:tcBorders>
              <w:top w:val="nil"/>
              <w:left w:val="nil"/>
              <w:bottom w:val="double" w:sz="6"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-2.5</w:t>
            </w:r>
          </w:p>
        </w:tc>
        <w:tc>
          <w:tcPr>
            <w:tcW w:w="1639" w:type="dxa"/>
            <w:tcBorders>
              <w:top w:val="nil"/>
              <w:left w:val="nil"/>
              <w:bottom w:val="double" w:sz="6"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-2.5</w:t>
            </w:r>
          </w:p>
        </w:tc>
        <w:tc>
          <w:tcPr>
            <w:tcW w:w="1639" w:type="dxa"/>
            <w:tcBorders>
              <w:top w:val="nil"/>
              <w:left w:val="nil"/>
              <w:bottom w:val="double" w:sz="6" w:space="0" w:color="auto"/>
              <w:right w:val="dotted" w:sz="4"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-2.2</w:t>
            </w:r>
          </w:p>
        </w:tc>
        <w:tc>
          <w:tcPr>
            <w:tcW w:w="1639" w:type="dxa"/>
            <w:tcBorders>
              <w:top w:val="nil"/>
              <w:left w:val="nil"/>
              <w:bottom w:val="double" w:sz="6" w:space="0" w:color="auto"/>
              <w:right w:val="double" w:sz="6" w:space="0" w:color="auto"/>
            </w:tcBorders>
            <w:shd w:val="clear" w:color="000000" w:fill="FFFFFF"/>
            <w:hideMark/>
          </w:tcPr>
          <w:p w:rsidR="008F0F2C" w:rsidRPr="008F0F2C" w:rsidRDefault="008F0F2C" w:rsidP="008F0F2C">
            <w:pPr>
              <w:spacing w:after="0"/>
              <w:jc w:val="center"/>
              <w:rPr>
                <w:rFonts w:eastAsia="Times New Roman" w:cs="Times New Roman"/>
                <w:szCs w:val="24"/>
              </w:rPr>
            </w:pPr>
            <w:r w:rsidRPr="008F0F2C">
              <w:rPr>
                <w:rFonts w:eastAsia="Times New Roman" w:cs="Times New Roman"/>
                <w:szCs w:val="24"/>
              </w:rPr>
              <w:t>:</w:t>
            </w:r>
          </w:p>
        </w:tc>
      </w:tr>
    </w:tbl>
    <w:p w:rsidR="005336CF" w:rsidRDefault="008F0F2C" w:rsidP="007A0CEC">
      <w:pPr>
        <w:spacing w:after="0"/>
        <w:jc w:val="left"/>
        <w:rPr>
          <w:rFonts w:cs="Times New Roman"/>
          <w:szCs w:val="24"/>
          <w:lang w:val="sr-Latn-RS"/>
        </w:rPr>
      </w:pPr>
      <w:r>
        <w:rPr>
          <w:rFonts w:cs="Times New Roman"/>
          <w:szCs w:val="24"/>
          <w:lang w:val="sr-Latn-RS"/>
        </w:rPr>
        <w:fldChar w:fldCharType="end"/>
      </w:r>
    </w:p>
    <w:p w:rsidR="005336CF" w:rsidRDefault="005336CF" w:rsidP="007A0CEC">
      <w:pPr>
        <w:spacing w:after="0"/>
        <w:jc w:val="left"/>
        <w:rPr>
          <w:rFonts w:cs="Times New Roman"/>
          <w:szCs w:val="24"/>
          <w:lang w:val="sr-Latn-RS"/>
        </w:rPr>
      </w:pPr>
    </w:p>
    <w:p w:rsidR="005336CF" w:rsidRDefault="005336CF"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r w:rsidRPr="008F0F2C">
        <w:rPr>
          <w:rFonts w:cs="Times New Roman"/>
          <w:szCs w:val="24"/>
          <w:lang w:val="sr-Latn-RS"/>
        </w:rPr>
        <w:lastRenderedPageBreak/>
        <w:t>Table 7: Long-term sustainability of public finances (% GDP)</w:t>
      </w:r>
    </w:p>
    <w:p w:rsidR="008F0F2C" w:rsidRDefault="008F0F2C" w:rsidP="007A0CEC">
      <w:pPr>
        <w:spacing w:after="0"/>
        <w:jc w:val="left"/>
        <w:rPr>
          <w:rFonts w:cs="Times New Roman"/>
          <w:szCs w:val="24"/>
          <w:lang w:val="sr-Latn-RS"/>
        </w:rPr>
      </w:pPr>
    </w:p>
    <w:p w:rsidR="008F0F2C" w:rsidRDefault="008F0F2C"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"data!R227C2:R253C9" \a \f 4 \h  \* MERGEFORMAT </w:instrText>
      </w:r>
      <w:r>
        <w:rPr>
          <w:lang w:val="sr-Latn-RS"/>
        </w:rPr>
        <w:fldChar w:fldCharType="separate"/>
      </w:r>
    </w:p>
    <w:tbl>
      <w:tblPr>
        <w:tblW w:w="14495" w:type="dxa"/>
        <w:tblLook w:val="04A0" w:firstRow="1" w:lastRow="0" w:firstColumn="1" w:lastColumn="0" w:noHBand="0" w:noVBand="1"/>
      </w:tblPr>
      <w:tblGrid>
        <w:gridCol w:w="5242"/>
        <w:gridCol w:w="1301"/>
        <w:gridCol w:w="1771"/>
        <w:gridCol w:w="1247"/>
        <w:gridCol w:w="1301"/>
        <w:gridCol w:w="1211"/>
        <w:gridCol w:w="1211"/>
        <w:gridCol w:w="1211"/>
      </w:tblGrid>
      <w:tr w:rsidR="008F0F2C" w:rsidRPr="008F0F2C" w:rsidTr="008F0F2C">
        <w:trPr>
          <w:trHeight w:val="259"/>
        </w:trPr>
        <w:tc>
          <w:tcPr>
            <w:tcW w:w="5242" w:type="dxa"/>
            <w:tcBorders>
              <w:top w:val="double" w:sz="6" w:space="0" w:color="auto"/>
              <w:left w:val="double" w:sz="6" w:space="0" w:color="auto"/>
              <w:bottom w:val="double" w:sz="6" w:space="0" w:color="auto"/>
              <w:right w:val="nil"/>
            </w:tcBorders>
            <w:shd w:val="clear" w:color="auto" w:fill="auto"/>
            <w:noWrap/>
            <w:vAlign w:val="center"/>
            <w:hideMark/>
          </w:tcPr>
          <w:p w:rsidR="008F0F2C" w:rsidRPr="008F0F2C" w:rsidRDefault="008F0F2C" w:rsidP="008F0F2C">
            <w:pPr>
              <w:spacing w:after="0"/>
              <w:jc w:val="left"/>
              <w:rPr>
                <w:rFonts w:eastAsia="Times New Roman" w:cs="Times New Roman"/>
                <w:b/>
                <w:bCs/>
                <w:sz w:val="20"/>
                <w:szCs w:val="20"/>
              </w:rPr>
            </w:pPr>
            <w:r w:rsidRPr="008F0F2C">
              <w:rPr>
                <w:rFonts w:eastAsia="Times New Roman" w:cs="Times New Roman"/>
                <w:b/>
                <w:bCs/>
                <w:sz w:val="20"/>
                <w:szCs w:val="20"/>
              </w:rPr>
              <w:t>Table 7: Long-term sustainability of public finances (% GDP)</w:t>
            </w:r>
          </w:p>
        </w:tc>
        <w:tc>
          <w:tcPr>
            <w:tcW w:w="1301" w:type="dxa"/>
            <w:tcBorders>
              <w:top w:val="double" w:sz="6" w:space="0" w:color="auto"/>
              <w:left w:val="single" w:sz="8" w:space="0" w:color="auto"/>
              <w:bottom w:val="double" w:sz="6" w:space="0" w:color="auto"/>
              <w:right w:val="dashed" w:sz="4"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2007</w:t>
            </w:r>
          </w:p>
        </w:tc>
        <w:tc>
          <w:tcPr>
            <w:tcW w:w="1771" w:type="dxa"/>
            <w:tcBorders>
              <w:top w:val="double" w:sz="6" w:space="0" w:color="auto"/>
              <w:left w:val="nil"/>
              <w:bottom w:val="double" w:sz="6" w:space="0" w:color="auto"/>
              <w:right w:val="dashed" w:sz="4"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2010</w:t>
            </w:r>
          </w:p>
        </w:tc>
        <w:tc>
          <w:tcPr>
            <w:tcW w:w="1247" w:type="dxa"/>
            <w:tcBorders>
              <w:top w:val="double" w:sz="6" w:space="0" w:color="auto"/>
              <w:left w:val="nil"/>
              <w:bottom w:val="double" w:sz="6" w:space="0" w:color="auto"/>
              <w:right w:val="dashed" w:sz="4"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2020</w:t>
            </w:r>
          </w:p>
        </w:tc>
        <w:tc>
          <w:tcPr>
            <w:tcW w:w="1301" w:type="dxa"/>
            <w:tcBorders>
              <w:top w:val="double" w:sz="6" w:space="0" w:color="auto"/>
              <w:left w:val="nil"/>
              <w:bottom w:val="double" w:sz="6" w:space="0" w:color="auto"/>
              <w:right w:val="dashed" w:sz="4"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2030</w:t>
            </w:r>
          </w:p>
        </w:tc>
        <w:tc>
          <w:tcPr>
            <w:tcW w:w="1211" w:type="dxa"/>
            <w:tcBorders>
              <w:top w:val="double" w:sz="6" w:space="0" w:color="auto"/>
              <w:left w:val="nil"/>
              <w:bottom w:val="double" w:sz="6" w:space="0" w:color="auto"/>
              <w:right w:val="dashed" w:sz="4"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2040</w:t>
            </w:r>
          </w:p>
        </w:tc>
        <w:tc>
          <w:tcPr>
            <w:tcW w:w="1211" w:type="dxa"/>
            <w:tcBorders>
              <w:top w:val="double" w:sz="6" w:space="0" w:color="auto"/>
              <w:left w:val="nil"/>
              <w:bottom w:val="double" w:sz="6" w:space="0" w:color="auto"/>
              <w:right w:val="dashed" w:sz="4"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2050</w:t>
            </w:r>
          </w:p>
        </w:tc>
        <w:tc>
          <w:tcPr>
            <w:tcW w:w="1211" w:type="dxa"/>
            <w:tcBorders>
              <w:top w:val="double" w:sz="6" w:space="0" w:color="auto"/>
              <w:left w:val="nil"/>
              <w:bottom w:val="double" w:sz="6" w:space="0" w:color="auto"/>
              <w:right w:val="double" w:sz="6"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2060</w:t>
            </w:r>
          </w:p>
        </w:tc>
      </w:tr>
      <w:tr w:rsidR="008F0F2C" w:rsidRPr="008F0F2C" w:rsidTr="008F0F2C">
        <w:trPr>
          <w:trHeight w:val="259"/>
        </w:trPr>
        <w:tc>
          <w:tcPr>
            <w:tcW w:w="5242" w:type="dxa"/>
            <w:tcBorders>
              <w:top w:val="single" w:sz="4" w:space="0" w:color="auto"/>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Total expenditure</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xml:space="preserve">of which: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color w:val="000000"/>
                <w:sz w:val="20"/>
                <w:szCs w:val="20"/>
              </w:rPr>
            </w:pPr>
            <w:r w:rsidRPr="008F0F2C">
              <w:rPr>
                <w:rFonts w:eastAsia="Times New Roman" w:cs="Times New Roman"/>
                <w:color w:val="000000"/>
                <w:sz w:val="20"/>
                <w:szCs w:val="20"/>
              </w:rPr>
              <w:t>- Age-related expenditures</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11.5</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11.4</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11.8</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11.6</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color w:val="000000"/>
                <w:sz w:val="20"/>
                <w:szCs w:val="20"/>
              </w:rPr>
            </w:pPr>
            <w:r w:rsidRPr="008F0F2C">
              <w:rPr>
                <w:rFonts w:eastAsia="Times New Roman" w:cs="Times New Roman"/>
                <w:color w:val="000000"/>
                <w:sz w:val="20"/>
                <w:szCs w:val="20"/>
              </w:rPr>
              <w:t>- Pension expenditure</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9.9</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11,6</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10.1</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10.1</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10.0</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10.4</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10.2</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color w:val="000000"/>
                <w:sz w:val="20"/>
                <w:szCs w:val="20"/>
              </w:rPr>
            </w:pPr>
            <w:r w:rsidRPr="008F0F2C">
              <w:rPr>
                <w:rFonts w:eastAsia="Times New Roman" w:cs="Times New Roman"/>
                <w:color w:val="000000"/>
                <w:sz w:val="20"/>
                <w:szCs w:val="20"/>
              </w:rPr>
              <w:t>- Social security pension</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color w:val="000000"/>
                <w:sz w:val="20"/>
                <w:szCs w:val="20"/>
              </w:rPr>
            </w:pPr>
            <w:r w:rsidRPr="008F0F2C">
              <w:rPr>
                <w:rFonts w:eastAsia="Times New Roman" w:cs="Times New Roman"/>
                <w:color w:val="000000"/>
                <w:sz w:val="20"/>
                <w:szCs w:val="20"/>
              </w:rPr>
              <w:t>- Old-age and early pensions</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7.5</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7.7</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8.1</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8.1</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color w:val="000000"/>
                <w:sz w:val="20"/>
                <w:szCs w:val="20"/>
              </w:rPr>
            </w:pPr>
            <w:r w:rsidRPr="008F0F2C">
              <w:rPr>
                <w:rFonts w:eastAsia="Times New Roman" w:cs="Times New Roman"/>
                <w:color w:val="000000"/>
                <w:sz w:val="20"/>
                <w:szCs w:val="20"/>
              </w:rPr>
              <w:t>- Other pensions (disability, survivors)</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2.6</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2.3</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2.3</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2.1</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color w:val="000000"/>
                <w:sz w:val="20"/>
                <w:szCs w:val="20"/>
              </w:rPr>
            </w:pPr>
            <w:r w:rsidRPr="008F0F2C">
              <w:rPr>
                <w:rFonts w:eastAsia="Times New Roman" w:cs="Times New Roman"/>
                <w:color w:val="000000"/>
                <w:sz w:val="20"/>
                <w:szCs w:val="20"/>
              </w:rPr>
              <w:t xml:space="preserve">- Occupational pensions </w:t>
            </w:r>
            <w:r w:rsidRPr="008F0F2C">
              <w:rPr>
                <w:rFonts w:eastAsia="Times New Roman" w:cs="Times New Roman"/>
                <w:color w:val="000000"/>
                <w:sz w:val="18"/>
                <w:szCs w:val="18"/>
              </w:rPr>
              <w:t>(if in general government)</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color w:val="000000"/>
                <w:sz w:val="20"/>
                <w:szCs w:val="20"/>
              </w:rPr>
            </w:pPr>
            <w:r w:rsidRPr="008F0F2C">
              <w:rPr>
                <w:rFonts w:eastAsia="Times New Roman" w:cs="Times New Roman"/>
                <w:color w:val="000000"/>
                <w:sz w:val="20"/>
                <w:szCs w:val="20"/>
              </w:rPr>
              <w:t>- Health care</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color w:val="000000"/>
                <w:sz w:val="20"/>
                <w:szCs w:val="20"/>
              </w:rPr>
            </w:pPr>
            <w:r w:rsidRPr="008F0F2C">
              <w:rPr>
                <w:rFonts w:eastAsia="Times New Roman" w:cs="Times New Roman"/>
                <w:color w:val="000000"/>
                <w:sz w:val="20"/>
                <w:szCs w:val="20"/>
              </w:rPr>
              <w:t xml:space="preserve">- Long-term care </w:t>
            </w:r>
            <w:r w:rsidRPr="008F0F2C">
              <w:rPr>
                <w:rFonts w:eastAsia="Times New Roman" w:cs="Times New Roman"/>
                <w:color w:val="000000"/>
                <w:sz w:val="18"/>
                <w:szCs w:val="18"/>
              </w:rPr>
              <w:t>(this was earlier included in the health care)</w:t>
            </w:r>
            <w:r w:rsidRPr="008F0F2C">
              <w:rPr>
                <w:rFonts w:eastAsia="Times New Roman" w:cs="Times New Roman"/>
                <w:color w:val="000000"/>
                <w:sz w:val="20"/>
                <w:szCs w:val="20"/>
              </w:rPr>
              <w:t xml:space="preserve">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Education expenditure</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Other age-related expenditures</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1.6</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2.0</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1.7</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1.4</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1.4</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1.4</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1.4</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Interest expenditure</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Total revenues</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100" w:firstLine="200"/>
              <w:jc w:val="left"/>
              <w:rPr>
                <w:rFonts w:eastAsia="Times New Roman" w:cs="Times New Roman"/>
                <w:i/>
                <w:iCs/>
                <w:color w:val="000000"/>
                <w:sz w:val="20"/>
                <w:szCs w:val="20"/>
              </w:rPr>
            </w:pPr>
            <w:r w:rsidRPr="008F0F2C">
              <w:rPr>
                <w:rFonts w:eastAsia="Times New Roman" w:cs="Times New Roman"/>
                <w:i/>
                <w:iCs/>
                <w:color w:val="000000"/>
                <w:sz w:val="20"/>
                <w:szCs w:val="20"/>
              </w:rPr>
              <w:t>of which</w:t>
            </w:r>
            <w:r w:rsidRPr="008F0F2C">
              <w:rPr>
                <w:rFonts w:eastAsia="Times New Roman" w:cs="Times New Roman"/>
                <w:color w:val="000000"/>
                <w:sz w:val="20"/>
                <w:szCs w:val="20"/>
              </w:rPr>
              <w:t>: property income</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502"/>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ind w:firstLineChars="200" w:firstLine="400"/>
              <w:jc w:val="left"/>
              <w:rPr>
                <w:rFonts w:eastAsia="Times New Roman" w:cs="Times New Roman"/>
                <w:i/>
                <w:iCs/>
                <w:color w:val="000000"/>
                <w:sz w:val="20"/>
                <w:szCs w:val="20"/>
              </w:rPr>
            </w:pPr>
            <w:r w:rsidRPr="008F0F2C">
              <w:rPr>
                <w:rFonts w:eastAsia="Times New Roman" w:cs="Times New Roman"/>
                <w:i/>
                <w:iCs/>
                <w:color w:val="000000"/>
                <w:sz w:val="20"/>
                <w:szCs w:val="20"/>
              </w:rPr>
              <w:t>of which</w:t>
            </w:r>
            <w:r w:rsidRPr="008F0F2C">
              <w:rPr>
                <w:rFonts w:eastAsia="Times New Roman" w:cs="Times New Roman"/>
                <w:color w:val="000000"/>
                <w:sz w:val="20"/>
                <w:szCs w:val="20"/>
              </w:rPr>
              <w:t>: from pensions contributions (or social contributions, if appropriate)</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7.5</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7.0</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8.2</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9.5</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9.5</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9.6</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9.6</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 xml:space="preserve">Pension reserve fund assets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502"/>
        </w:trPr>
        <w:tc>
          <w:tcPr>
            <w:tcW w:w="5242" w:type="dxa"/>
            <w:tcBorders>
              <w:top w:val="nil"/>
              <w:left w:val="double" w:sz="6" w:space="0" w:color="auto"/>
              <w:bottom w:val="single" w:sz="4" w:space="0" w:color="auto"/>
              <w:right w:val="single" w:sz="4" w:space="0" w:color="auto"/>
            </w:tcBorders>
            <w:shd w:val="clear" w:color="auto" w:fill="auto"/>
            <w:hideMark/>
          </w:tcPr>
          <w:p w:rsidR="008F0F2C" w:rsidRPr="008F0F2C" w:rsidRDefault="008F0F2C" w:rsidP="008F0F2C">
            <w:pPr>
              <w:spacing w:after="0"/>
              <w:ind w:firstLineChars="200" w:firstLine="400"/>
              <w:jc w:val="left"/>
              <w:rPr>
                <w:rFonts w:eastAsia="Times New Roman" w:cs="Times New Roman"/>
                <w:i/>
                <w:iCs/>
                <w:color w:val="000000"/>
                <w:sz w:val="20"/>
                <w:szCs w:val="20"/>
              </w:rPr>
            </w:pPr>
            <w:r w:rsidRPr="008F0F2C">
              <w:rPr>
                <w:rFonts w:eastAsia="Times New Roman" w:cs="Times New Roman"/>
                <w:i/>
                <w:iCs/>
                <w:color w:val="000000"/>
                <w:sz w:val="20"/>
                <w:szCs w:val="20"/>
              </w:rPr>
              <w:t>of which</w:t>
            </w:r>
            <w:r w:rsidRPr="008F0F2C">
              <w:rPr>
                <w:rFonts w:eastAsia="Times New Roman" w:cs="Times New Roman"/>
                <w:color w:val="000000"/>
                <w:sz w:val="20"/>
                <w:szCs w:val="20"/>
              </w:rPr>
              <w:t>: consolidated public pension fund assets (assets other than government liabilities)</w:t>
            </w:r>
          </w:p>
        </w:tc>
        <w:tc>
          <w:tcPr>
            <w:tcW w:w="1301" w:type="dxa"/>
            <w:tcBorders>
              <w:top w:val="nil"/>
              <w:left w:val="nil"/>
              <w:bottom w:val="single" w:sz="4"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single" w:sz="4"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single" w:sz="4"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single" w:sz="4"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single" w:sz="4"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single" w:sz="4"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single" w:sz="4" w:space="0" w:color="auto"/>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43"/>
        </w:trPr>
        <w:tc>
          <w:tcPr>
            <w:tcW w:w="5242" w:type="dxa"/>
            <w:tcBorders>
              <w:top w:val="nil"/>
              <w:left w:val="double" w:sz="6" w:space="0" w:color="auto"/>
              <w:bottom w:val="single" w:sz="4" w:space="0" w:color="auto"/>
              <w:right w:val="nil"/>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Assumptions</w:t>
            </w:r>
          </w:p>
        </w:tc>
        <w:tc>
          <w:tcPr>
            <w:tcW w:w="1301" w:type="dxa"/>
            <w:tcBorders>
              <w:top w:val="nil"/>
              <w:left w:val="nil"/>
              <w:bottom w:val="single" w:sz="4" w:space="0" w:color="auto"/>
              <w:right w:val="nil"/>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 </w:t>
            </w:r>
          </w:p>
        </w:tc>
        <w:tc>
          <w:tcPr>
            <w:tcW w:w="1771" w:type="dxa"/>
            <w:tcBorders>
              <w:top w:val="nil"/>
              <w:left w:val="nil"/>
              <w:bottom w:val="single" w:sz="4" w:space="0" w:color="auto"/>
              <w:right w:val="nil"/>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 </w:t>
            </w:r>
          </w:p>
        </w:tc>
        <w:tc>
          <w:tcPr>
            <w:tcW w:w="1247" w:type="dxa"/>
            <w:tcBorders>
              <w:top w:val="nil"/>
              <w:left w:val="nil"/>
              <w:bottom w:val="single" w:sz="4" w:space="0" w:color="auto"/>
              <w:right w:val="nil"/>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 </w:t>
            </w:r>
          </w:p>
        </w:tc>
        <w:tc>
          <w:tcPr>
            <w:tcW w:w="1301" w:type="dxa"/>
            <w:tcBorders>
              <w:top w:val="nil"/>
              <w:left w:val="nil"/>
              <w:bottom w:val="single" w:sz="4" w:space="0" w:color="auto"/>
              <w:right w:val="nil"/>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 </w:t>
            </w:r>
          </w:p>
        </w:tc>
        <w:tc>
          <w:tcPr>
            <w:tcW w:w="1211" w:type="dxa"/>
            <w:tcBorders>
              <w:top w:val="nil"/>
              <w:left w:val="nil"/>
              <w:bottom w:val="single" w:sz="4" w:space="0" w:color="auto"/>
              <w:right w:val="nil"/>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 </w:t>
            </w:r>
          </w:p>
        </w:tc>
        <w:tc>
          <w:tcPr>
            <w:tcW w:w="1211" w:type="dxa"/>
            <w:tcBorders>
              <w:top w:val="nil"/>
              <w:left w:val="nil"/>
              <w:bottom w:val="single" w:sz="4" w:space="0" w:color="auto"/>
              <w:right w:val="nil"/>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 </w:t>
            </w:r>
          </w:p>
        </w:tc>
        <w:tc>
          <w:tcPr>
            <w:tcW w:w="1211" w:type="dxa"/>
            <w:tcBorders>
              <w:top w:val="nil"/>
              <w:left w:val="nil"/>
              <w:bottom w:val="single" w:sz="4" w:space="0" w:color="auto"/>
              <w:right w:val="double" w:sz="6" w:space="0" w:color="auto"/>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Labour productivity growth</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Real GDP growth</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7.8</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1.6</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-1.0</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3.5</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2.2</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1.4</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1.3</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Participation rate males (aged 20-64)</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Participation rates females (aged 20-64)</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Total participation rates (20-64)</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70.5</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75.5</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77.0</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77.0</w:t>
            </w:r>
          </w:p>
        </w:tc>
      </w:tr>
      <w:tr w:rsidR="008F0F2C" w:rsidRPr="008F0F2C" w:rsidTr="008F0F2C">
        <w:trPr>
          <w:trHeight w:val="251"/>
        </w:trPr>
        <w:tc>
          <w:tcPr>
            <w:tcW w:w="5242" w:type="dxa"/>
            <w:tcBorders>
              <w:top w:val="nil"/>
              <w:left w:val="double" w:sz="6" w:space="0" w:color="auto"/>
              <w:bottom w:val="dotted" w:sz="4" w:space="0" w:color="000000"/>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Unemployment rate</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77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11" w:type="dxa"/>
            <w:tcBorders>
              <w:top w:val="nil"/>
              <w:left w:val="nil"/>
              <w:bottom w:val="dotted" w:sz="4" w:space="0" w:color="000000"/>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r>
      <w:tr w:rsidR="008F0F2C" w:rsidRPr="008F0F2C" w:rsidTr="008F0F2C">
        <w:trPr>
          <w:trHeight w:val="259"/>
        </w:trPr>
        <w:tc>
          <w:tcPr>
            <w:tcW w:w="5242" w:type="dxa"/>
            <w:tcBorders>
              <w:top w:val="nil"/>
              <w:left w:val="double" w:sz="6" w:space="0" w:color="auto"/>
              <w:bottom w:val="double" w:sz="6" w:space="0" w:color="auto"/>
              <w:right w:val="single" w:sz="4" w:space="0" w:color="auto"/>
            </w:tcBorders>
            <w:shd w:val="clear" w:color="auto" w:fill="auto"/>
            <w:hideMark/>
          </w:tcPr>
          <w:p w:rsidR="008F0F2C" w:rsidRPr="008F0F2C" w:rsidRDefault="008F0F2C" w:rsidP="008F0F2C">
            <w:pPr>
              <w:spacing w:after="0"/>
              <w:jc w:val="left"/>
              <w:rPr>
                <w:rFonts w:eastAsia="Times New Roman" w:cs="Times New Roman"/>
                <w:color w:val="000000"/>
                <w:sz w:val="20"/>
                <w:szCs w:val="20"/>
              </w:rPr>
            </w:pPr>
            <w:r w:rsidRPr="008F0F2C">
              <w:rPr>
                <w:rFonts w:eastAsia="Times New Roman" w:cs="Times New Roman"/>
                <w:color w:val="000000"/>
                <w:sz w:val="20"/>
                <w:szCs w:val="20"/>
              </w:rPr>
              <w:t>Population aged 65+ over total population</w:t>
            </w:r>
          </w:p>
        </w:tc>
        <w:tc>
          <w:tcPr>
            <w:tcW w:w="1301" w:type="dxa"/>
            <w:tcBorders>
              <w:top w:val="nil"/>
              <w:left w:val="nil"/>
              <w:bottom w:val="double" w:sz="6"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b/>
                <w:bCs/>
                <w:color w:val="000000"/>
                <w:sz w:val="20"/>
                <w:szCs w:val="20"/>
              </w:rPr>
            </w:pPr>
            <w:r w:rsidRPr="008F0F2C">
              <w:rPr>
                <w:rFonts w:eastAsia="Times New Roman" w:cs="Times New Roman"/>
                <w:b/>
                <w:bCs/>
                <w:color w:val="000000"/>
                <w:sz w:val="20"/>
                <w:szCs w:val="20"/>
              </w:rPr>
              <w:t> </w:t>
            </w:r>
          </w:p>
        </w:tc>
        <w:tc>
          <w:tcPr>
            <w:tcW w:w="1771" w:type="dxa"/>
            <w:tcBorders>
              <w:top w:val="nil"/>
              <w:left w:val="nil"/>
              <w:bottom w:val="double" w:sz="6"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247" w:type="dxa"/>
            <w:tcBorders>
              <w:top w:val="nil"/>
              <w:left w:val="nil"/>
              <w:bottom w:val="double" w:sz="6"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 </w:t>
            </w:r>
          </w:p>
        </w:tc>
        <w:tc>
          <w:tcPr>
            <w:tcW w:w="1301" w:type="dxa"/>
            <w:tcBorders>
              <w:top w:val="nil"/>
              <w:left w:val="nil"/>
              <w:bottom w:val="double" w:sz="6"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24.0</w:t>
            </w:r>
          </w:p>
        </w:tc>
        <w:tc>
          <w:tcPr>
            <w:tcW w:w="1211" w:type="dxa"/>
            <w:tcBorders>
              <w:top w:val="nil"/>
              <w:left w:val="nil"/>
              <w:bottom w:val="double" w:sz="6"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25.3</w:t>
            </w:r>
          </w:p>
        </w:tc>
        <w:tc>
          <w:tcPr>
            <w:tcW w:w="1211" w:type="dxa"/>
            <w:tcBorders>
              <w:top w:val="nil"/>
              <w:left w:val="nil"/>
              <w:bottom w:val="double" w:sz="6" w:space="0" w:color="auto"/>
              <w:right w:val="dotted" w:sz="4" w:space="0" w:color="000000"/>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27.9</w:t>
            </w:r>
          </w:p>
        </w:tc>
        <w:tc>
          <w:tcPr>
            <w:tcW w:w="1211" w:type="dxa"/>
            <w:tcBorders>
              <w:top w:val="nil"/>
              <w:left w:val="nil"/>
              <w:bottom w:val="double" w:sz="6" w:space="0" w:color="auto"/>
              <w:right w:val="double" w:sz="6" w:space="0" w:color="auto"/>
            </w:tcBorders>
            <w:shd w:val="clear" w:color="auto" w:fill="auto"/>
            <w:hideMark/>
          </w:tcPr>
          <w:p w:rsidR="008F0F2C" w:rsidRPr="008F0F2C" w:rsidRDefault="008F0F2C" w:rsidP="008F0F2C">
            <w:pPr>
              <w:spacing w:after="0"/>
              <w:jc w:val="center"/>
              <w:rPr>
                <w:rFonts w:eastAsia="Times New Roman" w:cs="Times New Roman"/>
                <w:color w:val="000000"/>
                <w:sz w:val="20"/>
                <w:szCs w:val="20"/>
              </w:rPr>
            </w:pPr>
            <w:r w:rsidRPr="008F0F2C">
              <w:rPr>
                <w:rFonts w:eastAsia="Times New Roman" w:cs="Times New Roman"/>
                <w:color w:val="000000"/>
                <w:sz w:val="20"/>
                <w:szCs w:val="20"/>
              </w:rPr>
              <w:t>28.9</w:t>
            </w:r>
          </w:p>
        </w:tc>
      </w:tr>
    </w:tbl>
    <w:p w:rsidR="008F0F2C" w:rsidRDefault="008F0F2C" w:rsidP="007A0CEC">
      <w:pPr>
        <w:spacing w:after="0"/>
        <w:jc w:val="left"/>
        <w:rPr>
          <w:rFonts w:cs="Times New Roman"/>
          <w:szCs w:val="24"/>
          <w:lang w:val="sr-Latn-RS"/>
        </w:rPr>
      </w:pPr>
      <w:r>
        <w:rPr>
          <w:rFonts w:cs="Times New Roman"/>
          <w:szCs w:val="24"/>
          <w:lang w:val="sr-Latn-RS"/>
        </w:rPr>
        <w:fldChar w:fldCharType="end"/>
      </w:r>
    </w:p>
    <w:p w:rsidR="005336CF" w:rsidRDefault="008F0F2C" w:rsidP="007A0CEC">
      <w:pPr>
        <w:spacing w:after="0"/>
        <w:jc w:val="left"/>
        <w:rPr>
          <w:rFonts w:cs="Times New Roman"/>
          <w:szCs w:val="24"/>
          <w:lang w:val="sr-Latn-RS"/>
        </w:rPr>
      </w:pPr>
      <w:r w:rsidRPr="008F0F2C">
        <w:rPr>
          <w:rFonts w:cs="Times New Roman"/>
          <w:szCs w:val="24"/>
          <w:lang w:val="sr-Latn-RS"/>
        </w:rPr>
        <w:lastRenderedPageBreak/>
        <w:t>Table 7a:  Stock of General Government guarantees adopted/announced at [year-month] according to the Programme</w:t>
      </w:r>
    </w:p>
    <w:p w:rsidR="008F0F2C" w:rsidRDefault="008F0F2C" w:rsidP="007A0CEC">
      <w:pPr>
        <w:spacing w:after="0"/>
        <w:jc w:val="left"/>
        <w:rPr>
          <w:rFonts w:cs="Times New Roman"/>
          <w:szCs w:val="24"/>
          <w:lang w:val="sr-Latn-RS"/>
        </w:rPr>
      </w:pPr>
    </w:p>
    <w:p w:rsidR="008F0F2C" w:rsidRDefault="008F0F2C"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"data!R257C2:R287C7" \a \f 4 \h </w:instrText>
      </w:r>
      <w:r>
        <w:rPr>
          <w:lang w:val="sr-Latn-RS"/>
        </w:rPr>
        <w:fldChar w:fldCharType="separate"/>
      </w:r>
    </w:p>
    <w:tbl>
      <w:tblPr>
        <w:tblW w:w="13376" w:type="dxa"/>
        <w:tblLook w:val="04A0" w:firstRow="1" w:lastRow="0" w:firstColumn="1" w:lastColumn="0" w:noHBand="0" w:noVBand="1"/>
      </w:tblPr>
      <w:tblGrid>
        <w:gridCol w:w="5800"/>
        <w:gridCol w:w="1440"/>
        <w:gridCol w:w="1960"/>
        <w:gridCol w:w="1380"/>
        <w:gridCol w:w="1448"/>
        <w:gridCol w:w="1348"/>
      </w:tblGrid>
      <w:tr w:rsidR="008F0F2C" w:rsidRPr="008F0F2C" w:rsidTr="008F0F2C">
        <w:trPr>
          <w:trHeight w:val="309"/>
        </w:trPr>
        <w:tc>
          <w:tcPr>
            <w:tcW w:w="7240" w:type="dxa"/>
            <w:gridSpan w:val="2"/>
            <w:tcBorders>
              <w:top w:val="double" w:sz="6" w:space="0" w:color="auto"/>
              <w:left w:val="double" w:sz="6" w:space="0" w:color="auto"/>
              <w:bottom w:val="double" w:sz="6" w:space="0" w:color="auto"/>
              <w:right w:val="nil"/>
            </w:tcBorders>
            <w:shd w:val="clear" w:color="auto" w:fill="auto"/>
            <w:noWrap/>
            <w:vAlign w:val="center"/>
            <w:hideMark/>
          </w:tcPr>
          <w:p w:rsidR="008F0F2C" w:rsidRPr="008F0F2C" w:rsidRDefault="008F0F2C" w:rsidP="008F0F2C">
            <w:pPr>
              <w:spacing w:after="0"/>
              <w:jc w:val="left"/>
              <w:rPr>
                <w:rFonts w:eastAsia="Times New Roman" w:cs="Times New Roman"/>
                <w:b/>
                <w:bCs/>
                <w:sz w:val="20"/>
                <w:szCs w:val="20"/>
              </w:rPr>
            </w:pPr>
            <w:r w:rsidRPr="008F0F2C">
              <w:rPr>
                <w:rFonts w:eastAsia="Times New Roman" w:cs="Times New Roman"/>
                <w:b/>
                <w:bCs/>
                <w:sz w:val="20"/>
                <w:szCs w:val="20"/>
              </w:rPr>
              <w:t xml:space="preserve">Table 7a:  Stock of General Government guarantees adopted/announced at [year-month] according to the Programme </w:t>
            </w:r>
          </w:p>
        </w:tc>
        <w:tc>
          <w:tcPr>
            <w:tcW w:w="1960"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380" w:type="dxa"/>
            <w:tcBorders>
              <w:top w:val="double" w:sz="6" w:space="0" w:color="auto"/>
              <w:left w:val="nil"/>
              <w:bottom w:val="double" w:sz="6" w:space="0" w:color="auto"/>
              <w:right w:val="dashed" w:sz="4"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 </w:t>
            </w:r>
          </w:p>
        </w:tc>
        <w:tc>
          <w:tcPr>
            <w:tcW w:w="1448" w:type="dxa"/>
            <w:tcBorders>
              <w:top w:val="double" w:sz="6" w:space="0" w:color="auto"/>
              <w:left w:val="nil"/>
              <w:bottom w:val="double" w:sz="6" w:space="0" w:color="auto"/>
              <w:right w:val="nil"/>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 </w:t>
            </w:r>
          </w:p>
        </w:tc>
        <w:tc>
          <w:tcPr>
            <w:tcW w:w="1348" w:type="dxa"/>
            <w:tcBorders>
              <w:top w:val="double" w:sz="6" w:space="0" w:color="auto"/>
              <w:left w:val="nil"/>
              <w:bottom w:val="double" w:sz="6" w:space="0" w:color="auto"/>
              <w:right w:val="double" w:sz="6" w:space="0" w:color="auto"/>
            </w:tcBorders>
            <w:shd w:val="clear" w:color="auto" w:fill="auto"/>
            <w:noWrap/>
            <w:vAlign w:val="bottom"/>
            <w:hideMark/>
          </w:tcPr>
          <w:p w:rsidR="008F0F2C" w:rsidRPr="008F0F2C" w:rsidRDefault="008F0F2C" w:rsidP="008F0F2C">
            <w:pPr>
              <w:spacing w:after="0"/>
              <w:jc w:val="left"/>
              <w:rPr>
                <w:rFonts w:ascii="Calibri" w:eastAsia="Times New Roman" w:hAnsi="Calibri" w:cs="Calibri"/>
                <w:color w:val="000000"/>
                <w:sz w:val="22"/>
              </w:rPr>
            </w:pPr>
            <w:r w:rsidRPr="008F0F2C">
              <w:rPr>
                <w:rFonts w:ascii="Calibri" w:eastAsia="Times New Roman" w:hAnsi="Calibri" w:cs="Calibri"/>
                <w:color w:val="000000"/>
                <w:sz w:val="22"/>
              </w:rPr>
              <w:t> </w:t>
            </w:r>
          </w:p>
        </w:tc>
      </w:tr>
      <w:tr w:rsidR="008F0F2C" w:rsidRPr="008F0F2C" w:rsidTr="008F0F2C">
        <w:trPr>
          <w:trHeight w:val="1560"/>
        </w:trPr>
        <w:tc>
          <w:tcPr>
            <w:tcW w:w="9200" w:type="dxa"/>
            <w:gridSpan w:val="3"/>
            <w:tcBorders>
              <w:top w:val="double" w:sz="6" w:space="0" w:color="auto"/>
              <w:left w:val="double" w:sz="6" w:space="0" w:color="auto"/>
              <w:bottom w:val="single" w:sz="8" w:space="0" w:color="auto"/>
              <w:right w:val="single" w:sz="4" w:space="0" w:color="000000"/>
            </w:tcBorders>
            <w:shd w:val="clear" w:color="auto" w:fill="auto"/>
            <w:noWrap/>
            <w:vAlign w:val="center"/>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Measures</w:t>
            </w:r>
          </w:p>
        </w:tc>
        <w:tc>
          <w:tcPr>
            <w:tcW w:w="1380" w:type="dxa"/>
            <w:tcBorders>
              <w:top w:val="double" w:sz="6" w:space="0" w:color="auto"/>
              <w:left w:val="single" w:sz="4" w:space="0" w:color="auto"/>
              <w:bottom w:val="single" w:sz="8" w:space="0" w:color="auto"/>
              <w:right w:val="single" w:sz="8" w:space="0" w:color="auto"/>
            </w:tcBorders>
            <w:shd w:val="clear" w:color="auto" w:fill="auto"/>
            <w:vAlign w:val="center"/>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Date of adoption</w:t>
            </w:r>
            <w:r w:rsidRPr="008F0F2C">
              <w:rPr>
                <w:rFonts w:eastAsia="Times New Roman" w:cs="Times New Roman"/>
                <w:b/>
                <w:bCs/>
                <w:sz w:val="20"/>
                <w:szCs w:val="20"/>
              </w:rPr>
              <w:br/>
              <w:t>(yyyy-mm)</w:t>
            </w:r>
          </w:p>
        </w:tc>
        <w:tc>
          <w:tcPr>
            <w:tcW w:w="1448" w:type="dxa"/>
            <w:tcBorders>
              <w:top w:val="nil"/>
              <w:left w:val="nil"/>
              <w:bottom w:val="single" w:sz="8" w:space="0" w:color="auto"/>
              <w:right w:val="single" w:sz="4" w:space="0" w:color="auto"/>
            </w:tcBorders>
            <w:shd w:val="clear" w:color="auto" w:fill="auto"/>
            <w:vAlign w:val="center"/>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Maximum amount of contingent liabilities</w:t>
            </w:r>
            <w:r w:rsidRPr="008F0F2C">
              <w:rPr>
                <w:rFonts w:eastAsia="Times New Roman" w:cs="Times New Roman"/>
                <w:b/>
                <w:bCs/>
                <w:sz w:val="20"/>
                <w:szCs w:val="20"/>
                <w:vertAlign w:val="superscript"/>
              </w:rPr>
              <w:t xml:space="preserve"> </w:t>
            </w:r>
          </w:p>
        </w:tc>
        <w:tc>
          <w:tcPr>
            <w:tcW w:w="1348" w:type="dxa"/>
            <w:tcBorders>
              <w:top w:val="double" w:sz="6" w:space="0" w:color="auto"/>
              <w:left w:val="single" w:sz="4" w:space="0" w:color="auto"/>
              <w:bottom w:val="single" w:sz="8" w:space="0" w:color="auto"/>
              <w:right w:val="double" w:sz="6" w:space="0" w:color="auto"/>
            </w:tcBorders>
            <w:shd w:val="clear" w:color="auto" w:fill="auto"/>
            <w:vAlign w:val="center"/>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 xml:space="preserve">Estimated  </w:t>
            </w:r>
            <w:r w:rsidRPr="008F0F2C">
              <w:rPr>
                <w:rFonts w:eastAsia="Times New Roman" w:cs="Times New Roman"/>
                <w:b/>
                <w:bCs/>
                <w:sz w:val="20"/>
                <w:szCs w:val="20"/>
              </w:rPr>
              <w:br/>
              <w:t>take-up</w:t>
            </w:r>
          </w:p>
        </w:tc>
      </w:tr>
      <w:tr w:rsidR="008F0F2C" w:rsidRPr="008F0F2C" w:rsidTr="008F0F2C">
        <w:trPr>
          <w:trHeight w:val="300"/>
        </w:trPr>
        <w:tc>
          <w:tcPr>
            <w:tcW w:w="9200"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 </w:t>
            </w:r>
          </w:p>
        </w:tc>
        <w:tc>
          <w:tcPr>
            <w:tcW w:w="1380" w:type="dxa"/>
            <w:tcBorders>
              <w:top w:val="nil"/>
              <w:left w:val="nil"/>
              <w:bottom w:val="single" w:sz="8" w:space="0" w:color="auto"/>
              <w:right w:val="single" w:sz="8" w:space="0" w:color="auto"/>
            </w:tcBorders>
            <w:shd w:val="clear" w:color="auto" w:fill="auto"/>
            <w:noWrap/>
            <w:vAlign w:val="bottom"/>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single" w:sz="8" w:space="0" w:color="auto"/>
              <w:right w:val="single" w:sz="4" w:space="0" w:color="auto"/>
            </w:tcBorders>
            <w:shd w:val="clear" w:color="auto" w:fill="auto"/>
            <w:noWrap/>
            <w:vAlign w:val="bottom"/>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2025</w:t>
            </w:r>
          </w:p>
        </w:tc>
        <w:tc>
          <w:tcPr>
            <w:tcW w:w="1348" w:type="dxa"/>
            <w:tcBorders>
              <w:top w:val="nil"/>
              <w:left w:val="nil"/>
              <w:bottom w:val="single" w:sz="8" w:space="0" w:color="auto"/>
              <w:right w:val="double" w:sz="6" w:space="0" w:color="auto"/>
            </w:tcBorders>
            <w:shd w:val="clear" w:color="auto" w:fill="auto"/>
            <w:noWrap/>
            <w:vAlign w:val="bottom"/>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2025</w:t>
            </w:r>
          </w:p>
        </w:tc>
      </w:tr>
      <w:tr w:rsidR="008F0F2C" w:rsidRPr="008F0F2C" w:rsidTr="008F0F2C">
        <w:trPr>
          <w:trHeight w:val="292"/>
        </w:trPr>
        <w:tc>
          <w:tcPr>
            <w:tcW w:w="5800" w:type="dxa"/>
            <w:tcBorders>
              <w:top w:val="single" w:sz="8" w:space="0" w:color="auto"/>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xml:space="preserve">Elektroprivreda Srbije </w:t>
            </w:r>
          </w:p>
        </w:tc>
        <w:tc>
          <w:tcPr>
            <w:tcW w:w="1440" w:type="dxa"/>
            <w:tcBorders>
              <w:top w:val="single" w:sz="8" w:space="0" w:color="auto"/>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single" w:sz="8" w:space="0" w:color="auto"/>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bn NCU</w:t>
            </w:r>
          </w:p>
        </w:tc>
        <w:tc>
          <w:tcPr>
            <w:tcW w:w="1380" w:type="dxa"/>
            <w:tcBorders>
              <w:top w:val="nil"/>
              <w:left w:val="nil"/>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single" w:sz="8" w:space="0" w:color="auto"/>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77.7</w:t>
            </w:r>
          </w:p>
        </w:tc>
        <w:tc>
          <w:tcPr>
            <w:tcW w:w="1348" w:type="dxa"/>
            <w:tcBorders>
              <w:top w:val="single" w:sz="8" w:space="0" w:color="auto"/>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66.4</w:t>
            </w:r>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Srbijagas</w:t>
            </w:r>
          </w:p>
        </w:tc>
        <w:tc>
          <w:tcPr>
            <w:tcW w:w="1440" w:type="dxa"/>
            <w:tcBorders>
              <w:top w:val="dotted" w:sz="4" w:space="0" w:color="auto"/>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dotted" w:sz="4" w:space="0" w:color="auto"/>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bn NCU</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dotted" w:sz="4" w:space="0" w:color="auto"/>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67.2</w:t>
            </w:r>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67.2</w:t>
            </w:r>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xml:space="preserve">Elektrodistribucija Srbije </w:t>
            </w:r>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bn NCU</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37.4</w:t>
            </w:r>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13.7</w:t>
            </w:r>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xml:space="preserve">Srbijavoz </w:t>
            </w:r>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bn NCU</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27.0</w:t>
            </w:r>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13.6</w:t>
            </w:r>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Putevi Srbije</w:t>
            </w:r>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bn NCU</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18.2</w:t>
            </w:r>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18.2</w:t>
            </w:r>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xml:space="preserve">Elektromreža Srbije </w:t>
            </w:r>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bn NCU</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14.9</w:t>
            </w:r>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3.3</w:t>
            </w:r>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Local Government</w:t>
            </w:r>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bn NCU</w:t>
            </w: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13.9</w:t>
            </w:r>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rPr>
                <w:rFonts w:eastAsia="Times New Roman" w:cs="Times New Roman"/>
                <w:sz w:val="20"/>
                <w:szCs w:val="20"/>
              </w:rPr>
            </w:pPr>
            <w:r w:rsidRPr="008F0F2C">
              <w:rPr>
                <w:rFonts w:eastAsia="Times New Roman" w:cs="Times New Roman"/>
                <w:sz w:val="20"/>
                <w:szCs w:val="20"/>
              </w:rPr>
              <w:t>13.9</w:t>
            </w:r>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bookmarkStart w:id="79" w:name="_Toc221106885"/>
            <w:r w:rsidRPr="008F0F2C">
              <w:rPr>
                <w:rFonts w:eastAsia="Times New Roman" w:cs="Times New Roman"/>
                <w:sz w:val="20"/>
                <w:szCs w:val="20"/>
              </w:rPr>
              <w:t>Srbija Kargo</w:t>
            </w:r>
            <w:bookmarkEnd w:id="79"/>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outlineLvl w:val="0"/>
              <w:rPr>
                <w:rFonts w:eastAsia="Times New Roman" w:cs="Times New Roman"/>
                <w:sz w:val="20"/>
                <w:szCs w:val="20"/>
              </w:rPr>
            </w:pPr>
            <w:bookmarkStart w:id="80" w:name="_Toc221106886"/>
            <w:r w:rsidRPr="008F0F2C">
              <w:rPr>
                <w:rFonts w:eastAsia="Times New Roman" w:cs="Times New Roman"/>
                <w:sz w:val="20"/>
                <w:szCs w:val="20"/>
              </w:rPr>
              <w:t>bn NCU</w:t>
            </w:r>
            <w:bookmarkEnd w:id="80"/>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81" w:name="_Toc221106887"/>
            <w:r w:rsidRPr="008F0F2C">
              <w:rPr>
                <w:rFonts w:eastAsia="Times New Roman" w:cs="Times New Roman"/>
                <w:sz w:val="20"/>
                <w:szCs w:val="20"/>
              </w:rPr>
              <w:t>6.8</w:t>
            </w:r>
            <w:bookmarkEnd w:id="81"/>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82" w:name="_Toc221106888"/>
            <w:r w:rsidRPr="008F0F2C">
              <w:rPr>
                <w:rFonts w:eastAsia="Times New Roman" w:cs="Times New Roman"/>
                <w:sz w:val="20"/>
                <w:szCs w:val="20"/>
              </w:rPr>
              <w:t>0.6</w:t>
            </w:r>
            <w:bookmarkEnd w:id="82"/>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bookmarkStart w:id="83" w:name="_Toc221106889"/>
            <w:r w:rsidRPr="008F0F2C">
              <w:rPr>
                <w:rFonts w:eastAsia="Times New Roman" w:cs="Times New Roman"/>
                <w:sz w:val="20"/>
                <w:szCs w:val="20"/>
              </w:rPr>
              <w:t>Železnice Srbije</w:t>
            </w:r>
            <w:bookmarkEnd w:id="83"/>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outlineLvl w:val="0"/>
              <w:rPr>
                <w:rFonts w:eastAsia="Times New Roman" w:cs="Times New Roman"/>
                <w:sz w:val="20"/>
                <w:szCs w:val="20"/>
              </w:rPr>
            </w:pPr>
            <w:bookmarkStart w:id="84" w:name="_Toc221106890"/>
            <w:r w:rsidRPr="008F0F2C">
              <w:rPr>
                <w:rFonts w:eastAsia="Times New Roman" w:cs="Times New Roman"/>
                <w:sz w:val="20"/>
                <w:szCs w:val="20"/>
              </w:rPr>
              <w:t>bn NCU</w:t>
            </w:r>
            <w:bookmarkEnd w:id="84"/>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85" w:name="_Toc221106891"/>
            <w:r w:rsidRPr="008F0F2C">
              <w:rPr>
                <w:rFonts w:eastAsia="Times New Roman" w:cs="Times New Roman"/>
                <w:sz w:val="20"/>
                <w:szCs w:val="20"/>
              </w:rPr>
              <w:t>5.3</w:t>
            </w:r>
            <w:bookmarkEnd w:id="85"/>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86" w:name="_Toc221106892"/>
            <w:r w:rsidRPr="008F0F2C">
              <w:rPr>
                <w:rFonts w:eastAsia="Times New Roman" w:cs="Times New Roman"/>
                <w:sz w:val="20"/>
                <w:szCs w:val="20"/>
              </w:rPr>
              <w:t>5.3</w:t>
            </w:r>
            <w:bookmarkEnd w:id="86"/>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bookmarkStart w:id="87" w:name="_Toc221106893"/>
            <w:r w:rsidRPr="008F0F2C">
              <w:rPr>
                <w:rFonts w:eastAsia="Times New Roman" w:cs="Times New Roman"/>
                <w:sz w:val="20"/>
                <w:szCs w:val="20"/>
              </w:rPr>
              <w:t>Infrastruktura železnice Srbije</w:t>
            </w:r>
            <w:bookmarkEnd w:id="87"/>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outlineLvl w:val="0"/>
              <w:rPr>
                <w:rFonts w:eastAsia="Times New Roman" w:cs="Times New Roman"/>
                <w:sz w:val="20"/>
                <w:szCs w:val="20"/>
              </w:rPr>
            </w:pPr>
            <w:bookmarkStart w:id="88" w:name="_Toc221106894"/>
            <w:r w:rsidRPr="008F0F2C">
              <w:rPr>
                <w:rFonts w:eastAsia="Times New Roman" w:cs="Times New Roman"/>
                <w:sz w:val="20"/>
                <w:szCs w:val="20"/>
              </w:rPr>
              <w:t>bn NCU</w:t>
            </w:r>
            <w:bookmarkEnd w:id="88"/>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89" w:name="_Toc221106895"/>
            <w:r w:rsidRPr="008F0F2C">
              <w:rPr>
                <w:rFonts w:eastAsia="Times New Roman" w:cs="Times New Roman"/>
                <w:sz w:val="20"/>
                <w:szCs w:val="20"/>
              </w:rPr>
              <w:t>1.8</w:t>
            </w:r>
            <w:bookmarkEnd w:id="89"/>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90" w:name="_Toc221106896"/>
            <w:r w:rsidRPr="008F0F2C">
              <w:rPr>
                <w:rFonts w:eastAsia="Times New Roman" w:cs="Times New Roman"/>
                <w:sz w:val="20"/>
                <w:szCs w:val="20"/>
              </w:rPr>
              <w:t>1.8</w:t>
            </w:r>
            <w:bookmarkEnd w:id="90"/>
          </w:p>
        </w:tc>
      </w:tr>
      <w:tr w:rsidR="008F0F2C" w:rsidRPr="008F0F2C" w:rsidTr="008F0F2C">
        <w:trPr>
          <w:trHeight w:val="292"/>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bookmarkStart w:id="91" w:name="_Toc221106897"/>
            <w:r w:rsidRPr="008F0F2C">
              <w:rPr>
                <w:rFonts w:eastAsia="Times New Roman" w:cs="Times New Roman"/>
                <w:sz w:val="20"/>
                <w:szCs w:val="20"/>
              </w:rPr>
              <w:t>Skijališta Srbije</w:t>
            </w:r>
            <w:bookmarkEnd w:id="91"/>
            <w:r w:rsidRPr="008F0F2C">
              <w:rPr>
                <w:rFonts w:eastAsia="Times New Roman" w:cs="Times New Roman"/>
                <w:sz w:val="20"/>
                <w:szCs w:val="20"/>
              </w:rPr>
              <w:t xml:space="preserve"> </w:t>
            </w:r>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center"/>
              <w:outlineLvl w:val="0"/>
              <w:rPr>
                <w:rFonts w:eastAsia="Times New Roman" w:cs="Times New Roman"/>
                <w:sz w:val="20"/>
                <w:szCs w:val="20"/>
              </w:rPr>
            </w:pPr>
            <w:bookmarkStart w:id="92" w:name="_Toc221106898"/>
            <w:r w:rsidRPr="008F0F2C">
              <w:rPr>
                <w:rFonts w:eastAsia="Times New Roman" w:cs="Times New Roman"/>
                <w:sz w:val="20"/>
                <w:szCs w:val="20"/>
              </w:rPr>
              <w:t>bn NCU</w:t>
            </w:r>
            <w:bookmarkEnd w:id="92"/>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8F0F2C" w:rsidRPr="008F0F2C" w:rsidRDefault="008F0F2C" w:rsidP="008F0F2C">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93" w:name="_Toc221106899"/>
            <w:r w:rsidRPr="008F0F2C">
              <w:rPr>
                <w:rFonts w:eastAsia="Times New Roman" w:cs="Times New Roman"/>
                <w:sz w:val="20"/>
                <w:szCs w:val="20"/>
              </w:rPr>
              <w:t>1.0</w:t>
            </w:r>
            <w:bookmarkEnd w:id="93"/>
          </w:p>
        </w:tc>
        <w:tc>
          <w:tcPr>
            <w:tcW w:w="1348" w:type="dxa"/>
            <w:tcBorders>
              <w:top w:val="nil"/>
              <w:left w:val="nil"/>
              <w:bottom w:val="dotted" w:sz="4" w:space="0" w:color="auto"/>
              <w:right w:val="double" w:sz="6"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94" w:name="_Toc221106900"/>
            <w:r w:rsidRPr="008F0F2C">
              <w:rPr>
                <w:rFonts w:eastAsia="Times New Roman" w:cs="Times New Roman"/>
                <w:sz w:val="20"/>
                <w:szCs w:val="20"/>
              </w:rPr>
              <w:t>1.0</w:t>
            </w:r>
            <w:bookmarkEnd w:id="94"/>
          </w:p>
        </w:tc>
      </w:tr>
      <w:tr w:rsidR="008F0F2C" w:rsidRPr="008F0F2C" w:rsidTr="00243B37">
        <w:trPr>
          <w:trHeight w:val="315"/>
        </w:trPr>
        <w:tc>
          <w:tcPr>
            <w:tcW w:w="5800" w:type="dxa"/>
            <w:tcBorders>
              <w:top w:val="nil"/>
              <w:left w:val="double" w:sz="6" w:space="0" w:color="auto"/>
              <w:bottom w:val="dotted" w:sz="4" w:space="0" w:color="auto"/>
              <w:right w:val="nil"/>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bookmarkStart w:id="95" w:name="_Toc221106901"/>
            <w:r w:rsidRPr="008F0F2C">
              <w:rPr>
                <w:rFonts w:eastAsia="Times New Roman" w:cs="Times New Roman"/>
                <w:sz w:val="20"/>
                <w:szCs w:val="20"/>
              </w:rPr>
              <w:t>Jugoimport - SDPR</w:t>
            </w:r>
            <w:bookmarkEnd w:id="95"/>
            <w:r w:rsidRPr="008F0F2C">
              <w:rPr>
                <w:rFonts w:eastAsia="Times New Roman" w:cs="Times New Roman"/>
                <w:sz w:val="20"/>
                <w:szCs w:val="20"/>
              </w:rPr>
              <w:t xml:space="preserve"> </w:t>
            </w:r>
          </w:p>
        </w:tc>
        <w:tc>
          <w:tcPr>
            <w:tcW w:w="1440" w:type="dxa"/>
            <w:tcBorders>
              <w:top w:val="nil"/>
              <w:left w:val="nil"/>
              <w:bottom w:val="dotted" w:sz="4" w:space="0" w:color="auto"/>
              <w:right w:val="single" w:sz="4" w:space="0" w:color="auto"/>
            </w:tcBorders>
            <w:shd w:val="clear" w:color="auto" w:fill="auto"/>
            <w:vAlign w:val="center"/>
            <w:hideMark/>
          </w:tcPr>
          <w:p w:rsidR="008F0F2C" w:rsidRPr="008F0F2C" w:rsidRDefault="008F0F2C" w:rsidP="008F0F2C">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single" w:sz="8" w:space="0" w:color="auto"/>
              <w:right w:val="single" w:sz="4" w:space="0" w:color="auto"/>
            </w:tcBorders>
            <w:shd w:val="clear" w:color="auto" w:fill="auto"/>
            <w:noWrap/>
            <w:vAlign w:val="bottom"/>
            <w:hideMark/>
          </w:tcPr>
          <w:p w:rsidR="008F0F2C" w:rsidRPr="008F0F2C" w:rsidRDefault="008F0F2C" w:rsidP="008F0F2C">
            <w:pPr>
              <w:spacing w:after="0"/>
              <w:jc w:val="center"/>
              <w:outlineLvl w:val="0"/>
              <w:rPr>
                <w:rFonts w:eastAsia="Times New Roman" w:cs="Times New Roman"/>
                <w:sz w:val="20"/>
                <w:szCs w:val="20"/>
              </w:rPr>
            </w:pPr>
            <w:bookmarkStart w:id="96" w:name="_Toc221106902"/>
            <w:r w:rsidRPr="008F0F2C">
              <w:rPr>
                <w:rFonts w:eastAsia="Times New Roman" w:cs="Times New Roman"/>
                <w:sz w:val="20"/>
                <w:szCs w:val="20"/>
              </w:rPr>
              <w:t>bn NCU</w:t>
            </w:r>
            <w:bookmarkEnd w:id="96"/>
          </w:p>
        </w:tc>
        <w:tc>
          <w:tcPr>
            <w:tcW w:w="1380" w:type="dxa"/>
            <w:tcBorders>
              <w:top w:val="nil"/>
              <w:left w:val="single" w:sz="4" w:space="0" w:color="auto"/>
              <w:bottom w:val="single" w:sz="8" w:space="0" w:color="auto"/>
              <w:right w:val="single" w:sz="8" w:space="0" w:color="auto"/>
            </w:tcBorders>
            <w:shd w:val="clear" w:color="auto" w:fill="auto"/>
            <w:noWrap/>
            <w:vAlign w:val="center"/>
            <w:hideMark/>
          </w:tcPr>
          <w:p w:rsidR="008F0F2C" w:rsidRPr="008F0F2C" w:rsidRDefault="008F0F2C" w:rsidP="008F0F2C">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single" w:sz="8" w:space="0" w:color="auto"/>
              <w:right w:val="single" w:sz="4"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97" w:name="_Toc221106903"/>
            <w:r w:rsidRPr="008F0F2C">
              <w:rPr>
                <w:rFonts w:eastAsia="Times New Roman" w:cs="Times New Roman"/>
                <w:sz w:val="20"/>
                <w:szCs w:val="20"/>
              </w:rPr>
              <w:t>0.9</w:t>
            </w:r>
            <w:bookmarkEnd w:id="97"/>
          </w:p>
        </w:tc>
        <w:tc>
          <w:tcPr>
            <w:tcW w:w="1348" w:type="dxa"/>
            <w:tcBorders>
              <w:top w:val="nil"/>
              <w:left w:val="nil"/>
              <w:bottom w:val="single" w:sz="8" w:space="0" w:color="auto"/>
              <w:right w:val="double" w:sz="6" w:space="0" w:color="auto"/>
            </w:tcBorders>
            <w:shd w:val="clear" w:color="auto" w:fill="auto"/>
            <w:noWrap/>
            <w:vAlign w:val="bottom"/>
            <w:hideMark/>
          </w:tcPr>
          <w:p w:rsidR="008F0F2C" w:rsidRPr="008F0F2C" w:rsidRDefault="008F0F2C" w:rsidP="008F0F2C">
            <w:pPr>
              <w:spacing w:after="0"/>
              <w:jc w:val="right"/>
              <w:outlineLvl w:val="0"/>
              <w:rPr>
                <w:rFonts w:eastAsia="Times New Roman" w:cs="Times New Roman"/>
                <w:sz w:val="20"/>
                <w:szCs w:val="20"/>
              </w:rPr>
            </w:pPr>
            <w:bookmarkStart w:id="98" w:name="_Toc221106904"/>
            <w:r w:rsidRPr="008F0F2C">
              <w:rPr>
                <w:rFonts w:eastAsia="Times New Roman" w:cs="Times New Roman"/>
                <w:sz w:val="20"/>
                <w:szCs w:val="20"/>
              </w:rPr>
              <w:t>0.9</w:t>
            </w:r>
            <w:bookmarkEnd w:id="98"/>
          </w:p>
        </w:tc>
      </w:tr>
      <w:tr w:rsidR="008F0F2C" w:rsidRPr="008F0F2C" w:rsidTr="00243B37">
        <w:trPr>
          <w:trHeight w:val="300"/>
        </w:trPr>
        <w:tc>
          <w:tcPr>
            <w:tcW w:w="7240"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 </w:t>
            </w:r>
          </w:p>
        </w:tc>
        <w:tc>
          <w:tcPr>
            <w:tcW w:w="1960" w:type="dxa"/>
            <w:tcBorders>
              <w:top w:val="single" w:sz="8" w:space="0" w:color="auto"/>
              <w:left w:val="single" w:sz="4" w:space="0" w:color="auto"/>
              <w:bottom w:val="double" w:sz="6" w:space="0" w:color="auto"/>
              <w:right w:val="single" w:sz="4" w:space="0" w:color="auto"/>
            </w:tcBorders>
            <w:shd w:val="clear" w:color="auto" w:fill="auto"/>
            <w:noWrap/>
            <w:vAlign w:val="center"/>
            <w:hideMark/>
          </w:tcPr>
          <w:p w:rsidR="008F0F2C" w:rsidRPr="008F0F2C" w:rsidRDefault="008F0F2C" w:rsidP="008F0F2C">
            <w:pPr>
              <w:spacing w:after="0"/>
              <w:jc w:val="center"/>
              <w:rPr>
                <w:rFonts w:eastAsia="Times New Roman" w:cs="Times New Roman"/>
                <w:b/>
                <w:bCs/>
                <w:sz w:val="20"/>
                <w:szCs w:val="20"/>
              </w:rPr>
            </w:pPr>
            <w:r w:rsidRPr="008F0F2C">
              <w:rPr>
                <w:rFonts w:eastAsia="Times New Roman" w:cs="Times New Roman"/>
                <w:b/>
                <w:bCs/>
                <w:sz w:val="20"/>
                <w:szCs w:val="20"/>
              </w:rPr>
              <w:t>Total</w:t>
            </w:r>
          </w:p>
        </w:tc>
        <w:tc>
          <w:tcPr>
            <w:tcW w:w="1380" w:type="dxa"/>
            <w:tcBorders>
              <w:top w:val="single" w:sz="8" w:space="0" w:color="auto"/>
              <w:left w:val="nil"/>
              <w:bottom w:val="double" w:sz="6" w:space="0" w:color="auto"/>
              <w:right w:val="single" w:sz="8" w:space="0" w:color="auto"/>
            </w:tcBorders>
            <w:shd w:val="clear" w:color="auto" w:fill="auto"/>
            <w:noWrap/>
            <w:vAlign w:val="center"/>
            <w:hideMark/>
          </w:tcPr>
          <w:p w:rsidR="008F0F2C" w:rsidRPr="008F0F2C" w:rsidRDefault="008F0F2C" w:rsidP="008F0F2C">
            <w:pPr>
              <w:spacing w:after="0"/>
              <w:jc w:val="left"/>
              <w:rPr>
                <w:rFonts w:eastAsia="Times New Roman" w:cs="Times New Roman"/>
                <w:b/>
                <w:bCs/>
                <w:sz w:val="20"/>
                <w:szCs w:val="20"/>
              </w:rPr>
            </w:pPr>
            <w:r w:rsidRPr="008F0F2C">
              <w:rPr>
                <w:rFonts w:eastAsia="Times New Roman" w:cs="Times New Roman"/>
                <w:b/>
                <w:bCs/>
                <w:sz w:val="20"/>
                <w:szCs w:val="20"/>
              </w:rPr>
              <w:t> </w:t>
            </w:r>
          </w:p>
        </w:tc>
        <w:tc>
          <w:tcPr>
            <w:tcW w:w="1448" w:type="dxa"/>
            <w:tcBorders>
              <w:top w:val="single" w:sz="8" w:space="0" w:color="auto"/>
              <w:left w:val="nil"/>
              <w:bottom w:val="double" w:sz="6" w:space="0" w:color="auto"/>
              <w:right w:val="single" w:sz="4"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272.0</w:t>
            </w:r>
          </w:p>
        </w:tc>
        <w:tc>
          <w:tcPr>
            <w:tcW w:w="1348" w:type="dxa"/>
            <w:tcBorders>
              <w:top w:val="single" w:sz="8" w:space="0" w:color="auto"/>
              <w:left w:val="nil"/>
              <w:bottom w:val="double" w:sz="6" w:space="0" w:color="auto"/>
              <w:right w:val="double" w:sz="6" w:space="0" w:color="auto"/>
            </w:tcBorders>
            <w:shd w:val="clear" w:color="auto" w:fill="auto"/>
            <w:noWrap/>
            <w:vAlign w:val="center"/>
            <w:hideMark/>
          </w:tcPr>
          <w:p w:rsidR="008F0F2C" w:rsidRPr="008F0F2C" w:rsidRDefault="008F0F2C" w:rsidP="008F0F2C">
            <w:pPr>
              <w:spacing w:after="0"/>
              <w:jc w:val="right"/>
              <w:rPr>
                <w:rFonts w:eastAsia="Times New Roman" w:cs="Times New Roman"/>
                <w:b/>
                <w:bCs/>
                <w:sz w:val="20"/>
                <w:szCs w:val="20"/>
              </w:rPr>
            </w:pPr>
            <w:r w:rsidRPr="008F0F2C">
              <w:rPr>
                <w:rFonts w:eastAsia="Times New Roman" w:cs="Times New Roman"/>
                <w:b/>
                <w:bCs/>
                <w:sz w:val="20"/>
                <w:szCs w:val="20"/>
              </w:rPr>
              <w:t>205.9</w:t>
            </w:r>
          </w:p>
        </w:tc>
      </w:tr>
    </w:tbl>
    <w:p w:rsidR="008F0F2C" w:rsidRDefault="008F0F2C" w:rsidP="007A0CEC">
      <w:pPr>
        <w:spacing w:after="0"/>
        <w:jc w:val="left"/>
        <w:rPr>
          <w:rFonts w:cs="Times New Roman"/>
          <w:szCs w:val="24"/>
          <w:lang w:val="sr-Latn-RS"/>
        </w:rPr>
      </w:pPr>
      <w:r>
        <w:rPr>
          <w:rFonts w:cs="Times New Roman"/>
          <w:szCs w:val="24"/>
          <w:lang w:val="sr-Latn-RS"/>
        </w:rPr>
        <w:fldChar w:fldCharType="end"/>
      </w: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tbl>
      <w:tblPr>
        <w:tblW w:w="13376" w:type="dxa"/>
        <w:tblLook w:val="04A0" w:firstRow="1" w:lastRow="0" w:firstColumn="1" w:lastColumn="0" w:noHBand="0" w:noVBand="1"/>
      </w:tblPr>
      <w:tblGrid>
        <w:gridCol w:w="5800"/>
        <w:gridCol w:w="1440"/>
        <w:gridCol w:w="1960"/>
        <w:gridCol w:w="1380"/>
        <w:gridCol w:w="1448"/>
        <w:gridCol w:w="1348"/>
      </w:tblGrid>
      <w:tr w:rsidR="00243B37" w:rsidRPr="008F0F2C" w:rsidTr="00E746C5">
        <w:trPr>
          <w:trHeight w:val="309"/>
        </w:trPr>
        <w:tc>
          <w:tcPr>
            <w:tcW w:w="7240" w:type="dxa"/>
            <w:gridSpan w:val="2"/>
            <w:tcBorders>
              <w:top w:val="double" w:sz="6" w:space="0" w:color="auto"/>
              <w:left w:val="double" w:sz="6" w:space="0" w:color="auto"/>
              <w:bottom w:val="double" w:sz="6" w:space="0" w:color="auto"/>
              <w:right w:val="nil"/>
            </w:tcBorders>
            <w:shd w:val="clear" w:color="auto" w:fill="auto"/>
            <w:noWrap/>
            <w:vAlign w:val="center"/>
            <w:hideMark/>
          </w:tcPr>
          <w:p w:rsidR="00243B37" w:rsidRPr="008F0F2C" w:rsidRDefault="00243B37" w:rsidP="00E746C5">
            <w:pPr>
              <w:spacing w:after="0"/>
              <w:jc w:val="left"/>
              <w:rPr>
                <w:rFonts w:eastAsia="Times New Roman" w:cs="Times New Roman"/>
                <w:b/>
                <w:bCs/>
                <w:sz w:val="20"/>
                <w:szCs w:val="20"/>
              </w:rPr>
            </w:pPr>
            <w:r w:rsidRPr="008F0F2C">
              <w:rPr>
                <w:rFonts w:eastAsia="Times New Roman" w:cs="Times New Roman"/>
                <w:b/>
                <w:bCs/>
                <w:sz w:val="20"/>
                <w:szCs w:val="20"/>
              </w:rPr>
              <w:lastRenderedPageBreak/>
              <w:t xml:space="preserve">Table 7a:  Stock of General Government guarantees adopted/announced at [year-month] according to the Programme </w:t>
            </w:r>
          </w:p>
        </w:tc>
        <w:tc>
          <w:tcPr>
            <w:tcW w:w="1960" w:type="dxa"/>
            <w:tcBorders>
              <w:top w:val="double" w:sz="6" w:space="0" w:color="auto"/>
              <w:left w:val="single" w:sz="8" w:space="0" w:color="auto"/>
              <w:bottom w:val="double" w:sz="6" w:space="0" w:color="auto"/>
              <w:right w:val="single" w:sz="8" w:space="0" w:color="auto"/>
            </w:tcBorders>
            <w:shd w:val="clear" w:color="auto" w:fill="auto"/>
            <w:noWrap/>
            <w:vAlign w:val="center"/>
            <w:hideMark/>
          </w:tcPr>
          <w:p w:rsidR="00243B37" w:rsidRPr="008F0F2C" w:rsidRDefault="00243B37" w:rsidP="00E746C5">
            <w:pPr>
              <w:spacing w:after="0"/>
              <w:jc w:val="center"/>
              <w:rPr>
                <w:rFonts w:eastAsia="Times New Roman" w:cs="Times New Roman"/>
                <w:sz w:val="20"/>
                <w:szCs w:val="20"/>
              </w:rPr>
            </w:pPr>
            <w:r w:rsidRPr="008F0F2C">
              <w:rPr>
                <w:rFonts w:eastAsia="Times New Roman" w:cs="Times New Roman"/>
                <w:sz w:val="20"/>
                <w:szCs w:val="20"/>
              </w:rPr>
              <w:t> </w:t>
            </w:r>
          </w:p>
        </w:tc>
        <w:tc>
          <w:tcPr>
            <w:tcW w:w="1380" w:type="dxa"/>
            <w:tcBorders>
              <w:top w:val="double" w:sz="6" w:space="0" w:color="auto"/>
              <w:left w:val="nil"/>
              <w:bottom w:val="double" w:sz="6" w:space="0" w:color="auto"/>
              <w:right w:val="dashed" w:sz="4" w:space="0" w:color="auto"/>
            </w:tcBorders>
            <w:shd w:val="clear" w:color="auto" w:fill="auto"/>
            <w:noWrap/>
            <w:vAlign w:val="center"/>
            <w:hideMark/>
          </w:tcPr>
          <w:p w:rsidR="00243B37" w:rsidRPr="008F0F2C" w:rsidRDefault="00243B37" w:rsidP="00E746C5">
            <w:pPr>
              <w:spacing w:after="0"/>
              <w:jc w:val="right"/>
              <w:rPr>
                <w:rFonts w:eastAsia="Times New Roman" w:cs="Times New Roman"/>
                <w:b/>
                <w:bCs/>
                <w:sz w:val="20"/>
                <w:szCs w:val="20"/>
              </w:rPr>
            </w:pPr>
            <w:r w:rsidRPr="008F0F2C">
              <w:rPr>
                <w:rFonts w:eastAsia="Times New Roman" w:cs="Times New Roman"/>
                <w:b/>
                <w:bCs/>
                <w:sz w:val="20"/>
                <w:szCs w:val="20"/>
              </w:rPr>
              <w:t> </w:t>
            </w:r>
          </w:p>
        </w:tc>
        <w:tc>
          <w:tcPr>
            <w:tcW w:w="1448" w:type="dxa"/>
            <w:tcBorders>
              <w:top w:val="double" w:sz="6" w:space="0" w:color="auto"/>
              <w:left w:val="nil"/>
              <w:bottom w:val="double" w:sz="6" w:space="0" w:color="auto"/>
              <w:right w:val="nil"/>
            </w:tcBorders>
            <w:shd w:val="clear" w:color="auto" w:fill="auto"/>
            <w:noWrap/>
            <w:vAlign w:val="center"/>
            <w:hideMark/>
          </w:tcPr>
          <w:p w:rsidR="00243B37" w:rsidRPr="008F0F2C" w:rsidRDefault="00243B37" w:rsidP="00E746C5">
            <w:pPr>
              <w:spacing w:after="0"/>
              <w:jc w:val="right"/>
              <w:rPr>
                <w:rFonts w:eastAsia="Times New Roman" w:cs="Times New Roman"/>
                <w:b/>
                <w:bCs/>
                <w:sz w:val="20"/>
                <w:szCs w:val="20"/>
              </w:rPr>
            </w:pPr>
            <w:r w:rsidRPr="008F0F2C">
              <w:rPr>
                <w:rFonts w:eastAsia="Times New Roman" w:cs="Times New Roman"/>
                <w:b/>
                <w:bCs/>
                <w:sz w:val="20"/>
                <w:szCs w:val="20"/>
              </w:rPr>
              <w:t> </w:t>
            </w:r>
          </w:p>
        </w:tc>
        <w:tc>
          <w:tcPr>
            <w:tcW w:w="1348" w:type="dxa"/>
            <w:tcBorders>
              <w:top w:val="double" w:sz="6" w:space="0" w:color="auto"/>
              <w:left w:val="nil"/>
              <w:bottom w:val="double" w:sz="6" w:space="0" w:color="auto"/>
              <w:right w:val="double" w:sz="6" w:space="0" w:color="auto"/>
            </w:tcBorders>
            <w:shd w:val="clear" w:color="auto" w:fill="auto"/>
            <w:noWrap/>
            <w:vAlign w:val="bottom"/>
            <w:hideMark/>
          </w:tcPr>
          <w:p w:rsidR="00243B37" w:rsidRPr="008F0F2C" w:rsidRDefault="00243B37" w:rsidP="00E746C5">
            <w:pPr>
              <w:spacing w:after="0"/>
              <w:jc w:val="left"/>
              <w:rPr>
                <w:rFonts w:ascii="Calibri" w:eastAsia="Times New Roman" w:hAnsi="Calibri" w:cs="Calibri"/>
                <w:color w:val="000000"/>
                <w:sz w:val="22"/>
              </w:rPr>
            </w:pPr>
            <w:r w:rsidRPr="008F0F2C">
              <w:rPr>
                <w:rFonts w:ascii="Calibri" w:eastAsia="Times New Roman" w:hAnsi="Calibri" w:cs="Calibri"/>
                <w:color w:val="000000"/>
                <w:sz w:val="22"/>
              </w:rPr>
              <w:t> </w:t>
            </w:r>
          </w:p>
        </w:tc>
      </w:tr>
      <w:tr w:rsidR="00243B37" w:rsidRPr="008F0F2C" w:rsidTr="00E746C5">
        <w:trPr>
          <w:trHeight w:val="1560"/>
        </w:trPr>
        <w:tc>
          <w:tcPr>
            <w:tcW w:w="9200" w:type="dxa"/>
            <w:gridSpan w:val="3"/>
            <w:tcBorders>
              <w:top w:val="double" w:sz="6" w:space="0" w:color="auto"/>
              <w:left w:val="double" w:sz="6" w:space="0" w:color="auto"/>
              <w:bottom w:val="single" w:sz="8" w:space="0" w:color="auto"/>
              <w:right w:val="single" w:sz="4" w:space="0" w:color="000000"/>
            </w:tcBorders>
            <w:shd w:val="clear" w:color="auto" w:fill="auto"/>
            <w:noWrap/>
            <w:vAlign w:val="center"/>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Measures</w:t>
            </w:r>
            <w:r w:rsidR="0077464B">
              <w:rPr>
                <w:rFonts w:eastAsia="Times New Roman" w:cs="Times New Roman"/>
                <w:b/>
                <w:bCs/>
                <w:sz w:val="20"/>
                <w:szCs w:val="20"/>
              </w:rPr>
              <w:t xml:space="preserve"> in % GDP</w:t>
            </w:r>
          </w:p>
        </w:tc>
        <w:tc>
          <w:tcPr>
            <w:tcW w:w="1380" w:type="dxa"/>
            <w:tcBorders>
              <w:top w:val="double" w:sz="6" w:space="0" w:color="auto"/>
              <w:left w:val="single" w:sz="4" w:space="0" w:color="auto"/>
              <w:bottom w:val="single" w:sz="8" w:space="0" w:color="auto"/>
              <w:right w:val="single" w:sz="8" w:space="0" w:color="auto"/>
            </w:tcBorders>
            <w:shd w:val="clear" w:color="auto" w:fill="auto"/>
            <w:vAlign w:val="center"/>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Date of adoption</w:t>
            </w:r>
            <w:r w:rsidRPr="008F0F2C">
              <w:rPr>
                <w:rFonts w:eastAsia="Times New Roman" w:cs="Times New Roman"/>
                <w:b/>
                <w:bCs/>
                <w:sz w:val="20"/>
                <w:szCs w:val="20"/>
              </w:rPr>
              <w:br/>
              <w:t>(yyyy-mm)</w:t>
            </w:r>
          </w:p>
        </w:tc>
        <w:tc>
          <w:tcPr>
            <w:tcW w:w="1448" w:type="dxa"/>
            <w:tcBorders>
              <w:top w:val="nil"/>
              <w:left w:val="nil"/>
              <w:bottom w:val="single" w:sz="8" w:space="0" w:color="auto"/>
              <w:right w:val="single" w:sz="4" w:space="0" w:color="auto"/>
            </w:tcBorders>
            <w:shd w:val="clear" w:color="auto" w:fill="auto"/>
            <w:vAlign w:val="center"/>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Maximum amount of contingent liabilities</w:t>
            </w:r>
            <w:r w:rsidRPr="008F0F2C">
              <w:rPr>
                <w:rFonts w:eastAsia="Times New Roman" w:cs="Times New Roman"/>
                <w:b/>
                <w:bCs/>
                <w:sz w:val="20"/>
                <w:szCs w:val="20"/>
                <w:vertAlign w:val="superscript"/>
              </w:rPr>
              <w:t xml:space="preserve"> </w:t>
            </w:r>
          </w:p>
        </w:tc>
        <w:tc>
          <w:tcPr>
            <w:tcW w:w="1348" w:type="dxa"/>
            <w:tcBorders>
              <w:top w:val="double" w:sz="6" w:space="0" w:color="auto"/>
              <w:left w:val="single" w:sz="4" w:space="0" w:color="auto"/>
              <w:bottom w:val="single" w:sz="8" w:space="0" w:color="auto"/>
              <w:right w:val="double" w:sz="6" w:space="0" w:color="auto"/>
            </w:tcBorders>
            <w:shd w:val="clear" w:color="auto" w:fill="auto"/>
            <w:vAlign w:val="center"/>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 xml:space="preserve">Estimated  </w:t>
            </w:r>
            <w:r w:rsidRPr="008F0F2C">
              <w:rPr>
                <w:rFonts w:eastAsia="Times New Roman" w:cs="Times New Roman"/>
                <w:b/>
                <w:bCs/>
                <w:sz w:val="20"/>
                <w:szCs w:val="20"/>
              </w:rPr>
              <w:br/>
              <w:t>take-up</w:t>
            </w:r>
          </w:p>
        </w:tc>
      </w:tr>
      <w:tr w:rsidR="00243B37" w:rsidRPr="008F0F2C" w:rsidTr="00E746C5">
        <w:trPr>
          <w:trHeight w:val="300"/>
        </w:trPr>
        <w:tc>
          <w:tcPr>
            <w:tcW w:w="9200" w:type="dxa"/>
            <w:gridSpan w:val="3"/>
            <w:tcBorders>
              <w:top w:val="single" w:sz="8" w:space="0" w:color="auto"/>
              <w:left w:val="double" w:sz="6" w:space="0" w:color="auto"/>
              <w:bottom w:val="single" w:sz="8" w:space="0" w:color="auto"/>
              <w:right w:val="single" w:sz="4" w:space="0" w:color="000000"/>
            </w:tcBorders>
            <w:shd w:val="clear" w:color="auto" w:fill="auto"/>
            <w:vAlign w:val="center"/>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 </w:t>
            </w:r>
          </w:p>
        </w:tc>
        <w:tc>
          <w:tcPr>
            <w:tcW w:w="1380" w:type="dxa"/>
            <w:tcBorders>
              <w:top w:val="nil"/>
              <w:left w:val="nil"/>
              <w:bottom w:val="single" w:sz="8" w:space="0" w:color="auto"/>
              <w:right w:val="single" w:sz="8" w:space="0" w:color="auto"/>
            </w:tcBorders>
            <w:shd w:val="clear" w:color="auto" w:fill="auto"/>
            <w:noWrap/>
            <w:vAlign w:val="bottom"/>
            <w:hideMark/>
          </w:tcPr>
          <w:p w:rsidR="00243B37" w:rsidRPr="008F0F2C" w:rsidRDefault="00243B37" w:rsidP="00E746C5">
            <w:pPr>
              <w:spacing w:after="0"/>
              <w:jc w:val="left"/>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single" w:sz="8" w:space="0" w:color="auto"/>
              <w:right w:val="single" w:sz="4" w:space="0" w:color="auto"/>
            </w:tcBorders>
            <w:shd w:val="clear" w:color="auto" w:fill="auto"/>
            <w:noWrap/>
            <w:vAlign w:val="bottom"/>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2025</w:t>
            </w:r>
          </w:p>
        </w:tc>
        <w:tc>
          <w:tcPr>
            <w:tcW w:w="1348" w:type="dxa"/>
            <w:tcBorders>
              <w:top w:val="nil"/>
              <w:left w:val="nil"/>
              <w:bottom w:val="single" w:sz="8" w:space="0" w:color="auto"/>
              <w:right w:val="double" w:sz="6" w:space="0" w:color="auto"/>
            </w:tcBorders>
            <w:shd w:val="clear" w:color="auto" w:fill="auto"/>
            <w:noWrap/>
            <w:vAlign w:val="bottom"/>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2025</w:t>
            </w:r>
          </w:p>
        </w:tc>
      </w:tr>
      <w:tr w:rsidR="00243B37" w:rsidRPr="008F0F2C" w:rsidTr="0077464B">
        <w:trPr>
          <w:trHeight w:val="292"/>
        </w:trPr>
        <w:tc>
          <w:tcPr>
            <w:tcW w:w="5800" w:type="dxa"/>
            <w:tcBorders>
              <w:top w:val="single" w:sz="8" w:space="0" w:color="auto"/>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xml:space="preserve">Elektroprivreda Srbije </w:t>
            </w:r>
          </w:p>
        </w:tc>
        <w:tc>
          <w:tcPr>
            <w:tcW w:w="1440" w:type="dxa"/>
            <w:tcBorders>
              <w:top w:val="single" w:sz="8" w:space="0" w:color="auto"/>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single" w:sz="8" w:space="0" w:color="auto"/>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rPr>
                <w:rFonts w:eastAsia="Times New Roman" w:cs="Times New Roman"/>
                <w:sz w:val="20"/>
                <w:szCs w:val="20"/>
              </w:rPr>
            </w:pPr>
          </w:p>
        </w:tc>
        <w:tc>
          <w:tcPr>
            <w:tcW w:w="1380" w:type="dxa"/>
            <w:tcBorders>
              <w:top w:val="nil"/>
              <w:left w:val="nil"/>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single" w:sz="8" w:space="0" w:color="auto"/>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0.7</w:t>
            </w:r>
          </w:p>
        </w:tc>
        <w:tc>
          <w:tcPr>
            <w:tcW w:w="1348" w:type="dxa"/>
            <w:tcBorders>
              <w:top w:val="single" w:sz="8" w:space="0" w:color="auto"/>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0.6</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Srbijagas</w:t>
            </w:r>
          </w:p>
        </w:tc>
        <w:tc>
          <w:tcPr>
            <w:tcW w:w="1440" w:type="dxa"/>
            <w:tcBorders>
              <w:top w:val="dotted" w:sz="4" w:space="0" w:color="auto"/>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dotted" w:sz="4" w:space="0" w:color="auto"/>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dotted" w:sz="4" w:space="0" w:color="auto"/>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0.6</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0.6</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xml:space="preserve">Elektrodistribucija Srbije </w:t>
            </w:r>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0.4</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0.1</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xml:space="preserve">Srbijavoz </w:t>
            </w:r>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0.3</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0.1</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Putevi Srbije</w:t>
            </w:r>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0.2</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0.2</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xml:space="preserve">Elektromreža Srbije </w:t>
            </w:r>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0.1</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0.0</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Local Government</w:t>
            </w:r>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0.1</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0.1</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bookmarkStart w:id="99" w:name="_Toc221106905"/>
            <w:r w:rsidRPr="008F0F2C">
              <w:rPr>
                <w:rFonts w:eastAsia="Times New Roman" w:cs="Times New Roman"/>
                <w:sz w:val="20"/>
                <w:szCs w:val="20"/>
              </w:rPr>
              <w:t>Srbija Kargo</w:t>
            </w:r>
            <w:bookmarkEnd w:id="99"/>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outlineLvl w:val="0"/>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0.1</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0.0</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bookmarkStart w:id="100" w:name="_Toc221106906"/>
            <w:r w:rsidRPr="008F0F2C">
              <w:rPr>
                <w:rFonts w:eastAsia="Times New Roman" w:cs="Times New Roman"/>
                <w:sz w:val="20"/>
                <w:szCs w:val="20"/>
              </w:rPr>
              <w:t>Železnice Srbije</w:t>
            </w:r>
            <w:bookmarkEnd w:id="100"/>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outlineLvl w:val="0"/>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0.1</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0.1</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bookmarkStart w:id="101" w:name="_Toc221106907"/>
            <w:r w:rsidRPr="008F0F2C">
              <w:rPr>
                <w:rFonts w:eastAsia="Times New Roman" w:cs="Times New Roman"/>
                <w:sz w:val="20"/>
                <w:szCs w:val="20"/>
              </w:rPr>
              <w:t>Infrastruktura železnice Srbije</w:t>
            </w:r>
            <w:bookmarkEnd w:id="101"/>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outlineLvl w:val="0"/>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0.0</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0.0</w:t>
            </w:r>
          </w:p>
        </w:tc>
      </w:tr>
      <w:tr w:rsidR="00243B37" w:rsidRPr="008F0F2C" w:rsidTr="0077464B">
        <w:trPr>
          <w:trHeight w:val="292"/>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bookmarkStart w:id="102" w:name="_Toc221106908"/>
            <w:r w:rsidRPr="008F0F2C">
              <w:rPr>
                <w:rFonts w:eastAsia="Times New Roman" w:cs="Times New Roman"/>
                <w:sz w:val="20"/>
                <w:szCs w:val="20"/>
              </w:rPr>
              <w:t>Skijališta Srbije</w:t>
            </w:r>
            <w:bookmarkEnd w:id="102"/>
            <w:r w:rsidRPr="008F0F2C">
              <w:rPr>
                <w:rFonts w:eastAsia="Times New Roman" w:cs="Times New Roman"/>
                <w:sz w:val="20"/>
                <w:szCs w:val="20"/>
              </w:rPr>
              <w:t xml:space="preserve"> </w:t>
            </w:r>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dotted" w:sz="4" w:space="0" w:color="auto"/>
              <w:right w:val="single" w:sz="4" w:space="0" w:color="auto"/>
            </w:tcBorders>
            <w:shd w:val="clear" w:color="auto" w:fill="auto"/>
            <w:noWrap/>
            <w:vAlign w:val="bottom"/>
          </w:tcPr>
          <w:p w:rsidR="00243B37" w:rsidRPr="008F0F2C" w:rsidRDefault="00243B37" w:rsidP="00243B37">
            <w:pPr>
              <w:spacing w:after="0"/>
              <w:jc w:val="center"/>
              <w:outlineLvl w:val="0"/>
              <w:rPr>
                <w:rFonts w:eastAsia="Times New Roman" w:cs="Times New Roman"/>
                <w:sz w:val="20"/>
                <w:szCs w:val="20"/>
              </w:rPr>
            </w:pPr>
          </w:p>
        </w:tc>
        <w:tc>
          <w:tcPr>
            <w:tcW w:w="1380" w:type="dxa"/>
            <w:tcBorders>
              <w:top w:val="nil"/>
              <w:left w:val="single" w:sz="4" w:space="0" w:color="auto"/>
              <w:bottom w:val="dotted" w:sz="4" w:space="0" w:color="auto"/>
              <w:right w:val="single" w:sz="8" w:space="0" w:color="auto"/>
            </w:tcBorders>
            <w:shd w:val="clear" w:color="auto" w:fill="auto"/>
            <w:noWrap/>
            <w:vAlign w:val="center"/>
            <w:hideMark/>
          </w:tcPr>
          <w:p w:rsidR="00243B37" w:rsidRPr="008F0F2C" w:rsidRDefault="00243B37" w:rsidP="00243B37">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dotted" w:sz="4"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0.0</w:t>
            </w:r>
          </w:p>
        </w:tc>
        <w:tc>
          <w:tcPr>
            <w:tcW w:w="1348" w:type="dxa"/>
            <w:tcBorders>
              <w:top w:val="nil"/>
              <w:left w:val="nil"/>
              <w:bottom w:val="dotted" w:sz="4"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0.0</w:t>
            </w:r>
          </w:p>
        </w:tc>
      </w:tr>
      <w:tr w:rsidR="00243B37" w:rsidRPr="008F0F2C" w:rsidTr="0077464B">
        <w:trPr>
          <w:trHeight w:val="315"/>
        </w:trPr>
        <w:tc>
          <w:tcPr>
            <w:tcW w:w="5800" w:type="dxa"/>
            <w:tcBorders>
              <w:top w:val="nil"/>
              <w:left w:val="double" w:sz="6" w:space="0" w:color="auto"/>
              <w:bottom w:val="dotted" w:sz="4" w:space="0" w:color="auto"/>
              <w:right w:val="nil"/>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bookmarkStart w:id="103" w:name="_Toc221106909"/>
            <w:r w:rsidRPr="008F0F2C">
              <w:rPr>
                <w:rFonts w:eastAsia="Times New Roman" w:cs="Times New Roman"/>
                <w:sz w:val="20"/>
                <w:szCs w:val="20"/>
              </w:rPr>
              <w:t>Jugoimport - SDPR</w:t>
            </w:r>
            <w:bookmarkEnd w:id="103"/>
            <w:r w:rsidRPr="008F0F2C">
              <w:rPr>
                <w:rFonts w:eastAsia="Times New Roman" w:cs="Times New Roman"/>
                <w:sz w:val="20"/>
                <w:szCs w:val="20"/>
              </w:rPr>
              <w:t xml:space="preserve"> </w:t>
            </w:r>
          </w:p>
        </w:tc>
        <w:tc>
          <w:tcPr>
            <w:tcW w:w="1440" w:type="dxa"/>
            <w:tcBorders>
              <w:top w:val="nil"/>
              <w:left w:val="nil"/>
              <w:bottom w:val="dotted" w:sz="4" w:space="0" w:color="auto"/>
              <w:right w:val="single" w:sz="4" w:space="0" w:color="auto"/>
            </w:tcBorders>
            <w:shd w:val="clear" w:color="auto" w:fill="auto"/>
            <w:vAlign w:val="center"/>
            <w:hideMark/>
          </w:tcPr>
          <w:p w:rsidR="00243B37" w:rsidRPr="008F0F2C" w:rsidRDefault="00243B37" w:rsidP="00243B37">
            <w:pPr>
              <w:spacing w:after="0"/>
              <w:jc w:val="left"/>
              <w:outlineLvl w:val="0"/>
              <w:rPr>
                <w:rFonts w:eastAsia="Times New Roman" w:cs="Times New Roman"/>
                <w:sz w:val="20"/>
                <w:szCs w:val="20"/>
              </w:rPr>
            </w:pPr>
            <w:r w:rsidRPr="008F0F2C">
              <w:rPr>
                <w:rFonts w:eastAsia="Times New Roman" w:cs="Times New Roman"/>
                <w:sz w:val="20"/>
                <w:szCs w:val="20"/>
              </w:rPr>
              <w:t> </w:t>
            </w:r>
          </w:p>
        </w:tc>
        <w:tc>
          <w:tcPr>
            <w:tcW w:w="1960" w:type="dxa"/>
            <w:tcBorders>
              <w:top w:val="nil"/>
              <w:left w:val="nil"/>
              <w:bottom w:val="single" w:sz="8" w:space="0" w:color="auto"/>
              <w:right w:val="single" w:sz="4" w:space="0" w:color="auto"/>
            </w:tcBorders>
            <w:shd w:val="clear" w:color="auto" w:fill="auto"/>
            <w:noWrap/>
            <w:vAlign w:val="bottom"/>
          </w:tcPr>
          <w:p w:rsidR="00243B37" w:rsidRPr="008F0F2C" w:rsidRDefault="00243B37" w:rsidP="00243B37">
            <w:pPr>
              <w:spacing w:after="0"/>
              <w:jc w:val="center"/>
              <w:outlineLvl w:val="0"/>
              <w:rPr>
                <w:rFonts w:eastAsia="Times New Roman" w:cs="Times New Roman"/>
                <w:sz w:val="20"/>
                <w:szCs w:val="20"/>
              </w:rPr>
            </w:pPr>
          </w:p>
        </w:tc>
        <w:tc>
          <w:tcPr>
            <w:tcW w:w="1380" w:type="dxa"/>
            <w:tcBorders>
              <w:top w:val="nil"/>
              <w:left w:val="single" w:sz="4" w:space="0" w:color="auto"/>
              <w:bottom w:val="single" w:sz="8" w:space="0" w:color="auto"/>
              <w:right w:val="single" w:sz="8" w:space="0" w:color="auto"/>
            </w:tcBorders>
            <w:shd w:val="clear" w:color="auto" w:fill="auto"/>
            <w:noWrap/>
            <w:vAlign w:val="center"/>
            <w:hideMark/>
          </w:tcPr>
          <w:p w:rsidR="00243B37" w:rsidRPr="008F0F2C" w:rsidRDefault="00243B37" w:rsidP="00243B37">
            <w:pPr>
              <w:spacing w:after="0"/>
              <w:jc w:val="center"/>
              <w:outlineLvl w:val="0"/>
              <w:rPr>
                <w:rFonts w:eastAsia="Times New Roman" w:cs="Times New Roman"/>
                <w:sz w:val="20"/>
                <w:szCs w:val="20"/>
              </w:rPr>
            </w:pPr>
            <w:r w:rsidRPr="008F0F2C">
              <w:rPr>
                <w:rFonts w:eastAsia="Times New Roman" w:cs="Times New Roman"/>
                <w:sz w:val="20"/>
                <w:szCs w:val="20"/>
              </w:rPr>
              <w:t> </w:t>
            </w:r>
          </w:p>
        </w:tc>
        <w:tc>
          <w:tcPr>
            <w:tcW w:w="1448" w:type="dxa"/>
            <w:tcBorders>
              <w:top w:val="nil"/>
              <w:left w:val="nil"/>
              <w:bottom w:val="single" w:sz="8" w:space="0" w:color="auto"/>
              <w:right w:val="single" w:sz="4" w:space="0" w:color="auto"/>
            </w:tcBorders>
            <w:shd w:val="clear" w:color="auto" w:fill="auto"/>
            <w:noWrap/>
            <w:hideMark/>
          </w:tcPr>
          <w:p w:rsidR="00243B37" w:rsidRPr="00243B37" w:rsidRDefault="00243B37" w:rsidP="00243B37">
            <w:pPr>
              <w:jc w:val="right"/>
              <w:rPr>
                <w:sz w:val="20"/>
                <w:szCs w:val="20"/>
              </w:rPr>
            </w:pPr>
            <w:r w:rsidRPr="00243B37">
              <w:rPr>
                <w:sz w:val="20"/>
                <w:szCs w:val="20"/>
              </w:rPr>
              <w:t>0.0</w:t>
            </w:r>
          </w:p>
        </w:tc>
        <w:tc>
          <w:tcPr>
            <w:tcW w:w="1348" w:type="dxa"/>
            <w:tcBorders>
              <w:top w:val="nil"/>
              <w:left w:val="nil"/>
              <w:bottom w:val="single" w:sz="8" w:space="0" w:color="auto"/>
              <w:right w:val="double" w:sz="6" w:space="0" w:color="auto"/>
            </w:tcBorders>
            <w:shd w:val="clear" w:color="auto" w:fill="auto"/>
            <w:noWrap/>
            <w:hideMark/>
          </w:tcPr>
          <w:p w:rsidR="00243B37" w:rsidRPr="00243B37" w:rsidRDefault="00243B37" w:rsidP="00243B37">
            <w:pPr>
              <w:jc w:val="right"/>
              <w:rPr>
                <w:sz w:val="20"/>
                <w:szCs w:val="20"/>
              </w:rPr>
            </w:pPr>
            <w:r w:rsidRPr="00243B37">
              <w:rPr>
                <w:sz w:val="20"/>
                <w:szCs w:val="20"/>
              </w:rPr>
              <w:t>0.0</w:t>
            </w:r>
          </w:p>
        </w:tc>
      </w:tr>
      <w:tr w:rsidR="00243B37" w:rsidRPr="008F0F2C" w:rsidTr="00243B37">
        <w:trPr>
          <w:trHeight w:val="300"/>
        </w:trPr>
        <w:tc>
          <w:tcPr>
            <w:tcW w:w="7240" w:type="dxa"/>
            <w:gridSpan w:val="2"/>
            <w:tcBorders>
              <w:top w:val="single" w:sz="8" w:space="0" w:color="auto"/>
              <w:left w:val="double" w:sz="6" w:space="0" w:color="auto"/>
              <w:bottom w:val="double" w:sz="6" w:space="0" w:color="auto"/>
              <w:right w:val="single" w:sz="4" w:space="0" w:color="000000"/>
            </w:tcBorders>
            <w:shd w:val="clear" w:color="auto" w:fill="auto"/>
            <w:noWrap/>
            <w:vAlign w:val="center"/>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 </w:t>
            </w:r>
          </w:p>
        </w:tc>
        <w:tc>
          <w:tcPr>
            <w:tcW w:w="1960" w:type="dxa"/>
            <w:tcBorders>
              <w:top w:val="single" w:sz="8" w:space="0" w:color="auto"/>
              <w:left w:val="single" w:sz="4" w:space="0" w:color="auto"/>
              <w:bottom w:val="double" w:sz="6" w:space="0" w:color="auto"/>
              <w:right w:val="single" w:sz="4" w:space="0" w:color="auto"/>
            </w:tcBorders>
            <w:shd w:val="clear" w:color="auto" w:fill="auto"/>
            <w:noWrap/>
            <w:vAlign w:val="center"/>
            <w:hideMark/>
          </w:tcPr>
          <w:p w:rsidR="00243B37" w:rsidRPr="008F0F2C" w:rsidRDefault="00243B37" w:rsidP="00E746C5">
            <w:pPr>
              <w:spacing w:after="0"/>
              <w:jc w:val="center"/>
              <w:rPr>
                <w:rFonts w:eastAsia="Times New Roman" w:cs="Times New Roman"/>
                <w:b/>
                <w:bCs/>
                <w:sz w:val="20"/>
                <w:szCs w:val="20"/>
              </w:rPr>
            </w:pPr>
            <w:r w:rsidRPr="008F0F2C">
              <w:rPr>
                <w:rFonts w:eastAsia="Times New Roman" w:cs="Times New Roman"/>
                <w:b/>
                <w:bCs/>
                <w:sz w:val="20"/>
                <w:szCs w:val="20"/>
              </w:rPr>
              <w:t>Total</w:t>
            </w:r>
          </w:p>
        </w:tc>
        <w:tc>
          <w:tcPr>
            <w:tcW w:w="1380" w:type="dxa"/>
            <w:tcBorders>
              <w:top w:val="single" w:sz="8" w:space="0" w:color="auto"/>
              <w:left w:val="nil"/>
              <w:bottom w:val="double" w:sz="6" w:space="0" w:color="auto"/>
              <w:right w:val="single" w:sz="8" w:space="0" w:color="auto"/>
            </w:tcBorders>
            <w:shd w:val="clear" w:color="auto" w:fill="auto"/>
            <w:noWrap/>
            <w:vAlign w:val="center"/>
            <w:hideMark/>
          </w:tcPr>
          <w:p w:rsidR="00243B37" w:rsidRPr="008F0F2C" w:rsidRDefault="00243B37" w:rsidP="00E746C5">
            <w:pPr>
              <w:spacing w:after="0"/>
              <w:jc w:val="left"/>
              <w:rPr>
                <w:rFonts w:eastAsia="Times New Roman" w:cs="Times New Roman"/>
                <w:b/>
                <w:bCs/>
                <w:sz w:val="20"/>
                <w:szCs w:val="20"/>
              </w:rPr>
            </w:pPr>
            <w:r w:rsidRPr="008F0F2C">
              <w:rPr>
                <w:rFonts w:eastAsia="Times New Roman" w:cs="Times New Roman"/>
                <w:b/>
                <w:bCs/>
                <w:sz w:val="20"/>
                <w:szCs w:val="20"/>
              </w:rPr>
              <w:t> </w:t>
            </w:r>
          </w:p>
        </w:tc>
        <w:tc>
          <w:tcPr>
            <w:tcW w:w="1448" w:type="dxa"/>
            <w:tcBorders>
              <w:top w:val="single" w:sz="8" w:space="0" w:color="auto"/>
              <w:left w:val="nil"/>
              <w:bottom w:val="double" w:sz="6" w:space="0" w:color="auto"/>
              <w:right w:val="single" w:sz="4" w:space="0" w:color="auto"/>
            </w:tcBorders>
            <w:shd w:val="clear" w:color="auto" w:fill="auto"/>
            <w:noWrap/>
            <w:vAlign w:val="center"/>
            <w:hideMark/>
          </w:tcPr>
          <w:p w:rsidR="00243B37" w:rsidRPr="008F0F2C" w:rsidRDefault="00740F95" w:rsidP="00E746C5">
            <w:pPr>
              <w:spacing w:after="0"/>
              <w:jc w:val="right"/>
              <w:rPr>
                <w:rFonts w:eastAsia="Times New Roman" w:cs="Times New Roman"/>
                <w:b/>
                <w:bCs/>
                <w:sz w:val="20"/>
                <w:szCs w:val="20"/>
              </w:rPr>
            </w:pPr>
            <w:r>
              <w:rPr>
                <w:rFonts w:eastAsia="Times New Roman" w:cs="Times New Roman"/>
                <w:b/>
                <w:bCs/>
                <w:sz w:val="20"/>
                <w:szCs w:val="20"/>
              </w:rPr>
              <w:t>2.5</w:t>
            </w:r>
          </w:p>
        </w:tc>
        <w:tc>
          <w:tcPr>
            <w:tcW w:w="1348" w:type="dxa"/>
            <w:tcBorders>
              <w:top w:val="single" w:sz="8" w:space="0" w:color="auto"/>
              <w:left w:val="nil"/>
              <w:bottom w:val="double" w:sz="6" w:space="0" w:color="auto"/>
              <w:right w:val="double" w:sz="6" w:space="0" w:color="auto"/>
            </w:tcBorders>
            <w:shd w:val="clear" w:color="auto" w:fill="auto"/>
            <w:noWrap/>
            <w:vAlign w:val="center"/>
            <w:hideMark/>
          </w:tcPr>
          <w:p w:rsidR="00243B37" w:rsidRPr="008F0F2C" w:rsidRDefault="00740F95" w:rsidP="00E746C5">
            <w:pPr>
              <w:spacing w:after="0"/>
              <w:jc w:val="right"/>
              <w:rPr>
                <w:rFonts w:eastAsia="Times New Roman" w:cs="Times New Roman"/>
                <w:b/>
                <w:bCs/>
                <w:sz w:val="20"/>
                <w:szCs w:val="20"/>
              </w:rPr>
            </w:pPr>
            <w:r>
              <w:rPr>
                <w:rFonts w:eastAsia="Times New Roman" w:cs="Times New Roman"/>
                <w:b/>
                <w:bCs/>
                <w:sz w:val="20"/>
                <w:szCs w:val="20"/>
              </w:rPr>
              <w:t>1.9</w:t>
            </w:r>
          </w:p>
        </w:tc>
      </w:tr>
    </w:tbl>
    <w:p w:rsidR="008F0F2C" w:rsidRDefault="008F0F2C"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"Tab7a-GG guarantees!R4C2:R32C6" \a \f 4 \h  \* MERGEFORMAT </w:instrText>
      </w:r>
      <w:r>
        <w:rPr>
          <w:lang w:val="sr-Latn-RS"/>
        </w:rPr>
        <w:fldChar w:fldCharType="separate"/>
      </w:r>
    </w:p>
    <w:p w:rsidR="000A6D94" w:rsidRDefault="008F0F2C" w:rsidP="000A6D94">
      <w:pPr>
        <w:spacing w:after="0"/>
        <w:jc w:val="left"/>
        <w:rPr>
          <w:sz w:val="20"/>
          <w:szCs w:val="20"/>
        </w:rPr>
      </w:pPr>
      <w:r>
        <w:rPr>
          <w:rFonts w:cs="Times New Roman"/>
          <w:szCs w:val="24"/>
          <w:lang w:val="sr-Latn-RS"/>
        </w:rPr>
        <w:fldChar w:fldCharType="end"/>
      </w:r>
      <w:r w:rsidR="000A6D94" w:rsidRPr="001607FC">
        <w:rPr>
          <w:sz w:val="20"/>
          <w:szCs w:val="20"/>
        </w:rPr>
        <w:t xml:space="preserve">The definition and issuance of guaranteed debt are regulated by the Public Debt Law. </w:t>
      </w:r>
    </w:p>
    <w:p w:rsidR="000A6D94" w:rsidRPr="001607FC" w:rsidRDefault="000A6D94" w:rsidP="000A6D94">
      <w:pPr>
        <w:spacing w:after="0"/>
        <w:jc w:val="left"/>
        <w:rPr>
          <w:sz w:val="20"/>
          <w:szCs w:val="20"/>
        </w:rPr>
      </w:pPr>
      <w:r w:rsidRPr="001607FC">
        <w:rPr>
          <w:sz w:val="20"/>
          <w:szCs w:val="20"/>
        </w:rPr>
        <w:t>The maximum amount of guaranteed debt that can be issued in a year is defined by the Budget Law for the current year.</w:t>
      </w:r>
    </w:p>
    <w:p w:rsidR="000A6D94" w:rsidRDefault="000A6D94" w:rsidP="000A6D94">
      <w:pPr>
        <w:spacing w:after="0"/>
        <w:jc w:val="left"/>
        <w:rPr>
          <w:sz w:val="20"/>
          <w:szCs w:val="20"/>
        </w:rPr>
      </w:pPr>
      <w:r w:rsidRPr="001607FC">
        <w:rPr>
          <w:sz w:val="20"/>
          <w:szCs w:val="20"/>
        </w:rPr>
        <w:t>The "Maximum Amount of Contingent Liabilities" column shows the sum of the guaranteed debt stock and the amount of guaranteed debt available for withdrawal.</w:t>
      </w:r>
    </w:p>
    <w:p w:rsidR="008F0F2C" w:rsidRDefault="000A6D94" w:rsidP="007A0CEC">
      <w:pPr>
        <w:spacing w:after="0"/>
        <w:jc w:val="left"/>
        <w:rPr>
          <w:sz w:val="20"/>
          <w:szCs w:val="20"/>
        </w:rPr>
      </w:pPr>
      <w:r w:rsidRPr="000A6D94">
        <w:rPr>
          <w:rFonts w:cs="Times New Roman"/>
          <w:sz w:val="20"/>
          <w:szCs w:val="20"/>
          <w:lang w:val="sr-Latn-RS"/>
        </w:rPr>
        <w:t>The</w:t>
      </w:r>
      <w:r>
        <w:rPr>
          <w:rFonts w:cs="Times New Roman"/>
          <w:szCs w:val="24"/>
          <w:lang w:val="sr-Latn-RS"/>
        </w:rPr>
        <w:t xml:space="preserve"> </w:t>
      </w:r>
      <w:r w:rsidRPr="001607FC">
        <w:rPr>
          <w:sz w:val="20"/>
          <w:szCs w:val="20"/>
        </w:rPr>
        <w:t>"</w:t>
      </w:r>
      <w:r>
        <w:rPr>
          <w:sz w:val="20"/>
          <w:szCs w:val="20"/>
        </w:rPr>
        <w:t>estimated take-up</w:t>
      </w:r>
      <w:r w:rsidRPr="001607FC">
        <w:rPr>
          <w:sz w:val="20"/>
          <w:szCs w:val="20"/>
        </w:rPr>
        <w:t>" column</w:t>
      </w:r>
      <w:r>
        <w:rPr>
          <w:sz w:val="20"/>
          <w:szCs w:val="20"/>
        </w:rPr>
        <w:t xml:space="preserve"> shows stock of guaranteed debt</w:t>
      </w:r>
    </w:p>
    <w:p w:rsidR="000A6D94" w:rsidRDefault="000A6D94"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7D10F5" w:rsidP="007A0CEC">
      <w:pPr>
        <w:spacing w:after="0"/>
        <w:jc w:val="left"/>
        <w:rPr>
          <w:rFonts w:cs="Times New Roman"/>
          <w:szCs w:val="24"/>
          <w:lang w:val="sr-Latn-RS"/>
        </w:rPr>
      </w:pPr>
      <w:r w:rsidRPr="007D10F5">
        <w:rPr>
          <w:rFonts w:cs="Times New Roman"/>
          <w:szCs w:val="24"/>
          <w:lang w:val="sr-Latn-RS"/>
        </w:rPr>
        <w:lastRenderedPageBreak/>
        <w:t>Table 8:  Basic assumptions on external economic environment</w:t>
      </w:r>
    </w:p>
    <w:p w:rsidR="007D10F5" w:rsidRDefault="007D10F5" w:rsidP="007A0CEC">
      <w:pPr>
        <w:spacing w:after="0"/>
        <w:jc w:val="left"/>
        <w:rPr>
          <w:rFonts w:cs="Times New Roman"/>
          <w:szCs w:val="24"/>
          <w:lang w:val="sr-Latn-RS"/>
        </w:rPr>
      </w:pPr>
    </w:p>
    <w:p w:rsidR="007D10F5" w:rsidRDefault="007D10F5" w:rsidP="007A0CEC">
      <w:pPr>
        <w:spacing w:after="0"/>
        <w:jc w:val="left"/>
        <w:rPr>
          <w:rFonts w:asciiTheme="minorHAnsi" w:hAnsiTheme="minorHAnsi"/>
          <w:sz w:val="22"/>
        </w:rPr>
      </w:pPr>
      <w:r>
        <w:rPr>
          <w:lang w:val="sr-Latn-RS"/>
        </w:rPr>
        <w:fldChar w:fldCharType="begin"/>
      </w:r>
      <w:r>
        <w:rPr>
          <w:lang w:val="sr-Latn-RS"/>
        </w:rPr>
        <w:instrText xml:space="preserve"> LINK Excel.Sheet.12 "C:\\Users\\ognjen.jancic\\Dropbox\\Dropbox\\Makro sektor\\13. ERP 2026-2028\\ERP OBJEDINJENI\\engleska verzija\\engleska verzija za objavu\\ERP_Annex_tables_2026_XY.xlsx" "data!R292C2:R302C9" \a \f 4 \h  \* MERGEFORMAT </w:instrText>
      </w:r>
      <w:r>
        <w:rPr>
          <w:lang w:val="sr-Latn-RS"/>
        </w:rPr>
        <w:fldChar w:fldCharType="separate"/>
      </w:r>
    </w:p>
    <w:tbl>
      <w:tblPr>
        <w:tblW w:w="14273" w:type="dxa"/>
        <w:tblLook w:val="04A0" w:firstRow="1" w:lastRow="0" w:firstColumn="1" w:lastColumn="0" w:noHBand="0" w:noVBand="1"/>
      </w:tblPr>
      <w:tblGrid>
        <w:gridCol w:w="5162"/>
        <w:gridCol w:w="3026"/>
        <w:gridCol w:w="1228"/>
        <w:gridCol w:w="1281"/>
        <w:gridCol w:w="1192"/>
        <w:gridCol w:w="1192"/>
        <w:gridCol w:w="1192"/>
      </w:tblGrid>
      <w:tr w:rsidR="007D10F5" w:rsidRPr="007D10F5" w:rsidTr="007D10F5">
        <w:trPr>
          <w:trHeight w:val="310"/>
        </w:trPr>
        <w:tc>
          <w:tcPr>
            <w:tcW w:w="5162" w:type="dxa"/>
            <w:tcBorders>
              <w:top w:val="double" w:sz="6" w:space="0" w:color="auto"/>
              <w:left w:val="double" w:sz="6" w:space="0" w:color="auto"/>
              <w:bottom w:val="double" w:sz="6" w:space="0" w:color="auto"/>
              <w:right w:val="nil"/>
            </w:tcBorders>
            <w:shd w:val="clear" w:color="auto" w:fill="auto"/>
            <w:noWrap/>
            <w:vAlign w:val="center"/>
            <w:hideMark/>
          </w:tcPr>
          <w:p w:rsidR="007D10F5" w:rsidRPr="007D10F5" w:rsidRDefault="007D10F5" w:rsidP="007D10F5">
            <w:pPr>
              <w:spacing w:after="0"/>
              <w:jc w:val="left"/>
              <w:rPr>
                <w:rFonts w:eastAsia="Times New Roman" w:cs="Times New Roman"/>
                <w:b/>
                <w:bCs/>
                <w:sz w:val="20"/>
                <w:szCs w:val="20"/>
              </w:rPr>
            </w:pPr>
            <w:r w:rsidRPr="007D10F5">
              <w:rPr>
                <w:rFonts w:eastAsia="Times New Roman" w:cs="Times New Roman"/>
                <w:b/>
                <w:bCs/>
                <w:sz w:val="20"/>
                <w:szCs w:val="20"/>
              </w:rPr>
              <w:t>Table 8:  Basic assumptions on external economic environment [1]</w:t>
            </w:r>
          </w:p>
        </w:tc>
        <w:tc>
          <w:tcPr>
            <w:tcW w:w="3026" w:type="dxa"/>
            <w:tcBorders>
              <w:top w:val="double" w:sz="6" w:space="0" w:color="auto"/>
              <w:left w:val="single" w:sz="8" w:space="0" w:color="auto"/>
              <w:bottom w:val="double" w:sz="6" w:space="0" w:color="auto"/>
              <w:right w:val="single" w:sz="8" w:space="0" w:color="000000"/>
            </w:tcBorders>
            <w:shd w:val="clear" w:color="auto" w:fill="auto"/>
            <w:vAlign w:val="center"/>
            <w:hideMark/>
          </w:tcPr>
          <w:p w:rsidR="007D10F5" w:rsidRPr="007D10F5" w:rsidRDefault="007D10F5" w:rsidP="007D10F5">
            <w:pPr>
              <w:spacing w:after="0"/>
              <w:jc w:val="center"/>
              <w:rPr>
                <w:rFonts w:eastAsia="Times New Roman" w:cs="Times New Roman"/>
                <w:b/>
                <w:bCs/>
                <w:sz w:val="20"/>
                <w:szCs w:val="20"/>
              </w:rPr>
            </w:pPr>
            <w:r w:rsidRPr="007D10F5">
              <w:rPr>
                <w:rFonts w:eastAsia="Times New Roman" w:cs="Times New Roman"/>
                <w:b/>
                <w:bCs/>
                <w:sz w:val="20"/>
                <w:szCs w:val="20"/>
              </w:rPr>
              <w:t>Dimension</w:t>
            </w:r>
          </w:p>
        </w:tc>
        <w:tc>
          <w:tcPr>
            <w:tcW w:w="1228" w:type="dxa"/>
            <w:tcBorders>
              <w:top w:val="double" w:sz="6" w:space="0" w:color="auto"/>
              <w:left w:val="nil"/>
              <w:bottom w:val="double" w:sz="6" w:space="0" w:color="auto"/>
              <w:right w:val="dashed" w:sz="4" w:space="0" w:color="auto"/>
            </w:tcBorders>
            <w:shd w:val="clear" w:color="auto" w:fill="auto"/>
            <w:noWrap/>
            <w:vAlign w:val="center"/>
            <w:hideMark/>
          </w:tcPr>
          <w:p w:rsidR="007D10F5" w:rsidRPr="007D10F5" w:rsidRDefault="007D10F5" w:rsidP="007D10F5">
            <w:pPr>
              <w:spacing w:after="0"/>
              <w:jc w:val="right"/>
              <w:rPr>
                <w:rFonts w:eastAsia="Times New Roman" w:cs="Times New Roman"/>
                <w:b/>
                <w:bCs/>
                <w:sz w:val="20"/>
                <w:szCs w:val="20"/>
              </w:rPr>
            </w:pPr>
            <w:r w:rsidRPr="007D10F5">
              <w:rPr>
                <w:rFonts w:eastAsia="Times New Roman" w:cs="Times New Roman"/>
                <w:b/>
                <w:bCs/>
                <w:sz w:val="20"/>
                <w:szCs w:val="20"/>
              </w:rPr>
              <w:t>2024</w:t>
            </w:r>
          </w:p>
        </w:tc>
        <w:tc>
          <w:tcPr>
            <w:tcW w:w="1281" w:type="dxa"/>
            <w:tcBorders>
              <w:top w:val="double" w:sz="6" w:space="0" w:color="auto"/>
              <w:left w:val="nil"/>
              <w:bottom w:val="double" w:sz="6" w:space="0" w:color="auto"/>
              <w:right w:val="dashed" w:sz="4" w:space="0" w:color="auto"/>
            </w:tcBorders>
            <w:shd w:val="clear" w:color="auto" w:fill="auto"/>
            <w:noWrap/>
            <w:vAlign w:val="center"/>
            <w:hideMark/>
          </w:tcPr>
          <w:p w:rsidR="007D10F5" w:rsidRPr="007D10F5" w:rsidRDefault="007D10F5" w:rsidP="007D10F5">
            <w:pPr>
              <w:spacing w:after="0"/>
              <w:jc w:val="right"/>
              <w:rPr>
                <w:rFonts w:eastAsia="Times New Roman" w:cs="Times New Roman"/>
                <w:b/>
                <w:bCs/>
                <w:sz w:val="20"/>
                <w:szCs w:val="20"/>
              </w:rPr>
            </w:pPr>
            <w:r w:rsidRPr="007D10F5">
              <w:rPr>
                <w:rFonts w:eastAsia="Times New Roman" w:cs="Times New Roman"/>
                <w:b/>
                <w:bCs/>
                <w:sz w:val="20"/>
                <w:szCs w:val="20"/>
              </w:rPr>
              <w:t>2025</w:t>
            </w:r>
          </w:p>
        </w:tc>
        <w:tc>
          <w:tcPr>
            <w:tcW w:w="1192" w:type="dxa"/>
            <w:tcBorders>
              <w:top w:val="double" w:sz="6" w:space="0" w:color="auto"/>
              <w:left w:val="nil"/>
              <w:bottom w:val="double" w:sz="6" w:space="0" w:color="auto"/>
              <w:right w:val="dashed" w:sz="4" w:space="0" w:color="auto"/>
            </w:tcBorders>
            <w:shd w:val="clear" w:color="auto" w:fill="auto"/>
            <w:noWrap/>
            <w:vAlign w:val="center"/>
            <w:hideMark/>
          </w:tcPr>
          <w:p w:rsidR="007D10F5" w:rsidRPr="007D10F5" w:rsidRDefault="007D10F5" w:rsidP="007D10F5">
            <w:pPr>
              <w:spacing w:after="0"/>
              <w:jc w:val="right"/>
              <w:rPr>
                <w:rFonts w:eastAsia="Times New Roman" w:cs="Times New Roman"/>
                <w:b/>
                <w:bCs/>
                <w:sz w:val="20"/>
                <w:szCs w:val="20"/>
              </w:rPr>
            </w:pPr>
            <w:r w:rsidRPr="007D10F5">
              <w:rPr>
                <w:rFonts w:eastAsia="Times New Roman" w:cs="Times New Roman"/>
                <w:b/>
                <w:bCs/>
                <w:sz w:val="20"/>
                <w:szCs w:val="20"/>
              </w:rPr>
              <w:t>2026</w:t>
            </w:r>
          </w:p>
        </w:tc>
        <w:tc>
          <w:tcPr>
            <w:tcW w:w="1192" w:type="dxa"/>
            <w:tcBorders>
              <w:top w:val="double" w:sz="6" w:space="0" w:color="auto"/>
              <w:left w:val="nil"/>
              <w:bottom w:val="double" w:sz="6" w:space="0" w:color="auto"/>
              <w:right w:val="dashed" w:sz="4" w:space="0" w:color="auto"/>
            </w:tcBorders>
            <w:shd w:val="clear" w:color="auto" w:fill="auto"/>
            <w:noWrap/>
            <w:vAlign w:val="center"/>
            <w:hideMark/>
          </w:tcPr>
          <w:p w:rsidR="007D10F5" w:rsidRPr="007D10F5" w:rsidRDefault="007D10F5" w:rsidP="007D10F5">
            <w:pPr>
              <w:spacing w:after="0"/>
              <w:jc w:val="right"/>
              <w:rPr>
                <w:rFonts w:eastAsia="Times New Roman" w:cs="Times New Roman"/>
                <w:b/>
                <w:bCs/>
                <w:sz w:val="20"/>
                <w:szCs w:val="20"/>
              </w:rPr>
            </w:pPr>
            <w:r w:rsidRPr="007D10F5">
              <w:rPr>
                <w:rFonts w:eastAsia="Times New Roman" w:cs="Times New Roman"/>
                <w:b/>
                <w:bCs/>
                <w:sz w:val="20"/>
                <w:szCs w:val="20"/>
              </w:rPr>
              <w:t>2027</w:t>
            </w:r>
          </w:p>
        </w:tc>
        <w:tc>
          <w:tcPr>
            <w:tcW w:w="1192" w:type="dxa"/>
            <w:tcBorders>
              <w:top w:val="double" w:sz="6" w:space="0" w:color="auto"/>
              <w:left w:val="nil"/>
              <w:bottom w:val="double" w:sz="6" w:space="0" w:color="auto"/>
              <w:right w:val="double" w:sz="6" w:space="0" w:color="auto"/>
            </w:tcBorders>
            <w:shd w:val="clear" w:color="auto" w:fill="auto"/>
            <w:noWrap/>
            <w:vAlign w:val="center"/>
            <w:hideMark/>
          </w:tcPr>
          <w:p w:rsidR="007D10F5" w:rsidRPr="007D10F5" w:rsidRDefault="007D10F5" w:rsidP="007D10F5">
            <w:pPr>
              <w:spacing w:after="0"/>
              <w:jc w:val="right"/>
              <w:rPr>
                <w:rFonts w:eastAsia="Times New Roman" w:cs="Times New Roman"/>
                <w:b/>
                <w:bCs/>
                <w:sz w:val="20"/>
                <w:szCs w:val="20"/>
              </w:rPr>
            </w:pPr>
            <w:r w:rsidRPr="007D10F5">
              <w:rPr>
                <w:rFonts w:eastAsia="Times New Roman" w:cs="Times New Roman"/>
                <w:b/>
                <w:bCs/>
                <w:sz w:val="20"/>
                <w:szCs w:val="20"/>
              </w:rPr>
              <w:t>2028</w:t>
            </w:r>
          </w:p>
        </w:tc>
      </w:tr>
      <w:tr w:rsidR="007D10F5" w:rsidRPr="007D10F5" w:rsidTr="007D10F5">
        <w:trPr>
          <w:trHeight w:val="301"/>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Short-term interest rate [1]</w:t>
            </w:r>
          </w:p>
        </w:tc>
        <w:tc>
          <w:tcPr>
            <w:tcW w:w="3026" w:type="dxa"/>
            <w:tcBorders>
              <w:top w:val="double" w:sz="6"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single" w:sz="8" w:space="0" w:color="000000"/>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c>
          <w:tcPr>
            <w:tcW w:w="1281" w:type="dxa"/>
            <w:tcBorders>
              <w:top w:val="single" w:sz="8" w:space="0" w:color="000000"/>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c>
          <w:tcPr>
            <w:tcW w:w="1192" w:type="dxa"/>
            <w:tcBorders>
              <w:top w:val="single" w:sz="8" w:space="0" w:color="000000"/>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c>
          <w:tcPr>
            <w:tcW w:w="1192" w:type="dxa"/>
            <w:tcBorders>
              <w:top w:val="single" w:sz="8" w:space="0" w:color="000000"/>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c>
          <w:tcPr>
            <w:tcW w:w="1192" w:type="dxa"/>
            <w:tcBorders>
              <w:top w:val="single" w:sz="8" w:space="0" w:color="000000"/>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r w:rsidR="007D10F5" w:rsidRPr="007D10F5" w:rsidTr="007D10F5">
        <w:trPr>
          <w:trHeight w:val="293"/>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Long-term interest rate</w:t>
            </w:r>
          </w:p>
        </w:tc>
        <w:tc>
          <w:tcPr>
            <w:tcW w:w="3026" w:type="dxa"/>
            <w:tcBorders>
              <w:top w:val="dotted" w:sz="4"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281"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r w:rsidR="007D10F5" w:rsidRPr="007D10F5" w:rsidTr="007D10F5">
        <w:trPr>
          <w:trHeight w:val="293"/>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USD/EUR exchange rate </w:t>
            </w:r>
          </w:p>
        </w:tc>
        <w:tc>
          <w:tcPr>
            <w:tcW w:w="3026" w:type="dxa"/>
            <w:tcBorders>
              <w:top w:val="dotted" w:sz="4"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281"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r w:rsidR="007D10F5" w:rsidRPr="007D10F5" w:rsidTr="007D10F5">
        <w:trPr>
          <w:trHeight w:val="293"/>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Nominal effective exchange rate</w:t>
            </w:r>
          </w:p>
        </w:tc>
        <w:tc>
          <w:tcPr>
            <w:tcW w:w="3026" w:type="dxa"/>
            <w:tcBorders>
              <w:top w:val="dotted" w:sz="4"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281"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r w:rsidR="007D10F5" w:rsidRPr="007D10F5" w:rsidTr="007D10F5">
        <w:trPr>
          <w:trHeight w:val="293"/>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Exchange rate vis-à-vis the EUR</w:t>
            </w:r>
          </w:p>
        </w:tc>
        <w:tc>
          <w:tcPr>
            <w:tcW w:w="3026" w:type="dxa"/>
            <w:tcBorders>
              <w:top w:val="dotted" w:sz="4"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281"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r>
      <w:tr w:rsidR="007D10F5" w:rsidRPr="007D10F5" w:rsidTr="007D10F5">
        <w:trPr>
          <w:trHeight w:val="293"/>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Global GDP growth, excluding EU</w:t>
            </w:r>
          </w:p>
        </w:tc>
        <w:tc>
          <w:tcPr>
            <w:tcW w:w="3026" w:type="dxa"/>
            <w:tcBorders>
              <w:top w:val="dotted" w:sz="4"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281"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r w:rsidR="007D10F5" w:rsidRPr="007D10F5" w:rsidTr="007D10F5">
        <w:trPr>
          <w:trHeight w:val="293"/>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EU GDP growth</w:t>
            </w:r>
          </w:p>
        </w:tc>
        <w:tc>
          <w:tcPr>
            <w:tcW w:w="3026" w:type="dxa"/>
            <w:tcBorders>
              <w:top w:val="dotted" w:sz="4"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281"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r w:rsidR="007D10F5" w:rsidRPr="007D10F5" w:rsidTr="007D10F5">
        <w:trPr>
          <w:trHeight w:val="293"/>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Growth of relevant foreign markets</w:t>
            </w:r>
          </w:p>
        </w:tc>
        <w:tc>
          <w:tcPr>
            <w:tcW w:w="3026" w:type="dxa"/>
            <w:tcBorders>
              <w:top w:val="dotted" w:sz="4"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c>
          <w:tcPr>
            <w:tcW w:w="1281"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c>
          <w:tcPr>
            <w:tcW w:w="1192" w:type="dxa"/>
            <w:tcBorders>
              <w:top w:val="nil"/>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r w:rsidR="007D10F5" w:rsidRPr="007D10F5" w:rsidTr="007D10F5">
        <w:trPr>
          <w:trHeight w:val="293"/>
        </w:trPr>
        <w:tc>
          <w:tcPr>
            <w:tcW w:w="5162" w:type="dxa"/>
            <w:tcBorders>
              <w:top w:val="nil"/>
              <w:left w:val="double" w:sz="6" w:space="0" w:color="auto"/>
              <w:bottom w:val="dotted" w:sz="4"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World import volumes, excluding EU</w:t>
            </w:r>
          </w:p>
        </w:tc>
        <w:tc>
          <w:tcPr>
            <w:tcW w:w="3026" w:type="dxa"/>
            <w:tcBorders>
              <w:top w:val="dotted" w:sz="4" w:space="0" w:color="auto"/>
              <w:left w:val="single" w:sz="4" w:space="0" w:color="auto"/>
              <w:bottom w:val="dotted" w:sz="4"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281"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tted" w:sz="4"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r w:rsidR="007D10F5" w:rsidRPr="007D10F5" w:rsidTr="007D10F5">
        <w:trPr>
          <w:trHeight w:val="301"/>
        </w:trPr>
        <w:tc>
          <w:tcPr>
            <w:tcW w:w="5162" w:type="dxa"/>
            <w:tcBorders>
              <w:top w:val="nil"/>
              <w:left w:val="double" w:sz="6" w:space="0" w:color="auto"/>
              <w:bottom w:val="double" w:sz="6" w:space="0" w:color="auto"/>
              <w:right w:val="nil"/>
            </w:tcBorders>
            <w:shd w:val="clear" w:color="auto" w:fill="auto"/>
            <w:vAlign w:val="bottom"/>
            <w:hideMark/>
          </w:tcPr>
          <w:p w:rsidR="007D10F5" w:rsidRPr="007D10F5" w:rsidRDefault="007D10F5" w:rsidP="007D10F5">
            <w:pPr>
              <w:spacing w:after="0"/>
              <w:jc w:val="left"/>
              <w:rPr>
                <w:rFonts w:eastAsia="Times New Roman" w:cs="Times New Roman"/>
                <w:sz w:val="20"/>
                <w:szCs w:val="20"/>
              </w:rPr>
            </w:pPr>
            <w:r w:rsidRPr="007D10F5">
              <w:rPr>
                <w:rFonts w:eastAsia="Times New Roman" w:cs="Times New Roman"/>
                <w:sz w:val="20"/>
                <w:szCs w:val="20"/>
              </w:rPr>
              <w:t xml:space="preserve">   Oil prices (Brent, USD/barrel)</w:t>
            </w:r>
          </w:p>
        </w:tc>
        <w:tc>
          <w:tcPr>
            <w:tcW w:w="3026" w:type="dxa"/>
            <w:tcBorders>
              <w:top w:val="dotted" w:sz="4" w:space="0" w:color="auto"/>
              <w:left w:val="single" w:sz="4" w:space="0" w:color="auto"/>
              <w:bottom w:val="double" w:sz="6" w:space="0" w:color="auto"/>
              <w:right w:val="single" w:sz="8" w:space="0" w:color="000000"/>
            </w:tcBorders>
            <w:shd w:val="clear" w:color="auto" w:fill="auto"/>
            <w:vAlign w:val="bottom"/>
            <w:hideMark/>
          </w:tcPr>
          <w:p w:rsidR="007D10F5" w:rsidRPr="007D10F5" w:rsidRDefault="007D10F5" w:rsidP="007D10F5">
            <w:pPr>
              <w:spacing w:after="0"/>
              <w:jc w:val="center"/>
              <w:rPr>
                <w:rFonts w:eastAsia="Times New Roman" w:cs="Times New Roman"/>
                <w:sz w:val="18"/>
                <w:szCs w:val="18"/>
              </w:rPr>
            </w:pPr>
            <w:r w:rsidRPr="007D10F5">
              <w:rPr>
                <w:rFonts w:eastAsia="Times New Roman" w:cs="Times New Roman"/>
                <w:sz w:val="18"/>
                <w:szCs w:val="18"/>
              </w:rPr>
              <w:t>Annual average</w:t>
            </w:r>
          </w:p>
        </w:tc>
        <w:tc>
          <w:tcPr>
            <w:tcW w:w="1228" w:type="dxa"/>
            <w:tcBorders>
              <w:top w:val="nil"/>
              <w:left w:val="nil"/>
              <w:bottom w:val="double" w:sz="6"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281" w:type="dxa"/>
            <w:tcBorders>
              <w:top w:val="nil"/>
              <w:left w:val="nil"/>
              <w:bottom w:val="double" w:sz="6"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uble" w:sz="6"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uble" w:sz="6" w:space="0" w:color="auto"/>
              <w:right w:val="dotted" w:sz="4"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0"/>
                <w:szCs w:val="20"/>
              </w:rPr>
            </w:pPr>
            <w:r w:rsidRPr="007D10F5">
              <w:rPr>
                <w:rFonts w:eastAsia="Times New Roman" w:cs="Times New Roman"/>
                <w:color w:val="000000"/>
                <w:sz w:val="20"/>
                <w:szCs w:val="20"/>
              </w:rPr>
              <w:t> </w:t>
            </w:r>
          </w:p>
        </w:tc>
        <w:tc>
          <w:tcPr>
            <w:tcW w:w="1192" w:type="dxa"/>
            <w:tcBorders>
              <w:top w:val="nil"/>
              <w:left w:val="nil"/>
              <w:bottom w:val="double" w:sz="6" w:space="0" w:color="auto"/>
              <w:right w:val="double" w:sz="6" w:space="0" w:color="auto"/>
            </w:tcBorders>
            <w:shd w:val="clear" w:color="auto" w:fill="auto"/>
            <w:vAlign w:val="center"/>
            <w:hideMark/>
          </w:tcPr>
          <w:p w:rsidR="007D10F5" w:rsidRPr="007D10F5" w:rsidRDefault="007D10F5" w:rsidP="007D10F5">
            <w:pPr>
              <w:spacing w:after="0"/>
              <w:jc w:val="center"/>
              <w:rPr>
                <w:rFonts w:eastAsia="Times New Roman" w:cs="Times New Roman"/>
                <w:color w:val="000000"/>
                <w:sz w:val="23"/>
                <w:szCs w:val="23"/>
              </w:rPr>
            </w:pPr>
            <w:r w:rsidRPr="007D10F5">
              <w:rPr>
                <w:rFonts w:eastAsia="Times New Roman" w:cs="Times New Roman"/>
                <w:color w:val="000000"/>
                <w:sz w:val="23"/>
                <w:szCs w:val="23"/>
              </w:rPr>
              <w:t> </w:t>
            </w:r>
          </w:p>
        </w:tc>
      </w:tr>
    </w:tbl>
    <w:p w:rsidR="007D10F5" w:rsidRDefault="007D10F5" w:rsidP="007A0CEC">
      <w:pPr>
        <w:spacing w:after="0"/>
        <w:jc w:val="left"/>
        <w:rPr>
          <w:rFonts w:cs="Times New Roman"/>
          <w:szCs w:val="24"/>
          <w:lang w:val="sr-Latn-RS"/>
        </w:rPr>
      </w:pPr>
      <w:r>
        <w:rPr>
          <w:rFonts w:cs="Times New Roman"/>
          <w:szCs w:val="24"/>
          <w:lang w:val="sr-Latn-RS"/>
        </w:rPr>
        <w:fldChar w:fldCharType="end"/>
      </w: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8F0F2C" w:rsidRDefault="008F0F2C" w:rsidP="007A0CEC">
      <w:pPr>
        <w:spacing w:after="0"/>
        <w:jc w:val="left"/>
        <w:rPr>
          <w:rFonts w:cs="Times New Roman"/>
          <w:szCs w:val="24"/>
          <w:lang w:val="sr-Latn-RS"/>
        </w:rPr>
      </w:pPr>
    </w:p>
    <w:p w:rsidR="004D65F1" w:rsidRPr="004D65F1" w:rsidRDefault="004D65F1" w:rsidP="004D65F1">
      <w:pPr>
        <w:keepNext/>
        <w:keepLines/>
        <w:spacing w:before="240" w:after="240"/>
        <w:outlineLvl w:val="0"/>
        <w:rPr>
          <w:rFonts w:cs="Times New Roman"/>
          <w:b/>
          <w:szCs w:val="24"/>
          <w:lang w:val="sr-Latn-RS"/>
        </w:rPr>
      </w:pPr>
      <w:bookmarkStart w:id="104" w:name="_Toc221106910"/>
      <w:r w:rsidRPr="004D65F1">
        <w:rPr>
          <w:rFonts w:cs="Times New Roman"/>
          <w:b/>
          <w:szCs w:val="24"/>
          <w:lang w:val="sr-Latn-RS"/>
        </w:rPr>
        <w:lastRenderedPageBreak/>
        <w:t>ANNEX 2: EXTERNAL CONTRIBUTIONS TO ERP 2026–2028</w:t>
      </w:r>
      <w:bookmarkEnd w:id="104"/>
    </w:p>
    <w:tbl>
      <w:tblPr>
        <w:tblStyle w:val="TableGrid17"/>
        <w:tblW w:w="14215" w:type="dxa"/>
        <w:jc w:val="center"/>
        <w:tblInd w:w="0" w:type="dxa"/>
        <w:tblLayout w:type="fixed"/>
        <w:tblLook w:val="04A0" w:firstRow="1" w:lastRow="0" w:firstColumn="1" w:lastColumn="0" w:noHBand="0" w:noVBand="1"/>
      </w:tblPr>
      <w:tblGrid>
        <w:gridCol w:w="1255"/>
        <w:gridCol w:w="6750"/>
        <w:gridCol w:w="2070"/>
        <w:gridCol w:w="1170"/>
        <w:gridCol w:w="2970"/>
      </w:tblGrid>
      <w:tr w:rsidR="004D65F1" w:rsidRPr="003F6C09" w:rsidTr="005B5B2C">
        <w:trPr>
          <w:cnfStyle w:val="100000000000" w:firstRow="1" w:lastRow="0" w:firstColumn="0" w:lastColumn="0" w:oddVBand="0" w:evenVBand="0" w:oddHBand="0" w:evenHBand="0" w:firstRowFirstColumn="0" w:firstRowLastColumn="0" w:lastRowFirstColumn="0" w:lastRowLastColumn="0"/>
          <w:trHeight w:val="1741"/>
          <w:jc w:val="center"/>
        </w:trPr>
        <w:tc>
          <w:tcPr>
            <w:tcW w:w="1255" w:type="dxa"/>
            <w:tcBorders>
              <w:top w:val="single" w:sz="4" w:space="0" w:color="auto"/>
              <w:left w:val="single" w:sz="4" w:space="0" w:color="auto"/>
              <w:bottom w:val="single" w:sz="4" w:space="0" w:color="auto"/>
              <w:right w:val="single" w:sz="4" w:space="0" w:color="auto"/>
            </w:tcBorders>
            <w:hideMark/>
          </w:tcPr>
          <w:p w:rsidR="004D65F1" w:rsidRPr="003F6C09" w:rsidRDefault="004D65F1" w:rsidP="004D65F1">
            <w:pPr>
              <w:autoSpaceDE w:val="0"/>
              <w:autoSpaceDN w:val="0"/>
              <w:adjustRightInd w:val="0"/>
              <w:spacing w:after="0"/>
              <w:jc w:val="center"/>
              <w:rPr>
                <w:rFonts w:eastAsia="Times New Roman" w:cs="Times New Roman"/>
                <w:color w:val="000000"/>
                <w:sz w:val="20"/>
                <w:szCs w:val="20"/>
              </w:rPr>
            </w:pPr>
            <w:r w:rsidRPr="003F6C09">
              <w:rPr>
                <w:rFonts w:eastAsia="Times New Roman" w:cs="Times New Roman"/>
                <w:color w:val="000000"/>
                <w:sz w:val="20"/>
                <w:szCs w:val="20"/>
              </w:rPr>
              <w:t>Area of Comment</w:t>
            </w:r>
          </w:p>
        </w:tc>
        <w:tc>
          <w:tcPr>
            <w:tcW w:w="6750" w:type="dxa"/>
            <w:tcBorders>
              <w:top w:val="single" w:sz="4" w:space="0" w:color="auto"/>
              <w:left w:val="single" w:sz="4" w:space="0" w:color="auto"/>
              <w:bottom w:val="single" w:sz="4" w:space="0" w:color="auto"/>
              <w:right w:val="single" w:sz="4" w:space="0" w:color="auto"/>
            </w:tcBorders>
            <w:hideMark/>
          </w:tcPr>
          <w:p w:rsidR="004D65F1" w:rsidRPr="003F6C09" w:rsidRDefault="004D65F1" w:rsidP="004D65F1">
            <w:pPr>
              <w:autoSpaceDE w:val="0"/>
              <w:autoSpaceDN w:val="0"/>
              <w:adjustRightInd w:val="0"/>
              <w:spacing w:after="0"/>
              <w:jc w:val="center"/>
              <w:rPr>
                <w:rFonts w:eastAsia="Times New Roman" w:cs="Times New Roman"/>
                <w:color w:val="000000"/>
                <w:sz w:val="20"/>
                <w:szCs w:val="20"/>
              </w:rPr>
            </w:pPr>
            <w:r w:rsidRPr="003F6C09">
              <w:rPr>
                <w:rFonts w:eastAsia="Times New Roman" w:cs="Times New Roman"/>
                <w:color w:val="000000"/>
                <w:sz w:val="20"/>
                <w:szCs w:val="20"/>
              </w:rPr>
              <w:t>Received Comment (including date of receipt, format, and main content)</w:t>
            </w:r>
          </w:p>
        </w:tc>
        <w:tc>
          <w:tcPr>
            <w:tcW w:w="2070" w:type="dxa"/>
            <w:tcBorders>
              <w:top w:val="single" w:sz="4" w:space="0" w:color="auto"/>
              <w:left w:val="single" w:sz="4" w:space="0" w:color="auto"/>
              <w:bottom w:val="single" w:sz="4" w:space="0" w:color="auto"/>
              <w:right w:val="single" w:sz="4" w:space="0" w:color="auto"/>
            </w:tcBorders>
            <w:hideMark/>
          </w:tcPr>
          <w:p w:rsidR="004D65F1" w:rsidRPr="003F6C09" w:rsidRDefault="004D65F1" w:rsidP="004D65F1">
            <w:pPr>
              <w:autoSpaceDE w:val="0"/>
              <w:autoSpaceDN w:val="0"/>
              <w:adjustRightInd w:val="0"/>
              <w:spacing w:after="0"/>
              <w:jc w:val="center"/>
              <w:rPr>
                <w:rFonts w:eastAsia="Times New Roman" w:cs="Times New Roman"/>
                <w:color w:val="000000"/>
                <w:sz w:val="20"/>
                <w:szCs w:val="20"/>
              </w:rPr>
            </w:pPr>
            <w:r w:rsidRPr="003F6C09">
              <w:rPr>
                <w:rFonts w:eastAsia="Times New Roman" w:cs="Times New Roman"/>
                <w:color w:val="000000"/>
                <w:sz w:val="20"/>
                <w:szCs w:val="20"/>
                <w:lang w:val="sr-Cyrl-RS"/>
              </w:rPr>
              <w:t>Stakeholder (including institution, contact person, and contact details)</w:t>
            </w:r>
          </w:p>
        </w:tc>
        <w:tc>
          <w:tcPr>
            <w:tcW w:w="1170" w:type="dxa"/>
            <w:tcBorders>
              <w:top w:val="single" w:sz="4" w:space="0" w:color="auto"/>
              <w:left w:val="single" w:sz="4" w:space="0" w:color="auto"/>
              <w:bottom w:val="single" w:sz="4" w:space="0" w:color="auto"/>
              <w:right w:val="single" w:sz="4" w:space="0" w:color="auto"/>
            </w:tcBorders>
            <w:hideMark/>
          </w:tcPr>
          <w:p w:rsidR="004D65F1" w:rsidRPr="003F6C09" w:rsidRDefault="004D65F1" w:rsidP="004D65F1">
            <w:pPr>
              <w:autoSpaceDE w:val="0"/>
              <w:autoSpaceDN w:val="0"/>
              <w:adjustRightInd w:val="0"/>
              <w:spacing w:after="0"/>
              <w:jc w:val="center"/>
              <w:rPr>
                <w:rFonts w:eastAsia="Times New Roman" w:cs="Times New Roman"/>
                <w:color w:val="000000"/>
                <w:sz w:val="20"/>
                <w:szCs w:val="20"/>
              </w:rPr>
            </w:pPr>
            <w:r w:rsidRPr="003F6C09">
              <w:rPr>
                <w:rFonts w:eastAsia="Times New Roman" w:cs="Times New Roman"/>
                <w:color w:val="000000"/>
                <w:sz w:val="20"/>
                <w:szCs w:val="20"/>
              </w:rPr>
              <w:t>Comment Status (Accepted / Rejected)</w:t>
            </w:r>
          </w:p>
        </w:tc>
        <w:tc>
          <w:tcPr>
            <w:tcW w:w="2970" w:type="dxa"/>
            <w:tcBorders>
              <w:top w:val="single" w:sz="4" w:space="0" w:color="auto"/>
              <w:left w:val="single" w:sz="4" w:space="0" w:color="auto"/>
              <w:bottom w:val="single" w:sz="4" w:space="0" w:color="auto"/>
              <w:right w:val="single" w:sz="4" w:space="0" w:color="auto"/>
            </w:tcBorders>
            <w:hideMark/>
          </w:tcPr>
          <w:p w:rsidR="004D65F1" w:rsidRPr="003F6C09" w:rsidRDefault="004D65F1" w:rsidP="004D65F1">
            <w:pPr>
              <w:jc w:val="center"/>
              <w:rPr>
                <w:rFonts w:cs="Times New Roman"/>
                <w:sz w:val="20"/>
                <w:szCs w:val="20"/>
              </w:rPr>
            </w:pPr>
            <w:r w:rsidRPr="003F6C09">
              <w:rPr>
                <w:rFonts w:cs="Times New Roman"/>
                <w:sz w:val="20"/>
                <w:szCs w:val="20"/>
              </w:rPr>
              <w:t>Response / Justification (for acceptance / rejection)</w:t>
            </w:r>
          </w:p>
        </w:tc>
      </w:tr>
      <w:tr w:rsidR="004D65F1" w:rsidRPr="003F6C09" w:rsidTr="004D7A50">
        <w:trPr>
          <w:trHeight w:val="60"/>
          <w:jc w:val="center"/>
        </w:trPr>
        <w:tc>
          <w:tcPr>
            <w:tcW w:w="1255" w:type="dxa"/>
            <w:tcBorders>
              <w:top w:val="single" w:sz="4" w:space="0" w:color="auto"/>
              <w:left w:val="single" w:sz="4" w:space="0" w:color="auto"/>
              <w:bottom w:val="single" w:sz="4" w:space="0" w:color="auto"/>
              <w:right w:val="single" w:sz="4" w:space="0" w:color="auto"/>
            </w:tcBorders>
            <w:vAlign w:val="top"/>
            <w:hideMark/>
          </w:tcPr>
          <w:p w:rsidR="004D65F1" w:rsidRPr="003F6C09" w:rsidRDefault="004D65F1" w:rsidP="004D65F1">
            <w:pPr>
              <w:autoSpaceDE w:val="0"/>
              <w:autoSpaceDN w:val="0"/>
              <w:adjustRightInd w:val="0"/>
              <w:spacing w:after="0"/>
              <w:rPr>
                <w:rFonts w:eastAsia="Times New Roman" w:cs="Times New Roman"/>
                <w:color w:val="000000"/>
                <w:sz w:val="20"/>
                <w:lang w:val="sr-Cyrl-RS"/>
              </w:rPr>
            </w:pPr>
            <w:r w:rsidRPr="003F6C09">
              <w:rPr>
                <w:rFonts w:eastAsia="Times New Roman" w:cs="Times New Roman"/>
                <w:color w:val="000000"/>
                <w:sz w:val="20"/>
                <w:lang w:val="sr-Cyrl-RS"/>
              </w:rPr>
              <w:t>Internal Audit</w:t>
            </w:r>
          </w:p>
        </w:tc>
        <w:tc>
          <w:tcPr>
            <w:tcW w:w="6750" w:type="dxa"/>
            <w:tcBorders>
              <w:top w:val="single" w:sz="4" w:space="0" w:color="auto"/>
              <w:left w:val="single" w:sz="4" w:space="0" w:color="auto"/>
              <w:bottom w:val="single" w:sz="4" w:space="0" w:color="auto"/>
              <w:right w:val="single" w:sz="4" w:space="0" w:color="auto"/>
            </w:tcBorders>
            <w:vAlign w:val="top"/>
            <w:hideMark/>
          </w:tcPr>
          <w:p w:rsidR="004D65F1" w:rsidRPr="003F6C09" w:rsidRDefault="004D65F1" w:rsidP="004D65F1">
            <w:pPr>
              <w:rPr>
                <w:rFonts w:cs="Times New Roman"/>
                <w:sz w:val="20"/>
                <w:lang w:val="sr-Cyrl-RS"/>
              </w:rPr>
            </w:pPr>
            <w:r w:rsidRPr="003F6C09">
              <w:rPr>
                <w:rFonts w:cs="Times New Roman"/>
                <w:sz w:val="20"/>
                <w:lang w:val="sr-Cyrl-RS"/>
              </w:rPr>
              <w:t xml:space="preserve">Comment received on 14 December 2025 via the eConsultations portal.  </w:t>
            </w:r>
          </w:p>
          <w:p w:rsidR="004D65F1" w:rsidRPr="003F6C09" w:rsidRDefault="004D65F1" w:rsidP="004D65F1">
            <w:pPr>
              <w:rPr>
                <w:sz w:val="20"/>
                <w:lang w:val="en-GB"/>
              </w:rPr>
            </w:pPr>
            <w:r w:rsidRPr="003F6C09">
              <w:rPr>
                <w:rFonts w:cs="Times New Roman"/>
                <w:sz w:val="20"/>
                <w:lang w:val="sr-Cyrl-RS"/>
              </w:rPr>
              <w:t>proposal for regulating internal audit standards across the public, financial, and real sectors was submitted by Dr. Nebojša Jeremić, an independent certified accountant and authorized internal auditor. The submission highlights several systemic issues in internal audit and corporate governance: it notes a significant regulatory asymmetry between the sectors, whereby the public and financial sectors have a clear and binding regulatory framework, while the real sector—although crucial for projected economic growth—has no legal obligation to establish an internal audit function, even for large enterprises</w:t>
            </w:r>
            <w:r w:rsidRPr="003F6C09">
              <w:rPr>
                <w:sz w:val="20"/>
                <w:lang w:val="en-GB"/>
              </w:rPr>
              <w:t>.</w:t>
            </w:r>
          </w:p>
          <w:p w:rsidR="004D65F1" w:rsidRPr="003F6C09" w:rsidRDefault="004D65F1" w:rsidP="004D65F1">
            <w:pPr>
              <w:rPr>
                <w:rFonts w:cs="Times New Roman"/>
                <w:sz w:val="20"/>
                <w:lang w:val="sr-Cyrl-RS"/>
              </w:rPr>
            </w:pPr>
            <w:r w:rsidRPr="003F6C09">
              <w:rPr>
                <w:rFonts w:cs="Times New Roman"/>
                <w:sz w:val="20"/>
                <w:lang w:val="sr-Cyrl-RS"/>
              </w:rPr>
              <w:t>The comment also emphasizes that this structural gap could pose a risk to achieving the objectives of fiscal consolidation and sustainable growth.</w:t>
            </w:r>
          </w:p>
          <w:p w:rsidR="004D65F1" w:rsidRPr="003F6C09" w:rsidRDefault="004D65F1" w:rsidP="004D65F1">
            <w:pPr>
              <w:rPr>
                <w:rFonts w:cs="Times New Roman"/>
                <w:sz w:val="20"/>
                <w:lang w:val="en-GB"/>
              </w:rPr>
            </w:pPr>
            <w:r w:rsidRPr="003F6C09">
              <w:rPr>
                <w:rFonts w:cs="Times New Roman"/>
                <w:sz w:val="20"/>
                <w:lang w:val="en-GB"/>
              </w:rPr>
              <w:t>Attached to the submission is an analysis of the identified systemic risks and proposed regulatory measures, which include: introducing an internal audit obligation for large legal entities through amendments to the Companies Act, strengthening the functional independence of internal audit in the public sector through amendments to the Budget System Law, and harmonizing the Audit Law to clarify the linkage between the Supervisory Board and the internal audit function.</w:t>
            </w:r>
          </w:p>
          <w:p w:rsidR="004D65F1" w:rsidRPr="003F6C09" w:rsidRDefault="004D65F1" w:rsidP="004D65F1">
            <w:pPr>
              <w:rPr>
                <w:rFonts w:cs="Times New Roman"/>
                <w:sz w:val="20"/>
                <w:lang w:val="sr-Cyrl-RS"/>
              </w:rPr>
            </w:pPr>
            <w:r w:rsidRPr="003F6C09">
              <w:rPr>
                <w:rFonts w:cs="Times New Roman"/>
                <w:sz w:val="20"/>
                <w:lang w:val="sr-Cyrl-RS"/>
              </w:rPr>
              <w:t>The author indicates that the submitted material is intended to serve as a basis for further regulatory development and to save time in the preparation of legislative solutions.</w:t>
            </w:r>
          </w:p>
          <w:p w:rsidR="004D65F1" w:rsidRPr="003F6C09" w:rsidRDefault="004D65F1" w:rsidP="004D65F1">
            <w:pPr>
              <w:rPr>
                <w:rFonts w:cs="Times New Roman"/>
                <w:sz w:val="20"/>
                <w:lang w:val="sr-Latn-RS"/>
              </w:rPr>
            </w:pPr>
          </w:p>
          <w:p w:rsidR="004D65F1" w:rsidRPr="003F6C09" w:rsidRDefault="004D65F1" w:rsidP="004D65F1">
            <w:pPr>
              <w:rPr>
                <w:rFonts w:cs="Times New Roman"/>
                <w:sz w:val="20"/>
                <w:lang w:val="sr-Latn-RS"/>
              </w:rPr>
            </w:pPr>
          </w:p>
          <w:p w:rsidR="004D65F1" w:rsidRPr="003F6C09" w:rsidRDefault="004D65F1" w:rsidP="004D65F1">
            <w:pPr>
              <w:rPr>
                <w:rFonts w:cs="Times New Roman"/>
                <w:sz w:val="20"/>
                <w:lang w:val="sr-Cyrl-RS"/>
              </w:rPr>
            </w:pPr>
          </w:p>
        </w:tc>
        <w:tc>
          <w:tcPr>
            <w:tcW w:w="2070" w:type="dxa"/>
            <w:tcBorders>
              <w:top w:val="single" w:sz="4" w:space="0" w:color="auto"/>
              <w:left w:val="single" w:sz="4" w:space="0" w:color="auto"/>
              <w:bottom w:val="single" w:sz="4" w:space="0" w:color="auto"/>
              <w:right w:val="single" w:sz="4" w:space="0" w:color="auto"/>
            </w:tcBorders>
            <w:vAlign w:val="top"/>
          </w:tcPr>
          <w:p w:rsidR="004D65F1" w:rsidRPr="003F6C09" w:rsidRDefault="004D65F1" w:rsidP="004D65F1">
            <w:pPr>
              <w:spacing w:line="264" w:lineRule="auto"/>
              <w:rPr>
                <w:rFonts w:cs="Times New Roman"/>
                <w:sz w:val="20"/>
                <w:lang w:val="sr-Cyrl-RS"/>
              </w:rPr>
            </w:pPr>
            <w:bookmarkStart w:id="105" w:name="_Hlk216015828"/>
            <w:r w:rsidRPr="003F6C09">
              <w:rPr>
                <w:rFonts w:cs="Times New Roman"/>
                <w:bCs/>
                <w:sz w:val="20"/>
                <w:lang w:val="sr-Latn-RS"/>
              </w:rPr>
              <w:t>Dr. Nebojša Jeremić, Certified Accountant; Authorized Internal Auditor</w:t>
            </w:r>
            <w:r w:rsidRPr="003F6C09">
              <w:rPr>
                <w:rFonts w:cs="Times New Roman"/>
                <w:sz w:val="20"/>
                <w:lang w:val="sr-Latn-RS"/>
              </w:rPr>
              <w:t xml:space="preserve"> </w:t>
            </w:r>
            <w:r w:rsidRPr="003F6C09">
              <w:rPr>
                <w:rFonts w:cs="Times New Roman"/>
                <w:sz w:val="20"/>
                <w:lang w:val="sr-Cyrl-RS"/>
              </w:rPr>
              <w:t xml:space="preserve">Contact: </w:t>
            </w:r>
            <w:r w:rsidRPr="003F6C09">
              <w:rPr>
                <w:rFonts w:cs="Times New Roman"/>
                <w:sz w:val="20"/>
                <w:lang w:val="sr-Latn-RS"/>
              </w:rPr>
              <w:t xml:space="preserve">  </w:t>
            </w:r>
            <w:hyperlink r:id="rId60" w:history="1">
              <w:r w:rsidRPr="003F6C09">
                <w:rPr>
                  <w:rFonts w:cs="Times New Roman"/>
                  <w:color w:val="0563C1" w:themeColor="hyperlink"/>
                  <w:sz w:val="20"/>
                  <w:u w:val="single"/>
                </w:rPr>
                <w:t>nebojsajeremicbeograd@gmail.com</w:t>
              </w:r>
            </w:hyperlink>
            <w:bookmarkEnd w:id="105"/>
          </w:p>
        </w:tc>
        <w:tc>
          <w:tcPr>
            <w:tcW w:w="1170" w:type="dxa"/>
            <w:tcBorders>
              <w:top w:val="single" w:sz="4" w:space="0" w:color="auto"/>
              <w:left w:val="single" w:sz="4" w:space="0" w:color="auto"/>
              <w:bottom w:val="single" w:sz="4" w:space="0" w:color="auto"/>
              <w:right w:val="single" w:sz="4" w:space="0" w:color="auto"/>
            </w:tcBorders>
            <w:vAlign w:val="top"/>
            <w:hideMark/>
          </w:tcPr>
          <w:p w:rsidR="004D65F1" w:rsidRPr="003F6C09" w:rsidRDefault="004D65F1" w:rsidP="004D65F1">
            <w:pPr>
              <w:rPr>
                <w:rFonts w:cs="Times New Roman"/>
                <w:sz w:val="20"/>
                <w:lang w:val="sr-Cyrl-RS"/>
              </w:rPr>
            </w:pPr>
            <w:r w:rsidRPr="003F6C09">
              <w:rPr>
                <w:rFonts w:cs="Times New Roman"/>
                <w:sz w:val="20"/>
                <w:lang w:val="sr-Cyrl-RS"/>
              </w:rPr>
              <w:t>Accepted</w:t>
            </w:r>
          </w:p>
        </w:tc>
        <w:tc>
          <w:tcPr>
            <w:tcW w:w="2970" w:type="dxa"/>
            <w:tcBorders>
              <w:top w:val="single" w:sz="4" w:space="0" w:color="auto"/>
              <w:left w:val="single" w:sz="4" w:space="0" w:color="auto"/>
              <w:bottom w:val="single" w:sz="4" w:space="0" w:color="auto"/>
              <w:right w:val="single" w:sz="4" w:space="0" w:color="auto"/>
            </w:tcBorders>
            <w:vAlign w:val="top"/>
          </w:tcPr>
          <w:p w:rsidR="004D65F1" w:rsidRPr="003F6C09" w:rsidRDefault="004D65F1" w:rsidP="004D65F1">
            <w:pPr>
              <w:rPr>
                <w:rFonts w:cs="Times New Roman"/>
                <w:sz w:val="20"/>
                <w:lang w:val="sr-Latn-RS"/>
              </w:rPr>
            </w:pPr>
            <w:r w:rsidRPr="003F6C09">
              <w:rPr>
                <w:rFonts w:cs="Times New Roman"/>
                <w:sz w:val="20"/>
                <w:lang w:val="sr-Latn-RS"/>
              </w:rPr>
              <w:t>Regarding the comments on the draft Economic Reform Programme 2026–2028 related to internal audit, it is noted that the suggestions will be considered in the upcoming period.</w:t>
            </w:r>
          </w:p>
          <w:p w:rsidR="004D65F1" w:rsidRPr="003F6C09" w:rsidRDefault="004D65F1" w:rsidP="004D65F1">
            <w:pPr>
              <w:rPr>
                <w:rFonts w:cs="Times New Roman"/>
                <w:sz w:val="20"/>
                <w:lang w:val="sr-Latn-RS"/>
              </w:rPr>
            </w:pPr>
            <w:r w:rsidRPr="003F6C09">
              <w:rPr>
                <w:rFonts w:cs="Times New Roman"/>
                <w:sz w:val="20"/>
                <w:lang w:val="sr-Latn-RS"/>
              </w:rPr>
              <w:t>It is also emphasized that the further development and enhancement of the internal audit function in the public sector will primarily take place within the measures and activities of the next Public Financial Management Reform Programme for the period following 2025.</w:t>
            </w:r>
          </w:p>
          <w:p w:rsidR="004D65F1" w:rsidRPr="003F6C09" w:rsidRDefault="004D65F1" w:rsidP="004D65F1">
            <w:pPr>
              <w:rPr>
                <w:rFonts w:cs="Times New Roman"/>
                <w:sz w:val="20"/>
                <w:lang w:val="sr-Latn-RS"/>
              </w:rPr>
            </w:pPr>
            <w:r w:rsidRPr="003F6C09">
              <w:rPr>
                <w:rFonts w:cs="Times New Roman"/>
                <w:sz w:val="20"/>
                <w:lang w:val="sr-Latn-RS"/>
              </w:rPr>
              <w:t>Given the complexity of the subject matter addressed by these proposals, it is necessary to assess the initiatives in terms of their systemic nature and long-term effects on all public fund users, as well as in terms of the potential positive impact of improving the internal audit function in the public sector on the real sector.</w:t>
            </w:r>
          </w:p>
          <w:p w:rsidR="004D65F1" w:rsidRPr="003F6C09" w:rsidRDefault="004D65F1" w:rsidP="004D65F1">
            <w:pPr>
              <w:rPr>
                <w:rFonts w:cs="Times New Roman"/>
                <w:sz w:val="20"/>
                <w:highlight w:val="magenta"/>
                <w:lang w:val="sr-Latn-RS"/>
              </w:rPr>
            </w:pPr>
          </w:p>
        </w:tc>
      </w:tr>
    </w:tbl>
    <w:p w:rsidR="004D65F1" w:rsidRPr="004D7A50" w:rsidRDefault="004D65F1" w:rsidP="004D7A50">
      <w:pPr>
        <w:rPr>
          <w:rFonts w:cs="Times New Roman"/>
          <w:sz w:val="8"/>
          <w:szCs w:val="8"/>
          <w:lang w:val="sr-Cyrl-RS"/>
        </w:rPr>
      </w:pPr>
    </w:p>
    <w:sectPr w:rsidR="004D65F1" w:rsidRPr="004D7A50" w:rsidSect="005B5B2C">
      <w:pgSz w:w="16838" w:h="11906"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869" w:rsidRDefault="00E05869" w:rsidP="005918D2">
      <w:pPr>
        <w:spacing w:after="0"/>
      </w:pPr>
      <w:r>
        <w:separator/>
      </w:r>
    </w:p>
  </w:endnote>
  <w:endnote w:type="continuationSeparator" w:id="0">
    <w:p w:rsidR="00E05869" w:rsidRDefault="00E05869" w:rsidP="005918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4228"/>
      <w:docPartObj>
        <w:docPartGallery w:val="Page Numbers (Bottom of Page)"/>
        <w:docPartUnique/>
      </w:docPartObj>
    </w:sdtPr>
    <w:sdtEndPr>
      <w:rPr>
        <w:noProof/>
      </w:rPr>
    </w:sdtEndPr>
    <w:sdtContent>
      <w:p w:rsidR="008F0F2C" w:rsidRPr="001B7E15" w:rsidRDefault="008F0F2C" w:rsidP="00EA7C4B">
        <w:pPr>
          <w:pStyle w:val="Footer"/>
          <w:jc w:val="right"/>
        </w:pPr>
        <w:r w:rsidRPr="001B7E15">
          <w:fldChar w:fldCharType="begin"/>
        </w:r>
        <w:r w:rsidRPr="001B7E15">
          <w:instrText xml:space="preserve"> PAGE   \* MERGEFORMAT </w:instrText>
        </w:r>
        <w:r w:rsidRPr="001B7E15">
          <w:fldChar w:fldCharType="separate"/>
        </w:r>
        <w:r>
          <w:rPr>
            <w:noProof/>
          </w:rPr>
          <w:t>50</w:t>
        </w:r>
        <w:r w:rsidRPr="001B7E15">
          <w:rPr>
            <w:noProof/>
          </w:rPr>
          <w:fldChar w:fldCharType="end"/>
        </w:r>
      </w:p>
    </w:sdtContent>
  </w:sdt>
  <w:p w:rsidR="008F0F2C" w:rsidRPr="00231623" w:rsidRDefault="008F0F2C" w:rsidP="00EA7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0871956"/>
      <w:docPartObj>
        <w:docPartGallery w:val="Page Numbers (Bottom of Page)"/>
        <w:docPartUnique/>
      </w:docPartObj>
    </w:sdtPr>
    <w:sdtEndPr>
      <w:rPr>
        <w:noProof/>
      </w:rPr>
    </w:sdtEndPr>
    <w:sdtContent>
      <w:p w:rsidR="008F0F2C" w:rsidRDefault="008F0F2C" w:rsidP="00EA7C4B">
        <w:pPr>
          <w:pStyle w:val="Footer"/>
          <w:rPr>
            <w:noProof/>
          </w:rPr>
        </w:pPr>
        <w:r w:rsidRPr="001B7E15">
          <w:fldChar w:fldCharType="begin"/>
        </w:r>
        <w:r w:rsidRPr="001B7E15">
          <w:instrText xml:space="preserve"> PAGE   \* MERGEFORMAT </w:instrText>
        </w:r>
        <w:r w:rsidRPr="001B7E15">
          <w:fldChar w:fldCharType="separate"/>
        </w:r>
        <w:r w:rsidR="0077464B">
          <w:rPr>
            <w:noProof/>
          </w:rPr>
          <w:t>6</w:t>
        </w:r>
        <w:r w:rsidRPr="001B7E15">
          <w:rPr>
            <w:noProof/>
          </w:rPr>
          <w:fldChar w:fldCharType="end"/>
        </w:r>
      </w:p>
    </w:sdtContent>
  </w:sdt>
  <w:p w:rsidR="008F0F2C" w:rsidRPr="00956C60" w:rsidRDefault="008F0F2C" w:rsidP="00EA7C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9194339"/>
      <w:docPartObj>
        <w:docPartGallery w:val="Page Numbers (Bottom of Page)"/>
        <w:docPartUnique/>
      </w:docPartObj>
    </w:sdtPr>
    <w:sdtEndPr>
      <w:rPr>
        <w:noProof/>
      </w:rPr>
    </w:sdtEndPr>
    <w:sdtContent>
      <w:p w:rsidR="008F0F2C" w:rsidRPr="001B7E15" w:rsidRDefault="008F0F2C" w:rsidP="00EA7C4B">
        <w:pPr>
          <w:pStyle w:val="Footer"/>
          <w:jc w:val="right"/>
        </w:pPr>
        <w:r w:rsidRPr="001B7E15">
          <w:fldChar w:fldCharType="begin"/>
        </w:r>
        <w:r w:rsidRPr="001B7E15">
          <w:instrText xml:space="preserve"> PAGE   \* MERGEFORMAT </w:instrText>
        </w:r>
        <w:r w:rsidRPr="001B7E15">
          <w:fldChar w:fldCharType="separate"/>
        </w:r>
        <w:r>
          <w:rPr>
            <w:noProof/>
          </w:rPr>
          <w:t>10</w:t>
        </w:r>
        <w:r w:rsidRPr="001B7E15">
          <w:rPr>
            <w:noProof/>
          </w:rPr>
          <w:fldChar w:fldCharType="end"/>
        </w:r>
      </w:p>
    </w:sdtContent>
  </w:sdt>
  <w:p w:rsidR="008F0F2C" w:rsidRPr="00231623" w:rsidRDefault="008F0F2C" w:rsidP="00EA7C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4222282"/>
      <w:docPartObj>
        <w:docPartGallery w:val="Page Numbers (Bottom of Page)"/>
        <w:docPartUnique/>
      </w:docPartObj>
    </w:sdtPr>
    <w:sdtEndPr>
      <w:rPr>
        <w:noProof/>
      </w:rPr>
    </w:sdtEndPr>
    <w:sdtContent>
      <w:p w:rsidR="008F0F2C" w:rsidRDefault="008F0F2C" w:rsidP="00EA7C4B">
        <w:pPr>
          <w:pStyle w:val="Footer"/>
          <w:rPr>
            <w:noProof/>
          </w:rPr>
        </w:pPr>
        <w:r w:rsidRPr="001B7E15">
          <w:fldChar w:fldCharType="begin"/>
        </w:r>
        <w:r w:rsidRPr="001B7E15">
          <w:instrText xml:space="preserve"> PAGE   \* MERGEFORMAT </w:instrText>
        </w:r>
        <w:r w:rsidRPr="001B7E15">
          <w:fldChar w:fldCharType="separate"/>
        </w:r>
        <w:r>
          <w:rPr>
            <w:noProof/>
          </w:rPr>
          <w:t>2</w:t>
        </w:r>
        <w:r w:rsidRPr="001B7E15">
          <w:rPr>
            <w:noProof/>
          </w:rPr>
          <w:fldChar w:fldCharType="end"/>
        </w:r>
      </w:p>
    </w:sdtContent>
  </w:sdt>
  <w:p w:rsidR="008F0F2C" w:rsidRPr="00956C60" w:rsidRDefault="008F0F2C" w:rsidP="00EA7C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342217"/>
      <w:docPartObj>
        <w:docPartGallery w:val="Page Numbers (Bottom of Page)"/>
        <w:docPartUnique/>
      </w:docPartObj>
    </w:sdtPr>
    <w:sdtEndPr>
      <w:rPr>
        <w:noProof/>
      </w:rPr>
    </w:sdtEndPr>
    <w:sdtContent>
      <w:p w:rsidR="008F0F2C" w:rsidRPr="001B7E15" w:rsidRDefault="008F0F2C" w:rsidP="00EA7C4B">
        <w:pPr>
          <w:pStyle w:val="Footer"/>
          <w:jc w:val="right"/>
        </w:pPr>
        <w:r w:rsidRPr="001B7E15">
          <w:fldChar w:fldCharType="begin"/>
        </w:r>
        <w:r w:rsidRPr="001B7E15">
          <w:instrText xml:space="preserve"> PAGE   \* MERGEFORMAT </w:instrText>
        </w:r>
        <w:r w:rsidRPr="001B7E15">
          <w:fldChar w:fldCharType="separate"/>
        </w:r>
        <w:r>
          <w:rPr>
            <w:noProof/>
          </w:rPr>
          <w:t>50</w:t>
        </w:r>
        <w:r w:rsidRPr="001B7E15">
          <w:rPr>
            <w:noProof/>
          </w:rPr>
          <w:fldChar w:fldCharType="end"/>
        </w:r>
      </w:p>
    </w:sdtContent>
  </w:sdt>
  <w:p w:rsidR="008F0F2C" w:rsidRPr="00231623" w:rsidRDefault="008F0F2C" w:rsidP="00EA7C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2C" w:rsidRDefault="008F0F2C" w:rsidP="005B5B2C">
    <w:pPr>
      <w:pStyle w:val="Footer"/>
      <w:tabs>
        <w:tab w:val="clear" w:pos="4680"/>
        <w:tab w:val="clear" w:pos="9360"/>
        <w:tab w:val="left" w:pos="9069"/>
      </w:tabs>
      <w:rPr>
        <w:noProof/>
      </w:rPr>
    </w:pPr>
    <w:sdt>
      <w:sdtPr>
        <w:id w:val="-977683907"/>
        <w:docPartObj>
          <w:docPartGallery w:val="Page Numbers (Bottom of Page)"/>
          <w:docPartUnique/>
        </w:docPartObj>
      </w:sdtPr>
      <w:sdtEndPr>
        <w:rPr>
          <w:noProof/>
        </w:rPr>
      </w:sdtEndPr>
      <w:sdtContent>
        <w:r w:rsidRPr="001B7E15">
          <w:fldChar w:fldCharType="begin"/>
        </w:r>
        <w:r w:rsidRPr="001B7E15">
          <w:instrText xml:space="preserve"> PAGE   \* MERGEFORMAT </w:instrText>
        </w:r>
        <w:r w:rsidRPr="001B7E15">
          <w:fldChar w:fldCharType="separate"/>
        </w:r>
        <w:r w:rsidR="0077464B">
          <w:rPr>
            <w:noProof/>
          </w:rPr>
          <w:t>84</w:t>
        </w:r>
        <w:r w:rsidRPr="001B7E15">
          <w:rPr>
            <w:noProof/>
          </w:rPr>
          <w:fldChar w:fldCharType="end"/>
        </w:r>
      </w:sdtContent>
    </w:sdt>
    <w:r>
      <w:rPr>
        <w:noProof/>
      </w:rPr>
      <w:tab/>
    </w:r>
  </w:p>
  <w:p w:rsidR="008F0F2C" w:rsidRPr="00956C60" w:rsidRDefault="008F0F2C" w:rsidP="00EA7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869" w:rsidRDefault="00E05869" w:rsidP="005918D2">
      <w:pPr>
        <w:spacing w:after="0"/>
      </w:pPr>
      <w:r>
        <w:separator/>
      </w:r>
    </w:p>
  </w:footnote>
  <w:footnote w:type="continuationSeparator" w:id="0">
    <w:p w:rsidR="00E05869" w:rsidRDefault="00E05869" w:rsidP="005918D2">
      <w:pPr>
        <w:spacing w:after="0"/>
      </w:pPr>
      <w:r>
        <w:continuationSeparator/>
      </w:r>
    </w:p>
  </w:footnote>
  <w:footnote w:id="1">
    <w:p w:rsidR="008F0F2C" w:rsidRPr="00A07FA5" w:rsidRDefault="008F0F2C">
      <w:pPr>
        <w:pStyle w:val="FootnoteText"/>
        <w:rPr>
          <w:lang w:val="sr-Latn-RS"/>
        </w:rPr>
      </w:pPr>
      <w:r>
        <w:rPr>
          <w:rStyle w:val="FootnoteReference"/>
        </w:rPr>
        <w:footnoteRef/>
      </w:r>
      <w:r>
        <w:rPr>
          <w:lang w:val="sr-Latn-RS"/>
        </w:rPr>
        <w:t xml:space="preserve"> </w:t>
      </w:r>
      <w:r w:rsidRPr="00A07FA5">
        <w:rPr>
          <w:rFonts w:ascii="Times New Roman" w:eastAsia="Calibri" w:hAnsi="Times New Roman" w:cs="Times New Roman"/>
          <w:bCs w:val="0"/>
          <w:color w:val="auto"/>
          <w:sz w:val="16"/>
          <w:szCs w:val="16"/>
          <w:lang w:val="en-GB"/>
        </w:rPr>
        <w:t>Data on total exports and imports of goods are given according to the balance of payments methodology, while detailed data (by different classifications) are given according to the external trade methodology.</w:t>
      </w:r>
    </w:p>
  </w:footnote>
  <w:footnote w:id="2">
    <w:p w:rsidR="008F0F2C" w:rsidRPr="00A07FA5" w:rsidRDefault="008F0F2C">
      <w:pPr>
        <w:pStyle w:val="FootnoteText"/>
        <w:rPr>
          <w:sz w:val="16"/>
          <w:szCs w:val="16"/>
          <w:lang w:val="sr-Latn-RS"/>
        </w:rPr>
      </w:pPr>
      <w:r w:rsidRPr="00A07FA5">
        <w:rPr>
          <w:rStyle w:val="FootnoteReference"/>
          <w:sz w:val="16"/>
          <w:szCs w:val="16"/>
        </w:rPr>
        <w:footnoteRef/>
      </w:r>
      <w:r w:rsidRPr="00A07FA5">
        <w:rPr>
          <w:sz w:val="16"/>
          <w:szCs w:val="16"/>
          <w:lang w:val="sr-Latn-RS"/>
        </w:rPr>
        <w:t xml:space="preserve"> </w:t>
      </w:r>
      <w:r w:rsidRPr="00620BAD">
        <w:rPr>
          <w:rFonts w:ascii="Times New Roman" w:hAnsi="Times New Roman" w:cs="Times New Roman"/>
          <w:sz w:val="16"/>
          <w:szCs w:val="16"/>
          <w:lang w:val="sr-Latn-RS"/>
        </w:rPr>
        <w:t>Balance in June 2025.</w:t>
      </w:r>
    </w:p>
  </w:footnote>
  <w:footnote w:id="3">
    <w:p w:rsidR="008F0F2C" w:rsidRPr="006D65B1" w:rsidRDefault="008F0F2C" w:rsidP="00A07FA5">
      <w:pPr>
        <w:pStyle w:val="FootnoteText"/>
        <w:rPr>
          <w:rFonts w:ascii="Times New Roman" w:hAnsi="Times New Roman"/>
          <w:sz w:val="16"/>
          <w:szCs w:val="16"/>
        </w:rPr>
      </w:pPr>
      <w:r w:rsidRPr="006D65B1">
        <w:rPr>
          <w:rStyle w:val="FootnoteReference"/>
          <w:rFonts w:ascii="Times New Roman" w:hAnsi="Times New Roman"/>
          <w:sz w:val="16"/>
          <w:szCs w:val="16"/>
        </w:rPr>
        <w:footnoteRef/>
      </w:r>
      <w:r w:rsidRPr="006D65B1">
        <w:rPr>
          <w:rFonts w:ascii="Times New Roman" w:hAnsi="Times New Roman"/>
          <w:sz w:val="16"/>
          <w:szCs w:val="16"/>
        </w:rPr>
        <w:t xml:space="preserve"> This threshold will be further reduced to 64% in 2026 and 57% in 2027,</w:t>
      </w:r>
      <w:r w:rsidRPr="006D65B1">
        <w:rPr>
          <w:rFonts w:ascii="Times New Roman" w:hAnsi="Times New Roman"/>
        </w:rPr>
        <w:t xml:space="preserve"> </w:t>
      </w:r>
      <w:r w:rsidRPr="006D65B1">
        <w:rPr>
          <w:rFonts w:ascii="Times New Roman" w:hAnsi="Times New Roman"/>
          <w:sz w:val="16"/>
          <w:szCs w:val="16"/>
        </w:rPr>
        <w:t>and measure 50% thereafter.</w:t>
      </w:r>
    </w:p>
  </w:footnote>
  <w:footnote w:id="4">
    <w:p w:rsidR="008F0F2C" w:rsidRPr="006D65B1" w:rsidRDefault="008F0F2C" w:rsidP="00A07FA5">
      <w:pPr>
        <w:pStyle w:val="FootnoteText"/>
        <w:rPr>
          <w:rFonts w:ascii="Times New Roman" w:hAnsi="Times New Roman"/>
          <w:sz w:val="16"/>
          <w:szCs w:val="16"/>
        </w:rPr>
      </w:pPr>
      <w:r w:rsidRPr="006D65B1">
        <w:rPr>
          <w:rStyle w:val="FootnoteReference"/>
          <w:rFonts w:ascii="Times New Roman" w:hAnsi="Times New Roman"/>
          <w:sz w:val="16"/>
          <w:szCs w:val="16"/>
        </w:rPr>
        <w:footnoteRef/>
      </w:r>
      <w:r w:rsidRPr="006D65B1">
        <w:rPr>
          <w:rFonts w:ascii="Times New Roman" w:hAnsi="Times New Roman"/>
          <w:sz w:val="16"/>
          <w:szCs w:val="16"/>
        </w:rPr>
        <w:t xml:space="preserve"> Including non-residents, dinar savings measured RSD 205.1 bn in September and, according to preliminary data, a record-high RSD 205.9 bn in October, equivalent </w:t>
      </w:r>
      <w:r>
        <w:rPr>
          <w:rFonts w:ascii="Times New Roman" w:hAnsi="Times New Roman"/>
          <w:sz w:val="16"/>
          <w:szCs w:val="16"/>
        </w:rPr>
        <w:t>to</w:t>
      </w:r>
      <w:r w:rsidRPr="006D65B1">
        <w:rPr>
          <w:rFonts w:ascii="Times New Roman" w:hAnsi="Times New Roman"/>
          <w:sz w:val="16"/>
          <w:szCs w:val="16"/>
        </w:rPr>
        <w:t xml:space="preserve"> EUR 1.76 bn.</w:t>
      </w:r>
    </w:p>
  </w:footnote>
  <w:footnote w:id="5">
    <w:p w:rsidR="008F0F2C" w:rsidRPr="006D65B1" w:rsidRDefault="008F0F2C" w:rsidP="00553471">
      <w:pPr>
        <w:pStyle w:val="FootnoteText"/>
        <w:rPr>
          <w:rFonts w:ascii="Times New Roman" w:hAnsi="Times New Roman"/>
          <w:sz w:val="16"/>
          <w:szCs w:val="16"/>
          <w:lang w:val="sr-Latn-RS"/>
        </w:rPr>
      </w:pPr>
      <w:r w:rsidRPr="006D65B1">
        <w:rPr>
          <w:rStyle w:val="FootnoteReference"/>
          <w:rFonts w:ascii="Times New Roman" w:hAnsi="Times New Roman"/>
          <w:sz w:val="16"/>
          <w:szCs w:val="16"/>
        </w:rPr>
        <w:footnoteRef/>
      </w:r>
      <w:r w:rsidRPr="006D65B1">
        <w:rPr>
          <w:rFonts w:ascii="Times New Roman" w:hAnsi="Times New Roman"/>
          <w:sz w:val="16"/>
          <w:szCs w:val="16"/>
        </w:rPr>
        <w:t xml:space="preserve"> Pursuant to the Decision on Establishing a List of Systemically Important Banks in the Republic of Serbia and Capital Buffer Rates for Those Banks of 12 June 2025.</w:t>
      </w:r>
    </w:p>
  </w:footnote>
  <w:footnote w:id="6">
    <w:p w:rsidR="008F0F2C" w:rsidRPr="006D65B1" w:rsidRDefault="008F0F2C" w:rsidP="00553471">
      <w:pPr>
        <w:pStyle w:val="FootnoteText"/>
        <w:rPr>
          <w:rFonts w:ascii="Times New Roman" w:hAnsi="Times New Roman"/>
          <w:sz w:val="16"/>
          <w:szCs w:val="16"/>
          <w:lang w:val="sr-Latn-RS"/>
        </w:rPr>
      </w:pPr>
      <w:r w:rsidRPr="006D65B1">
        <w:rPr>
          <w:rStyle w:val="FootnoteReference"/>
          <w:rFonts w:ascii="Times New Roman" w:hAnsi="Times New Roman"/>
          <w:sz w:val="16"/>
          <w:szCs w:val="16"/>
        </w:rPr>
        <w:footnoteRef/>
      </w:r>
      <w:r w:rsidRPr="006D65B1">
        <w:rPr>
          <w:rFonts w:ascii="Times New Roman" w:hAnsi="Times New Roman"/>
          <w:sz w:val="16"/>
          <w:szCs w:val="16"/>
        </w:rPr>
        <w:t xml:space="preserve"> Decision Amending the Decision on Capital Adequacy of Banks, Decision Amending the Decision on Reporting Requirements for Banks, Guidelines on the Method of Calculating the Total Exposure Amount of a Bank Included in the Calculation of the Leverage Ratio, and the Decision on Terms and Conditions of Granting Approval to Banks for Setting up or Acquisition of Subordinated Companies (RS Official Gazette, No 41/2025), and the Decision on Detailed Conditions and Manner of Appointing Key Function Holders in Banks, Decision Amending the Decision on Implementing the Provisions of the Law on Banks Relating to Granting of a Preliminary Bank Founding Permit, Bank Operating Licence and Consents and Approvals by the National Bank of Serbia, Decision on the Manner and Conditions of Identification, Monitoring and Management of Bank Compliance Risk, Decision Amending the Decision on Bank Risk Management, Decision on Detailed Terms and Manner of Performing Bank Supervision and Special Bank Audit, Decision Amending the Decision on Consolidated Supervision of a Banking Group, and the Decision Amending the Decision on Reporting Requirements for Banks (RS Official Gazette, No 51/2025).</w:t>
      </w:r>
    </w:p>
  </w:footnote>
  <w:footnote w:id="7">
    <w:p w:rsidR="008F0F2C" w:rsidRPr="006D65B1" w:rsidRDefault="008F0F2C" w:rsidP="00553471">
      <w:pPr>
        <w:pStyle w:val="FootnoteText"/>
        <w:rPr>
          <w:rFonts w:ascii="Times New Roman" w:hAnsi="Times New Roman"/>
          <w:sz w:val="16"/>
          <w:szCs w:val="16"/>
          <w:lang w:val="sr-Latn-RS"/>
        </w:rPr>
      </w:pPr>
      <w:r w:rsidRPr="006D65B1">
        <w:rPr>
          <w:rStyle w:val="FootnoteReference"/>
          <w:rFonts w:ascii="Times New Roman" w:hAnsi="Times New Roman"/>
          <w:sz w:val="16"/>
          <w:szCs w:val="16"/>
        </w:rPr>
        <w:footnoteRef/>
      </w:r>
      <w:r w:rsidRPr="006D65B1">
        <w:rPr>
          <w:rFonts w:ascii="Times New Roman" w:hAnsi="Times New Roman"/>
          <w:sz w:val="16"/>
          <w:szCs w:val="16"/>
        </w:rPr>
        <w:t xml:space="preserve"> Decision on Determining and Collecting the Contributions of Banks to the Bank Resolution Fund, Decision on the Content and Form of Financial Statements of the Bank Resolution Fund, Decision on the Minimum Requirement for Capital and Eligible Liabilities of a Bank, Guidelines for Implementing Some Provisions of the Decision on Minimum Requirement for Own Funds and Eligible Liabilities of Banks, Decision on Reporting for the Purposes of Planning Resolution of a Bank and the Banking Group, Decision on Obligations of a Bank Relating to Resolvability Assessment, Decision on Detailed Requirements and Manner of Independent Valuation of Assets and Liabilities of a Bank Before and After Bank Resolution, Decision on Detailed Terms and Conditions for the Sale of Shares, Assets and Liabilities of a Bank under Resolution, Decision on Counterparty Safeguards, Decision on Detailed Requirements for the Write-down and Conversion of Capital Instruments and Eligible Liabilities of Banks, and the Decision on Business Reorganisation Plan of a Bank.</w:t>
      </w:r>
    </w:p>
  </w:footnote>
  <w:footnote w:id="8">
    <w:p w:rsidR="008F0F2C" w:rsidRPr="006D65B1" w:rsidRDefault="008F0F2C" w:rsidP="00553471">
      <w:pPr>
        <w:pStyle w:val="FootnoteText"/>
        <w:rPr>
          <w:rFonts w:ascii="Times New Roman" w:hAnsi="Times New Roman"/>
          <w:sz w:val="16"/>
          <w:szCs w:val="16"/>
        </w:rPr>
      </w:pPr>
      <w:r w:rsidRPr="006D65B1">
        <w:rPr>
          <w:rFonts w:ascii="Times New Roman" w:hAnsi="Times New Roman"/>
          <w:sz w:val="16"/>
          <w:szCs w:val="16"/>
          <w:vertAlign w:val="superscript"/>
        </w:rPr>
        <w:footnoteRef/>
      </w:r>
      <w:r w:rsidRPr="006D65B1">
        <w:rPr>
          <w:rFonts w:ascii="Times New Roman" w:hAnsi="Times New Roman"/>
          <w:sz w:val="16"/>
          <w:szCs w:val="16"/>
          <w:vertAlign w:val="superscript"/>
        </w:rPr>
        <w:t xml:space="preserve"> </w:t>
      </w:r>
      <w:r w:rsidRPr="006D65B1">
        <w:rPr>
          <w:rFonts w:ascii="Times New Roman" w:hAnsi="Times New Roman"/>
          <w:sz w:val="16"/>
          <w:szCs w:val="16"/>
        </w:rPr>
        <w:t>80:20 ratio.</w:t>
      </w:r>
    </w:p>
  </w:footnote>
  <w:footnote w:id="9">
    <w:p w:rsidR="008F0F2C" w:rsidRPr="002D5C73" w:rsidRDefault="008F0F2C" w:rsidP="005918D2">
      <w:pPr>
        <w:pStyle w:val="FootnoteText"/>
        <w:ind w:firstLine="0"/>
        <w:rPr>
          <w:rFonts w:ascii="Times New Roman" w:hAnsi="Times New Roman" w:cs="Times New Roman"/>
          <w:sz w:val="16"/>
          <w:szCs w:val="16"/>
        </w:rPr>
      </w:pPr>
      <w:r w:rsidRPr="007824B3">
        <w:rPr>
          <w:rStyle w:val="FootnoteReference"/>
          <w:rFonts w:ascii="Times New Roman" w:hAnsi="Times New Roman" w:cs="Times New Roman"/>
          <w:sz w:val="16"/>
          <w:szCs w:val="16"/>
        </w:rPr>
        <w:footnoteRef/>
      </w:r>
      <w:r w:rsidRPr="007824B3">
        <w:rPr>
          <w:rFonts w:ascii="Times New Roman" w:hAnsi="Times New Roman" w:cs="Times New Roman"/>
          <w:sz w:val="16"/>
          <w:szCs w:val="16"/>
        </w:rPr>
        <w:t xml:space="preserve"> </w:t>
      </w:r>
      <w:r w:rsidRPr="00784A0A">
        <w:rPr>
          <w:rFonts w:ascii="Times New Roman" w:hAnsi="Times New Roman" w:cs="Times New Roman"/>
          <w:sz w:val="16"/>
          <w:szCs w:val="16"/>
        </w:rPr>
        <w:t xml:space="preserve">A more detailed description of the methodology applied and the results obtained can be found in the Fiscal Strategy for 2013, with projections for 2014 and 2015, or through the following link. </w:t>
      </w:r>
      <w:hyperlink r:id="rId1" w:history="1">
        <w:r w:rsidRPr="008F04AF">
          <w:rPr>
            <w:rStyle w:val="Hyperlink"/>
            <w:rFonts w:ascii="Times New Roman" w:hAnsi="Times New Roman" w:cs="Times New Roman"/>
            <w:sz w:val="16"/>
            <w:szCs w:val="16"/>
          </w:rPr>
          <w:t>https://www.mfin.gov.rs//upload/media/jzsbpL_601ab1585ca02.pdf</w:t>
        </w:r>
      </w:hyperlink>
    </w:p>
  </w:footnote>
  <w:footnote w:id="10">
    <w:p w:rsidR="008F0F2C" w:rsidRPr="006175F9" w:rsidRDefault="008F0F2C" w:rsidP="00863F79">
      <w:pPr>
        <w:pStyle w:val="FootnoteText"/>
        <w:jc w:val="left"/>
        <w:rPr>
          <w:rFonts w:ascii="Times New Roman" w:hAnsi="Times New Roman" w:cs="Times New Roman"/>
          <w:sz w:val="16"/>
          <w:szCs w:val="16"/>
          <w:lang w:val="sr-Cyrl-RS"/>
        </w:rPr>
      </w:pPr>
      <w:r w:rsidRPr="006175F9">
        <w:rPr>
          <w:rStyle w:val="FootnoteReference"/>
          <w:rFonts w:ascii="Times New Roman" w:hAnsi="Times New Roman" w:cs="Times New Roman"/>
          <w:sz w:val="16"/>
          <w:szCs w:val="16"/>
        </w:rPr>
        <w:footnoteRef/>
      </w:r>
      <w:r w:rsidRPr="006175F9">
        <w:rPr>
          <w:rFonts w:ascii="Times New Roman" w:hAnsi="Times New Roman" w:cs="Times New Roman"/>
          <w:sz w:val="16"/>
          <w:szCs w:val="16"/>
        </w:rPr>
        <w:t xml:space="preserve"> </w:t>
      </w:r>
      <w:r w:rsidRPr="00B23534">
        <w:rPr>
          <w:rFonts w:ascii="Times New Roman" w:hAnsi="Times New Roman" w:cs="Times New Roman"/>
          <w:sz w:val="16"/>
          <w:szCs w:val="16"/>
          <w:lang w:val="sr-Cyrl-RS"/>
        </w:rPr>
        <w:t>More on the analysis of risks for local government units can be found in the document Revised Fiscal Strategy for 2026 with Projections for 2027 and 2028 on the website of the Ministry of Finance.</w:t>
      </w:r>
    </w:p>
  </w:footnote>
  <w:footnote w:id="11">
    <w:p w:rsidR="008F0F2C" w:rsidRPr="001E3234" w:rsidRDefault="008F0F2C" w:rsidP="00863F79">
      <w:pPr>
        <w:pStyle w:val="FootnoteText"/>
        <w:ind w:firstLine="0"/>
        <w:rPr>
          <w:rFonts w:ascii="Times New Roman" w:hAnsi="Times New Roman" w:cs="Times New Roman"/>
          <w:sz w:val="16"/>
          <w:szCs w:val="16"/>
          <w:lang w:val="en-US"/>
        </w:rPr>
      </w:pPr>
      <w:r w:rsidRPr="006175F9">
        <w:rPr>
          <w:rStyle w:val="FootnoteReference"/>
          <w:rFonts w:ascii="Times New Roman" w:hAnsi="Times New Roman" w:cs="Times New Roman"/>
          <w:sz w:val="16"/>
          <w:szCs w:val="16"/>
        </w:rPr>
        <w:footnoteRef/>
      </w:r>
      <w:r w:rsidRPr="006175F9">
        <w:rPr>
          <w:rFonts w:ascii="Times New Roman" w:hAnsi="Times New Roman" w:cs="Times New Roman"/>
          <w:sz w:val="16"/>
          <w:szCs w:val="16"/>
        </w:rPr>
        <w:t xml:space="preserve"> </w:t>
      </w:r>
      <w:r>
        <w:rPr>
          <w:rFonts w:ascii="Times New Roman" w:hAnsi="Times New Roman" w:cs="Times New Roman"/>
          <w:sz w:val="16"/>
          <w:szCs w:val="16"/>
          <w:lang w:val="sr-Cyrl-RS"/>
        </w:rPr>
        <w:t>Economic Reform Program 202</w:t>
      </w:r>
      <w:r>
        <w:rPr>
          <w:rFonts w:ascii="Times New Roman" w:hAnsi="Times New Roman" w:cs="Times New Roman"/>
          <w:sz w:val="16"/>
          <w:szCs w:val="16"/>
          <w:lang w:val="en-US"/>
        </w:rPr>
        <w:t>5</w:t>
      </w:r>
      <w:r>
        <w:rPr>
          <w:rFonts w:ascii="Times New Roman" w:hAnsi="Times New Roman" w:cs="Times New Roman"/>
          <w:sz w:val="16"/>
          <w:szCs w:val="16"/>
          <w:lang w:val="sr-Cyrl-RS"/>
        </w:rPr>
        <w:t>–202</w:t>
      </w:r>
      <w:r>
        <w:rPr>
          <w:rFonts w:ascii="Times New Roman" w:hAnsi="Times New Roman" w:cs="Times New Roman"/>
          <w:sz w:val="16"/>
          <w:szCs w:val="16"/>
          <w:lang w:val="en-US"/>
        </w:rPr>
        <w:t>7</w:t>
      </w:r>
    </w:p>
  </w:footnote>
  <w:footnote w:id="12">
    <w:p w:rsidR="008F0F2C" w:rsidRPr="00AD19EF" w:rsidRDefault="008F0F2C" w:rsidP="004D65F1">
      <w:pPr>
        <w:pStyle w:val="FootnoteText"/>
        <w:ind w:firstLine="0"/>
        <w:rPr>
          <w:lang w:val="sr-Latn-RS"/>
        </w:rPr>
      </w:pPr>
      <w:r>
        <w:rPr>
          <w:rStyle w:val="FootnoteReference"/>
        </w:rPr>
        <w:footnoteRef/>
      </w:r>
      <w:r>
        <w:t xml:space="preserve"> </w:t>
      </w:r>
      <w:r w:rsidRPr="000E7FD0">
        <w:t>Digital WB6+ Initiative (2018):  The Impact of Digital Transformation on the Western Balkans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2C" w:rsidRDefault="008F0F2C" w:rsidP="00EA7C4B">
    <w:pPr>
      <w:pStyle w:val="Header"/>
      <w:jc w:val="center"/>
      <w:rPr>
        <w:lang w:val="sr-Cyrl-RS"/>
      </w:rPr>
    </w:pPr>
    <w:r w:rsidRPr="006C57DB">
      <w:rPr>
        <w:lang w:val="sr-Cyrl-RS"/>
      </w:rPr>
      <w:t>Фискална</w:t>
    </w:r>
  </w:p>
  <w:p w:rsidR="008F0F2C" w:rsidRDefault="008F0F2C" w:rsidP="00EA7C4B">
    <w:pPr>
      <w:pStyle w:val="Header"/>
      <w:jc w:val="center"/>
      <w:rPr>
        <w:lang w:val="sr-Cyrl-RS"/>
      </w:rPr>
    </w:pPr>
  </w:p>
  <w:p w:rsidR="008F0F2C" w:rsidRDefault="008F0F2C" w:rsidP="00EA7C4B">
    <w:pPr>
      <w:pStyle w:val="Header"/>
      <w:jc w:val="center"/>
      <w:rPr>
        <w:lang w:val="sr-Cyrl-RS"/>
      </w:rPr>
    </w:pPr>
  </w:p>
  <w:p w:rsidR="008F0F2C" w:rsidRDefault="008F0F2C" w:rsidP="00EA7C4B">
    <w:pPr>
      <w:pStyle w:val="Header"/>
      <w:jc w:val="center"/>
      <w:rPr>
        <w:lang w:val="sr-Cyrl-RS"/>
      </w:rPr>
    </w:pPr>
  </w:p>
  <w:p w:rsidR="008F0F2C" w:rsidRDefault="008F0F2C" w:rsidP="00EA7C4B">
    <w:pPr>
      <w:pStyle w:val="Header"/>
      <w:jc w:val="center"/>
      <w:rPr>
        <w:lang w:val="sr-Cyrl-RS"/>
      </w:rPr>
    </w:pPr>
  </w:p>
  <w:p w:rsidR="008F0F2C" w:rsidRPr="00A05F80" w:rsidRDefault="008F0F2C" w:rsidP="00EA7C4B">
    <w:pPr>
      <w:pStyle w:val="Header"/>
      <w:jc w:val="center"/>
      <w:rPr>
        <w:lang w:val="ru-RU"/>
      </w:rPr>
    </w:pPr>
    <w:r>
      <w:rPr>
        <w:lang w:val="sr-Cyrl-RS"/>
      </w:rPr>
      <w:t xml:space="preserve"> за 2020. годину са пројекцијама за 2021. и 2022</w:t>
    </w:r>
    <w:r w:rsidRPr="00F061F2">
      <w:rPr>
        <w:lang w:val="sr-Cyrl-RS"/>
      </w:rPr>
      <w:t>. годину</w:t>
    </w:r>
  </w:p>
  <w:p w:rsidR="008F0F2C" w:rsidRPr="00A05F80" w:rsidRDefault="008F0F2C">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2C" w:rsidRPr="00BF7F6A" w:rsidRDefault="008F0F2C" w:rsidP="00EA7C4B">
    <w:pPr>
      <w:pStyle w:val="Header"/>
      <w:jc w:val="center"/>
      <w:rPr>
        <w:lang w:val="sr-Cyrl-RS"/>
      </w:rPr>
    </w:pPr>
    <w:r>
      <w:rPr>
        <w:lang w:val="sr-Cyrl-RS"/>
      </w:rPr>
      <w:t>Фискална стратегија за 2019. годину са пројекцијама за 2020. и 2021. годину</w:t>
    </w:r>
  </w:p>
  <w:p w:rsidR="008F0F2C" w:rsidRPr="00A05F80" w:rsidRDefault="008F0F2C">
    <w:pPr>
      <w:pStyle w:val="Head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2C" w:rsidRPr="00A05F80" w:rsidRDefault="008F0F2C" w:rsidP="00EA7C4B">
    <w:pPr>
      <w:pStyle w:val="Header"/>
      <w:jc w:val="center"/>
      <w:rPr>
        <w:lang w:val="ru-RU"/>
      </w:rPr>
    </w:pPr>
    <w:r w:rsidRPr="00A05F80">
      <w:rPr>
        <w:lang w:val="ru-RU"/>
      </w:rPr>
      <w:t>Ревидирана фискална стратегија за 2020. годину са пројекцијама за 2021. и 2022. годину</w:t>
    </w:r>
  </w:p>
  <w:p w:rsidR="008F0F2C" w:rsidRPr="00A05F80" w:rsidRDefault="008F0F2C">
    <w:pPr>
      <w:pStyle w:val="Header"/>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2C" w:rsidRPr="00772333" w:rsidRDefault="008F0F2C" w:rsidP="00EA7C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2C" w:rsidRPr="00A05F80" w:rsidRDefault="008F0F2C" w:rsidP="00EA7C4B">
    <w:pPr>
      <w:pStyle w:val="Header"/>
      <w:jc w:val="center"/>
      <w:rPr>
        <w:lang w:val="ru-RU"/>
      </w:rPr>
    </w:pPr>
    <w:r w:rsidRPr="00A05F80">
      <w:rPr>
        <w:lang w:val="ru-RU"/>
      </w:rPr>
      <w:t>Фискална стратегија за 2019. годину са пројекцијама за 2020. и 2021. годину</w:t>
    </w:r>
  </w:p>
  <w:p w:rsidR="008F0F2C" w:rsidRPr="00A05F80" w:rsidRDefault="008F0F2C">
    <w:pPr>
      <w:pStyle w:val="Header"/>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2C" w:rsidRPr="00A05F80" w:rsidRDefault="008F0F2C" w:rsidP="00EA7C4B">
    <w:pPr>
      <w:pStyle w:val="Header"/>
      <w:jc w:val="center"/>
      <w:rPr>
        <w:lang w:val="ru-RU"/>
      </w:rPr>
    </w:pPr>
    <w:r w:rsidRPr="00A05F80">
      <w:rPr>
        <w:lang w:val="ru-RU"/>
      </w:rPr>
      <w:t>Фискална стратегија за 2020. годину са пројекцијама за 2021. и 2022. годину</w:t>
    </w:r>
  </w:p>
  <w:p w:rsidR="008F0F2C" w:rsidRPr="00A05F80" w:rsidRDefault="008F0F2C">
    <w:pPr>
      <w:pStyle w:val="Header"/>
      <w:rPr>
        <w:lang w:val="ru-RU"/>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F2C" w:rsidRPr="00A05F80" w:rsidRDefault="008F0F2C" w:rsidP="00EA7C4B">
    <w:pPr>
      <w:pStyle w:val="Header"/>
      <w:jc w:val="center"/>
      <w:rPr>
        <w:lang w:val="ru-RU"/>
      </w:rPr>
    </w:pPr>
    <w:r w:rsidRPr="00A05F80">
      <w:rPr>
        <w:lang w:val="ru-RU"/>
      </w:rPr>
      <w:t>Фискална стратегија за 2019. годину са пројекцијама за 2020. и 2021. годину</w:t>
    </w:r>
  </w:p>
  <w:p w:rsidR="008F0F2C" w:rsidRPr="00A05F80" w:rsidRDefault="008F0F2C">
    <w:pPr>
      <w:pStyle w:val="Head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Bullet1"/>
      <w:lvlText w:val="•"/>
      <w:lvlJc w:val="left"/>
      <w:pPr>
        <w:ind w:left="576" w:hanging="288"/>
      </w:pPr>
      <w:rPr>
        <w:rFonts w:ascii="Cambria" w:hAnsi="Cambria" w:hint="default"/>
        <w:color w:val="5B9BD5" w:themeColor="accent1"/>
      </w:rPr>
    </w:lvl>
  </w:abstractNum>
  <w:abstractNum w:abstractNumId="1" w15:restartNumberingAfterBreak="0">
    <w:nsid w:val="01B81DEA"/>
    <w:multiLevelType w:val="multilevel"/>
    <w:tmpl w:val="B7A4B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67F5D"/>
    <w:multiLevelType w:val="hybridMultilevel"/>
    <w:tmpl w:val="E28809B4"/>
    <w:lvl w:ilvl="0" w:tplc="04090001">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01AF9"/>
    <w:multiLevelType w:val="hybridMultilevel"/>
    <w:tmpl w:val="A154AE00"/>
    <w:lvl w:ilvl="0" w:tplc="BFA4663C">
      <w:start w:val="1"/>
      <w:numFmt w:val="bullet"/>
      <w:lvlText w:val="-"/>
      <w:lvlJc w:val="left"/>
      <w:pPr>
        <w:ind w:left="720" w:hanging="360"/>
      </w:pPr>
      <w:rPr>
        <w:rFonts w:ascii="Calibri" w:eastAsia="MS PGothic"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328B3"/>
    <w:multiLevelType w:val="hybridMultilevel"/>
    <w:tmpl w:val="4B800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A5C74"/>
    <w:multiLevelType w:val="hybridMultilevel"/>
    <w:tmpl w:val="361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F00BE"/>
    <w:multiLevelType w:val="hybridMultilevel"/>
    <w:tmpl w:val="6E8082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4F2D2B"/>
    <w:multiLevelType w:val="hybridMultilevel"/>
    <w:tmpl w:val="14FEB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22648"/>
    <w:multiLevelType w:val="hybridMultilevel"/>
    <w:tmpl w:val="05DC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196F9C"/>
    <w:multiLevelType w:val="hybridMultilevel"/>
    <w:tmpl w:val="03588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1A7C45D5"/>
    <w:multiLevelType w:val="hybridMultilevel"/>
    <w:tmpl w:val="9756494C"/>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 w15:restartNumberingAfterBreak="0">
    <w:nsid w:val="1EC1773A"/>
    <w:multiLevelType w:val="multilevel"/>
    <w:tmpl w:val="705C1ACA"/>
    <w:lvl w:ilvl="0">
      <w:start w:val="1"/>
      <w:numFmt w:val="upperRoman"/>
      <w:lvlText w:val="%1."/>
      <w:lvlJc w:val="left"/>
      <w:pPr>
        <w:ind w:left="360" w:hanging="360"/>
      </w:pPr>
      <w:rPr>
        <w:rFonts w:hint="default"/>
      </w:rPr>
    </w:lvl>
    <w:lvl w:ilvl="1">
      <w:start w:val="1"/>
      <w:numFmt w:val="decimal"/>
      <w:pStyle w:val="EFPNaslov2"/>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FA82CA8"/>
    <w:multiLevelType w:val="multilevel"/>
    <w:tmpl w:val="CC92B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FA5E91"/>
    <w:multiLevelType w:val="hybridMultilevel"/>
    <w:tmpl w:val="5DF4BD4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836565"/>
    <w:multiLevelType w:val="hybridMultilevel"/>
    <w:tmpl w:val="63CADC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5" w15:restartNumberingAfterBreak="0">
    <w:nsid w:val="29E6161D"/>
    <w:multiLevelType w:val="multilevel"/>
    <w:tmpl w:val="063EE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9E4A7A"/>
    <w:multiLevelType w:val="hybridMultilevel"/>
    <w:tmpl w:val="C0505144"/>
    <w:lvl w:ilvl="0" w:tplc="D8A2529A">
      <w:start w:val="1"/>
      <w:numFmt w:val="decimal"/>
      <w:pStyle w:val="ListNumber2"/>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C61598"/>
    <w:multiLevelType w:val="hybridMultilevel"/>
    <w:tmpl w:val="26EA460E"/>
    <w:lvl w:ilvl="0" w:tplc="241A0011">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8" w15:restartNumberingAfterBreak="0">
    <w:nsid w:val="30195F79"/>
    <w:multiLevelType w:val="hybridMultilevel"/>
    <w:tmpl w:val="DDF6E3A4"/>
    <w:lvl w:ilvl="0" w:tplc="28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19" w15:restartNumberingAfterBreak="0">
    <w:nsid w:val="311B23A4"/>
    <w:multiLevelType w:val="hybridMultilevel"/>
    <w:tmpl w:val="0F4E72E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4850F7"/>
    <w:multiLevelType w:val="hybridMultilevel"/>
    <w:tmpl w:val="9D58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D7BB7"/>
    <w:multiLevelType w:val="hybridMultilevel"/>
    <w:tmpl w:val="70E435F0"/>
    <w:lvl w:ilvl="0" w:tplc="41C0CB00">
      <w:start w:val="1"/>
      <w:numFmt w:val="decimal"/>
      <w:pStyle w:val="ParagraphNumbering"/>
      <w:lvlText w:val="%1.     "/>
      <w:lvlJc w:val="left"/>
      <w:pPr>
        <w:ind w:left="630" w:hanging="360"/>
      </w:pPr>
      <w:rPr>
        <w:rFonts w:ascii="Segoe UI" w:hAnsi="Segoe UI" w:hint="default"/>
        <w:b/>
        <w:i w:val="0"/>
        <w:sz w:val="21"/>
      </w:rPr>
    </w:lvl>
    <w:lvl w:ilvl="1" w:tplc="33B40FEA" w:tentative="1">
      <w:start w:val="1"/>
      <w:numFmt w:val="lowerLetter"/>
      <w:lvlText w:val="%2."/>
      <w:lvlJc w:val="left"/>
      <w:pPr>
        <w:ind w:left="1440" w:hanging="360"/>
      </w:pPr>
    </w:lvl>
    <w:lvl w:ilvl="2" w:tplc="DCB0CC42" w:tentative="1">
      <w:start w:val="1"/>
      <w:numFmt w:val="lowerRoman"/>
      <w:lvlText w:val="%3."/>
      <w:lvlJc w:val="right"/>
      <w:pPr>
        <w:ind w:left="2160" w:hanging="180"/>
      </w:pPr>
    </w:lvl>
    <w:lvl w:ilvl="3" w:tplc="B790AE84" w:tentative="1">
      <w:start w:val="1"/>
      <w:numFmt w:val="decimal"/>
      <w:lvlText w:val="%4."/>
      <w:lvlJc w:val="left"/>
      <w:pPr>
        <w:ind w:left="2880" w:hanging="360"/>
      </w:pPr>
    </w:lvl>
    <w:lvl w:ilvl="4" w:tplc="889A005E" w:tentative="1">
      <w:start w:val="1"/>
      <w:numFmt w:val="lowerLetter"/>
      <w:lvlText w:val="%5."/>
      <w:lvlJc w:val="left"/>
      <w:pPr>
        <w:ind w:left="3600" w:hanging="360"/>
      </w:pPr>
    </w:lvl>
    <w:lvl w:ilvl="5" w:tplc="6960F5F0" w:tentative="1">
      <w:start w:val="1"/>
      <w:numFmt w:val="lowerRoman"/>
      <w:lvlText w:val="%6."/>
      <w:lvlJc w:val="right"/>
      <w:pPr>
        <w:ind w:left="4320" w:hanging="180"/>
      </w:pPr>
    </w:lvl>
    <w:lvl w:ilvl="6" w:tplc="BBB45C82" w:tentative="1">
      <w:start w:val="1"/>
      <w:numFmt w:val="decimal"/>
      <w:lvlText w:val="%7."/>
      <w:lvlJc w:val="left"/>
      <w:pPr>
        <w:ind w:left="5040" w:hanging="360"/>
      </w:pPr>
    </w:lvl>
    <w:lvl w:ilvl="7" w:tplc="5516958C" w:tentative="1">
      <w:start w:val="1"/>
      <w:numFmt w:val="lowerLetter"/>
      <w:lvlText w:val="%8."/>
      <w:lvlJc w:val="left"/>
      <w:pPr>
        <w:ind w:left="5760" w:hanging="360"/>
      </w:pPr>
    </w:lvl>
    <w:lvl w:ilvl="8" w:tplc="98DCDC2C" w:tentative="1">
      <w:start w:val="1"/>
      <w:numFmt w:val="lowerRoman"/>
      <w:lvlText w:val="%9."/>
      <w:lvlJc w:val="right"/>
      <w:pPr>
        <w:ind w:left="6480" w:hanging="180"/>
      </w:pPr>
    </w:lvl>
  </w:abstractNum>
  <w:abstractNum w:abstractNumId="22" w15:restartNumberingAfterBreak="0">
    <w:nsid w:val="367F6A45"/>
    <w:multiLevelType w:val="multilevel"/>
    <w:tmpl w:val="0436C7FE"/>
    <w:lvl w:ilvl="0">
      <w:start w:val="1"/>
      <w:numFmt w:val="decimal"/>
      <w:pStyle w:val="ListNumber1"/>
      <w:lvlText w:val="%1."/>
      <w:lvlJc w:val="left"/>
      <w:pPr>
        <w:ind w:left="360" w:hanging="360"/>
      </w:pPr>
      <w:rPr>
        <w:rFonts w:hint="default"/>
        <w:color w:val="5B9BD5" w:themeColor="accent1"/>
      </w:rPr>
    </w:lvl>
    <w:lvl w:ilvl="1">
      <w:start w:val="1"/>
      <w:numFmt w:val="decimal"/>
      <w:pStyle w:val="ListNumber21"/>
      <w:suff w:val="space"/>
      <w:lvlText w:val="%1.%2"/>
      <w:lvlJc w:val="left"/>
      <w:pPr>
        <w:ind w:left="936" w:hanging="576"/>
      </w:pPr>
      <w:rPr>
        <w:rFonts w:hint="default"/>
        <w:color w:val="5B9BD5" w:themeColor="accent1"/>
      </w:rPr>
    </w:lvl>
    <w:lvl w:ilvl="2">
      <w:start w:val="1"/>
      <w:numFmt w:val="lowerLetter"/>
      <w:pStyle w:val="ListNumber31"/>
      <w:lvlText w:val="%3."/>
      <w:lvlJc w:val="left"/>
      <w:pPr>
        <w:ind w:left="720" w:hanging="360"/>
      </w:pPr>
      <w:rPr>
        <w:rFonts w:hint="default"/>
        <w:color w:val="5B9BD5" w:themeColor="accent1"/>
      </w:rPr>
    </w:lvl>
    <w:lvl w:ilvl="3">
      <w:start w:val="1"/>
      <w:numFmt w:val="lowerRoman"/>
      <w:pStyle w:val="ListNumber41"/>
      <w:lvlText w:val="%4."/>
      <w:lvlJc w:val="left"/>
      <w:pPr>
        <w:ind w:left="1080" w:hanging="360"/>
      </w:pPr>
      <w:rPr>
        <w:rFonts w:hint="default"/>
        <w:color w:val="5B9BD5" w:themeColor="accent1"/>
      </w:rPr>
    </w:lvl>
    <w:lvl w:ilvl="4">
      <w:start w:val="1"/>
      <w:numFmt w:val="lowerLetter"/>
      <w:pStyle w:val="ListNumber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74F1C1E"/>
    <w:multiLevelType w:val="hybridMultilevel"/>
    <w:tmpl w:val="D12AD8A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A0236D"/>
    <w:multiLevelType w:val="hybridMultilevel"/>
    <w:tmpl w:val="F6F47070"/>
    <w:lvl w:ilvl="0" w:tplc="014AD722">
      <w:start w:val="1"/>
      <w:numFmt w:val="decimal"/>
      <w:pStyle w:val="Nabrajanjemera"/>
      <w:lvlText w:val="Приоритетна мера %1."/>
      <w:lvlJc w:val="left"/>
      <w:pPr>
        <w:ind w:left="786" w:hanging="360"/>
      </w:pPr>
      <w:rPr>
        <w:rFonts w:hint="default"/>
        <w:b/>
        <w:i w:val="0"/>
        <w:smallCap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FE286B"/>
    <w:multiLevelType w:val="multilevel"/>
    <w:tmpl w:val="7E8E7DFC"/>
    <w:lvl w:ilvl="0">
      <w:start w:val="1"/>
      <w:numFmt w:val="upperRoman"/>
      <w:pStyle w:val="IFS2012naslov1"/>
      <w:lvlText w:val="%1."/>
      <w:lvlJc w:val="left"/>
      <w:pPr>
        <w:ind w:left="1080" w:hanging="720"/>
      </w:pPr>
      <w:rPr>
        <w:rFonts w:hint="default"/>
      </w:rPr>
    </w:lvl>
    <w:lvl w:ilvl="1">
      <w:start w:val="1"/>
      <w:numFmt w:val="decimal"/>
      <w:isLgl/>
      <w:lvlText w:val="%1.%2."/>
      <w:lvlJc w:val="left"/>
      <w:pPr>
        <w:ind w:left="965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40EE3AB8"/>
    <w:multiLevelType w:val="multilevel"/>
    <w:tmpl w:val="E97AA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A1BA8"/>
    <w:multiLevelType w:val="hybridMultilevel"/>
    <w:tmpl w:val="9560019E"/>
    <w:lvl w:ilvl="0" w:tplc="1DFCD06E">
      <w:start w:val="1"/>
      <w:numFmt w:val="bullet"/>
      <w:lvlText w:val=""/>
      <w:lvlJc w:val="left"/>
      <w:pPr>
        <w:ind w:left="1440" w:hanging="360"/>
      </w:pPr>
      <w:rPr>
        <w:rFonts w:ascii="Wingdings" w:hAnsi="Wingdings" w:hint="default"/>
        <w:color w:val="44546A"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15:restartNumberingAfterBreak="0">
    <w:nsid w:val="46F3294C"/>
    <w:multiLevelType w:val="hybridMultilevel"/>
    <w:tmpl w:val="0C0A48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87463E"/>
    <w:multiLevelType w:val="hybridMultilevel"/>
    <w:tmpl w:val="F5B00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7802E6"/>
    <w:multiLevelType w:val="hybridMultilevel"/>
    <w:tmpl w:val="D8BA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717A3C"/>
    <w:multiLevelType w:val="hybridMultilevel"/>
    <w:tmpl w:val="4498CBF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BB27AC"/>
    <w:multiLevelType w:val="hybridMultilevel"/>
    <w:tmpl w:val="5F105816"/>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FD5C5B"/>
    <w:multiLevelType w:val="hybridMultilevel"/>
    <w:tmpl w:val="A216C01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9A278D"/>
    <w:multiLevelType w:val="hybridMultilevel"/>
    <w:tmpl w:val="2CA41BF0"/>
    <w:lvl w:ilvl="0" w:tplc="04090001">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A75434"/>
    <w:multiLevelType w:val="hybridMultilevel"/>
    <w:tmpl w:val="1F682A80"/>
    <w:lvl w:ilvl="0" w:tplc="1DFCD06E">
      <w:start w:val="1"/>
      <w:numFmt w:val="bullet"/>
      <w:lvlText w:val=""/>
      <w:lvlJc w:val="left"/>
      <w:pPr>
        <w:ind w:left="720" w:hanging="360"/>
      </w:pPr>
      <w:rPr>
        <w:rFonts w:ascii="Wingdings" w:hAnsi="Wingdings"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DB66A5"/>
    <w:multiLevelType w:val="hybridMultilevel"/>
    <w:tmpl w:val="41C0C684"/>
    <w:lvl w:ilvl="0" w:tplc="A2DA36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16"/>
  </w:num>
  <w:num w:numId="4">
    <w:abstractNumId w:val="21"/>
  </w:num>
  <w:num w:numId="5">
    <w:abstractNumId w:val="35"/>
  </w:num>
  <w:num w:numId="6">
    <w:abstractNumId w:val="2"/>
  </w:num>
  <w:num w:numId="7">
    <w:abstractNumId w:val="25"/>
  </w:num>
  <w:num w:numId="8">
    <w:abstractNumId w:val="11"/>
  </w:num>
  <w:num w:numId="9">
    <w:abstractNumId w:val="24"/>
  </w:num>
  <w:num w:numId="10">
    <w:abstractNumId w:val="19"/>
  </w:num>
  <w:num w:numId="11">
    <w:abstractNumId w:val="29"/>
  </w:num>
  <w:num w:numId="12">
    <w:abstractNumId w:val="30"/>
  </w:num>
  <w:num w:numId="13">
    <w:abstractNumId w:val="34"/>
  </w:num>
  <w:num w:numId="14">
    <w:abstractNumId w:val="32"/>
  </w:num>
  <w:num w:numId="15">
    <w:abstractNumId w:val="27"/>
  </w:num>
  <w:num w:numId="16">
    <w:abstractNumId w:val="10"/>
  </w:num>
  <w:num w:numId="17">
    <w:abstractNumId w:val="4"/>
  </w:num>
  <w:num w:numId="18">
    <w:abstractNumId w:val="13"/>
  </w:num>
  <w:num w:numId="19">
    <w:abstractNumId w:val="9"/>
  </w:num>
  <w:num w:numId="20">
    <w:abstractNumId w:val="7"/>
  </w:num>
  <w:num w:numId="21">
    <w:abstractNumId w:val="6"/>
  </w:num>
  <w:num w:numId="22">
    <w:abstractNumId w:val="5"/>
  </w:num>
  <w:num w:numId="23">
    <w:abstractNumId w:val="31"/>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3"/>
  </w:num>
  <w:num w:numId="27">
    <w:abstractNumId w:val="23"/>
  </w:num>
  <w:num w:numId="28">
    <w:abstractNumId w:val="28"/>
  </w:num>
  <w:num w:numId="29">
    <w:abstractNumId w:val="14"/>
  </w:num>
  <w:num w:numId="30">
    <w:abstractNumId w:val="20"/>
  </w:num>
  <w:num w:numId="31">
    <w:abstractNumId w:val="18"/>
  </w:num>
  <w:num w:numId="32">
    <w:abstractNumId w:val="37"/>
  </w:num>
  <w:num w:numId="33">
    <w:abstractNumId w:val="26"/>
  </w:num>
  <w:num w:numId="34">
    <w:abstractNumId w:val="1"/>
  </w:num>
  <w:num w:numId="35">
    <w:abstractNumId w:val="12"/>
  </w:num>
  <w:num w:numId="36">
    <w:abstractNumId w:val="15"/>
  </w:num>
  <w:num w:numId="37">
    <w:abstractNumId w:val="8"/>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8D2"/>
    <w:rsid w:val="00002D92"/>
    <w:rsid w:val="00013D94"/>
    <w:rsid w:val="00022263"/>
    <w:rsid w:val="00026699"/>
    <w:rsid w:val="00035405"/>
    <w:rsid w:val="00046211"/>
    <w:rsid w:val="0004719F"/>
    <w:rsid w:val="00050040"/>
    <w:rsid w:val="000532DA"/>
    <w:rsid w:val="00057283"/>
    <w:rsid w:val="000612F8"/>
    <w:rsid w:val="00064BBE"/>
    <w:rsid w:val="000650BD"/>
    <w:rsid w:val="0007331F"/>
    <w:rsid w:val="000848A2"/>
    <w:rsid w:val="00084DDA"/>
    <w:rsid w:val="0008773A"/>
    <w:rsid w:val="000908CB"/>
    <w:rsid w:val="0009523E"/>
    <w:rsid w:val="000A1BCA"/>
    <w:rsid w:val="000A5278"/>
    <w:rsid w:val="000A6D94"/>
    <w:rsid w:val="000C35D5"/>
    <w:rsid w:val="000E1FA3"/>
    <w:rsid w:val="000F12E7"/>
    <w:rsid w:val="000F178B"/>
    <w:rsid w:val="000F2797"/>
    <w:rsid w:val="000F5B2F"/>
    <w:rsid w:val="00112855"/>
    <w:rsid w:val="00112B48"/>
    <w:rsid w:val="00115584"/>
    <w:rsid w:val="00116318"/>
    <w:rsid w:val="0011798A"/>
    <w:rsid w:val="0012091A"/>
    <w:rsid w:val="001227DC"/>
    <w:rsid w:val="00124621"/>
    <w:rsid w:val="0013195C"/>
    <w:rsid w:val="00152486"/>
    <w:rsid w:val="00160E4E"/>
    <w:rsid w:val="00165976"/>
    <w:rsid w:val="00172C85"/>
    <w:rsid w:val="00174600"/>
    <w:rsid w:val="001867BC"/>
    <w:rsid w:val="00193FBC"/>
    <w:rsid w:val="001A4FF0"/>
    <w:rsid w:val="001A5F5D"/>
    <w:rsid w:val="001B008F"/>
    <w:rsid w:val="001C670C"/>
    <w:rsid w:val="001D619D"/>
    <w:rsid w:val="001E07EC"/>
    <w:rsid w:val="001E3234"/>
    <w:rsid w:val="001F15FA"/>
    <w:rsid w:val="00220A30"/>
    <w:rsid w:val="002311BC"/>
    <w:rsid w:val="00243512"/>
    <w:rsid w:val="00243B37"/>
    <w:rsid w:val="00255113"/>
    <w:rsid w:val="002572C3"/>
    <w:rsid w:val="0026052D"/>
    <w:rsid w:val="002737A9"/>
    <w:rsid w:val="00275218"/>
    <w:rsid w:val="00275923"/>
    <w:rsid w:val="00276FB7"/>
    <w:rsid w:val="00282D3C"/>
    <w:rsid w:val="00287624"/>
    <w:rsid w:val="00295890"/>
    <w:rsid w:val="002A2957"/>
    <w:rsid w:val="002A47A6"/>
    <w:rsid w:val="002B7C86"/>
    <w:rsid w:val="002D5C73"/>
    <w:rsid w:val="002F3A24"/>
    <w:rsid w:val="00304FC8"/>
    <w:rsid w:val="0031314E"/>
    <w:rsid w:val="003140A3"/>
    <w:rsid w:val="00321644"/>
    <w:rsid w:val="00321D2D"/>
    <w:rsid w:val="003276C9"/>
    <w:rsid w:val="00340A7B"/>
    <w:rsid w:val="00341D04"/>
    <w:rsid w:val="00345E2C"/>
    <w:rsid w:val="00356AD1"/>
    <w:rsid w:val="00361D6F"/>
    <w:rsid w:val="00362E41"/>
    <w:rsid w:val="003757C0"/>
    <w:rsid w:val="00392372"/>
    <w:rsid w:val="0039716F"/>
    <w:rsid w:val="003B22A7"/>
    <w:rsid w:val="003C0016"/>
    <w:rsid w:val="003E6BD7"/>
    <w:rsid w:val="003F342D"/>
    <w:rsid w:val="003F6C09"/>
    <w:rsid w:val="00403685"/>
    <w:rsid w:val="00405456"/>
    <w:rsid w:val="0040718F"/>
    <w:rsid w:val="00420D7F"/>
    <w:rsid w:val="004210B6"/>
    <w:rsid w:val="0042199C"/>
    <w:rsid w:val="0042398C"/>
    <w:rsid w:val="00437061"/>
    <w:rsid w:val="00461A45"/>
    <w:rsid w:val="004748C0"/>
    <w:rsid w:val="00491F6B"/>
    <w:rsid w:val="00492CF2"/>
    <w:rsid w:val="00493676"/>
    <w:rsid w:val="004A0835"/>
    <w:rsid w:val="004A42DF"/>
    <w:rsid w:val="004A7FB7"/>
    <w:rsid w:val="004B6C59"/>
    <w:rsid w:val="004C3EEA"/>
    <w:rsid w:val="004D65F1"/>
    <w:rsid w:val="004D7A50"/>
    <w:rsid w:val="004D7B45"/>
    <w:rsid w:val="004E78C6"/>
    <w:rsid w:val="004F06E7"/>
    <w:rsid w:val="004F6F97"/>
    <w:rsid w:val="00501513"/>
    <w:rsid w:val="00522C6C"/>
    <w:rsid w:val="005260BD"/>
    <w:rsid w:val="005336CF"/>
    <w:rsid w:val="005442BA"/>
    <w:rsid w:val="005506E5"/>
    <w:rsid w:val="00553471"/>
    <w:rsid w:val="00553997"/>
    <w:rsid w:val="0056106E"/>
    <w:rsid w:val="00561359"/>
    <w:rsid w:val="005622B7"/>
    <w:rsid w:val="005758B4"/>
    <w:rsid w:val="0058506C"/>
    <w:rsid w:val="00585D95"/>
    <w:rsid w:val="005918D2"/>
    <w:rsid w:val="005A07EA"/>
    <w:rsid w:val="005A1751"/>
    <w:rsid w:val="005B0ABF"/>
    <w:rsid w:val="005B5B2C"/>
    <w:rsid w:val="005D07BB"/>
    <w:rsid w:val="005D6F90"/>
    <w:rsid w:val="005E55FA"/>
    <w:rsid w:val="005F3C4B"/>
    <w:rsid w:val="0060573C"/>
    <w:rsid w:val="006175F9"/>
    <w:rsid w:val="00620BAD"/>
    <w:rsid w:val="00627792"/>
    <w:rsid w:val="006312F5"/>
    <w:rsid w:val="00632D46"/>
    <w:rsid w:val="006337D6"/>
    <w:rsid w:val="0066047A"/>
    <w:rsid w:val="00673D5C"/>
    <w:rsid w:val="0067588F"/>
    <w:rsid w:val="00675FF8"/>
    <w:rsid w:val="00676704"/>
    <w:rsid w:val="00680AC0"/>
    <w:rsid w:val="00686773"/>
    <w:rsid w:val="00693926"/>
    <w:rsid w:val="006959DD"/>
    <w:rsid w:val="006A4880"/>
    <w:rsid w:val="006A5E59"/>
    <w:rsid w:val="006B5F6B"/>
    <w:rsid w:val="006B61D0"/>
    <w:rsid w:val="006C04C7"/>
    <w:rsid w:val="006C0E6C"/>
    <w:rsid w:val="006C5F89"/>
    <w:rsid w:val="00701FDB"/>
    <w:rsid w:val="00704BDC"/>
    <w:rsid w:val="007122CC"/>
    <w:rsid w:val="00712E4A"/>
    <w:rsid w:val="007136A2"/>
    <w:rsid w:val="00713989"/>
    <w:rsid w:val="007306A8"/>
    <w:rsid w:val="0073743F"/>
    <w:rsid w:val="0074039F"/>
    <w:rsid w:val="00740F95"/>
    <w:rsid w:val="00754759"/>
    <w:rsid w:val="007600B9"/>
    <w:rsid w:val="0077464B"/>
    <w:rsid w:val="00777285"/>
    <w:rsid w:val="00780F21"/>
    <w:rsid w:val="007824B3"/>
    <w:rsid w:val="00794EF9"/>
    <w:rsid w:val="00795849"/>
    <w:rsid w:val="00796BB7"/>
    <w:rsid w:val="007A0CEC"/>
    <w:rsid w:val="007A1C73"/>
    <w:rsid w:val="007A58BE"/>
    <w:rsid w:val="007B02BC"/>
    <w:rsid w:val="007B4044"/>
    <w:rsid w:val="007B74BC"/>
    <w:rsid w:val="007C2D69"/>
    <w:rsid w:val="007C4B9E"/>
    <w:rsid w:val="007D10F5"/>
    <w:rsid w:val="007D31BF"/>
    <w:rsid w:val="007D44A2"/>
    <w:rsid w:val="007F2B55"/>
    <w:rsid w:val="007F446B"/>
    <w:rsid w:val="007F4BF4"/>
    <w:rsid w:val="007F61C9"/>
    <w:rsid w:val="00801E23"/>
    <w:rsid w:val="0080232D"/>
    <w:rsid w:val="008044E6"/>
    <w:rsid w:val="00804B9F"/>
    <w:rsid w:val="008174AE"/>
    <w:rsid w:val="00863F79"/>
    <w:rsid w:val="008656F9"/>
    <w:rsid w:val="008744D6"/>
    <w:rsid w:val="0088639D"/>
    <w:rsid w:val="00886721"/>
    <w:rsid w:val="0088768C"/>
    <w:rsid w:val="008A07AE"/>
    <w:rsid w:val="008A5E08"/>
    <w:rsid w:val="008B3475"/>
    <w:rsid w:val="008B4BE3"/>
    <w:rsid w:val="008C1A16"/>
    <w:rsid w:val="008C3CFD"/>
    <w:rsid w:val="008C5263"/>
    <w:rsid w:val="008C664B"/>
    <w:rsid w:val="008D0013"/>
    <w:rsid w:val="008E36BC"/>
    <w:rsid w:val="008E4199"/>
    <w:rsid w:val="008E7B25"/>
    <w:rsid w:val="008F0782"/>
    <w:rsid w:val="008F0F04"/>
    <w:rsid w:val="008F0F2C"/>
    <w:rsid w:val="009071E6"/>
    <w:rsid w:val="00910365"/>
    <w:rsid w:val="00914619"/>
    <w:rsid w:val="00914A46"/>
    <w:rsid w:val="009207CB"/>
    <w:rsid w:val="009428D8"/>
    <w:rsid w:val="00944A44"/>
    <w:rsid w:val="00951584"/>
    <w:rsid w:val="00954509"/>
    <w:rsid w:val="0096655B"/>
    <w:rsid w:val="0098177C"/>
    <w:rsid w:val="0098339B"/>
    <w:rsid w:val="00983DD6"/>
    <w:rsid w:val="009A3085"/>
    <w:rsid w:val="009A38CF"/>
    <w:rsid w:val="009A650A"/>
    <w:rsid w:val="009E10D7"/>
    <w:rsid w:val="009E1258"/>
    <w:rsid w:val="009E4019"/>
    <w:rsid w:val="00A04CF0"/>
    <w:rsid w:val="00A0584E"/>
    <w:rsid w:val="00A07FA5"/>
    <w:rsid w:val="00A239D0"/>
    <w:rsid w:val="00A26D9F"/>
    <w:rsid w:val="00A37E8D"/>
    <w:rsid w:val="00A4626C"/>
    <w:rsid w:val="00A528E9"/>
    <w:rsid w:val="00A707CC"/>
    <w:rsid w:val="00AA45FF"/>
    <w:rsid w:val="00AB0237"/>
    <w:rsid w:val="00AB5BF5"/>
    <w:rsid w:val="00AB60AA"/>
    <w:rsid w:val="00AB6D4C"/>
    <w:rsid w:val="00AC6918"/>
    <w:rsid w:val="00AC77B7"/>
    <w:rsid w:val="00AE0EEA"/>
    <w:rsid w:val="00AF2AAE"/>
    <w:rsid w:val="00B03FF8"/>
    <w:rsid w:val="00B25773"/>
    <w:rsid w:val="00B304BF"/>
    <w:rsid w:val="00B40C4A"/>
    <w:rsid w:val="00B541A8"/>
    <w:rsid w:val="00B61D02"/>
    <w:rsid w:val="00B679F1"/>
    <w:rsid w:val="00B7358C"/>
    <w:rsid w:val="00B74034"/>
    <w:rsid w:val="00B92461"/>
    <w:rsid w:val="00B926AC"/>
    <w:rsid w:val="00BA2FD5"/>
    <w:rsid w:val="00BB2428"/>
    <w:rsid w:val="00BB742E"/>
    <w:rsid w:val="00BD2D5D"/>
    <w:rsid w:val="00BD5AEF"/>
    <w:rsid w:val="00BD657A"/>
    <w:rsid w:val="00BE5096"/>
    <w:rsid w:val="00BE7FF6"/>
    <w:rsid w:val="00BF20B1"/>
    <w:rsid w:val="00BF46C9"/>
    <w:rsid w:val="00BF53E8"/>
    <w:rsid w:val="00C01A6A"/>
    <w:rsid w:val="00C033B9"/>
    <w:rsid w:val="00C034F6"/>
    <w:rsid w:val="00C26E81"/>
    <w:rsid w:val="00C35B74"/>
    <w:rsid w:val="00C35BCB"/>
    <w:rsid w:val="00C4214C"/>
    <w:rsid w:val="00C448F1"/>
    <w:rsid w:val="00C46CD3"/>
    <w:rsid w:val="00C504F7"/>
    <w:rsid w:val="00C506B1"/>
    <w:rsid w:val="00C5175A"/>
    <w:rsid w:val="00C74734"/>
    <w:rsid w:val="00C81806"/>
    <w:rsid w:val="00C840C6"/>
    <w:rsid w:val="00C933E9"/>
    <w:rsid w:val="00C97D42"/>
    <w:rsid w:val="00CA2822"/>
    <w:rsid w:val="00CA47D2"/>
    <w:rsid w:val="00CB0069"/>
    <w:rsid w:val="00CC2A54"/>
    <w:rsid w:val="00CC6EA0"/>
    <w:rsid w:val="00CE2166"/>
    <w:rsid w:val="00CF37B7"/>
    <w:rsid w:val="00CF6CE7"/>
    <w:rsid w:val="00D04091"/>
    <w:rsid w:val="00D06D4F"/>
    <w:rsid w:val="00D15D93"/>
    <w:rsid w:val="00D205B6"/>
    <w:rsid w:val="00D221A5"/>
    <w:rsid w:val="00D40A09"/>
    <w:rsid w:val="00D440F7"/>
    <w:rsid w:val="00D47BA5"/>
    <w:rsid w:val="00D75EBB"/>
    <w:rsid w:val="00D8437C"/>
    <w:rsid w:val="00D85288"/>
    <w:rsid w:val="00D86030"/>
    <w:rsid w:val="00D96E5A"/>
    <w:rsid w:val="00DA7AAD"/>
    <w:rsid w:val="00DC11D8"/>
    <w:rsid w:val="00DD35A0"/>
    <w:rsid w:val="00DE7059"/>
    <w:rsid w:val="00DE7B4A"/>
    <w:rsid w:val="00DF2049"/>
    <w:rsid w:val="00DF2087"/>
    <w:rsid w:val="00DF61B1"/>
    <w:rsid w:val="00DF6B2E"/>
    <w:rsid w:val="00E0230E"/>
    <w:rsid w:val="00E0244C"/>
    <w:rsid w:val="00E05869"/>
    <w:rsid w:val="00E12AC0"/>
    <w:rsid w:val="00E34ADE"/>
    <w:rsid w:val="00E5124B"/>
    <w:rsid w:val="00E613F7"/>
    <w:rsid w:val="00E763E6"/>
    <w:rsid w:val="00E90B2B"/>
    <w:rsid w:val="00E91318"/>
    <w:rsid w:val="00EA28D0"/>
    <w:rsid w:val="00EA7C4B"/>
    <w:rsid w:val="00EB5752"/>
    <w:rsid w:val="00EB7CA6"/>
    <w:rsid w:val="00EC66CC"/>
    <w:rsid w:val="00ED181C"/>
    <w:rsid w:val="00ED4438"/>
    <w:rsid w:val="00ED50B5"/>
    <w:rsid w:val="00EE2274"/>
    <w:rsid w:val="00EE22A0"/>
    <w:rsid w:val="00EE2825"/>
    <w:rsid w:val="00EE56EF"/>
    <w:rsid w:val="00EF1428"/>
    <w:rsid w:val="00F0120A"/>
    <w:rsid w:val="00F12908"/>
    <w:rsid w:val="00F14605"/>
    <w:rsid w:val="00F175C8"/>
    <w:rsid w:val="00F24AE3"/>
    <w:rsid w:val="00F41701"/>
    <w:rsid w:val="00F82D20"/>
    <w:rsid w:val="00F869C2"/>
    <w:rsid w:val="00FA2DE5"/>
    <w:rsid w:val="00FB566B"/>
    <w:rsid w:val="00FC561A"/>
    <w:rsid w:val="00FC570B"/>
    <w:rsid w:val="00FD08A0"/>
    <w:rsid w:val="00FD4160"/>
    <w:rsid w:val="00FD7324"/>
    <w:rsid w:val="00FE3506"/>
    <w:rsid w:val="00FE5138"/>
    <w:rsid w:val="00FE67C1"/>
    <w:rsid w:val="00FF0FD4"/>
    <w:rsid w:val="00FF7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B8C112"/>
  <w15:chartTrackingRefBased/>
  <w15:docId w15:val="{28E25D52-B7CC-4BFD-8B0A-1FB3D923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8D2"/>
    <w:pPr>
      <w:spacing w:after="120" w:line="240" w:lineRule="auto"/>
      <w:jc w:val="both"/>
    </w:pPr>
    <w:rPr>
      <w:rFonts w:ascii="Times New Roman" w:hAnsi="Times New Roman"/>
      <w:sz w:val="24"/>
    </w:rPr>
  </w:style>
  <w:style w:type="paragraph" w:styleId="Heading1">
    <w:name w:val="heading 1"/>
    <w:basedOn w:val="Normal"/>
    <w:next w:val="Normal"/>
    <w:link w:val="Heading1Char1"/>
    <w:uiPriority w:val="9"/>
    <w:qFormat/>
    <w:rsid w:val="005918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Podnaslov 2"/>
    <w:basedOn w:val="Normal"/>
    <w:next w:val="Normal"/>
    <w:link w:val="Heading2Char"/>
    <w:uiPriority w:val="9"/>
    <w:unhideWhenUsed/>
    <w:qFormat/>
    <w:rsid w:val="005918D2"/>
    <w:pPr>
      <w:keepNext/>
      <w:keepLines/>
      <w:spacing w:before="40" w:after="0"/>
      <w:outlineLvl w:val="1"/>
    </w:pPr>
    <w:rPr>
      <w:rFonts w:ascii="Cambria" w:eastAsia="MS PGothic" w:hAnsi="Cambria" w:cs="Arial"/>
      <w:color w:val="404040"/>
      <w:sz w:val="28"/>
      <w:szCs w:val="28"/>
    </w:rPr>
  </w:style>
  <w:style w:type="paragraph" w:styleId="Heading3">
    <w:name w:val="heading 3"/>
    <w:basedOn w:val="Normal"/>
    <w:next w:val="Normal"/>
    <w:link w:val="Heading3Char"/>
    <w:unhideWhenUsed/>
    <w:qFormat/>
    <w:rsid w:val="005918D2"/>
    <w:pPr>
      <w:keepNext/>
      <w:keepLines/>
      <w:spacing w:before="40" w:after="0"/>
      <w:outlineLvl w:val="2"/>
    </w:pPr>
    <w:rPr>
      <w:rFonts w:ascii="Arial" w:eastAsia="MS PGothic" w:hAnsi="Arial" w:cs="Arial"/>
      <w:color w:val="000000"/>
      <w:szCs w:val="24"/>
    </w:rPr>
  </w:style>
  <w:style w:type="paragraph" w:styleId="Heading4">
    <w:name w:val="heading 4"/>
    <w:basedOn w:val="Normal"/>
    <w:next w:val="Normal"/>
    <w:link w:val="Heading4Char"/>
    <w:unhideWhenUsed/>
    <w:qFormat/>
    <w:rsid w:val="005918D2"/>
    <w:pPr>
      <w:keepNext/>
      <w:keepLines/>
      <w:spacing w:before="40" w:after="0"/>
      <w:outlineLvl w:val="3"/>
    </w:pPr>
    <w:rPr>
      <w:rFonts w:ascii="Arial" w:eastAsia="MS PGothic" w:hAnsi="Arial" w:cs="Arial"/>
    </w:rPr>
  </w:style>
  <w:style w:type="paragraph" w:styleId="Heading5">
    <w:name w:val="heading 5"/>
    <w:basedOn w:val="Normal"/>
    <w:next w:val="Normal"/>
    <w:link w:val="Heading5Char"/>
    <w:unhideWhenUsed/>
    <w:qFormat/>
    <w:rsid w:val="005918D2"/>
    <w:pPr>
      <w:keepNext/>
      <w:keepLines/>
      <w:spacing w:before="40" w:after="0"/>
      <w:outlineLvl w:val="4"/>
    </w:pPr>
    <w:rPr>
      <w:rFonts w:ascii="Arial" w:eastAsia="MS PGothic" w:hAnsi="Arial" w:cs="Arial"/>
      <w:color w:val="000000"/>
    </w:rPr>
  </w:style>
  <w:style w:type="paragraph" w:styleId="Heading6">
    <w:name w:val="heading 6"/>
    <w:basedOn w:val="Normal"/>
    <w:next w:val="Normal"/>
    <w:link w:val="Heading6Char"/>
    <w:unhideWhenUsed/>
    <w:qFormat/>
    <w:rsid w:val="005918D2"/>
    <w:pPr>
      <w:keepNext/>
      <w:keepLines/>
      <w:spacing w:before="40" w:after="0"/>
      <w:outlineLvl w:val="5"/>
    </w:pPr>
    <w:rPr>
      <w:rFonts w:ascii="Arial" w:eastAsia="MS PGothic" w:hAnsi="Arial" w:cs="Arial"/>
      <w:i/>
      <w:iCs/>
      <w:color w:val="000000"/>
      <w:sz w:val="21"/>
      <w:szCs w:val="21"/>
    </w:rPr>
  </w:style>
  <w:style w:type="paragraph" w:styleId="Heading7">
    <w:name w:val="heading 7"/>
    <w:basedOn w:val="Normal"/>
    <w:next w:val="Normal"/>
    <w:link w:val="Heading7Char"/>
    <w:uiPriority w:val="9"/>
    <w:semiHidden/>
    <w:unhideWhenUsed/>
    <w:qFormat/>
    <w:rsid w:val="005918D2"/>
    <w:pPr>
      <w:keepNext/>
      <w:keepLines/>
      <w:spacing w:before="40" w:after="0"/>
      <w:outlineLvl w:val="6"/>
    </w:pPr>
    <w:rPr>
      <w:rFonts w:ascii="Arial" w:eastAsia="MS PGothic" w:hAnsi="Arial" w:cs="Arial"/>
      <w:i/>
      <w:iCs/>
      <w:color w:val="7F1D09"/>
      <w:sz w:val="21"/>
      <w:szCs w:val="21"/>
    </w:rPr>
  </w:style>
  <w:style w:type="paragraph" w:styleId="Heading8">
    <w:name w:val="heading 8"/>
    <w:basedOn w:val="Normal"/>
    <w:next w:val="Normal"/>
    <w:link w:val="Heading8Char"/>
    <w:uiPriority w:val="9"/>
    <w:semiHidden/>
    <w:unhideWhenUsed/>
    <w:qFormat/>
    <w:rsid w:val="005918D2"/>
    <w:pPr>
      <w:keepNext/>
      <w:keepLines/>
      <w:spacing w:before="40" w:after="0"/>
      <w:outlineLvl w:val="7"/>
    </w:pPr>
    <w:rPr>
      <w:rFonts w:ascii="Arial" w:eastAsia="MS PGothic" w:hAnsi="Arial" w:cs="Arial"/>
      <w:b/>
      <w:bCs/>
      <w:color w:val="000000"/>
    </w:rPr>
  </w:style>
  <w:style w:type="paragraph" w:styleId="Heading9">
    <w:name w:val="heading 9"/>
    <w:basedOn w:val="Normal"/>
    <w:next w:val="Normal"/>
    <w:link w:val="Heading9Char"/>
    <w:uiPriority w:val="9"/>
    <w:semiHidden/>
    <w:unhideWhenUsed/>
    <w:qFormat/>
    <w:rsid w:val="005918D2"/>
    <w:pPr>
      <w:keepNext/>
      <w:keepLines/>
      <w:spacing w:before="40" w:after="0"/>
      <w:outlineLvl w:val="8"/>
    </w:pPr>
    <w:rPr>
      <w:rFonts w:ascii="Arial" w:eastAsia="MS PGothic" w:hAnsi="Arial" w:cs="Arial"/>
      <w:b/>
      <w:bCs/>
      <w:i/>
      <w:iCs/>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1"/>
    <w:uiPriority w:val="9"/>
    <w:rsid w:val="005918D2"/>
    <w:rPr>
      <w:rFonts w:asciiTheme="majorHAnsi" w:eastAsiaTheme="majorEastAsia" w:hAnsiTheme="majorHAnsi" w:cstheme="majorBidi"/>
      <w:color w:val="2E74B5" w:themeColor="accent1" w:themeShade="BF"/>
      <w:sz w:val="32"/>
      <w:szCs w:val="32"/>
    </w:rPr>
  </w:style>
  <w:style w:type="character" w:customStyle="1" w:styleId="Heading2Char">
    <w:name w:val="Heading 2 Char"/>
    <w:aliases w:val="Podnaslov 2 Char"/>
    <w:basedOn w:val="DefaultParagraphFont"/>
    <w:link w:val="Heading2"/>
    <w:uiPriority w:val="9"/>
    <w:rsid w:val="005918D2"/>
    <w:rPr>
      <w:rFonts w:ascii="Cambria" w:eastAsia="MS PGothic" w:hAnsi="Cambria" w:cs="Arial"/>
      <w:color w:val="404040"/>
      <w:sz w:val="28"/>
      <w:szCs w:val="28"/>
    </w:rPr>
  </w:style>
  <w:style w:type="character" w:customStyle="1" w:styleId="Heading3Char">
    <w:name w:val="Heading 3 Char"/>
    <w:basedOn w:val="DefaultParagraphFont"/>
    <w:link w:val="Heading3"/>
    <w:rsid w:val="005918D2"/>
    <w:rPr>
      <w:rFonts w:ascii="Arial" w:eastAsia="MS PGothic" w:hAnsi="Arial" w:cs="Arial"/>
      <w:color w:val="000000"/>
      <w:sz w:val="24"/>
      <w:szCs w:val="24"/>
    </w:rPr>
  </w:style>
  <w:style w:type="character" w:customStyle="1" w:styleId="Heading4Char">
    <w:name w:val="Heading 4 Char"/>
    <w:basedOn w:val="DefaultParagraphFont"/>
    <w:link w:val="Heading4"/>
    <w:rsid w:val="005918D2"/>
    <w:rPr>
      <w:rFonts w:ascii="Arial" w:eastAsia="MS PGothic" w:hAnsi="Arial" w:cs="Arial"/>
      <w:sz w:val="24"/>
    </w:rPr>
  </w:style>
  <w:style w:type="character" w:customStyle="1" w:styleId="Heading5Char">
    <w:name w:val="Heading 5 Char"/>
    <w:basedOn w:val="DefaultParagraphFont"/>
    <w:link w:val="Heading5"/>
    <w:rsid w:val="005918D2"/>
    <w:rPr>
      <w:rFonts w:ascii="Arial" w:eastAsia="MS PGothic" w:hAnsi="Arial" w:cs="Arial"/>
      <w:color w:val="000000"/>
      <w:sz w:val="24"/>
    </w:rPr>
  </w:style>
  <w:style w:type="character" w:customStyle="1" w:styleId="Heading6Char">
    <w:name w:val="Heading 6 Char"/>
    <w:basedOn w:val="DefaultParagraphFont"/>
    <w:link w:val="Heading6"/>
    <w:rsid w:val="005918D2"/>
    <w:rPr>
      <w:rFonts w:ascii="Arial" w:eastAsia="MS PGothic" w:hAnsi="Arial" w:cs="Arial"/>
      <w:i/>
      <w:iCs/>
      <w:color w:val="000000"/>
      <w:sz w:val="21"/>
      <w:szCs w:val="21"/>
    </w:rPr>
  </w:style>
  <w:style w:type="character" w:customStyle="1" w:styleId="Heading7Char">
    <w:name w:val="Heading 7 Char"/>
    <w:basedOn w:val="DefaultParagraphFont"/>
    <w:link w:val="Heading7"/>
    <w:uiPriority w:val="9"/>
    <w:semiHidden/>
    <w:rsid w:val="005918D2"/>
    <w:rPr>
      <w:rFonts w:ascii="Arial" w:eastAsia="MS PGothic" w:hAnsi="Arial" w:cs="Arial"/>
      <w:i/>
      <w:iCs/>
      <w:color w:val="7F1D09"/>
      <w:sz w:val="21"/>
      <w:szCs w:val="21"/>
    </w:rPr>
  </w:style>
  <w:style w:type="character" w:customStyle="1" w:styleId="Heading8Char">
    <w:name w:val="Heading 8 Char"/>
    <w:basedOn w:val="DefaultParagraphFont"/>
    <w:link w:val="Heading8"/>
    <w:uiPriority w:val="9"/>
    <w:semiHidden/>
    <w:rsid w:val="005918D2"/>
    <w:rPr>
      <w:rFonts w:ascii="Arial" w:eastAsia="MS PGothic" w:hAnsi="Arial" w:cs="Arial"/>
      <w:b/>
      <w:bCs/>
      <w:color w:val="000000"/>
      <w:sz w:val="24"/>
    </w:rPr>
  </w:style>
  <w:style w:type="character" w:customStyle="1" w:styleId="Heading9Char">
    <w:name w:val="Heading 9 Char"/>
    <w:basedOn w:val="DefaultParagraphFont"/>
    <w:link w:val="Heading9"/>
    <w:uiPriority w:val="9"/>
    <w:semiHidden/>
    <w:rsid w:val="005918D2"/>
    <w:rPr>
      <w:rFonts w:ascii="Arial" w:eastAsia="MS PGothic" w:hAnsi="Arial" w:cs="Arial"/>
      <w:b/>
      <w:bCs/>
      <w:i/>
      <w:iCs/>
      <w:color w:val="000000"/>
      <w:sz w:val="24"/>
    </w:rPr>
  </w:style>
  <w:style w:type="paragraph" w:customStyle="1" w:styleId="Heading11">
    <w:name w:val="Heading 11"/>
    <w:basedOn w:val="Normal"/>
    <w:next w:val="Normal"/>
    <w:link w:val="Heading1Char"/>
    <w:uiPriority w:val="9"/>
    <w:qFormat/>
    <w:rsid w:val="005918D2"/>
    <w:pPr>
      <w:keepNext/>
      <w:keepLines/>
      <w:spacing w:before="320" w:after="0"/>
      <w:outlineLvl w:val="0"/>
    </w:pPr>
    <w:rPr>
      <w:rFonts w:asciiTheme="majorHAnsi" w:eastAsiaTheme="majorEastAsia" w:hAnsiTheme="majorHAnsi" w:cstheme="majorBidi"/>
      <w:color w:val="2E74B5" w:themeColor="accent1" w:themeShade="BF"/>
      <w:sz w:val="32"/>
      <w:szCs w:val="32"/>
    </w:rPr>
  </w:style>
  <w:style w:type="paragraph" w:customStyle="1" w:styleId="Heading21">
    <w:name w:val="Heading 21"/>
    <w:basedOn w:val="Normal"/>
    <w:next w:val="Normal"/>
    <w:uiPriority w:val="9"/>
    <w:unhideWhenUsed/>
    <w:qFormat/>
    <w:rsid w:val="005918D2"/>
    <w:pPr>
      <w:keepNext/>
      <w:keepLines/>
      <w:spacing w:before="80" w:after="0"/>
      <w:outlineLvl w:val="1"/>
    </w:pPr>
    <w:rPr>
      <w:rFonts w:ascii="Cambria" w:eastAsia="MS PGothic" w:hAnsi="Cambria" w:cs="Arial"/>
      <w:color w:val="404040"/>
      <w:sz w:val="28"/>
      <w:szCs w:val="28"/>
      <w:lang w:eastAsia="ja-JP"/>
    </w:rPr>
  </w:style>
  <w:style w:type="paragraph" w:customStyle="1" w:styleId="Heading31">
    <w:name w:val="Heading 31"/>
    <w:basedOn w:val="Normal"/>
    <w:next w:val="Normal"/>
    <w:uiPriority w:val="9"/>
    <w:unhideWhenUsed/>
    <w:qFormat/>
    <w:rsid w:val="005918D2"/>
    <w:pPr>
      <w:keepNext/>
      <w:keepLines/>
      <w:spacing w:before="40" w:after="0"/>
      <w:outlineLvl w:val="2"/>
    </w:pPr>
    <w:rPr>
      <w:rFonts w:ascii="Arial" w:eastAsia="MS PGothic" w:hAnsi="Arial" w:cs="Arial"/>
      <w:color w:val="000000"/>
      <w:szCs w:val="24"/>
      <w:lang w:eastAsia="ja-JP"/>
    </w:rPr>
  </w:style>
  <w:style w:type="paragraph" w:customStyle="1" w:styleId="Heading41">
    <w:name w:val="Heading 41"/>
    <w:basedOn w:val="Normal"/>
    <w:next w:val="Normal"/>
    <w:uiPriority w:val="9"/>
    <w:unhideWhenUsed/>
    <w:qFormat/>
    <w:rsid w:val="005918D2"/>
    <w:pPr>
      <w:keepNext/>
      <w:keepLines/>
      <w:spacing w:before="40" w:after="0" w:line="264" w:lineRule="auto"/>
      <w:outlineLvl w:val="3"/>
    </w:pPr>
    <w:rPr>
      <w:rFonts w:ascii="Arial" w:eastAsia="MS PGothic" w:hAnsi="Arial" w:cs="Arial"/>
      <w:lang w:eastAsia="ja-JP"/>
    </w:rPr>
  </w:style>
  <w:style w:type="paragraph" w:customStyle="1" w:styleId="Heading51">
    <w:name w:val="Heading 51"/>
    <w:basedOn w:val="Normal"/>
    <w:next w:val="Normal"/>
    <w:uiPriority w:val="9"/>
    <w:semiHidden/>
    <w:unhideWhenUsed/>
    <w:qFormat/>
    <w:rsid w:val="005918D2"/>
    <w:pPr>
      <w:keepNext/>
      <w:keepLines/>
      <w:spacing w:before="40" w:after="0" w:line="264" w:lineRule="auto"/>
      <w:outlineLvl w:val="4"/>
    </w:pPr>
    <w:rPr>
      <w:rFonts w:ascii="Arial" w:eastAsia="MS PGothic" w:hAnsi="Arial" w:cs="Arial"/>
      <w:color w:val="000000"/>
      <w:lang w:eastAsia="ja-JP"/>
    </w:rPr>
  </w:style>
  <w:style w:type="paragraph" w:customStyle="1" w:styleId="Heading61">
    <w:name w:val="Heading 61"/>
    <w:basedOn w:val="Normal"/>
    <w:next w:val="Normal"/>
    <w:uiPriority w:val="9"/>
    <w:semiHidden/>
    <w:unhideWhenUsed/>
    <w:qFormat/>
    <w:rsid w:val="005918D2"/>
    <w:pPr>
      <w:keepNext/>
      <w:keepLines/>
      <w:spacing w:before="40" w:after="0" w:line="264" w:lineRule="auto"/>
      <w:outlineLvl w:val="5"/>
    </w:pPr>
    <w:rPr>
      <w:rFonts w:ascii="Arial" w:eastAsia="MS PGothic" w:hAnsi="Arial" w:cs="Arial"/>
      <w:i/>
      <w:iCs/>
      <w:color w:val="000000"/>
      <w:sz w:val="21"/>
      <w:szCs w:val="21"/>
      <w:lang w:eastAsia="ja-JP"/>
    </w:rPr>
  </w:style>
  <w:style w:type="paragraph" w:customStyle="1" w:styleId="Heading71">
    <w:name w:val="Heading 71"/>
    <w:basedOn w:val="Normal"/>
    <w:next w:val="Normal"/>
    <w:uiPriority w:val="9"/>
    <w:semiHidden/>
    <w:unhideWhenUsed/>
    <w:qFormat/>
    <w:rsid w:val="005918D2"/>
    <w:pPr>
      <w:keepNext/>
      <w:keepLines/>
      <w:spacing w:before="40" w:after="0" w:line="264" w:lineRule="auto"/>
      <w:outlineLvl w:val="6"/>
    </w:pPr>
    <w:rPr>
      <w:rFonts w:ascii="Arial" w:eastAsia="MS PGothic" w:hAnsi="Arial" w:cs="Arial"/>
      <w:i/>
      <w:iCs/>
      <w:color w:val="7F1D09"/>
      <w:sz w:val="21"/>
      <w:szCs w:val="21"/>
      <w:lang w:eastAsia="ja-JP"/>
    </w:rPr>
  </w:style>
  <w:style w:type="paragraph" w:customStyle="1" w:styleId="Heading81">
    <w:name w:val="Heading 81"/>
    <w:basedOn w:val="Normal"/>
    <w:next w:val="Normal"/>
    <w:uiPriority w:val="9"/>
    <w:semiHidden/>
    <w:unhideWhenUsed/>
    <w:qFormat/>
    <w:rsid w:val="005918D2"/>
    <w:pPr>
      <w:keepNext/>
      <w:keepLines/>
      <w:spacing w:before="40" w:after="0" w:line="264" w:lineRule="auto"/>
      <w:outlineLvl w:val="7"/>
    </w:pPr>
    <w:rPr>
      <w:rFonts w:ascii="Arial" w:eastAsia="MS PGothic" w:hAnsi="Arial" w:cs="Arial"/>
      <w:b/>
      <w:bCs/>
      <w:color w:val="000000"/>
      <w:sz w:val="20"/>
      <w:szCs w:val="20"/>
      <w:lang w:eastAsia="ja-JP"/>
    </w:rPr>
  </w:style>
  <w:style w:type="paragraph" w:customStyle="1" w:styleId="Heading91">
    <w:name w:val="Heading 91"/>
    <w:basedOn w:val="Normal"/>
    <w:next w:val="Normal"/>
    <w:uiPriority w:val="9"/>
    <w:semiHidden/>
    <w:unhideWhenUsed/>
    <w:qFormat/>
    <w:rsid w:val="005918D2"/>
    <w:pPr>
      <w:keepNext/>
      <w:keepLines/>
      <w:spacing w:before="40" w:after="0" w:line="264" w:lineRule="auto"/>
      <w:outlineLvl w:val="8"/>
    </w:pPr>
    <w:rPr>
      <w:rFonts w:ascii="Arial" w:eastAsia="MS PGothic" w:hAnsi="Arial" w:cs="Arial"/>
      <w:b/>
      <w:bCs/>
      <w:i/>
      <w:iCs/>
      <w:color w:val="000000"/>
      <w:sz w:val="20"/>
      <w:szCs w:val="20"/>
      <w:lang w:eastAsia="ja-JP"/>
    </w:rPr>
  </w:style>
  <w:style w:type="numbering" w:customStyle="1" w:styleId="NoList1">
    <w:name w:val="No List1"/>
    <w:next w:val="NoList"/>
    <w:uiPriority w:val="99"/>
    <w:semiHidden/>
    <w:unhideWhenUsed/>
    <w:rsid w:val="005918D2"/>
  </w:style>
  <w:style w:type="paragraph" w:customStyle="1" w:styleId="Footer1">
    <w:name w:val="Footer1"/>
    <w:basedOn w:val="Normal"/>
    <w:next w:val="Footer"/>
    <w:link w:val="FooterChar"/>
    <w:uiPriority w:val="99"/>
    <w:unhideWhenUsed/>
    <w:rsid w:val="005918D2"/>
    <w:pPr>
      <w:spacing w:after="0" w:line="264" w:lineRule="auto"/>
      <w:ind w:left="29" w:right="144"/>
    </w:pPr>
    <w:rPr>
      <w:color w:val="EF4623"/>
    </w:rPr>
  </w:style>
  <w:style w:type="character" w:customStyle="1" w:styleId="FooterChar">
    <w:name w:val="Footer Char"/>
    <w:basedOn w:val="DefaultParagraphFont"/>
    <w:link w:val="Footer1"/>
    <w:uiPriority w:val="99"/>
    <w:rsid w:val="005918D2"/>
    <w:rPr>
      <w:rFonts w:ascii="Times New Roman" w:hAnsi="Times New Roman"/>
      <w:color w:val="EF4623"/>
      <w:sz w:val="24"/>
    </w:rPr>
  </w:style>
  <w:style w:type="paragraph" w:customStyle="1" w:styleId="Subtitle1">
    <w:name w:val="Subtitle1"/>
    <w:basedOn w:val="Normal"/>
    <w:next w:val="Normal"/>
    <w:uiPriority w:val="11"/>
    <w:qFormat/>
    <w:rsid w:val="005918D2"/>
    <w:pPr>
      <w:numPr>
        <w:ilvl w:val="1"/>
      </w:numPr>
    </w:pPr>
    <w:rPr>
      <w:rFonts w:ascii="Arial" w:eastAsia="MS PGothic" w:hAnsi="Arial" w:cs="Arial"/>
      <w:szCs w:val="24"/>
      <w:lang w:eastAsia="ja-JP"/>
    </w:rPr>
  </w:style>
  <w:style w:type="paragraph" w:customStyle="1" w:styleId="Graphic">
    <w:name w:val="Graphic"/>
    <w:basedOn w:val="Normal"/>
    <w:uiPriority w:val="99"/>
    <w:rsid w:val="005918D2"/>
    <w:pPr>
      <w:spacing w:line="264" w:lineRule="auto"/>
      <w:jc w:val="center"/>
    </w:pPr>
    <w:rPr>
      <w:rFonts w:eastAsia="MS PGothic"/>
      <w:sz w:val="20"/>
      <w:szCs w:val="20"/>
      <w:lang w:eastAsia="ja-JP"/>
    </w:rPr>
  </w:style>
  <w:style w:type="paragraph" w:styleId="Header">
    <w:name w:val="header"/>
    <w:basedOn w:val="Normal"/>
    <w:link w:val="HeaderChar"/>
    <w:uiPriority w:val="99"/>
    <w:rsid w:val="005918D2"/>
    <w:pPr>
      <w:spacing w:after="380" w:line="264" w:lineRule="auto"/>
    </w:pPr>
    <w:rPr>
      <w:rFonts w:eastAsia="MS PGothic"/>
      <w:sz w:val="20"/>
      <w:szCs w:val="20"/>
      <w:lang w:eastAsia="ja-JP"/>
    </w:rPr>
  </w:style>
  <w:style w:type="character" w:customStyle="1" w:styleId="HeaderChar">
    <w:name w:val="Header Char"/>
    <w:basedOn w:val="DefaultParagraphFont"/>
    <w:link w:val="Header"/>
    <w:uiPriority w:val="99"/>
    <w:rsid w:val="005918D2"/>
    <w:rPr>
      <w:rFonts w:ascii="Times New Roman" w:eastAsia="MS PGothic" w:hAnsi="Times New Roman"/>
      <w:sz w:val="20"/>
      <w:szCs w:val="20"/>
      <w:lang w:eastAsia="ja-JP"/>
    </w:rPr>
  </w:style>
  <w:style w:type="table" w:styleId="TableGrid">
    <w:name w:val="Table Grid"/>
    <w:basedOn w:val="TableNormal"/>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InfoHeading">
    <w:name w:val="Info Heading"/>
    <w:basedOn w:val="Normal"/>
    <w:uiPriority w:val="2"/>
    <w:rsid w:val="005918D2"/>
    <w:pPr>
      <w:spacing w:after="60" w:line="264" w:lineRule="auto"/>
      <w:ind w:left="29" w:right="29"/>
      <w:jc w:val="right"/>
    </w:pPr>
    <w:rPr>
      <w:rFonts w:eastAsia="MS PGothic"/>
      <w:b/>
      <w:bCs/>
      <w:color w:val="EF4623"/>
      <w:sz w:val="36"/>
      <w:szCs w:val="20"/>
      <w:lang w:eastAsia="ja-JP"/>
    </w:rPr>
  </w:style>
  <w:style w:type="paragraph" w:customStyle="1" w:styleId="Page">
    <w:name w:val="Page"/>
    <w:basedOn w:val="Normal"/>
    <w:next w:val="Normal"/>
    <w:uiPriority w:val="99"/>
    <w:unhideWhenUsed/>
    <w:rsid w:val="005918D2"/>
    <w:pPr>
      <w:spacing w:after="40" w:line="264" w:lineRule="auto"/>
    </w:pPr>
    <w:rPr>
      <w:rFonts w:eastAsia="MS PGothic"/>
      <w:noProof/>
      <w:color w:val="000000"/>
      <w:sz w:val="36"/>
      <w:szCs w:val="20"/>
      <w:lang w:eastAsia="ja-JP"/>
    </w:rPr>
  </w:style>
  <w:style w:type="paragraph" w:customStyle="1" w:styleId="Title1">
    <w:name w:val="Title1"/>
    <w:basedOn w:val="Normal"/>
    <w:next w:val="Normal"/>
    <w:uiPriority w:val="10"/>
    <w:qFormat/>
    <w:rsid w:val="005918D2"/>
    <w:pPr>
      <w:spacing w:after="0"/>
      <w:contextualSpacing/>
    </w:pPr>
    <w:rPr>
      <w:rFonts w:ascii="Arial" w:eastAsia="MS PGothic" w:hAnsi="Arial" w:cs="Arial"/>
      <w:color w:val="EF4623"/>
      <w:spacing w:val="-10"/>
      <w:sz w:val="56"/>
      <w:szCs w:val="56"/>
      <w:lang w:eastAsia="ja-JP"/>
    </w:rPr>
  </w:style>
  <w:style w:type="character" w:customStyle="1" w:styleId="TitleChar">
    <w:name w:val="Title Char"/>
    <w:basedOn w:val="DefaultParagraphFont"/>
    <w:link w:val="Title"/>
    <w:rsid w:val="005918D2"/>
    <w:rPr>
      <w:rFonts w:ascii="Arial" w:eastAsia="MS PGothic" w:hAnsi="Arial" w:cs="Arial"/>
      <w:color w:val="EF4623"/>
      <w:spacing w:val="-10"/>
      <w:sz w:val="56"/>
      <w:szCs w:val="56"/>
    </w:rPr>
  </w:style>
  <w:style w:type="character" w:styleId="PlaceholderText">
    <w:name w:val="Placeholder Text"/>
    <w:basedOn w:val="DefaultParagraphFont"/>
    <w:uiPriority w:val="99"/>
    <w:semiHidden/>
    <w:rsid w:val="005918D2"/>
    <w:rPr>
      <w:color w:val="808080"/>
    </w:rPr>
  </w:style>
  <w:style w:type="paragraph" w:styleId="BalloonText">
    <w:name w:val="Balloon Text"/>
    <w:basedOn w:val="Normal"/>
    <w:link w:val="BalloonTextChar"/>
    <w:uiPriority w:val="99"/>
    <w:unhideWhenUsed/>
    <w:rsid w:val="005918D2"/>
    <w:pPr>
      <w:spacing w:after="0" w:line="264" w:lineRule="auto"/>
    </w:pPr>
    <w:rPr>
      <w:rFonts w:ascii="Tahoma" w:eastAsia="MS PGothic" w:hAnsi="Tahoma" w:cs="Tahoma"/>
      <w:sz w:val="16"/>
      <w:szCs w:val="20"/>
      <w:lang w:eastAsia="ja-JP"/>
    </w:rPr>
  </w:style>
  <w:style w:type="character" w:customStyle="1" w:styleId="BalloonTextChar">
    <w:name w:val="Balloon Text Char"/>
    <w:basedOn w:val="DefaultParagraphFont"/>
    <w:link w:val="BalloonText"/>
    <w:uiPriority w:val="99"/>
    <w:rsid w:val="005918D2"/>
    <w:rPr>
      <w:rFonts w:ascii="Tahoma" w:eastAsia="MS PGothic" w:hAnsi="Tahoma" w:cs="Tahoma"/>
      <w:sz w:val="16"/>
      <w:szCs w:val="20"/>
      <w:lang w:eastAsia="ja-JP"/>
    </w:rPr>
  </w:style>
  <w:style w:type="character" w:styleId="Strong">
    <w:name w:val="Strong"/>
    <w:basedOn w:val="DefaultParagraphFont"/>
    <w:uiPriority w:val="22"/>
    <w:qFormat/>
    <w:rsid w:val="005918D2"/>
    <w:rPr>
      <w:b/>
      <w:bCs/>
    </w:rPr>
  </w:style>
  <w:style w:type="character" w:customStyle="1" w:styleId="SubtitleChar">
    <w:name w:val="Subtitle Char"/>
    <w:basedOn w:val="DefaultParagraphFont"/>
    <w:link w:val="Subtitle"/>
    <w:rsid w:val="005918D2"/>
    <w:rPr>
      <w:rFonts w:ascii="Arial" w:eastAsia="MS PGothic" w:hAnsi="Arial" w:cs="Arial"/>
      <w:sz w:val="24"/>
      <w:szCs w:val="24"/>
    </w:rPr>
  </w:style>
  <w:style w:type="paragraph" w:customStyle="1" w:styleId="Abstract">
    <w:name w:val="Abstract"/>
    <w:basedOn w:val="Normal"/>
    <w:uiPriority w:val="3"/>
    <w:rsid w:val="005918D2"/>
    <w:pPr>
      <w:spacing w:before="360" w:after="480" w:line="360" w:lineRule="auto"/>
    </w:pPr>
    <w:rPr>
      <w:rFonts w:eastAsia="MS PGothic"/>
      <w:i/>
      <w:iCs/>
      <w:color w:val="EF4623"/>
      <w:kern w:val="20"/>
      <w:sz w:val="28"/>
      <w:szCs w:val="20"/>
      <w:lang w:eastAsia="ja-JP"/>
    </w:rPr>
  </w:style>
  <w:style w:type="paragraph" w:styleId="NoSpacing">
    <w:name w:val="No Spacing"/>
    <w:aliases w:val="Uvodna rečenica"/>
    <w:link w:val="NoSpacingChar"/>
    <w:uiPriority w:val="1"/>
    <w:qFormat/>
    <w:rsid w:val="005918D2"/>
    <w:pPr>
      <w:spacing w:after="0" w:line="240" w:lineRule="auto"/>
    </w:pPr>
    <w:rPr>
      <w:rFonts w:eastAsia="MS PGothic"/>
      <w:sz w:val="20"/>
      <w:szCs w:val="20"/>
      <w:lang w:eastAsia="ja-JP"/>
    </w:rPr>
  </w:style>
  <w:style w:type="character" w:customStyle="1" w:styleId="Hyperlink1">
    <w:name w:val="Hyperlink1"/>
    <w:basedOn w:val="DefaultParagraphFont"/>
    <w:uiPriority w:val="99"/>
    <w:unhideWhenUsed/>
    <w:rsid w:val="005918D2"/>
    <w:rPr>
      <w:color w:val="5F5F5F"/>
      <w:u w:val="single"/>
    </w:rPr>
  </w:style>
  <w:style w:type="paragraph" w:styleId="TOC1">
    <w:name w:val="toc 1"/>
    <w:basedOn w:val="Normal"/>
    <w:next w:val="Normal"/>
    <w:autoRedefine/>
    <w:uiPriority w:val="39"/>
    <w:unhideWhenUsed/>
    <w:qFormat/>
    <w:rsid w:val="005918D2"/>
    <w:pPr>
      <w:tabs>
        <w:tab w:val="left" w:pos="400"/>
        <w:tab w:val="right" w:leader="underscore" w:pos="8424"/>
      </w:tabs>
      <w:spacing w:before="40" w:after="100" w:line="288" w:lineRule="auto"/>
    </w:pPr>
    <w:rPr>
      <w:rFonts w:eastAsia="MS PGothic"/>
      <w:noProof/>
      <w:kern w:val="20"/>
      <w:sz w:val="20"/>
      <w:szCs w:val="20"/>
      <w:lang w:eastAsia="ja-JP"/>
    </w:rPr>
  </w:style>
  <w:style w:type="character" w:customStyle="1" w:styleId="Heading1Char1">
    <w:name w:val="Heading 1 Char1"/>
    <w:basedOn w:val="DefaultParagraphFont"/>
    <w:link w:val="Heading1"/>
    <w:uiPriority w:val="9"/>
    <w:rsid w:val="005918D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918D2"/>
    <w:pPr>
      <w:spacing w:before="320"/>
      <w:outlineLvl w:val="9"/>
    </w:pPr>
    <w:rPr>
      <w:lang w:eastAsia="ja-JP"/>
    </w:rPr>
  </w:style>
  <w:style w:type="paragraph" w:customStyle="1" w:styleId="Quote1">
    <w:name w:val="Quote1"/>
    <w:basedOn w:val="Normal"/>
    <w:next w:val="Normal"/>
    <w:uiPriority w:val="29"/>
    <w:qFormat/>
    <w:rsid w:val="005918D2"/>
    <w:pPr>
      <w:spacing w:before="160" w:line="264" w:lineRule="auto"/>
      <w:ind w:left="720" w:right="720"/>
    </w:pPr>
    <w:rPr>
      <w:rFonts w:eastAsia="MS PGothic"/>
      <w:i/>
      <w:iCs/>
      <w:color w:val="404040"/>
      <w:sz w:val="20"/>
      <w:szCs w:val="20"/>
      <w:lang w:eastAsia="ja-JP"/>
    </w:rPr>
  </w:style>
  <w:style w:type="character" w:customStyle="1" w:styleId="QuoteChar">
    <w:name w:val="Quote Char"/>
    <w:basedOn w:val="DefaultParagraphFont"/>
    <w:link w:val="Quote"/>
    <w:uiPriority w:val="29"/>
    <w:rsid w:val="005918D2"/>
    <w:rPr>
      <w:i/>
      <w:iCs/>
      <w:color w:val="404040"/>
    </w:rPr>
  </w:style>
  <w:style w:type="paragraph" w:customStyle="1" w:styleId="Signature1">
    <w:name w:val="Signature1"/>
    <w:basedOn w:val="Normal"/>
    <w:next w:val="Signature"/>
    <w:link w:val="SignatureChar"/>
    <w:uiPriority w:val="9"/>
    <w:unhideWhenUsed/>
    <w:rsid w:val="005918D2"/>
    <w:pPr>
      <w:spacing w:before="720" w:after="0" w:line="312" w:lineRule="auto"/>
      <w:contextualSpacing/>
    </w:pPr>
    <w:rPr>
      <w:color w:val="595959"/>
      <w:kern w:val="20"/>
    </w:rPr>
  </w:style>
  <w:style w:type="character" w:customStyle="1" w:styleId="SignatureChar">
    <w:name w:val="Signature Char"/>
    <w:basedOn w:val="DefaultParagraphFont"/>
    <w:link w:val="Signature1"/>
    <w:uiPriority w:val="9"/>
    <w:rsid w:val="005918D2"/>
    <w:rPr>
      <w:rFonts w:ascii="Times New Roman" w:hAnsi="Times New Roman"/>
      <w:color w:val="595959"/>
      <w:kern w:val="20"/>
      <w:sz w:val="24"/>
    </w:rPr>
  </w:style>
  <w:style w:type="character" w:customStyle="1" w:styleId="NoSpacingChar">
    <w:name w:val="No Spacing Char"/>
    <w:aliases w:val="Uvodna rečenica Char"/>
    <w:basedOn w:val="DefaultParagraphFont"/>
    <w:link w:val="NoSpacing"/>
    <w:uiPriority w:val="1"/>
    <w:rsid w:val="005918D2"/>
    <w:rPr>
      <w:rFonts w:eastAsia="MS PGothic"/>
      <w:sz w:val="20"/>
      <w:szCs w:val="20"/>
      <w:lang w:eastAsia="ja-JP"/>
    </w:rPr>
  </w:style>
  <w:style w:type="paragraph" w:customStyle="1" w:styleId="ListBullet1">
    <w:name w:val="List Bullet1"/>
    <w:basedOn w:val="Normal"/>
    <w:next w:val="ListBullet"/>
    <w:link w:val="ListBulletChar"/>
    <w:uiPriority w:val="99"/>
    <w:unhideWhenUsed/>
    <w:qFormat/>
    <w:rsid w:val="005918D2"/>
    <w:pPr>
      <w:numPr>
        <w:numId w:val="1"/>
      </w:numPr>
      <w:spacing w:before="40" w:after="40" w:line="288" w:lineRule="auto"/>
    </w:pPr>
    <w:rPr>
      <w:rFonts w:eastAsia="MS PGothic"/>
      <w:color w:val="595959"/>
      <w:kern w:val="20"/>
      <w:sz w:val="20"/>
      <w:szCs w:val="20"/>
      <w:lang w:eastAsia="ja-JP"/>
    </w:rPr>
  </w:style>
  <w:style w:type="paragraph" w:customStyle="1" w:styleId="ListNumber1">
    <w:name w:val="List Number1"/>
    <w:basedOn w:val="Normal"/>
    <w:next w:val="ListNumber"/>
    <w:uiPriority w:val="1"/>
    <w:unhideWhenUsed/>
    <w:rsid w:val="005918D2"/>
    <w:pPr>
      <w:numPr>
        <w:numId w:val="2"/>
      </w:numPr>
      <w:spacing w:before="40" w:line="288" w:lineRule="auto"/>
      <w:contextualSpacing/>
    </w:pPr>
    <w:rPr>
      <w:rFonts w:eastAsia="MS PGothic"/>
      <w:color w:val="595959"/>
      <w:kern w:val="20"/>
      <w:sz w:val="20"/>
      <w:szCs w:val="20"/>
      <w:lang w:eastAsia="ja-JP"/>
    </w:rPr>
  </w:style>
  <w:style w:type="paragraph" w:customStyle="1" w:styleId="ListNumber21">
    <w:name w:val="List Number 21"/>
    <w:basedOn w:val="Normal"/>
    <w:next w:val="ListNumber2"/>
    <w:uiPriority w:val="1"/>
    <w:unhideWhenUsed/>
    <w:rsid w:val="005918D2"/>
    <w:pPr>
      <w:numPr>
        <w:ilvl w:val="1"/>
        <w:numId w:val="2"/>
      </w:numPr>
      <w:spacing w:before="40" w:line="288" w:lineRule="auto"/>
      <w:contextualSpacing/>
    </w:pPr>
    <w:rPr>
      <w:rFonts w:eastAsia="MS PGothic"/>
      <w:color w:val="595959"/>
      <w:kern w:val="20"/>
      <w:sz w:val="20"/>
      <w:szCs w:val="20"/>
      <w:lang w:eastAsia="ja-JP"/>
    </w:rPr>
  </w:style>
  <w:style w:type="paragraph" w:customStyle="1" w:styleId="ListNumber31">
    <w:name w:val="List Number 31"/>
    <w:basedOn w:val="Normal"/>
    <w:next w:val="ListNumber3"/>
    <w:uiPriority w:val="18"/>
    <w:unhideWhenUsed/>
    <w:rsid w:val="005918D2"/>
    <w:pPr>
      <w:numPr>
        <w:ilvl w:val="2"/>
        <w:numId w:val="2"/>
      </w:numPr>
      <w:spacing w:before="40" w:line="288" w:lineRule="auto"/>
      <w:contextualSpacing/>
    </w:pPr>
    <w:rPr>
      <w:rFonts w:eastAsia="MS PGothic"/>
      <w:color w:val="595959"/>
      <w:kern w:val="20"/>
      <w:sz w:val="20"/>
      <w:szCs w:val="20"/>
      <w:lang w:eastAsia="ja-JP"/>
    </w:rPr>
  </w:style>
  <w:style w:type="paragraph" w:customStyle="1" w:styleId="ListNumber41">
    <w:name w:val="List Number 41"/>
    <w:basedOn w:val="Normal"/>
    <w:next w:val="ListNumber4"/>
    <w:uiPriority w:val="18"/>
    <w:unhideWhenUsed/>
    <w:rsid w:val="005918D2"/>
    <w:pPr>
      <w:numPr>
        <w:ilvl w:val="3"/>
        <w:numId w:val="2"/>
      </w:numPr>
      <w:spacing w:before="40" w:line="288" w:lineRule="auto"/>
      <w:contextualSpacing/>
    </w:pPr>
    <w:rPr>
      <w:rFonts w:eastAsia="MS PGothic"/>
      <w:color w:val="595959"/>
      <w:kern w:val="20"/>
      <w:sz w:val="20"/>
      <w:szCs w:val="20"/>
      <w:lang w:eastAsia="ja-JP"/>
    </w:rPr>
  </w:style>
  <w:style w:type="paragraph" w:customStyle="1" w:styleId="ListNumber51">
    <w:name w:val="List Number 51"/>
    <w:basedOn w:val="Normal"/>
    <w:next w:val="ListNumber5"/>
    <w:uiPriority w:val="18"/>
    <w:unhideWhenUsed/>
    <w:rsid w:val="005918D2"/>
    <w:pPr>
      <w:numPr>
        <w:ilvl w:val="4"/>
        <w:numId w:val="2"/>
      </w:numPr>
      <w:spacing w:before="40" w:line="288" w:lineRule="auto"/>
      <w:contextualSpacing/>
    </w:pPr>
    <w:rPr>
      <w:rFonts w:eastAsia="MS PGothic"/>
      <w:color w:val="595959"/>
      <w:kern w:val="20"/>
      <w:sz w:val="20"/>
      <w:szCs w:val="20"/>
      <w:lang w:eastAsia="ja-JP"/>
    </w:rPr>
  </w:style>
  <w:style w:type="table" w:customStyle="1" w:styleId="FinancialTable">
    <w:name w:val="Financial Table"/>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character" w:styleId="CommentReference">
    <w:name w:val="annotation reference"/>
    <w:basedOn w:val="DefaultParagraphFont"/>
    <w:uiPriority w:val="99"/>
    <w:semiHidden/>
    <w:unhideWhenUsed/>
    <w:rsid w:val="005918D2"/>
    <w:rPr>
      <w:sz w:val="16"/>
    </w:rPr>
  </w:style>
  <w:style w:type="paragraph" w:styleId="CommentText">
    <w:name w:val="annotation text"/>
    <w:basedOn w:val="Normal"/>
    <w:link w:val="CommentTextChar"/>
    <w:uiPriority w:val="99"/>
    <w:unhideWhenUsed/>
    <w:rsid w:val="005918D2"/>
    <w:pPr>
      <w:spacing w:line="264" w:lineRule="auto"/>
    </w:pPr>
    <w:rPr>
      <w:rFonts w:eastAsia="MS PGothic"/>
      <w:sz w:val="20"/>
      <w:szCs w:val="20"/>
      <w:lang w:eastAsia="ja-JP"/>
    </w:rPr>
  </w:style>
  <w:style w:type="character" w:customStyle="1" w:styleId="CommentTextChar">
    <w:name w:val="Comment Text Char"/>
    <w:basedOn w:val="DefaultParagraphFont"/>
    <w:link w:val="CommentText"/>
    <w:uiPriority w:val="99"/>
    <w:rsid w:val="005918D2"/>
    <w:rPr>
      <w:rFonts w:ascii="Times New Roman" w:eastAsia="MS PGothic" w:hAnsi="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5918D2"/>
    <w:rPr>
      <w:b/>
      <w:bCs/>
    </w:rPr>
  </w:style>
  <w:style w:type="character" w:customStyle="1" w:styleId="CommentSubjectChar">
    <w:name w:val="Comment Subject Char"/>
    <w:basedOn w:val="CommentTextChar"/>
    <w:link w:val="CommentSubject"/>
    <w:uiPriority w:val="99"/>
    <w:semiHidden/>
    <w:rsid w:val="005918D2"/>
    <w:rPr>
      <w:rFonts w:ascii="Times New Roman" w:eastAsia="MS PGothic" w:hAnsi="Times New Roman"/>
      <w:b/>
      <w:bCs/>
      <w:sz w:val="20"/>
      <w:szCs w:val="20"/>
      <w:lang w:eastAsia="ja-JP"/>
    </w:rPr>
  </w:style>
  <w:style w:type="table" w:customStyle="1" w:styleId="LightShading1">
    <w:name w:val="Light Shading1"/>
    <w:basedOn w:val="TableNormal"/>
    <w:next w:val="LightShading"/>
    <w:uiPriority w:val="60"/>
    <w:rsid w:val="005918D2"/>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Decimal">
    <w:name w:val="Table Text Decimal"/>
    <w:basedOn w:val="Normal"/>
    <w:uiPriority w:val="1"/>
    <w:rsid w:val="005918D2"/>
    <w:pPr>
      <w:tabs>
        <w:tab w:val="decimal" w:pos="869"/>
      </w:tabs>
      <w:spacing w:before="60" w:after="60" w:line="264" w:lineRule="auto"/>
    </w:pPr>
    <w:rPr>
      <w:rFonts w:eastAsia="MS PGothic"/>
      <w:sz w:val="20"/>
      <w:szCs w:val="20"/>
      <w:lang w:eastAsia="ja-JP"/>
    </w:rPr>
  </w:style>
  <w:style w:type="paragraph" w:customStyle="1" w:styleId="TableText">
    <w:name w:val="Table Text"/>
    <w:basedOn w:val="Normal"/>
    <w:uiPriority w:val="1"/>
    <w:rsid w:val="005918D2"/>
    <w:pPr>
      <w:spacing w:before="60" w:after="60" w:line="264" w:lineRule="auto"/>
    </w:pPr>
    <w:rPr>
      <w:rFonts w:eastAsia="MS PGothic"/>
      <w:sz w:val="20"/>
      <w:szCs w:val="20"/>
      <w:lang w:eastAsia="ja-JP"/>
    </w:rPr>
  </w:style>
  <w:style w:type="paragraph" w:customStyle="1" w:styleId="Organization">
    <w:name w:val="Organization"/>
    <w:basedOn w:val="Normal"/>
    <w:uiPriority w:val="2"/>
    <w:rsid w:val="005918D2"/>
    <w:pPr>
      <w:spacing w:after="60" w:line="264" w:lineRule="auto"/>
      <w:ind w:left="29" w:right="29"/>
    </w:pPr>
    <w:rPr>
      <w:rFonts w:eastAsia="MS PGothic"/>
      <w:b/>
      <w:bCs/>
      <w:color w:val="EF4623"/>
      <w:sz w:val="36"/>
      <w:szCs w:val="20"/>
      <w:lang w:eastAsia="ja-JP"/>
    </w:rPr>
  </w:style>
  <w:style w:type="paragraph" w:styleId="TOC2">
    <w:name w:val="toc 2"/>
    <w:basedOn w:val="Normal"/>
    <w:next w:val="Normal"/>
    <w:autoRedefine/>
    <w:uiPriority w:val="39"/>
    <w:unhideWhenUsed/>
    <w:qFormat/>
    <w:rsid w:val="005918D2"/>
    <w:pPr>
      <w:tabs>
        <w:tab w:val="left" w:pos="660"/>
        <w:tab w:val="right" w:leader="underscore" w:pos="8657"/>
      </w:tabs>
      <w:spacing w:after="100" w:line="264" w:lineRule="auto"/>
      <w:ind w:left="200"/>
    </w:pPr>
    <w:rPr>
      <w:rFonts w:ascii="Cambria" w:eastAsia="MS PGothic" w:hAnsi="Cambria"/>
      <w:noProof/>
      <w:sz w:val="20"/>
      <w:szCs w:val="20"/>
      <w:lang w:val="sr-Cyrl-RS" w:eastAsia="ja-JP"/>
    </w:rPr>
  </w:style>
  <w:style w:type="table" w:customStyle="1" w:styleId="GridTable6Colorful-Accent51">
    <w:name w:val="Grid Table 6 Colorful - Accent 51"/>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
    <w:name w:val="Light Shading - Accent 12"/>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
    <w:name w:val="Grid Table 6 Colorful - Accent 51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
    <w:name w:val="Light Shading - Accent 12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
    <w:name w:val="Grid Table 6 Colorful - Accent 11"/>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paragraph" w:styleId="TOC3">
    <w:name w:val="toc 3"/>
    <w:basedOn w:val="Normal"/>
    <w:next w:val="Normal"/>
    <w:autoRedefine/>
    <w:uiPriority w:val="39"/>
    <w:unhideWhenUsed/>
    <w:qFormat/>
    <w:rsid w:val="005918D2"/>
    <w:pPr>
      <w:spacing w:after="100" w:line="264" w:lineRule="auto"/>
      <w:ind w:left="400"/>
    </w:pPr>
    <w:rPr>
      <w:rFonts w:eastAsia="MS PGothic"/>
      <w:sz w:val="20"/>
      <w:szCs w:val="20"/>
      <w:lang w:eastAsia="ja-JP"/>
    </w:rPr>
  </w:style>
  <w:style w:type="paragraph" w:customStyle="1" w:styleId="Caption1">
    <w:name w:val="Caption1"/>
    <w:basedOn w:val="Normal"/>
    <w:next w:val="Normal"/>
    <w:unhideWhenUsed/>
    <w:qFormat/>
    <w:rsid w:val="005918D2"/>
    <w:rPr>
      <w:rFonts w:eastAsia="MS PGothic"/>
      <w:b/>
      <w:bCs/>
      <w:smallCaps/>
      <w:color w:val="595959"/>
      <w:spacing w:val="6"/>
      <w:sz w:val="20"/>
      <w:szCs w:val="20"/>
      <w:lang w:eastAsia="ja-JP"/>
    </w:rPr>
  </w:style>
  <w:style w:type="character" w:styleId="Emphasis">
    <w:name w:val="Emphasis"/>
    <w:basedOn w:val="DefaultParagraphFont"/>
    <w:uiPriority w:val="20"/>
    <w:qFormat/>
    <w:rsid w:val="005918D2"/>
    <w:rPr>
      <w:i/>
      <w:iCs/>
    </w:rPr>
  </w:style>
  <w:style w:type="paragraph" w:customStyle="1" w:styleId="IntenseQuote1">
    <w:name w:val="Intense Quote1"/>
    <w:basedOn w:val="Normal"/>
    <w:next w:val="Normal"/>
    <w:uiPriority w:val="30"/>
    <w:qFormat/>
    <w:rsid w:val="005918D2"/>
    <w:pPr>
      <w:pBdr>
        <w:left w:val="single" w:sz="18" w:space="12" w:color="EF4623"/>
      </w:pBdr>
      <w:spacing w:before="100" w:beforeAutospacing="1" w:line="300" w:lineRule="auto"/>
      <w:ind w:left="1224" w:right="1224"/>
    </w:pPr>
    <w:rPr>
      <w:rFonts w:ascii="Arial" w:eastAsia="MS PGothic" w:hAnsi="Arial" w:cs="Arial"/>
      <w:color w:val="EF4623"/>
      <w:sz w:val="28"/>
      <w:szCs w:val="28"/>
      <w:lang w:eastAsia="ja-JP"/>
    </w:rPr>
  </w:style>
  <w:style w:type="character" w:customStyle="1" w:styleId="IntenseQuoteChar">
    <w:name w:val="Intense Quote Char"/>
    <w:basedOn w:val="DefaultParagraphFont"/>
    <w:link w:val="IntenseQuote"/>
    <w:uiPriority w:val="30"/>
    <w:rsid w:val="005918D2"/>
    <w:rPr>
      <w:rFonts w:ascii="Arial" w:eastAsia="MS PGothic" w:hAnsi="Arial" w:cs="Arial"/>
      <w:color w:val="EF4623"/>
      <w:sz w:val="28"/>
      <w:szCs w:val="28"/>
    </w:rPr>
  </w:style>
  <w:style w:type="character" w:customStyle="1" w:styleId="SubtleEmphasis1">
    <w:name w:val="Subtle Emphasis1"/>
    <w:basedOn w:val="DefaultParagraphFont"/>
    <w:uiPriority w:val="19"/>
    <w:qFormat/>
    <w:rsid w:val="005918D2"/>
    <w:rPr>
      <w:i/>
      <w:iCs/>
      <w:color w:val="404040"/>
    </w:rPr>
  </w:style>
  <w:style w:type="character" w:styleId="IntenseEmphasis">
    <w:name w:val="Intense Emphasis"/>
    <w:basedOn w:val="DefaultParagraphFont"/>
    <w:uiPriority w:val="21"/>
    <w:qFormat/>
    <w:rsid w:val="005918D2"/>
    <w:rPr>
      <w:b/>
      <w:bCs/>
      <w:i/>
      <w:iCs/>
    </w:rPr>
  </w:style>
  <w:style w:type="character" w:customStyle="1" w:styleId="SubtleReference1">
    <w:name w:val="Subtle Reference1"/>
    <w:basedOn w:val="DefaultParagraphFont"/>
    <w:uiPriority w:val="31"/>
    <w:qFormat/>
    <w:rsid w:val="005918D2"/>
    <w:rPr>
      <w:smallCaps/>
      <w:color w:val="404040"/>
      <w:u w:val="single" w:color="7F7F7F"/>
    </w:rPr>
  </w:style>
  <w:style w:type="character" w:styleId="IntenseReference">
    <w:name w:val="Intense Reference"/>
    <w:basedOn w:val="DefaultParagraphFont"/>
    <w:uiPriority w:val="32"/>
    <w:qFormat/>
    <w:rsid w:val="005918D2"/>
    <w:rPr>
      <w:b/>
      <w:bCs/>
      <w:smallCaps/>
      <w:spacing w:val="5"/>
      <w:u w:val="single"/>
    </w:rPr>
  </w:style>
  <w:style w:type="character" w:styleId="BookTitle">
    <w:name w:val="Book Title"/>
    <w:basedOn w:val="DefaultParagraphFont"/>
    <w:uiPriority w:val="33"/>
    <w:qFormat/>
    <w:rsid w:val="005918D2"/>
    <w:rPr>
      <w:b/>
      <w:bCs/>
      <w:smallCaps/>
    </w:rPr>
  </w:style>
  <w:style w:type="paragraph" w:styleId="ListParagraph">
    <w:name w:val="List Paragraph"/>
    <w:aliases w:val="Liste 1,Liste Paragraf,Figure_name,numbered,Bullet List,FooterText,Paragraphe de liste1,Bulletr List Paragraph,列出段落,列出段落1,List Paragraph2,List Paragraph21,Párrafo de lista1,Parágrafo da Lista1,リスト段落1,Listeafsnit1,b1,lp1,cS List Paragraph"/>
    <w:basedOn w:val="Normal"/>
    <w:link w:val="ListParagraphChar"/>
    <w:uiPriority w:val="34"/>
    <w:qFormat/>
    <w:rsid w:val="005918D2"/>
    <w:pPr>
      <w:spacing w:line="264" w:lineRule="auto"/>
      <w:ind w:left="720"/>
      <w:contextualSpacing/>
    </w:pPr>
    <w:rPr>
      <w:rFonts w:eastAsia="MS PGothic"/>
      <w:sz w:val="20"/>
      <w:szCs w:val="20"/>
      <w:lang w:eastAsia="ja-JP"/>
    </w:rPr>
  </w:style>
  <w:style w:type="paragraph" w:styleId="NormalWeb">
    <w:name w:val="Normal (Web)"/>
    <w:basedOn w:val="Normal"/>
    <w:uiPriority w:val="99"/>
    <w:unhideWhenUsed/>
    <w:rsid w:val="005918D2"/>
    <w:pPr>
      <w:spacing w:before="100" w:beforeAutospacing="1" w:after="100" w:afterAutospacing="1"/>
    </w:pPr>
    <w:rPr>
      <w:rFonts w:eastAsia="MS PGothic" w:cs="Times New Roman"/>
      <w:szCs w:val="24"/>
    </w:rPr>
  </w:style>
  <w:style w:type="table" w:customStyle="1" w:styleId="LightShading-Accent122">
    <w:name w:val="Light Shading - Accent 122"/>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
    <w:name w:val="Grid Table 6 Colorful - Accent 52"/>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paragraph" w:customStyle="1" w:styleId="ParagraphNumbering">
    <w:name w:val="Paragraph Numbering"/>
    <w:basedOn w:val="Normal"/>
    <w:link w:val="ParagraphNumberingChar"/>
    <w:uiPriority w:val="99"/>
    <w:qFormat/>
    <w:rsid w:val="005918D2"/>
    <w:pPr>
      <w:numPr>
        <w:numId w:val="4"/>
      </w:numPr>
      <w:spacing w:after="240" w:line="300" w:lineRule="exact"/>
    </w:pPr>
    <w:rPr>
      <w:rFonts w:ascii="Segoe UI" w:eastAsia="MS Mincho" w:hAnsi="Segoe UI" w:cs="Times New Roman"/>
      <w:sz w:val="21"/>
      <w:szCs w:val="24"/>
    </w:rPr>
  </w:style>
  <w:style w:type="character" w:customStyle="1" w:styleId="ParagraphNumberingChar">
    <w:name w:val="Paragraph Numbering Char"/>
    <w:basedOn w:val="DefaultParagraphFont"/>
    <w:link w:val="ParagraphNumbering"/>
    <w:uiPriority w:val="99"/>
    <w:rsid w:val="005918D2"/>
    <w:rPr>
      <w:rFonts w:ascii="Segoe UI" w:eastAsia="MS Mincho" w:hAnsi="Segoe UI" w:cs="Times New Roman"/>
      <w:sz w:val="21"/>
      <w:szCs w:val="24"/>
    </w:rPr>
  </w:style>
  <w:style w:type="character" w:customStyle="1" w:styleId="ListParagraphChar">
    <w:name w:val="List Paragraph Char"/>
    <w:aliases w:val="Liste 1 Char,Liste Paragraf Char,Figure_name Char,numbered Char,Bullet List Char,FooterText Char,Paragraphe de liste1 Char,Bulletr List Paragraph Char,列出段落 Char,列出段落1 Char,List Paragraph2 Char,List Paragraph21 Char,リスト段落1 Char"/>
    <w:link w:val="ListParagraph"/>
    <w:uiPriority w:val="34"/>
    <w:qFormat/>
    <w:locked/>
    <w:rsid w:val="005918D2"/>
    <w:rPr>
      <w:rFonts w:ascii="Times New Roman" w:eastAsia="MS PGothic" w:hAnsi="Times New Roman"/>
      <w:sz w:val="20"/>
      <w:szCs w:val="20"/>
      <w:lang w:eastAsia="ja-JP"/>
    </w:rPr>
  </w:style>
  <w:style w:type="paragraph" w:customStyle="1" w:styleId="IFS2012tekst">
    <w:name w:val="IFS 2012 tekst"/>
    <w:basedOn w:val="Normal"/>
    <w:uiPriority w:val="99"/>
    <w:qFormat/>
    <w:rsid w:val="005918D2"/>
    <w:pPr>
      <w:ind w:firstLine="709"/>
    </w:pPr>
    <w:rPr>
      <w:rFonts w:ascii="Cambria" w:eastAsia="Calibri" w:hAnsi="Cambria" w:cs="Times New Roman"/>
      <w:color w:val="404040"/>
      <w:sz w:val="21"/>
      <w:lang w:val="sr-Cyrl-CS"/>
    </w:rPr>
  </w:style>
  <w:style w:type="paragraph" w:customStyle="1" w:styleId="IFS2012naslov1">
    <w:name w:val="IFS 2012 naslov 1"/>
    <w:basedOn w:val="Heading1"/>
    <w:uiPriority w:val="99"/>
    <w:qFormat/>
    <w:rsid w:val="005918D2"/>
    <w:pPr>
      <w:numPr>
        <w:numId w:val="7"/>
      </w:numPr>
      <w:spacing w:before="0"/>
    </w:pPr>
    <w:rPr>
      <w:rFonts w:eastAsia="Times New Roman" w:cs="Calibri"/>
      <w:b/>
      <w:bCs/>
      <w:color w:val="4B4B4B"/>
      <w:szCs w:val="24"/>
      <w:lang w:val="sr-Cyrl-CS"/>
    </w:rPr>
  </w:style>
  <w:style w:type="paragraph" w:customStyle="1" w:styleId="IFS2012Naslov2">
    <w:name w:val="IFS 2012 Naslov 2"/>
    <w:basedOn w:val="Heading2"/>
    <w:autoRedefine/>
    <w:uiPriority w:val="99"/>
    <w:qFormat/>
    <w:rsid w:val="005918D2"/>
  </w:style>
  <w:style w:type="paragraph" w:customStyle="1" w:styleId="IFS2012naslov3">
    <w:name w:val="IFS 2012 naslov 3"/>
    <w:basedOn w:val="Heading3"/>
    <w:autoRedefine/>
    <w:uiPriority w:val="99"/>
    <w:qFormat/>
    <w:rsid w:val="005918D2"/>
  </w:style>
  <w:style w:type="paragraph" w:customStyle="1" w:styleId="Analizatekst">
    <w:name w:val="Analiza tekst"/>
    <w:basedOn w:val="Normal"/>
    <w:link w:val="AnalizatekstChar"/>
    <w:qFormat/>
    <w:rsid w:val="005918D2"/>
    <w:pPr>
      <w:ind w:firstLine="709"/>
    </w:pPr>
    <w:rPr>
      <w:rFonts w:ascii="Calibri" w:eastAsia="Times New Roman" w:hAnsi="Calibri" w:cs="Times New Roman"/>
      <w:color w:val="404040"/>
      <w:lang w:val="sr-Cyrl-CS"/>
    </w:rPr>
  </w:style>
  <w:style w:type="character" w:customStyle="1" w:styleId="AnalizatekstChar">
    <w:name w:val="Analiza tekst Char"/>
    <w:link w:val="Analizatekst"/>
    <w:rsid w:val="005918D2"/>
    <w:rPr>
      <w:rFonts w:ascii="Calibri" w:eastAsia="Times New Roman" w:hAnsi="Calibri" w:cs="Times New Roman"/>
      <w:color w:val="404040"/>
      <w:sz w:val="24"/>
      <w:lang w:val="sr-Cyrl-CS"/>
    </w:rPr>
  </w:style>
  <w:style w:type="table" w:styleId="LightList-Accent3">
    <w:name w:val="Light List Accent 3"/>
    <w:aliases w:val="tabele 3"/>
    <w:basedOn w:val="TableNormal"/>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odyText">
    <w:name w:val="Body Text"/>
    <w:basedOn w:val="Normal"/>
    <w:link w:val="BodyTextChar"/>
    <w:uiPriority w:val="99"/>
    <w:unhideWhenUsed/>
    <w:rsid w:val="005918D2"/>
    <w:pPr>
      <w:spacing w:line="276" w:lineRule="auto"/>
      <w:ind w:firstLine="709"/>
    </w:pPr>
    <w:rPr>
      <w:rFonts w:ascii="Calibri" w:eastAsia="Calibri" w:hAnsi="Calibri" w:cs="Times New Roman"/>
      <w:color w:val="404040"/>
    </w:rPr>
  </w:style>
  <w:style w:type="character" w:customStyle="1" w:styleId="BodyTextChar">
    <w:name w:val="Body Text Char"/>
    <w:basedOn w:val="DefaultParagraphFont"/>
    <w:link w:val="BodyText"/>
    <w:uiPriority w:val="99"/>
    <w:rsid w:val="005918D2"/>
    <w:rPr>
      <w:rFonts w:ascii="Calibri" w:eastAsia="Calibri" w:hAnsi="Calibri" w:cs="Times New Roman"/>
      <w:color w:val="404040"/>
      <w:sz w:val="24"/>
    </w:rPr>
  </w:style>
  <w:style w:type="table" w:customStyle="1" w:styleId="LightShading-Accent11">
    <w:name w:val="Light Shading - Accent 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
    <w:name w:val="Light Shading - Accent 3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
    <w:name w:val="Light List - Accent 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
    <w:name w:val="Table Grid1"/>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
    <w:name w:val="Light List - Accent 5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
    <w:name w:val="Medium List 1 - Accent 51"/>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paragraph" w:styleId="FootnoteText">
    <w:name w:val="footnote text"/>
    <w:aliases w:val="Footnote Text Char Char Char,Footnote Text Char Char,Char Char Char,single space,ft,ft Char Char Char,ft Char Char,Fußnote, Char Char Char,footnote text,fn,FOOTNOTES,ADB,Footnote Text Char Char Char Char Char,Footnote Text Char Char1"/>
    <w:basedOn w:val="Normal"/>
    <w:link w:val="FootnoteTextChar"/>
    <w:uiPriority w:val="99"/>
    <w:unhideWhenUsed/>
    <w:qFormat/>
    <w:rsid w:val="005918D2"/>
    <w:pPr>
      <w:ind w:firstLine="709"/>
    </w:pPr>
    <w:rPr>
      <w:rFonts w:ascii="Cambria" w:eastAsia="Times New Roman" w:hAnsi="Cambria" w:cs="Tahoma"/>
      <w:bCs/>
      <w:color w:val="404040"/>
      <w:sz w:val="20"/>
      <w:szCs w:val="20"/>
      <w:lang w:val="sr-Cyrl-CS"/>
    </w:rPr>
  </w:style>
  <w:style w:type="character" w:customStyle="1" w:styleId="FootnoteTextChar">
    <w:name w:val="Footnote Text Char"/>
    <w:aliases w:val="Footnote Text Char Char Char Char,Footnote Text Char Char Char1,Char Char Char Char,single space Char,ft Char,ft Char Char Char Char,ft Char Char Char1,Fußnote Char, Char Char Char Char,footnote text Char,fn Char,FOOTNOTES Char"/>
    <w:basedOn w:val="DefaultParagraphFont"/>
    <w:link w:val="FootnoteText"/>
    <w:uiPriority w:val="99"/>
    <w:qFormat/>
    <w:rsid w:val="005918D2"/>
    <w:rPr>
      <w:rFonts w:ascii="Cambria" w:eastAsia="Times New Roman" w:hAnsi="Cambria" w:cs="Tahoma"/>
      <w:bCs/>
      <w:color w:val="404040"/>
      <w:sz w:val="20"/>
      <w:szCs w:val="20"/>
      <w:lang w:val="sr-Cyrl-CS"/>
    </w:rPr>
  </w:style>
  <w:style w:type="character" w:styleId="FootnoteReference">
    <w:name w:val="footnote reference"/>
    <w:aliases w:val="ftref,BVI fnr,Footnote za GI,Normal + Font:9 Point,Superscript 3 Point Times,SUPERS,EN Footnote Reference,number,Char Char,Footnote symbol,Footnote reference number,note TESI,ftref Char,BVI fnr Char,BVI fnr Car Char,Char Char Car Char"/>
    <w:link w:val="NumPar1"/>
    <w:uiPriority w:val="99"/>
    <w:unhideWhenUsed/>
    <w:qFormat/>
    <w:rsid w:val="005918D2"/>
    <w:rPr>
      <w:vertAlign w:val="superscript"/>
    </w:rPr>
  </w:style>
  <w:style w:type="table" w:styleId="MediumList1-Accent5">
    <w:name w:val="Medium List 1 Accent 5"/>
    <w:basedOn w:val="TableNormal"/>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
    <w:name w:val="No List11"/>
    <w:next w:val="NoList"/>
    <w:uiPriority w:val="99"/>
    <w:semiHidden/>
    <w:unhideWhenUsed/>
    <w:rsid w:val="005918D2"/>
  </w:style>
  <w:style w:type="character" w:customStyle="1" w:styleId="BookTitle1">
    <w:name w:val="Book Title1"/>
    <w:uiPriority w:val="33"/>
    <w:qFormat/>
    <w:rsid w:val="005918D2"/>
    <w:rPr>
      <w:rFonts w:ascii="Calibri" w:hAnsi="Calibri"/>
      <w:b/>
      <w:bCs/>
      <w:smallCaps/>
      <w:color w:val="17365D"/>
      <w:spacing w:val="5"/>
      <w:sz w:val="36"/>
    </w:rPr>
  </w:style>
  <w:style w:type="paragraph" w:customStyle="1" w:styleId="TOC21">
    <w:name w:val="TOC 21"/>
    <w:basedOn w:val="Normal"/>
    <w:next w:val="Normal"/>
    <w:autoRedefine/>
    <w:uiPriority w:val="39"/>
    <w:unhideWhenUsed/>
    <w:qFormat/>
    <w:rsid w:val="005918D2"/>
    <w:pPr>
      <w:tabs>
        <w:tab w:val="left" w:pos="660"/>
        <w:tab w:val="right" w:leader="dot" w:pos="8755"/>
      </w:tabs>
      <w:ind w:left="440" w:firstLine="709"/>
    </w:pPr>
    <w:rPr>
      <w:rFonts w:ascii="Calibri" w:eastAsia="Times New Roman" w:hAnsi="Calibri" w:cs="Times New Roman"/>
      <w:b/>
      <w:i/>
      <w:noProof/>
      <w:color w:val="404040"/>
      <w:szCs w:val="24"/>
      <w:lang w:val="sr-Cyrl-CS"/>
    </w:rPr>
  </w:style>
  <w:style w:type="paragraph" w:customStyle="1" w:styleId="TOC31">
    <w:name w:val="TOC 31"/>
    <w:basedOn w:val="Normal"/>
    <w:next w:val="Normal"/>
    <w:autoRedefine/>
    <w:uiPriority w:val="39"/>
    <w:unhideWhenUsed/>
    <w:qFormat/>
    <w:rsid w:val="005918D2"/>
    <w:pPr>
      <w:tabs>
        <w:tab w:val="right" w:leader="dot" w:pos="8755"/>
      </w:tabs>
      <w:spacing w:after="240" w:line="276" w:lineRule="auto"/>
      <w:ind w:left="708" w:firstLine="709"/>
      <w:jc w:val="center"/>
    </w:pPr>
    <w:rPr>
      <w:rFonts w:ascii="Calibri" w:eastAsia="Times New Roman" w:hAnsi="Calibri" w:cs="Times New Roman"/>
      <w:smallCaps/>
      <w:noProof/>
      <w:color w:val="404040"/>
      <w:spacing w:val="5"/>
      <w:szCs w:val="24"/>
      <w:lang w:val="sr-Cyrl-CS" w:bidi="en-US"/>
    </w:rPr>
  </w:style>
  <w:style w:type="table" w:customStyle="1" w:styleId="LightGrid-Accent51">
    <w:name w:val="Light Grid - Accent 5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
    <w:name w:val="Светло сенчење – наглашавање 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TitleChar1">
    <w:name w:val="Title Char1"/>
    <w:uiPriority w:val="10"/>
    <w:rsid w:val="005918D2"/>
    <w:rPr>
      <w:rFonts w:ascii="Cambria" w:eastAsia="Times New Roman" w:hAnsi="Cambria" w:cs="Times New Roman"/>
      <w:color w:val="4A4F64"/>
      <w:spacing w:val="5"/>
      <w:kern w:val="28"/>
      <w:sz w:val="52"/>
      <w:szCs w:val="52"/>
    </w:rPr>
  </w:style>
  <w:style w:type="character" w:customStyle="1" w:styleId="Heading4Char1">
    <w:name w:val="Heading 4 Char1"/>
    <w:uiPriority w:val="9"/>
    <w:semiHidden/>
    <w:rsid w:val="005918D2"/>
    <w:rPr>
      <w:rFonts w:ascii="Cambria" w:eastAsia="Times New Roman" w:hAnsi="Cambria" w:cs="Times New Roman"/>
      <w:b/>
      <w:bCs/>
      <w:i/>
      <w:iCs/>
      <w:color w:val="D16349"/>
    </w:rPr>
  </w:style>
  <w:style w:type="table" w:styleId="LightGrid-Accent5">
    <w:name w:val="Light Grid Accent 5"/>
    <w:basedOn w:val="TableNormal"/>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
    <w:name w:val="tabele za ifs"/>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MediumList2-Accent31">
    <w:name w:val="Medium List 2 - Accent 31"/>
    <w:aliases w:val="tabele za ifs 1"/>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paragraph" w:styleId="TOC4">
    <w:name w:val="toc 4"/>
    <w:basedOn w:val="Normal"/>
    <w:next w:val="Normal"/>
    <w:autoRedefine/>
    <w:uiPriority w:val="39"/>
    <w:unhideWhenUsed/>
    <w:rsid w:val="005918D2"/>
    <w:pPr>
      <w:spacing w:after="100" w:line="276" w:lineRule="auto"/>
      <w:ind w:left="660" w:firstLine="709"/>
    </w:pPr>
    <w:rPr>
      <w:rFonts w:ascii="Cambria" w:eastAsia="Calibri" w:hAnsi="Cambria" w:cs="Times New Roman"/>
      <w:color w:val="404040"/>
      <w:sz w:val="21"/>
      <w:lang w:val="sr-Cyrl-CS"/>
    </w:rPr>
  </w:style>
  <w:style w:type="paragraph" w:styleId="TOC5">
    <w:name w:val="toc 5"/>
    <w:basedOn w:val="Normal"/>
    <w:next w:val="Normal"/>
    <w:autoRedefine/>
    <w:uiPriority w:val="39"/>
    <w:unhideWhenUsed/>
    <w:rsid w:val="005918D2"/>
    <w:pPr>
      <w:spacing w:after="100" w:line="276" w:lineRule="auto"/>
      <w:ind w:left="880" w:firstLine="709"/>
    </w:pPr>
    <w:rPr>
      <w:rFonts w:ascii="Cambria" w:eastAsia="Calibri" w:hAnsi="Cambria" w:cs="Times New Roman"/>
      <w:color w:val="404040"/>
      <w:sz w:val="21"/>
      <w:lang w:val="sr-Cyrl-CS"/>
    </w:rPr>
  </w:style>
  <w:style w:type="paragraph" w:styleId="EndnoteText">
    <w:name w:val="endnote text"/>
    <w:basedOn w:val="Normal"/>
    <w:link w:val="EndnoteTextChar"/>
    <w:uiPriority w:val="99"/>
    <w:semiHidden/>
    <w:unhideWhenUsed/>
    <w:rsid w:val="005918D2"/>
    <w:pPr>
      <w:ind w:firstLine="709"/>
    </w:pPr>
    <w:rPr>
      <w:rFonts w:ascii="Calibri" w:eastAsia="Calibri" w:hAnsi="Calibri" w:cs="Times New Roman"/>
      <w:color w:val="404040"/>
      <w:sz w:val="20"/>
      <w:szCs w:val="20"/>
      <w:lang w:val="sr-Cyrl-CS"/>
    </w:rPr>
  </w:style>
  <w:style w:type="character" w:customStyle="1" w:styleId="EndnoteTextChar">
    <w:name w:val="Endnote Text Char"/>
    <w:basedOn w:val="DefaultParagraphFont"/>
    <w:link w:val="EndnoteText"/>
    <w:uiPriority w:val="99"/>
    <w:semiHidden/>
    <w:rsid w:val="005918D2"/>
    <w:rPr>
      <w:rFonts w:ascii="Calibri" w:eastAsia="Calibri" w:hAnsi="Calibri" w:cs="Times New Roman"/>
      <w:color w:val="404040"/>
      <w:sz w:val="20"/>
      <w:szCs w:val="20"/>
      <w:lang w:val="sr-Cyrl-CS"/>
    </w:rPr>
  </w:style>
  <w:style w:type="character" w:styleId="EndnoteReference">
    <w:name w:val="endnote reference"/>
    <w:uiPriority w:val="99"/>
    <w:semiHidden/>
    <w:unhideWhenUsed/>
    <w:rsid w:val="005918D2"/>
    <w:rPr>
      <w:vertAlign w:val="superscript"/>
    </w:rPr>
  </w:style>
  <w:style w:type="character" w:customStyle="1" w:styleId="apple-style-span">
    <w:name w:val="apple-style-span"/>
    <w:basedOn w:val="DefaultParagraphFont"/>
    <w:rsid w:val="005918D2"/>
  </w:style>
  <w:style w:type="paragraph" w:customStyle="1" w:styleId="Default">
    <w:name w:val="Default"/>
    <w:rsid w:val="005918D2"/>
    <w:pPr>
      <w:autoSpaceDE w:val="0"/>
      <w:autoSpaceDN w:val="0"/>
      <w:adjustRightInd w:val="0"/>
      <w:spacing w:after="0" w:line="240" w:lineRule="auto"/>
      <w:jc w:val="both"/>
    </w:pPr>
    <w:rPr>
      <w:rFonts w:ascii="Arial" w:eastAsia="Times New Roman" w:hAnsi="Arial" w:cs="Arial"/>
      <w:color w:val="000000"/>
      <w:sz w:val="24"/>
      <w:szCs w:val="24"/>
    </w:rPr>
  </w:style>
  <w:style w:type="paragraph" w:customStyle="1" w:styleId="msolistparagraph0">
    <w:name w:val="msolistparagraph"/>
    <w:basedOn w:val="Normal"/>
    <w:uiPriority w:val="99"/>
    <w:rsid w:val="005918D2"/>
    <w:pPr>
      <w:spacing w:after="200" w:line="276" w:lineRule="auto"/>
      <w:ind w:left="720" w:firstLine="709"/>
      <w:contextualSpacing/>
    </w:pPr>
    <w:rPr>
      <w:rFonts w:ascii="Calibri" w:eastAsia="Times New Roman" w:hAnsi="Calibri" w:cs="Times New Roman"/>
      <w:color w:val="404040"/>
    </w:rPr>
  </w:style>
  <w:style w:type="paragraph" w:styleId="Revision">
    <w:name w:val="Revision"/>
    <w:hidden/>
    <w:uiPriority w:val="99"/>
    <w:semiHidden/>
    <w:rsid w:val="005918D2"/>
    <w:pPr>
      <w:spacing w:after="0" w:line="240" w:lineRule="auto"/>
      <w:jc w:val="both"/>
    </w:pPr>
    <w:rPr>
      <w:rFonts w:ascii="Calibri" w:eastAsia="Calibri" w:hAnsi="Calibri" w:cs="Times New Roman"/>
      <w:lang w:val="sr-Cyrl-CS"/>
    </w:rPr>
  </w:style>
  <w:style w:type="table" w:styleId="ColorfulList-Accent1">
    <w:name w:val="Colorful List Accent 1"/>
    <w:basedOn w:val="TableNormal"/>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character" w:customStyle="1" w:styleId="BodyChar">
    <w:name w:val="Body Char"/>
    <w:link w:val="Body"/>
    <w:rsid w:val="005918D2"/>
    <w:rPr>
      <w:rFonts w:ascii="Arial" w:hAnsi="Arial" w:cs="Arial"/>
      <w:kern w:val="20"/>
      <w:sz w:val="24"/>
      <w:szCs w:val="24"/>
      <w:lang w:val="en-GB"/>
    </w:rPr>
  </w:style>
  <w:style w:type="paragraph" w:customStyle="1" w:styleId="Body">
    <w:name w:val="Body"/>
    <w:basedOn w:val="Normal"/>
    <w:link w:val="BodyChar"/>
    <w:rsid w:val="005918D2"/>
    <w:pPr>
      <w:spacing w:after="140" w:line="288" w:lineRule="auto"/>
      <w:ind w:firstLine="709"/>
    </w:pPr>
    <w:rPr>
      <w:rFonts w:ascii="Arial" w:hAnsi="Arial" w:cs="Arial"/>
      <w:kern w:val="20"/>
      <w:szCs w:val="24"/>
      <w:lang w:val="en-GB"/>
    </w:rPr>
  </w:style>
  <w:style w:type="paragraph" w:customStyle="1" w:styleId="Body5">
    <w:name w:val="Body 5"/>
    <w:basedOn w:val="Normal"/>
    <w:uiPriority w:val="99"/>
    <w:rsid w:val="005918D2"/>
    <w:pPr>
      <w:spacing w:after="140" w:line="290" w:lineRule="auto"/>
      <w:ind w:left="2608" w:firstLine="709"/>
    </w:pPr>
    <w:rPr>
      <w:rFonts w:ascii="Arial" w:eastAsia="Batang" w:hAnsi="Arial" w:cs="Times New Roman"/>
      <w:color w:val="404040"/>
      <w:kern w:val="20"/>
      <w:sz w:val="20"/>
      <w:szCs w:val="24"/>
      <w:lang w:val="en-GB"/>
    </w:rPr>
  </w:style>
  <w:style w:type="paragraph" w:customStyle="1" w:styleId="Body6">
    <w:name w:val="Body 6"/>
    <w:basedOn w:val="Normal"/>
    <w:uiPriority w:val="99"/>
    <w:rsid w:val="005918D2"/>
    <w:pPr>
      <w:spacing w:after="140" w:line="290" w:lineRule="auto"/>
      <w:ind w:left="3288" w:firstLine="709"/>
    </w:pPr>
    <w:rPr>
      <w:rFonts w:ascii="Arial" w:eastAsia="Batang" w:hAnsi="Arial" w:cs="Times New Roman"/>
      <w:color w:val="404040"/>
      <w:kern w:val="20"/>
      <w:sz w:val="20"/>
      <w:szCs w:val="24"/>
      <w:lang w:val="en-GB"/>
    </w:rPr>
  </w:style>
  <w:style w:type="paragraph" w:customStyle="1" w:styleId="Level1">
    <w:name w:val="Level 1"/>
    <w:basedOn w:val="Normal"/>
    <w:next w:val="Normal"/>
    <w:uiPriority w:val="99"/>
    <w:rsid w:val="005918D2"/>
    <w:pPr>
      <w:keepNext/>
      <w:tabs>
        <w:tab w:val="num" w:pos="680"/>
      </w:tabs>
      <w:spacing w:before="280" w:after="140" w:line="290" w:lineRule="auto"/>
      <w:ind w:left="680" w:hanging="680"/>
      <w:outlineLvl w:val="0"/>
    </w:pPr>
    <w:rPr>
      <w:rFonts w:ascii="Arial" w:eastAsia="Batang" w:hAnsi="Arial" w:cs="Times New Roman"/>
      <w:b/>
      <w:bCs/>
      <w:color w:val="404040"/>
      <w:kern w:val="20"/>
      <w:szCs w:val="32"/>
      <w:lang w:val="en-GB"/>
    </w:rPr>
  </w:style>
  <w:style w:type="paragraph" w:customStyle="1" w:styleId="Level2">
    <w:name w:val="Level 2"/>
    <w:basedOn w:val="Normal"/>
    <w:uiPriority w:val="99"/>
    <w:rsid w:val="005918D2"/>
    <w:pPr>
      <w:tabs>
        <w:tab w:val="num" w:pos="680"/>
      </w:tabs>
      <w:spacing w:after="140" w:line="290" w:lineRule="auto"/>
      <w:ind w:left="680" w:hanging="360"/>
    </w:pPr>
    <w:rPr>
      <w:rFonts w:ascii="Arial" w:eastAsia="Batang" w:hAnsi="Arial" w:cs="Times New Roman"/>
      <w:color w:val="404040"/>
      <w:kern w:val="20"/>
      <w:sz w:val="20"/>
      <w:szCs w:val="28"/>
      <w:lang w:val="en-GB"/>
    </w:rPr>
  </w:style>
  <w:style w:type="paragraph" w:customStyle="1" w:styleId="Level3">
    <w:name w:val="Level 3"/>
    <w:basedOn w:val="Normal"/>
    <w:uiPriority w:val="99"/>
    <w:rsid w:val="005918D2"/>
    <w:pPr>
      <w:tabs>
        <w:tab w:val="num" w:pos="1361"/>
      </w:tabs>
      <w:spacing w:after="140" w:line="290" w:lineRule="auto"/>
      <w:ind w:left="1361" w:hanging="681"/>
    </w:pPr>
    <w:rPr>
      <w:rFonts w:ascii="Arial" w:eastAsia="Batang" w:hAnsi="Arial" w:cs="Times New Roman"/>
      <w:color w:val="404040"/>
      <w:kern w:val="20"/>
      <w:sz w:val="20"/>
      <w:szCs w:val="28"/>
      <w:lang w:val="en-GB"/>
    </w:rPr>
  </w:style>
  <w:style w:type="paragraph" w:customStyle="1" w:styleId="Level4">
    <w:name w:val="Level 4"/>
    <w:basedOn w:val="Normal"/>
    <w:uiPriority w:val="99"/>
    <w:rsid w:val="005918D2"/>
    <w:pPr>
      <w:tabs>
        <w:tab w:val="num" w:pos="2041"/>
      </w:tabs>
      <w:spacing w:after="140" w:line="290" w:lineRule="auto"/>
      <w:ind w:left="2041" w:hanging="360"/>
    </w:pPr>
    <w:rPr>
      <w:rFonts w:ascii="Arial" w:eastAsia="Batang" w:hAnsi="Arial" w:cs="Times New Roman"/>
      <w:color w:val="404040"/>
      <w:kern w:val="20"/>
      <w:sz w:val="20"/>
      <w:szCs w:val="24"/>
      <w:lang w:val="en-GB"/>
    </w:rPr>
  </w:style>
  <w:style w:type="character" w:customStyle="1" w:styleId="apple-converted-space">
    <w:name w:val="apple-converted-space"/>
    <w:basedOn w:val="DefaultParagraphFont"/>
    <w:rsid w:val="005918D2"/>
  </w:style>
  <w:style w:type="numbering" w:customStyle="1" w:styleId="NoList2">
    <w:name w:val="No List2"/>
    <w:next w:val="NoList"/>
    <w:uiPriority w:val="99"/>
    <w:semiHidden/>
    <w:unhideWhenUsed/>
    <w:rsid w:val="005918D2"/>
  </w:style>
  <w:style w:type="table" w:customStyle="1" w:styleId="LightList-Accent32">
    <w:name w:val="Light List - Accent 3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
    <w:name w:val="Light List - Accent 3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
    <w:name w:val="Light Shading - Accent 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Indent">
    <w:name w:val="Body Text Indent"/>
    <w:basedOn w:val="Normal"/>
    <w:link w:val="BodyTextIndentChar"/>
    <w:uiPriority w:val="99"/>
    <w:unhideWhenUsed/>
    <w:rsid w:val="005918D2"/>
    <w:pPr>
      <w:ind w:firstLine="709"/>
      <w:jc w:val="center"/>
    </w:pPr>
    <w:rPr>
      <w:rFonts w:ascii="Cambria" w:eastAsia="Calibri" w:hAnsi="Cambria" w:cs="Times New Roman"/>
      <w:bCs/>
      <w:color w:val="404040"/>
      <w:sz w:val="21"/>
      <w:szCs w:val="21"/>
      <w:lang w:val="sr-Cyrl-CS"/>
    </w:rPr>
  </w:style>
  <w:style w:type="character" w:customStyle="1" w:styleId="BodyTextIndentChar">
    <w:name w:val="Body Text Indent Char"/>
    <w:basedOn w:val="DefaultParagraphFont"/>
    <w:link w:val="BodyTextIndent"/>
    <w:uiPriority w:val="99"/>
    <w:rsid w:val="005918D2"/>
    <w:rPr>
      <w:rFonts w:ascii="Cambria" w:eastAsia="Calibri" w:hAnsi="Cambria" w:cs="Times New Roman"/>
      <w:bCs/>
      <w:color w:val="404040"/>
      <w:sz w:val="21"/>
      <w:szCs w:val="21"/>
      <w:lang w:val="sr-Cyrl-CS"/>
    </w:rPr>
  </w:style>
  <w:style w:type="paragraph" w:styleId="BodyText2">
    <w:name w:val="Body Text 2"/>
    <w:basedOn w:val="Normal"/>
    <w:link w:val="BodyText2Char"/>
    <w:uiPriority w:val="99"/>
    <w:unhideWhenUsed/>
    <w:rsid w:val="005918D2"/>
    <w:pPr>
      <w:spacing w:line="480" w:lineRule="auto"/>
      <w:ind w:firstLine="709"/>
    </w:pPr>
    <w:rPr>
      <w:rFonts w:ascii="Cambria" w:eastAsia="Times New Roman" w:hAnsi="Cambria" w:cs="Tahoma"/>
      <w:bCs/>
      <w:color w:val="404040"/>
      <w:szCs w:val="24"/>
      <w:lang w:val="sr-Cyrl-CS"/>
    </w:rPr>
  </w:style>
  <w:style w:type="character" w:customStyle="1" w:styleId="BodyText2Char">
    <w:name w:val="Body Text 2 Char"/>
    <w:basedOn w:val="DefaultParagraphFont"/>
    <w:link w:val="BodyText2"/>
    <w:uiPriority w:val="99"/>
    <w:rsid w:val="005918D2"/>
    <w:rPr>
      <w:rFonts w:ascii="Cambria" w:eastAsia="Times New Roman" w:hAnsi="Cambria" w:cs="Tahoma"/>
      <w:bCs/>
      <w:color w:val="404040"/>
      <w:sz w:val="24"/>
      <w:szCs w:val="24"/>
      <w:lang w:val="sr-Cyrl-CS"/>
    </w:rPr>
  </w:style>
  <w:style w:type="paragraph" w:styleId="BodyTextIndent2">
    <w:name w:val="Body Text Indent 2"/>
    <w:basedOn w:val="Normal"/>
    <w:link w:val="BodyTextIndent2Char"/>
    <w:uiPriority w:val="99"/>
    <w:unhideWhenUsed/>
    <w:rsid w:val="005918D2"/>
    <w:pPr>
      <w:ind w:firstLine="708"/>
    </w:pPr>
    <w:rPr>
      <w:rFonts w:ascii="Cambria" w:eastAsia="Times New Roman" w:hAnsi="Cambria" w:cs="Tahoma"/>
      <w:bCs/>
      <w:color w:val="404040"/>
      <w:sz w:val="21"/>
      <w:szCs w:val="21"/>
      <w:lang w:val="sr-Cyrl-CS"/>
    </w:rPr>
  </w:style>
  <w:style w:type="character" w:customStyle="1" w:styleId="BodyTextIndent2Char">
    <w:name w:val="Body Text Indent 2 Char"/>
    <w:basedOn w:val="DefaultParagraphFont"/>
    <w:link w:val="BodyTextIndent2"/>
    <w:uiPriority w:val="99"/>
    <w:rsid w:val="005918D2"/>
    <w:rPr>
      <w:rFonts w:ascii="Cambria" w:eastAsia="Times New Roman" w:hAnsi="Cambria" w:cs="Tahoma"/>
      <w:bCs/>
      <w:color w:val="404040"/>
      <w:sz w:val="21"/>
      <w:szCs w:val="21"/>
      <w:lang w:val="sr-Cyrl-CS"/>
    </w:rPr>
  </w:style>
  <w:style w:type="paragraph" w:styleId="BodyText3">
    <w:name w:val="Body Text 3"/>
    <w:basedOn w:val="Normal"/>
    <w:link w:val="BodyText3Char"/>
    <w:uiPriority w:val="99"/>
    <w:unhideWhenUsed/>
    <w:rsid w:val="005918D2"/>
    <w:rPr>
      <w:rFonts w:ascii="Cambria" w:eastAsia="Times New Roman" w:hAnsi="Cambria" w:cs="Tahoma"/>
      <w:color w:val="404040"/>
      <w:kern w:val="20"/>
      <w:sz w:val="21"/>
      <w:szCs w:val="21"/>
      <w:lang w:val="sr-Cyrl-CS" w:eastAsia="ko-KR"/>
    </w:rPr>
  </w:style>
  <w:style w:type="character" w:customStyle="1" w:styleId="BodyText3Char">
    <w:name w:val="Body Text 3 Char"/>
    <w:basedOn w:val="DefaultParagraphFont"/>
    <w:link w:val="BodyText3"/>
    <w:uiPriority w:val="99"/>
    <w:rsid w:val="005918D2"/>
    <w:rPr>
      <w:rFonts w:ascii="Cambria" w:eastAsia="Times New Roman" w:hAnsi="Cambria" w:cs="Tahoma"/>
      <w:color w:val="404040"/>
      <w:kern w:val="20"/>
      <w:sz w:val="21"/>
      <w:szCs w:val="21"/>
      <w:lang w:val="sr-Cyrl-CS" w:eastAsia="ko-KR"/>
    </w:rPr>
  </w:style>
  <w:style w:type="paragraph" w:styleId="BodyTextIndent3">
    <w:name w:val="Body Text Indent 3"/>
    <w:basedOn w:val="Normal"/>
    <w:link w:val="BodyTextIndent3Char"/>
    <w:uiPriority w:val="99"/>
    <w:unhideWhenUsed/>
    <w:rsid w:val="005918D2"/>
    <w:pPr>
      <w:ind w:firstLine="709"/>
    </w:pPr>
    <w:rPr>
      <w:rFonts w:ascii="Cambria" w:eastAsia="Times New Roman" w:hAnsi="Cambria" w:cs="Tahoma"/>
      <w:color w:val="404040"/>
      <w:sz w:val="21"/>
      <w:szCs w:val="21"/>
      <w:lang w:val="sr-Cyrl-CS"/>
    </w:rPr>
  </w:style>
  <w:style w:type="character" w:customStyle="1" w:styleId="BodyTextIndent3Char">
    <w:name w:val="Body Text Indent 3 Char"/>
    <w:basedOn w:val="DefaultParagraphFont"/>
    <w:link w:val="BodyTextIndent3"/>
    <w:uiPriority w:val="99"/>
    <w:rsid w:val="005918D2"/>
    <w:rPr>
      <w:rFonts w:ascii="Cambria" w:eastAsia="Times New Roman" w:hAnsi="Cambria" w:cs="Tahoma"/>
      <w:color w:val="404040"/>
      <w:sz w:val="21"/>
      <w:szCs w:val="21"/>
      <w:lang w:val="sr-Cyrl-CS"/>
    </w:rPr>
  </w:style>
  <w:style w:type="table" w:customStyle="1" w:styleId="LightShading-Accent131">
    <w:name w:val="Light Shading - Accent 1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
    <w:name w:val="Light Shading - Accent 13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
    <w:name w:val="tabele 3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
    <w:name w:val="Light Shading - Accent 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
    <w:name w:val="Light List - Accent 52"/>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
    <w:name w:val="Light Shading - Accent 3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
    <w:name w:val="Light List - Accent 3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
    <w:name w:val="Light List - Accent 5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
    <w:name w:val="Light Grid - Accent 5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
    <w:name w:val="Светло сенчење – наглашавање 1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
    <w:name w:val="Light Grid - Accent 5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
    <w:name w:val="Light List - Accent 3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
    <w:name w:val="Light List - Accent 3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
    <w:name w:val="Light Shading - Accent 13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
    <w:name w:val="Light Shading - Accent 13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
    <w:name w:val="Light Shading - Accent 13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
    <w:name w:val="Light Shading - Accent 13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
    <w:name w:val="Light Shading - Accent 135"/>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
    <w:name w:val="Light Shading - Accent 136"/>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
    <w:name w:val="Light Shading - Accent 137"/>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
    <w:name w:val="tabele 32"/>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
    <w:name w:val="Light Shading - Accent 114"/>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
    <w:name w:val="Light List - Accent 53"/>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
    <w:name w:val="Light Shading - Accent 312"/>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
    <w:name w:val="Light List - Accent 3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
    <w:name w:val="Light List - Accent 512"/>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
    <w:name w:val="Light Grid - Accent 5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
    <w:name w:val="Светло сенчење – наглашавање 112"/>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
    <w:name w:val="Light Grid - Accent 5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
    <w:name w:val="Light List - Accent 32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
    <w:name w:val="Light List - Accent 31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
    <w:name w:val="Light Shading - Accent 138"/>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
    <w:name w:val="Light Shading - Accent 13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
    <w:name w:val="Light Shading - Accent 132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
    <w:name w:val="Light Shading - Accent 139"/>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
    <w:name w:val="Light Shading - Accent 116"/>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
    <w:name w:val="Light Shading - Accent 1310"/>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
    <w:name w:val="Light Shading - Accent 13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
    <w:name w:val="tabele 33"/>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
    <w:name w:val="Light Shading - Accent 117"/>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
    <w:name w:val="Light Shading - Accent 34"/>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
    <w:name w:val="Light List - Accent 54"/>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
    <w:name w:val="Light Shading - Accent 313"/>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
    <w:name w:val="Light List - Accent 314"/>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
    <w:name w:val="Light List - Accent 513"/>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
    <w:name w:val="Light Grid - Accent 5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
    <w:name w:val="Светло сенчење – наглашавање 113"/>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
    <w:name w:val="Light Grid - Accent 54"/>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
    <w:name w:val="Light Shading - Accent 123"/>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
    <w:name w:val="Light List - Accent 323"/>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
    <w:name w:val="Light List - Accent 31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
    <w:name w:val="Light Shading - Accent 131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
    <w:name w:val="Light Shading - Accent 1315"/>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
    <w:name w:val="Light Shading - Accent 132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
    <w:name w:val="Light Shading - Accent 1316"/>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
    <w:name w:val="Light Shading - Accent 138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
    <w:name w:val="Light Shading - Accent 118"/>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
    <w:name w:val="Light Shading - Accent 139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
    <w:name w:val="Light Shading - Accent 116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
    <w:name w:val="Light Shading - Accent 1310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
    <w:name w:val="Light Shading - Accent 136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llowedHyperlink1">
    <w:name w:val="FollowedHyperlink1"/>
    <w:basedOn w:val="DefaultParagraphFont"/>
    <w:uiPriority w:val="99"/>
    <w:semiHidden/>
    <w:unhideWhenUsed/>
    <w:rsid w:val="005918D2"/>
    <w:rPr>
      <w:color w:val="919191"/>
      <w:u w:val="single"/>
    </w:rPr>
  </w:style>
  <w:style w:type="table" w:customStyle="1" w:styleId="LightShading-Accent119">
    <w:name w:val="Light Shading - Accent 119"/>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
    <w:name w:val="Light Shading - Accent 14"/>
    <w:basedOn w:val="TableNormal"/>
    <w:next w:val="LightShading-Accent1"/>
    <w:uiPriority w:val="60"/>
    <w:rsid w:val="005918D2"/>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paragraph" w:styleId="HTMLPreformatted">
    <w:name w:val="HTML Preformatted"/>
    <w:basedOn w:val="Normal"/>
    <w:link w:val="HTMLPreformattedChar"/>
    <w:uiPriority w:val="99"/>
    <w:semiHidden/>
    <w:unhideWhenUsed/>
    <w:rsid w:val="005918D2"/>
    <w:pPr>
      <w:spacing w:after="0"/>
      <w:ind w:firstLine="709"/>
    </w:pPr>
    <w:rPr>
      <w:rFonts w:ascii="Consolas" w:eastAsia="Times New Roman" w:hAnsi="Consolas" w:cs="Consolas"/>
      <w:bCs/>
      <w:color w:val="404040"/>
      <w:sz w:val="20"/>
      <w:szCs w:val="20"/>
      <w:lang w:val="sr-Cyrl-CS"/>
    </w:rPr>
  </w:style>
  <w:style w:type="character" w:customStyle="1" w:styleId="HTMLPreformattedChar">
    <w:name w:val="HTML Preformatted Char"/>
    <w:basedOn w:val="DefaultParagraphFont"/>
    <w:link w:val="HTMLPreformatted"/>
    <w:uiPriority w:val="99"/>
    <w:semiHidden/>
    <w:rsid w:val="005918D2"/>
    <w:rPr>
      <w:rFonts w:ascii="Consolas" w:eastAsia="Times New Roman" w:hAnsi="Consolas" w:cs="Consolas"/>
      <w:bCs/>
      <w:color w:val="404040"/>
      <w:sz w:val="20"/>
      <w:szCs w:val="20"/>
      <w:lang w:val="sr-Cyrl-CS"/>
    </w:rPr>
  </w:style>
  <w:style w:type="table" w:customStyle="1" w:styleId="LightShading-Accent331">
    <w:name w:val="Light Shading - Accent 3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
    <w:name w:val="Light Shading - Accent 33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
    <w:name w:val="Light Shading - Accent 33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
    <w:name w:val="Light Shading - Accent 34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
    <w:name w:val="Light Shading - Accent 34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
    <w:name w:val="Light Grid - Accent 514"/>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
    <w:name w:val="Light Grid - Accent 55"/>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
    <w:name w:val="Light Grid - Accent 5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
    <w:name w:val="Light Grid - Accent 5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
    <w:name w:val="Light Grid - Accent 5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
    <w:name w:val="Light Grid - Accent 53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
    <w:name w:val="Light Grid - Accent 513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
    <w:name w:val="Light Grid - Accent 54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
    <w:name w:val="Light Shading - Accent 61"/>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character" w:customStyle="1" w:styleId="ListBulletChar">
    <w:name w:val="List Bullet Char"/>
    <w:basedOn w:val="DefaultParagraphFont"/>
    <w:link w:val="ListBullet1"/>
    <w:uiPriority w:val="99"/>
    <w:locked/>
    <w:rsid w:val="005918D2"/>
    <w:rPr>
      <w:rFonts w:ascii="Times New Roman" w:eastAsia="MS PGothic" w:hAnsi="Times New Roman"/>
      <w:color w:val="595959"/>
      <w:kern w:val="20"/>
      <w:sz w:val="20"/>
      <w:szCs w:val="20"/>
      <w:lang w:eastAsia="ja-JP"/>
    </w:rPr>
  </w:style>
  <w:style w:type="table" w:customStyle="1" w:styleId="GridTable6Colorful-Accent41">
    <w:name w:val="Grid Table 6 Colorful - Accent 41"/>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
    <w:name w:val="Light Shading - Accent 611"/>
    <w:basedOn w:val="TableNormal"/>
    <w:next w:val="LightShading-Accent6"/>
    <w:uiPriority w:val="60"/>
    <w:rsid w:val="005918D2"/>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
    <w:name w:val="Grid Table 6 Colorful - Accent 31"/>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
    <w:name w:val="Grid Table 4 - Accent 51"/>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
    <w:name w:val="Grid Table 5 Dark - Accent 51"/>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a">
    <w:name w:val="ФС"/>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1">
    <w:name w:val="List Table 6 Colorful - Accent 31"/>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
    <w:name w:val="Grid Table 1 Light - Accent 11"/>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
    <w:name w:val="List Table 2 - Accent 11"/>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
    <w:name w:val="List Table 2 - Accent 51"/>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
    <w:name w:val="Grid Table 2 - Accent 51"/>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
    <w:name w:val="Table Grid2"/>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
    <w:name w:val="Light Shading - Accent 124"/>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
    <w:name w:val="Grid Table 6 Colorful - Accent 512"/>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
    <w:name w:val="Grid Table 6 Colorful - Accent 513"/>
    <w:basedOn w:val="TableNormal"/>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
    <w:name w:val="No List3"/>
    <w:next w:val="NoList"/>
    <w:uiPriority w:val="99"/>
    <w:semiHidden/>
    <w:unhideWhenUsed/>
    <w:rsid w:val="005918D2"/>
  </w:style>
  <w:style w:type="table" w:customStyle="1" w:styleId="TableGrid3">
    <w:name w:val="Table Grid3"/>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
    <w:name w:val="Financial Table1"/>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
    <w:name w:val="Grid Table 6 Colorful - Accent 53"/>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
    <w:name w:val="Light Shading - Accent 125"/>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
    <w:name w:val="Grid Table 6 Colorful - Accent 514"/>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
    <w:name w:val="Light Shading - Accent 121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
    <w:name w:val="Grid Table 6 Colorful - Accent 511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
    <w:name w:val="Grid Table 6 Colorful - Accent 12"/>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
    <w:name w:val="Light Shading - Accent 122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
    <w:name w:val="Grid Table 6 Colorful - Accent 52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
    <w:name w:val="tabele 34"/>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
    <w:name w:val="Light Shading - Accent 1110"/>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
    <w:name w:val="Light Shading - Accent 35"/>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
    <w:name w:val="Light List - Accent 55"/>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
    <w:name w:val="Light Shading - Accent 314"/>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
    <w:name w:val="Light List - Accent 315"/>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
    <w:name w:val="Table Grid11"/>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
    <w:name w:val="Light List - Accent 514"/>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
    <w:name w:val="Medium List 1 - Accent 511"/>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
    <w:name w:val="Medium List 1 - Accent 52"/>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
    <w:name w:val="No List111"/>
    <w:next w:val="NoList"/>
    <w:uiPriority w:val="99"/>
    <w:semiHidden/>
    <w:unhideWhenUsed/>
    <w:rsid w:val="005918D2"/>
  </w:style>
  <w:style w:type="table" w:customStyle="1" w:styleId="LightGrid-Accent515">
    <w:name w:val="Light Grid - Accent 515"/>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
    <w:name w:val="Светло сенчење – наглашавање 114"/>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
    <w:name w:val="Light Grid - Accent 56"/>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
    <w:name w:val="tabele za ifs1"/>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1">
    <w:name w:val="tabele za ifs 11"/>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
    <w:name w:val="Colorful List - Accent 11"/>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
    <w:name w:val="No List21"/>
    <w:next w:val="NoList"/>
    <w:uiPriority w:val="99"/>
    <w:semiHidden/>
    <w:unhideWhenUsed/>
    <w:rsid w:val="005918D2"/>
  </w:style>
  <w:style w:type="table" w:customStyle="1" w:styleId="LightList-Accent324">
    <w:name w:val="Light List - Accent 324"/>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
    <w:name w:val="Light List - Accent 3114"/>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
    <w:name w:val="Light Shading - Accent 1317"/>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
    <w:name w:val="Light Shading - Accent 1318"/>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
    <w:name w:val="Light Shading - Accent 132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
    <w:name w:val="tabele 31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
    <w:name w:val="Light Shading - Accent 1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
    <w:name w:val="Light Shading - Accent 3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
    <w:name w:val="Light List - Accent 52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
    <w:name w:val="Light Shading - Accent 31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
    <w:name w:val="Light List - Accent 3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
    <w:name w:val="Light List - Accent 51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
    <w:name w:val="Light Grid - Accent 51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
    <w:name w:val="Светло сенчење – наглашавање 11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
    <w:name w:val="Light Grid - Accent 52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
    <w:name w:val="Light List - Accent 321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
    <w:name w:val="Light List - Accent 31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
    <w:name w:val="Light Shading - Accent 13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
    <w:name w:val="Light Shading - Accent 13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
    <w:name w:val="Light Shading - Accent 132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
    <w:name w:val="Light Shading - Accent 1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
    <w:name w:val="Light Shading - Accent 134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
    <w:name w:val="Light Shading - Accent 11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
    <w:name w:val="Light Shading - Accent 135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
    <w:name w:val="Light Shading - Accent 136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
    <w:name w:val="Light Shading - Accent 137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
    <w:name w:val="tabele 32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
    <w:name w:val="Light Shading - Accent 114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
    <w:name w:val="Light Shading - Accent 334"/>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
    <w:name w:val="Light List - Accent 53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
    <w:name w:val="Light Shading - Accent 312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
    <w:name w:val="Light List - Accent 31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
    <w:name w:val="Light List - Accent 512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
    <w:name w:val="Light Grid - Accent 512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
    <w:name w:val="Светло сенчење – наглашавање 112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
    <w:name w:val="Light Grid - Accent 53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
    <w:name w:val="Light List - Accent 32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
    <w:name w:val="Light List - Accent 31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
    <w:name w:val="Light Shading - Accent 138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
    <w:name w:val="Light Shading - Accent 13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
    <w:name w:val="Light Shading - Accent 132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
    <w:name w:val="Light Shading - Accent 115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
    <w:name w:val="Light Shading - Accent 139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
    <w:name w:val="Light Shading - Accent 116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
    <w:name w:val="Light Shading - Accent 1310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
    <w:name w:val="Light Shading - Accent 131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
    <w:name w:val="tabele 33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
    <w:name w:val="Light Shading - Accent 117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
    <w:name w:val="Light Shading - Accent 34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
    <w:name w:val="Light List - Accent 54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
    <w:name w:val="Light Shading - Accent 313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
    <w:name w:val="Light List - Accent 314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
    <w:name w:val="Light List - Accent 513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
    <w:name w:val="Light Grid - Accent 513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
    <w:name w:val="Светло сенчење – наглашавање 113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
    <w:name w:val="Light Grid - Accent 54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
    <w:name w:val="Light Shading - Accent 123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
    <w:name w:val="Light List - Accent 323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
    <w:name w:val="Light List - Accent 311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
    <w:name w:val="Light Shading - Accent 1314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
    <w:name w:val="Light Shading - Accent 1315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
    <w:name w:val="Light Shading - Accent 132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
    <w:name w:val="Light Shading - Accent 1316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
    <w:name w:val="Light Shading - Accent 138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
    <w:name w:val="Light Shading - Accent 118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
    <w:name w:val="Light Shading - Accent 139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
    <w:name w:val="Light Shading - Accent 116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
    <w:name w:val="Light Shading - Accent 1310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
    <w:name w:val="Light Shading - Accent 136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
    <w:name w:val="Light Shading - Accent 119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
    <w:name w:val="Light Shading - Accent 33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
    <w:name w:val="Light Shading - Accent 33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
    <w:name w:val="Light Shading - Accent 33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
    <w:name w:val="Light Shading - Accent 34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
    <w:name w:val="Light Shading - Accent 34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
    <w:name w:val="Light Grid - Accent 514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
    <w:name w:val="Light Grid - Accent 55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
    <w:name w:val="Light Grid - Accent 51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
    <w:name w:val="Light Grid - Accent 52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
    <w:name w:val="Light Grid - Accent 512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
    <w:name w:val="Light Grid - Accent 53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
    <w:name w:val="Light Grid - Accent 513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
    <w:name w:val="Light Grid - Accent 54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
    <w:name w:val="Light Shading - Accent 62"/>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
    <w:name w:val="Grid Table 6 Colorful - Accent 42"/>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
    <w:name w:val="Grid Table 6 Colorful - Accent 32"/>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
    <w:name w:val="Grid Table 4 - Accent 52"/>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
    <w:name w:val="Grid Table 5 Dark - Accent 52"/>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
    <w:name w:val="ФС1"/>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2">
    <w:name w:val="List Table 6 Colorful - Accent 32"/>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
    <w:name w:val="Grid Table 1 Light - Accent 12"/>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
    <w:name w:val="List Table 1 Light - Accent 12"/>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
    <w:name w:val="List Table 2 - Accent 12"/>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
    <w:name w:val="List Table 2 - Accent 52"/>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
    <w:name w:val="Grid Table 2 - Accent 52"/>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
    <w:name w:val="Grid Table 6 Colorful - Accent 411"/>
    <w:basedOn w:val="TableNormal"/>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
    <w:name w:val="Grid Table 6 Colorful - Accent 311"/>
    <w:basedOn w:val="TableNormal"/>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
    <w:name w:val="Table Grid2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
    <w:name w:val="Light Shading - Accent 124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
    <w:name w:val="Light Shading - Accent 125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paragraph" w:styleId="Footer">
    <w:name w:val="footer"/>
    <w:basedOn w:val="Normal"/>
    <w:link w:val="FooterChar1"/>
    <w:uiPriority w:val="99"/>
    <w:unhideWhenUsed/>
    <w:rsid w:val="005918D2"/>
    <w:pPr>
      <w:tabs>
        <w:tab w:val="center" w:pos="4680"/>
        <w:tab w:val="right" w:pos="9360"/>
      </w:tabs>
      <w:spacing w:after="0"/>
    </w:pPr>
  </w:style>
  <w:style w:type="character" w:customStyle="1" w:styleId="FooterChar1">
    <w:name w:val="Footer Char1"/>
    <w:basedOn w:val="DefaultParagraphFont"/>
    <w:link w:val="Footer"/>
    <w:uiPriority w:val="99"/>
    <w:rsid w:val="005918D2"/>
    <w:rPr>
      <w:rFonts w:ascii="Times New Roman" w:hAnsi="Times New Roman"/>
      <w:sz w:val="24"/>
    </w:rPr>
  </w:style>
  <w:style w:type="paragraph" w:styleId="Title">
    <w:name w:val="Title"/>
    <w:basedOn w:val="Normal"/>
    <w:next w:val="Normal"/>
    <w:link w:val="TitleChar"/>
    <w:qFormat/>
    <w:rsid w:val="005918D2"/>
    <w:pPr>
      <w:spacing w:after="0"/>
      <w:contextualSpacing/>
    </w:pPr>
    <w:rPr>
      <w:rFonts w:ascii="Arial" w:eastAsia="MS PGothic" w:hAnsi="Arial" w:cs="Arial"/>
      <w:color w:val="EF4623"/>
      <w:spacing w:val="-10"/>
      <w:sz w:val="56"/>
      <w:szCs w:val="56"/>
    </w:rPr>
  </w:style>
  <w:style w:type="character" w:customStyle="1" w:styleId="TitleChar2">
    <w:name w:val="Title Char2"/>
    <w:basedOn w:val="DefaultParagraphFont"/>
    <w:uiPriority w:val="10"/>
    <w:rsid w:val="005918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5918D2"/>
    <w:pPr>
      <w:numPr>
        <w:ilvl w:val="1"/>
      </w:numPr>
    </w:pPr>
    <w:rPr>
      <w:rFonts w:ascii="Arial" w:eastAsia="MS PGothic" w:hAnsi="Arial" w:cs="Arial"/>
      <w:szCs w:val="24"/>
    </w:rPr>
  </w:style>
  <w:style w:type="character" w:customStyle="1" w:styleId="SubtitleChar1">
    <w:name w:val="Subtitle Char1"/>
    <w:basedOn w:val="DefaultParagraphFont"/>
    <w:uiPriority w:val="11"/>
    <w:rsid w:val="005918D2"/>
    <w:rPr>
      <w:rFonts w:eastAsiaTheme="minorEastAsia"/>
      <w:color w:val="5A5A5A" w:themeColor="text1" w:themeTint="A5"/>
      <w:spacing w:val="15"/>
    </w:rPr>
  </w:style>
  <w:style w:type="character" w:styleId="Hyperlink">
    <w:name w:val="Hyperlink"/>
    <w:basedOn w:val="DefaultParagraphFont"/>
    <w:uiPriority w:val="99"/>
    <w:unhideWhenUsed/>
    <w:rsid w:val="005918D2"/>
    <w:rPr>
      <w:color w:val="0563C1" w:themeColor="hyperlink"/>
      <w:u w:val="single"/>
    </w:rPr>
  </w:style>
  <w:style w:type="character" w:customStyle="1" w:styleId="Heading2Char1">
    <w:name w:val="Heading 2 Char1"/>
    <w:basedOn w:val="DefaultParagraphFont"/>
    <w:uiPriority w:val="9"/>
    <w:semiHidden/>
    <w:rsid w:val="005918D2"/>
    <w:rPr>
      <w:rFonts w:asciiTheme="majorHAnsi" w:eastAsiaTheme="majorEastAsia" w:hAnsiTheme="majorHAnsi" w:cstheme="majorBidi"/>
      <w:color w:val="2E74B5" w:themeColor="accent1" w:themeShade="BF"/>
      <w:sz w:val="26"/>
      <w:szCs w:val="26"/>
    </w:rPr>
  </w:style>
  <w:style w:type="paragraph" w:styleId="Quote">
    <w:name w:val="Quote"/>
    <w:basedOn w:val="Normal"/>
    <w:next w:val="Normal"/>
    <w:link w:val="QuoteChar"/>
    <w:uiPriority w:val="29"/>
    <w:qFormat/>
    <w:rsid w:val="005918D2"/>
    <w:pPr>
      <w:spacing w:before="200"/>
      <w:ind w:left="864" w:right="864"/>
      <w:jc w:val="center"/>
    </w:pPr>
    <w:rPr>
      <w:rFonts w:asciiTheme="minorHAnsi" w:hAnsiTheme="minorHAnsi"/>
      <w:i/>
      <w:iCs/>
      <w:color w:val="404040"/>
      <w:sz w:val="22"/>
    </w:rPr>
  </w:style>
  <w:style w:type="character" w:customStyle="1" w:styleId="QuoteChar1">
    <w:name w:val="Quote Char1"/>
    <w:basedOn w:val="DefaultParagraphFont"/>
    <w:uiPriority w:val="29"/>
    <w:rsid w:val="005918D2"/>
    <w:rPr>
      <w:rFonts w:ascii="Times New Roman" w:hAnsi="Times New Roman"/>
      <w:i/>
      <w:iCs/>
      <w:color w:val="404040" w:themeColor="text1" w:themeTint="BF"/>
      <w:sz w:val="24"/>
    </w:rPr>
  </w:style>
  <w:style w:type="paragraph" w:styleId="Signature">
    <w:name w:val="Signature"/>
    <w:basedOn w:val="Normal"/>
    <w:link w:val="SignatureChar1"/>
    <w:uiPriority w:val="99"/>
    <w:unhideWhenUsed/>
    <w:rsid w:val="005918D2"/>
    <w:pPr>
      <w:spacing w:after="0"/>
      <w:ind w:left="4252"/>
    </w:pPr>
  </w:style>
  <w:style w:type="character" w:customStyle="1" w:styleId="SignatureChar1">
    <w:name w:val="Signature Char1"/>
    <w:basedOn w:val="DefaultParagraphFont"/>
    <w:link w:val="Signature"/>
    <w:uiPriority w:val="99"/>
    <w:rsid w:val="005918D2"/>
    <w:rPr>
      <w:rFonts w:ascii="Times New Roman" w:hAnsi="Times New Roman"/>
      <w:sz w:val="24"/>
    </w:rPr>
  </w:style>
  <w:style w:type="paragraph" w:styleId="ListBullet">
    <w:name w:val="List Bullet"/>
    <w:basedOn w:val="Normal"/>
    <w:uiPriority w:val="99"/>
    <w:unhideWhenUsed/>
    <w:qFormat/>
    <w:rsid w:val="005918D2"/>
    <w:pPr>
      <w:ind w:left="576" w:hanging="288"/>
      <w:contextualSpacing/>
    </w:pPr>
  </w:style>
  <w:style w:type="paragraph" w:styleId="ListNumber">
    <w:name w:val="List Number"/>
    <w:basedOn w:val="Normal"/>
    <w:uiPriority w:val="99"/>
    <w:unhideWhenUsed/>
    <w:rsid w:val="005918D2"/>
    <w:pPr>
      <w:ind w:left="360" w:hanging="360"/>
      <w:contextualSpacing/>
    </w:pPr>
  </w:style>
  <w:style w:type="paragraph" w:styleId="ListNumber2">
    <w:name w:val="List Number 2"/>
    <w:basedOn w:val="Normal"/>
    <w:uiPriority w:val="99"/>
    <w:unhideWhenUsed/>
    <w:rsid w:val="005918D2"/>
    <w:pPr>
      <w:numPr>
        <w:numId w:val="3"/>
      </w:numPr>
      <w:contextualSpacing/>
    </w:pPr>
  </w:style>
  <w:style w:type="paragraph" w:styleId="ListNumber3">
    <w:name w:val="List Number 3"/>
    <w:basedOn w:val="Normal"/>
    <w:uiPriority w:val="99"/>
    <w:unhideWhenUsed/>
    <w:rsid w:val="005918D2"/>
    <w:pPr>
      <w:ind w:left="630" w:hanging="360"/>
      <w:contextualSpacing/>
    </w:pPr>
  </w:style>
  <w:style w:type="paragraph" w:styleId="ListNumber4">
    <w:name w:val="List Number 4"/>
    <w:basedOn w:val="Normal"/>
    <w:uiPriority w:val="99"/>
    <w:unhideWhenUsed/>
    <w:rsid w:val="005918D2"/>
    <w:pPr>
      <w:numPr>
        <w:numId w:val="5"/>
      </w:numPr>
      <w:contextualSpacing/>
    </w:pPr>
  </w:style>
  <w:style w:type="paragraph" w:styleId="ListNumber5">
    <w:name w:val="List Number 5"/>
    <w:basedOn w:val="Normal"/>
    <w:uiPriority w:val="99"/>
    <w:unhideWhenUsed/>
    <w:rsid w:val="005918D2"/>
    <w:pPr>
      <w:numPr>
        <w:numId w:val="6"/>
      </w:numPr>
      <w:contextualSpacing/>
    </w:pPr>
  </w:style>
  <w:style w:type="table" w:styleId="LightShading">
    <w:name w:val="Light Shading"/>
    <w:basedOn w:val="TableNormal"/>
    <w:uiPriority w:val="60"/>
    <w:unhideWhenUsed/>
    <w:rsid w:val="005918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
    <w:name w:val="Grid Table 6 Colorful - Accent 54"/>
    <w:basedOn w:val="TableNormal"/>
    <w:uiPriority w:val="51"/>
    <w:rsid w:val="005918D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3Char1">
    <w:name w:val="Heading 3 Char1"/>
    <w:basedOn w:val="DefaultParagraphFont"/>
    <w:uiPriority w:val="9"/>
    <w:semiHidden/>
    <w:rsid w:val="005918D2"/>
    <w:rPr>
      <w:rFonts w:asciiTheme="majorHAnsi" w:eastAsiaTheme="majorEastAsia" w:hAnsiTheme="majorHAnsi" w:cstheme="majorBidi"/>
      <w:color w:val="1F4D78" w:themeColor="accent1" w:themeShade="7F"/>
      <w:sz w:val="24"/>
      <w:szCs w:val="24"/>
    </w:rPr>
  </w:style>
  <w:style w:type="table" w:customStyle="1" w:styleId="GridTable6Colorful-Accent13">
    <w:name w:val="Grid Table 6 Colorful - Accent 13"/>
    <w:basedOn w:val="TableNormal"/>
    <w:uiPriority w:val="51"/>
    <w:rsid w:val="005918D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2">
    <w:name w:val="Heading 4 Char2"/>
    <w:basedOn w:val="DefaultParagraphFont"/>
    <w:uiPriority w:val="9"/>
    <w:semiHidden/>
    <w:rsid w:val="005918D2"/>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5918D2"/>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5918D2"/>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5918D2"/>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5918D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5918D2"/>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5918D2"/>
    <w:pPr>
      <w:pBdr>
        <w:top w:val="single" w:sz="4" w:space="10" w:color="5B9BD5" w:themeColor="accent1"/>
        <w:bottom w:val="single" w:sz="4" w:space="10" w:color="5B9BD5" w:themeColor="accent1"/>
      </w:pBdr>
      <w:spacing w:before="360" w:after="360"/>
      <w:ind w:left="864" w:right="864"/>
      <w:jc w:val="center"/>
    </w:pPr>
    <w:rPr>
      <w:rFonts w:ascii="Arial" w:eastAsia="MS PGothic" w:hAnsi="Arial" w:cs="Arial"/>
      <w:color w:val="EF4623"/>
      <w:sz w:val="28"/>
      <w:szCs w:val="28"/>
    </w:rPr>
  </w:style>
  <w:style w:type="character" w:customStyle="1" w:styleId="IntenseQuoteChar1">
    <w:name w:val="Intense Quote Char1"/>
    <w:basedOn w:val="DefaultParagraphFont"/>
    <w:uiPriority w:val="30"/>
    <w:rsid w:val="005918D2"/>
    <w:rPr>
      <w:rFonts w:ascii="Times New Roman" w:hAnsi="Times New Roman"/>
      <w:i/>
      <w:iCs/>
      <w:color w:val="5B9BD5" w:themeColor="accent1"/>
      <w:sz w:val="24"/>
    </w:rPr>
  </w:style>
  <w:style w:type="character" w:styleId="SubtleEmphasis">
    <w:name w:val="Subtle Emphasis"/>
    <w:basedOn w:val="DefaultParagraphFont"/>
    <w:uiPriority w:val="19"/>
    <w:qFormat/>
    <w:rsid w:val="005918D2"/>
    <w:rPr>
      <w:i/>
      <w:iCs/>
      <w:color w:val="404040" w:themeColor="text1" w:themeTint="BF"/>
    </w:rPr>
  </w:style>
  <w:style w:type="character" w:styleId="SubtleReference">
    <w:name w:val="Subtle Reference"/>
    <w:basedOn w:val="DefaultParagraphFont"/>
    <w:uiPriority w:val="31"/>
    <w:qFormat/>
    <w:rsid w:val="005918D2"/>
    <w:rPr>
      <w:smallCaps/>
      <w:color w:val="5A5A5A" w:themeColor="text1" w:themeTint="A5"/>
    </w:rPr>
  </w:style>
  <w:style w:type="character" w:styleId="FollowedHyperlink">
    <w:name w:val="FollowedHyperlink"/>
    <w:basedOn w:val="DefaultParagraphFont"/>
    <w:uiPriority w:val="99"/>
    <w:semiHidden/>
    <w:unhideWhenUsed/>
    <w:rsid w:val="005918D2"/>
    <w:rPr>
      <w:color w:val="954F72" w:themeColor="followedHyperlink"/>
      <w:u w:val="single"/>
    </w:rPr>
  </w:style>
  <w:style w:type="table" w:styleId="LightShading-Accent1">
    <w:name w:val="Light Shading Accent 1"/>
    <w:basedOn w:val="TableNormal"/>
    <w:uiPriority w:val="60"/>
    <w:unhideWhenUsed/>
    <w:rsid w:val="005918D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6">
    <w:name w:val="Light Shading Accent 6"/>
    <w:basedOn w:val="TableNormal"/>
    <w:uiPriority w:val="60"/>
    <w:unhideWhenUsed/>
    <w:rsid w:val="005918D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
    <w:name w:val="Grid Table 6 Colorful - Accent 43"/>
    <w:basedOn w:val="TableNormal"/>
    <w:uiPriority w:val="51"/>
    <w:rsid w:val="005918D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
    <w:name w:val="Grid Table 6 Colorful - Accent 33"/>
    <w:basedOn w:val="TableNormal"/>
    <w:uiPriority w:val="51"/>
    <w:rsid w:val="005918D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
    <w:name w:val="Grid Table 4 - Accent 53"/>
    <w:basedOn w:val="TableNormal"/>
    <w:uiPriority w:val="49"/>
    <w:rsid w:val="005918D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
    <w:name w:val="Grid Table 5 Dark - Accent 53"/>
    <w:basedOn w:val="TableNormal"/>
    <w:uiPriority w:val="50"/>
    <w:rsid w:val="00591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
    <w:name w:val="List Table 6 Colorful - Accent 33"/>
    <w:basedOn w:val="TableNormal"/>
    <w:uiPriority w:val="51"/>
    <w:rsid w:val="005918D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
    <w:name w:val="Grid Table 1 Light - Accent 13"/>
    <w:basedOn w:val="TableNormal"/>
    <w:uiPriority w:val="46"/>
    <w:rsid w:val="005918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
    <w:name w:val="List Table 1 Light - Accent 13"/>
    <w:basedOn w:val="TableNormal"/>
    <w:uiPriority w:val="46"/>
    <w:rsid w:val="005918D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
    <w:name w:val="List Table 2 - Accent 13"/>
    <w:basedOn w:val="TableNormal"/>
    <w:uiPriority w:val="47"/>
    <w:rsid w:val="005918D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
    <w:name w:val="List Table 2 - Accent 53"/>
    <w:basedOn w:val="TableNormal"/>
    <w:uiPriority w:val="47"/>
    <w:rsid w:val="005918D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
    <w:name w:val="Grid Table 2 - Accent 53"/>
    <w:basedOn w:val="TableNormal"/>
    <w:uiPriority w:val="47"/>
    <w:rsid w:val="005918D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LineNumber">
    <w:name w:val="line number"/>
    <w:basedOn w:val="DefaultParagraphFont"/>
    <w:uiPriority w:val="99"/>
    <w:semiHidden/>
    <w:unhideWhenUsed/>
    <w:rsid w:val="005918D2"/>
  </w:style>
  <w:style w:type="table" w:customStyle="1" w:styleId="TableGrid22">
    <w:name w:val="Table Grid22"/>
    <w:basedOn w:val="TableNormal"/>
    <w:next w:val="TableGrid"/>
    <w:uiPriority w:val="39"/>
    <w:rsid w:val="005918D2"/>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Caption">
    <w:name w:val="caption"/>
    <w:basedOn w:val="Normal"/>
    <w:next w:val="Normal"/>
    <w:uiPriority w:val="35"/>
    <w:unhideWhenUsed/>
    <w:qFormat/>
    <w:rsid w:val="005918D2"/>
    <w:rPr>
      <w:rFonts w:eastAsiaTheme="minorEastAsia"/>
      <w:b/>
      <w:bCs/>
      <w:smallCaps/>
      <w:color w:val="595959" w:themeColor="text1" w:themeTint="A6"/>
      <w:spacing w:val="6"/>
      <w:sz w:val="20"/>
      <w:szCs w:val="20"/>
      <w:lang w:eastAsia="ja-JP"/>
    </w:rPr>
  </w:style>
  <w:style w:type="numbering" w:customStyle="1" w:styleId="NoList4">
    <w:name w:val="No List4"/>
    <w:next w:val="NoList"/>
    <w:uiPriority w:val="99"/>
    <w:semiHidden/>
    <w:unhideWhenUsed/>
    <w:rsid w:val="005918D2"/>
  </w:style>
  <w:style w:type="numbering" w:customStyle="1" w:styleId="NoList12">
    <w:name w:val="No List12"/>
    <w:next w:val="NoList"/>
    <w:uiPriority w:val="99"/>
    <w:semiHidden/>
    <w:unhideWhenUsed/>
    <w:rsid w:val="005918D2"/>
  </w:style>
  <w:style w:type="table" w:customStyle="1" w:styleId="TableGrid4">
    <w:name w:val="Table Grid4"/>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
    <w:name w:val="Financial Table2"/>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
    <w:name w:val="Light Shading11"/>
    <w:basedOn w:val="TableNormal"/>
    <w:next w:val="LightShading"/>
    <w:uiPriority w:val="60"/>
    <w:rsid w:val="005918D2"/>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
    <w:name w:val="Grid Table 6 Colorful - Accent 515"/>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
    <w:name w:val="Light Shading - Accent 126"/>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
    <w:name w:val="Grid Table 6 Colorful - Accent 5112"/>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
    <w:name w:val="Light Shading - Accent 1212"/>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
    <w:name w:val="Grid Table 6 Colorful - Accent 111"/>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
    <w:name w:val="Light Shading - Accent 1222"/>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
    <w:name w:val="Grid Table 6 Colorful - Accent 522"/>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
    <w:name w:val="tabele 35"/>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
    <w:name w:val="Light Shading - Accent 11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
    <w:name w:val="Light Shading - Accent 36"/>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
    <w:name w:val="Light Shading - Accent 315"/>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
    <w:name w:val="Light List - Accent 316"/>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
    <w:name w:val="Table Grid12"/>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
    <w:name w:val="Light List - Accent 515"/>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
    <w:name w:val="Medium List 1 - Accent 512"/>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
    <w:name w:val="Medium List 1 - Accent 53"/>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
    <w:name w:val="No List112"/>
    <w:next w:val="NoList"/>
    <w:uiPriority w:val="99"/>
    <w:semiHidden/>
    <w:unhideWhenUsed/>
    <w:rsid w:val="005918D2"/>
  </w:style>
  <w:style w:type="table" w:customStyle="1" w:styleId="LightGrid-Accent516">
    <w:name w:val="Light Grid - Accent 516"/>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
    <w:name w:val="Светло сенчење – наглашавање 115"/>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
    <w:name w:val="Light Grid - Accent 57"/>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
    <w:name w:val="tabele za ifs2"/>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2">
    <w:name w:val="tabele za ifs 12"/>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
    <w:name w:val="Colorful List - Accent 12"/>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
    <w:name w:val="No List22"/>
    <w:next w:val="NoList"/>
    <w:uiPriority w:val="99"/>
    <w:semiHidden/>
    <w:unhideWhenUsed/>
    <w:rsid w:val="005918D2"/>
  </w:style>
  <w:style w:type="table" w:customStyle="1" w:styleId="LightList-Accent325">
    <w:name w:val="Light List - Accent 325"/>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
    <w:name w:val="Light List - Accent 3115"/>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
    <w:name w:val="Light Shading - Accent 1319"/>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
    <w:name w:val="Light Shading - Accent 13110"/>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
    <w:name w:val="Light Shading - Accent 1325"/>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
    <w:name w:val="tabele 312"/>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
    <w:name w:val="Light Shading - Accent 11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
    <w:name w:val="Light Shading - Accent 32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
    <w:name w:val="Light List - Accent 522"/>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
    <w:name w:val="Light Shading - Accent 3112"/>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
    <w:name w:val="Light List - Accent 312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
    <w:name w:val="Light List - Accent 5112"/>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
    <w:name w:val="Light Grid - Accent 51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
    <w:name w:val="Светло сенчење – наглашавање 1112"/>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
    <w:name w:val="Light Grid - Accent 52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
    <w:name w:val="Light List - Accent 321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
    <w:name w:val="Light List - Accent 311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
    <w:name w:val="Light Shading - Accent 133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
    <w:name w:val="Light Shading - Accent 131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
    <w:name w:val="Light Shading - Accent 132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
    <w:name w:val="Light Shading - Accent 112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
    <w:name w:val="Light Shading - Accent 134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
    <w:name w:val="Light Shading - Accent 113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
    <w:name w:val="Light Shading - Accent 135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
    <w:name w:val="Light Shading - Accent 136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
    <w:name w:val="Light Shading - Accent 137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
    <w:name w:val="tabele 322"/>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
    <w:name w:val="Light Shading - Accent 114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
    <w:name w:val="Light Shading - Accent 335"/>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
    <w:name w:val="Light List - Accent 532"/>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
    <w:name w:val="Light Shading - Accent 3122"/>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
    <w:name w:val="Light List - Accent 313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
    <w:name w:val="Light List - Accent 5122"/>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
    <w:name w:val="Light Grid - Accent 512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
    <w:name w:val="Светло сенчење – наглашавање 1122"/>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
    <w:name w:val="Light Grid - Accent 53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
    <w:name w:val="Light List - Accent 322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
    <w:name w:val="Light List - Accent 3112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
    <w:name w:val="Light Shading - Accent 138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
    <w:name w:val="Light Shading - Accent 1312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
    <w:name w:val="Light Shading - Accent 1322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
    <w:name w:val="Light Shading - Accent 115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
    <w:name w:val="Light Shading - Accent 139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
    <w:name w:val="Light Shading - Accent 116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
    <w:name w:val="Light Shading - Accent 1310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
    <w:name w:val="Light Shading - Accent 1313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
    <w:name w:val="tabele 332"/>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
    <w:name w:val="Light Shading - Accent 117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
    <w:name w:val="Light Shading - Accent 344"/>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
    <w:name w:val="Light List - Accent 542"/>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
    <w:name w:val="Light Shading - Accent 3132"/>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
    <w:name w:val="Light List - Accent 314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
    <w:name w:val="Light List - Accent 5132"/>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
    <w:name w:val="Light Grid - Accent 513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
    <w:name w:val="Светло сенчење – наглашавање 1132"/>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
    <w:name w:val="Light Grid - Accent 54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
    <w:name w:val="Light Shading - Accent 1232"/>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
    <w:name w:val="Light List - Accent 323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
    <w:name w:val="Light List - Accent 3113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
    <w:name w:val="Light Shading - Accent 1314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
    <w:name w:val="Light Shading - Accent 1315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
    <w:name w:val="Light Shading - Accent 1323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
    <w:name w:val="Light Shading - Accent 1316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
    <w:name w:val="Light Shading - Accent 138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
    <w:name w:val="Light Shading - Accent 118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
    <w:name w:val="Light Shading - Accent 139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
    <w:name w:val="Light Shading - Accent 116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
    <w:name w:val="Light Shading - Accent 1310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
    <w:name w:val="Light Shading - Accent 136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
    <w:name w:val="Light Shading - Accent 119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
    <w:name w:val="Light Shading - Accent 141"/>
    <w:basedOn w:val="TableNormal"/>
    <w:next w:val="LightShading-Accent1"/>
    <w:uiPriority w:val="60"/>
    <w:rsid w:val="005918D2"/>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
    <w:name w:val="Light Shading - Accent 331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
    <w:name w:val="Light Shading - Accent 332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
    <w:name w:val="Light Shading - Accent 333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
    <w:name w:val="Light Shading - Accent 341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
    <w:name w:val="Light Shading - Accent 342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
    <w:name w:val="Light Grid - Accent 514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
    <w:name w:val="Light Grid - Accent 55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
    <w:name w:val="Light Grid - Accent 511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
    <w:name w:val="Light Grid - Accent 521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
    <w:name w:val="Light Grid - Accent 512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
    <w:name w:val="Light Grid - Accent 531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
    <w:name w:val="Light Grid - Accent 513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
    <w:name w:val="Light Grid - Accent 541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
    <w:name w:val="Light Shading - Accent 612"/>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
    <w:name w:val="Grid Table 6 Colorful - Accent 412"/>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
    <w:name w:val="Light Shading - Accent 6111"/>
    <w:basedOn w:val="TableNormal"/>
    <w:next w:val="LightShading-Accent6"/>
    <w:uiPriority w:val="60"/>
    <w:rsid w:val="005918D2"/>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
    <w:name w:val="Grid Table 6 Colorful - Accent 312"/>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
    <w:name w:val="Grid Table 4 - Accent 511"/>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
    <w:name w:val="Grid Table 5 Dark - Accent 511"/>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
    <w:name w:val="ФС2"/>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11">
    <w:name w:val="List Table 6 Colorful - Accent 311"/>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
    <w:name w:val="Grid Table 1 Light - Accent 111"/>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
    <w:name w:val="List Table 1 Light - Accent 111"/>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
    <w:name w:val="List Table 2 - Accent 111"/>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
    <w:name w:val="List Table 2 - Accent 511"/>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
    <w:name w:val="Grid Table 2 - Accent 511"/>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
    <w:name w:val="Table Grid22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
    <w:name w:val="Light Shading - Accent 1242"/>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
    <w:name w:val="Grid Table 6 Colorful - Accent 512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
    <w:name w:val="Grid Table 6 Colorful - Accent 5131"/>
    <w:basedOn w:val="TableNormal"/>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
    <w:name w:val="No List31"/>
    <w:next w:val="NoList"/>
    <w:uiPriority w:val="99"/>
    <w:semiHidden/>
    <w:unhideWhenUsed/>
    <w:rsid w:val="005918D2"/>
  </w:style>
  <w:style w:type="table" w:customStyle="1" w:styleId="TableGrid31">
    <w:name w:val="Table Grid3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
    <w:name w:val="Financial Table11"/>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
    <w:name w:val="Grid Table 6 Colorful - Accent 531"/>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
    <w:name w:val="Light Shading - Accent 1252"/>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
    <w:name w:val="Grid Table 6 Colorful - Accent 514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
    <w:name w:val="Light Shading - Accent 1211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
    <w:name w:val="Grid Table 6 Colorful - Accent 5111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
    <w:name w:val="Grid Table 6 Colorful - Accent 121"/>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
    <w:name w:val="Light Shading - Accent 1221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
    <w:name w:val="Grid Table 6 Colorful - Accent 521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
    <w:name w:val="tabele 34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
    <w:name w:val="Light Shading - Accent 1110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
    <w:name w:val="Light Shading - Accent 35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
    <w:name w:val="Light List - Accent 55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
    <w:name w:val="Light Shading - Accent 314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
    <w:name w:val="Light List - Accent 315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
    <w:name w:val="Table Grid111"/>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
    <w:name w:val="Light List - Accent 514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
    <w:name w:val="Medium List 1 - Accent 5111"/>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
    <w:name w:val="Medium List 1 - Accent 521"/>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
    <w:name w:val="No List1111"/>
    <w:next w:val="NoList"/>
    <w:uiPriority w:val="99"/>
    <w:semiHidden/>
    <w:unhideWhenUsed/>
    <w:rsid w:val="005918D2"/>
  </w:style>
  <w:style w:type="table" w:customStyle="1" w:styleId="LightGrid-Accent5151">
    <w:name w:val="Light Grid - Accent 515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
    <w:name w:val="Светло сенчење – наглашавање 114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
    <w:name w:val="Light Grid - Accent 56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0">
    <w:name w:val="tabele za ifs11"/>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11">
    <w:name w:val="tabele za ifs 111"/>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
    <w:name w:val="Colorful List - Accent 111"/>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
    <w:name w:val="No List211"/>
    <w:next w:val="NoList"/>
    <w:uiPriority w:val="99"/>
    <w:semiHidden/>
    <w:unhideWhenUsed/>
    <w:rsid w:val="005918D2"/>
  </w:style>
  <w:style w:type="table" w:customStyle="1" w:styleId="LightList-Accent3241">
    <w:name w:val="Light List - Accent 324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
    <w:name w:val="Light List - Accent 3114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
    <w:name w:val="Light Shading - Accent 1317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
    <w:name w:val="Light Shading - Accent 1318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
    <w:name w:val="Light Shading - Accent 1324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
    <w:name w:val="tabele 311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
    <w:name w:val="Light Shading - Accent 11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
    <w:name w:val="Light Shading - Accent 32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
    <w:name w:val="Light List - Accent 521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
    <w:name w:val="Light Shading - Accent 311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
    <w:name w:val="Light List - Accent 312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
    <w:name w:val="Light List - Accent 511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
    <w:name w:val="Light Grid - Accent 51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
    <w:name w:val="Светло сенчење – наглашавање 111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
    <w:name w:val="Light Grid - Accent 52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
    <w:name w:val="Light List - Accent 3211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
    <w:name w:val="Light List - Accent 311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
    <w:name w:val="Light Shading - Accent 133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
    <w:name w:val="Light Shading - Accent 131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
    <w:name w:val="Light Shading - Accent 132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
    <w:name w:val="Light Shading - Accent 112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
    <w:name w:val="Light Shading - Accent 134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
    <w:name w:val="Light Shading - Accent 113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
    <w:name w:val="Light Shading - Accent 135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
    <w:name w:val="Light Shading - Accent 136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
    <w:name w:val="Light Shading - Accent 137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
    <w:name w:val="tabele 321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
    <w:name w:val="Light Shading - Accent 114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
    <w:name w:val="Light Shading - Accent 334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
    <w:name w:val="Light List - Accent 531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
    <w:name w:val="Light Shading - Accent 312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
    <w:name w:val="Light List - Accent 313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
    <w:name w:val="Light List - Accent 512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
    <w:name w:val="Light Grid - Accent 512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
    <w:name w:val="Светло сенчење – наглашавање 112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
    <w:name w:val="Light Grid - Accent 53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
    <w:name w:val="Light List - Accent 3221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
    <w:name w:val="Light List - Accent 3112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
    <w:name w:val="Light Shading - Accent 138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
    <w:name w:val="Light Shading - Accent 1312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
    <w:name w:val="Light Shading - Accent 1322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
    <w:name w:val="Light Shading - Accent 115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
    <w:name w:val="Light Shading - Accent 139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
    <w:name w:val="Light Shading - Accent 116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
    <w:name w:val="Light Shading - Accent 1310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
    <w:name w:val="Light Shading - Accent 1313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
    <w:name w:val="tabele 331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
    <w:name w:val="Light Shading - Accent 117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
    <w:name w:val="Light Shading - Accent 34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
    <w:name w:val="Light List - Accent 541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
    <w:name w:val="Light Shading - Accent 313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
    <w:name w:val="Light List - Accent 314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
    <w:name w:val="Light List - Accent 513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
    <w:name w:val="Light Grid - Accent 513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
    <w:name w:val="Светло сенчење – наглашавање 113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
    <w:name w:val="Light Grid - Accent 54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
    <w:name w:val="Light Shading - Accent 1231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
    <w:name w:val="Light List - Accent 3231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
    <w:name w:val="Light List - Accent 3113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
    <w:name w:val="Light Shading - Accent 1314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
    <w:name w:val="Light Shading - Accent 1315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
    <w:name w:val="Light Shading - Accent 1323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
    <w:name w:val="Light Shading - Accent 1316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
    <w:name w:val="Light Shading - Accent 138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
    <w:name w:val="Light Shading - Accent 118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
    <w:name w:val="Light Shading - Accent 139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
    <w:name w:val="Light Shading - Accent 116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
    <w:name w:val="Light Shading - Accent 1310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
    <w:name w:val="Light Shading - Accent 136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
    <w:name w:val="Light Shading - Accent 119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
    <w:name w:val="Light Shading - Accent 331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
    <w:name w:val="Light Shading - Accent 332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
    <w:name w:val="Light Shading - Accent 333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
    <w:name w:val="Light Shading - Accent 341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
    <w:name w:val="Light Shading - Accent 342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
    <w:name w:val="Light Grid - Accent 514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
    <w:name w:val="Light Grid - Accent 55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
    <w:name w:val="Light Grid - Accent 511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
    <w:name w:val="Light Grid - Accent 521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
    <w:name w:val="Light Grid - Accent 512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
    <w:name w:val="Light Grid - Accent 531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
    <w:name w:val="Light Grid - Accent 513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
    <w:name w:val="Light Grid - Accent 541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
    <w:name w:val="Light Shading - Accent 621"/>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
    <w:name w:val="Grid Table 6 Colorful - Accent 421"/>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
    <w:name w:val="Grid Table 6 Colorful - Accent 321"/>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
    <w:name w:val="Grid Table 4 - Accent 521"/>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
    <w:name w:val="Grid Table 5 Dark - Accent 521"/>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0">
    <w:name w:val="ФС11"/>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21">
    <w:name w:val="List Table 6 Colorful - Accent 321"/>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
    <w:name w:val="Grid Table 1 Light - Accent 121"/>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
    <w:name w:val="List Table 1 Light - Accent 121"/>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
    <w:name w:val="List Table 2 - Accent 121"/>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
    <w:name w:val="List Table 2 - Accent 521"/>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
    <w:name w:val="Grid Table 2 - Accent 521"/>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
    <w:name w:val="Grid Table 6 Colorful - Accent 4111"/>
    <w:basedOn w:val="TableNormal"/>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
    <w:name w:val="Grid Table 6 Colorful - Accent 3111"/>
    <w:basedOn w:val="TableNormal"/>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
    <w:name w:val="Table Grid21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
    <w:name w:val="Light Shading - Accent 1241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
    <w:name w:val="Light Shading - Accent 1251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
    <w:name w:val="Light Shading2"/>
    <w:basedOn w:val="TableNormal"/>
    <w:next w:val="LightShading"/>
    <w:uiPriority w:val="60"/>
    <w:semiHidden/>
    <w:unhideWhenUsed/>
    <w:rsid w:val="005918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next w:val="LightShading-Accent1"/>
    <w:uiPriority w:val="60"/>
    <w:semiHidden/>
    <w:unhideWhenUsed/>
    <w:rsid w:val="005918D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
    <w:name w:val="Light Shading - Accent 63"/>
    <w:basedOn w:val="TableNormal"/>
    <w:next w:val="LightShading-Accent6"/>
    <w:uiPriority w:val="60"/>
    <w:semiHidden/>
    <w:unhideWhenUsed/>
    <w:rsid w:val="005918D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1Light-Accent61">
    <w:name w:val="List Table 1 Light - Accent 61"/>
    <w:basedOn w:val="TableNormal"/>
    <w:uiPriority w:val="46"/>
    <w:rsid w:val="005918D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
    <w:name w:val="No List5"/>
    <w:next w:val="NoList"/>
    <w:uiPriority w:val="99"/>
    <w:semiHidden/>
    <w:unhideWhenUsed/>
    <w:rsid w:val="005918D2"/>
  </w:style>
  <w:style w:type="numbering" w:customStyle="1" w:styleId="NoList13">
    <w:name w:val="No List13"/>
    <w:next w:val="NoList"/>
    <w:uiPriority w:val="99"/>
    <w:semiHidden/>
    <w:unhideWhenUsed/>
    <w:rsid w:val="005918D2"/>
  </w:style>
  <w:style w:type="table" w:customStyle="1" w:styleId="TableGrid5">
    <w:name w:val="Table Grid5"/>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
    <w:name w:val="Financial Table3"/>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
    <w:name w:val="Light Shading12"/>
    <w:basedOn w:val="TableNormal"/>
    <w:next w:val="LightShading"/>
    <w:uiPriority w:val="60"/>
    <w:rsid w:val="005918D2"/>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
    <w:name w:val="Grid Table 6 Colorful - Accent 516"/>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
    <w:name w:val="Light Shading - Accent 127"/>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
    <w:name w:val="Grid Table 6 Colorful - Accent 5113"/>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
    <w:name w:val="Light Shading - Accent 1213"/>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
    <w:name w:val="Grid Table 6 Colorful - Accent 112"/>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
    <w:name w:val="Light Shading - Accent 1223"/>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
    <w:name w:val="Grid Table 6 Colorful - Accent 523"/>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
    <w:name w:val="tabele 36"/>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
    <w:name w:val="Light Shading - Accent 1114"/>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
    <w:name w:val="Light Shading - Accent 37"/>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
    <w:name w:val="Light List - Accent 57"/>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
    <w:name w:val="Light Shading - Accent 316"/>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
    <w:name w:val="Light List - Accent 317"/>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
    <w:name w:val="Table Grid13"/>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
    <w:name w:val="Light List - Accent 516"/>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
    <w:name w:val="Medium List 1 - Accent 513"/>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
    <w:name w:val="Medium List 1 - Accent 54"/>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
    <w:name w:val="No List113"/>
    <w:next w:val="NoList"/>
    <w:uiPriority w:val="99"/>
    <w:semiHidden/>
    <w:unhideWhenUsed/>
    <w:rsid w:val="005918D2"/>
  </w:style>
  <w:style w:type="table" w:customStyle="1" w:styleId="LightGrid-Accent517">
    <w:name w:val="Light Grid - Accent 517"/>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
    <w:name w:val="Светло сенчење – наглашавање 116"/>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
    <w:name w:val="Light Grid - Accent 58"/>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
    <w:name w:val="tabele za ifs3"/>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3">
    <w:name w:val="tabele za ifs 13"/>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
    <w:name w:val="Colorful List - Accent 13"/>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
    <w:name w:val="No List23"/>
    <w:next w:val="NoList"/>
    <w:uiPriority w:val="99"/>
    <w:semiHidden/>
    <w:unhideWhenUsed/>
    <w:rsid w:val="005918D2"/>
  </w:style>
  <w:style w:type="table" w:customStyle="1" w:styleId="LightList-Accent326">
    <w:name w:val="Light List - Accent 326"/>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
    <w:name w:val="Light List - Accent 3116"/>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
    <w:name w:val="Light Shading - Accent 1320"/>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
    <w:name w:val="Light Shading - Accent 131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
    <w:name w:val="Light Shading - Accent 1326"/>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
    <w:name w:val="tabele 313"/>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
    <w:name w:val="Light Shading - Accent 111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
    <w:name w:val="Light Shading - Accent 32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
    <w:name w:val="Light List - Accent 523"/>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
    <w:name w:val="Light Shading - Accent 3113"/>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
    <w:name w:val="Light List - Accent 312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
    <w:name w:val="Light List - Accent 5113"/>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
    <w:name w:val="Light Grid - Accent 5114"/>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
    <w:name w:val="Светло сенчење – наглашавање 1113"/>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
    <w:name w:val="Light Grid - Accent 524"/>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
    <w:name w:val="Light List - Accent 3213"/>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
    <w:name w:val="Light List - Accent 311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
    <w:name w:val="Light Shading - Accent 133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
    <w:name w:val="Light Shading - Accent 1311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
    <w:name w:val="Light Shading - Accent 132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
    <w:name w:val="Light Shading - Accent 112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
    <w:name w:val="Light Shading - Accent 134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
    <w:name w:val="Light Shading - Accent 113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
    <w:name w:val="Light Shading - Accent 135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
    <w:name w:val="Light Shading - Accent 136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
    <w:name w:val="Light Shading - Accent 137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
    <w:name w:val="tabele 323"/>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
    <w:name w:val="Light Shading - Accent 114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
    <w:name w:val="Light Shading - Accent 336"/>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
    <w:name w:val="Light List - Accent 533"/>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
    <w:name w:val="Light Shading - Accent 3123"/>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
    <w:name w:val="Light List - Accent 313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
    <w:name w:val="Light List - Accent 5123"/>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
    <w:name w:val="Light Grid - Accent 5124"/>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
    <w:name w:val="Светло сенчење – наглашавање 1123"/>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
    <w:name w:val="Light Grid - Accent 534"/>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
    <w:name w:val="Light List - Accent 3223"/>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
    <w:name w:val="Light List - Accent 3112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
    <w:name w:val="Light Shading - Accent 138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
    <w:name w:val="Light Shading - Accent 1312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
    <w:name w:val="Light Shading - Accent 1322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
    <w:name w:val="Light Shading - Accent 115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
    <w:name w:val="Light Shading - Accent 139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
    <w:name w:val="Light Shading - Accent 1164"/>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
    <w:name w:val="Light Shading - Accent 1310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
    <w:name w:val="Light Shading - Accent 1313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
    <w:name w:val="tabele 333"/>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
    <w:name w:val="Light Shading - Accent 117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
    <w:name w:val="Light Shading - Accent 345"/>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
    <w:name w:val="Light List - Accent 543"/>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
    <w:name w:val="Light Shading - Accent 3133"/>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
    <w:name w:val="Light List - Accent 314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
    <w:name w:val="Light List - Accent 5133"/>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
    <w:name w:val="Light Grid - Accent 5134"/>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
    <w:name w:val="Светло сенчење – наглашавање 1133"/>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
    <w:name w:val="Light Grid - Accent 544"/>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
    <w:name w:val="Light Shading - Accent 1233"/>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
    <w:name w:val="Light List - Accent 3233"/>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
    <w:name w:val="Light List - Accent 3113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
    <w:name w:val="Light Shading - Accent 1314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
    <w:name w:val="Light Shading - Accent 1315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
    <w:name w:val="Light Shading - Accent 1323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
    <w:name w:val="Light Shading - Accent 1316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
    <w:name w:val="Light Shading - Accent 138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
    <w:name w:val="Light Shading - Accent 118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
    <w:name w:val="Light Shading - Accent 139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
    <w:name w:val="Light Shading - Accent 116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
    <w:name w:val="Light Shading - Accent 1310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
    <w:name w:val="Light Shading - Accent 136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
    <w:name w:val="Light Shading - Accent 119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
    <w:name w:val="Light Shading - Accent 142"/>
    <w:basedOn w:val="TableNormal"/>
    <w:next w:val="LightShading-Accent1"/>
    <w:uiPriority w:val="60"/>
    <w:rsid w:val="005918D2"/>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
    <w:name w:val="Light Shading - Accent 331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
    <w:name w:val="Light Shading - Accent 332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
    <w:name w:val="Light Shading - Accent 333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
    <w:name w:val="Light Shading - Accent 341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
    <w:name w:val="Light Shading - Accent 342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
    <w:name w:val="Light Grid - Accent 514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
    <w:name w:val="Light Grid - Accent 55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
    <w:name w:val="Light Grid - Accent 511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
    <w:name w:val="Light Grid - Accent 521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
    <w:name w:val="Light Grid - Accent 512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
    <w:name w:val="Light Grid - Accent 531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
    <w:name w:val="Light Grid - Accent 513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
    <w:name w:val="Light Grid - Accent 541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
    <w:name w:val="Light Shading - Accent 613"/>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
    <w:name w:val="Grid Table 6 Colorful - Accent 413"/>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
    <w:name w:val="Light Shading - Accent 6112"/>
    <w:basedOn w:val="TableNormal"/>
    <w:next w:val="LightShading-Accent6"/>
    <w:uiPriority w:val="60"/>
    <w:rsid w:val="005918D2"/>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
    <w:name w:val="Grid Table 6 Colorful - Accent 313"/>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
    <w:name w:val="Grid Table 4 - Accent 512"/>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
    <w:name w:val="Grid Table 5 Dark - Accent 512"/>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
    <w:name w:val="ФС3"/>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12">
    <w:name w:val="List Table 6 Colorful - Accent 312"/>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
    <w:name w:val="Grid Table 1 Light - Accent 112"/>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
    <w:name w:val="List Table 1 Light - Accent 112"/>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
    <w:name w:val="List Table 2 - Accent 112"/>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
    <w:name w:val="List Table 2 - Accent 512"/>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
    <w:name w:val="Grid Table 2 - Accent 512"/>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
    <w:name w:val="Table Grid23"/>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
    <w:name w:val="Light Shading - Accent 1243"/>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
    <w:name w:val="Grid Table 6 Colorful - Accent 5122"/>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
    <w:name w:val="Grid Table 6 Colorful - Accent 5132"/>
    <w:basedOn w:val="TableNormal"/>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
    <w:name w:val="No List32"/>
    <w:next w:val="NoList"/>
    <w:uiPriority w:val="99"/>
    <w:semiHidden/>
    <w:unhideWhenUsed/>
    <w:rsid w:val="005918D2"/>
  </w:style>
  <w:style w:type="table" w:customStyle="1" w:styleId="TableGrid32">
    <w:name w:val="Table Grid32"/>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
    <w:name w:val="Financial Table12"/>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
    <w:name w:val="Grid Table 6 Colorful - Accent 532"/>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
    <w:name w:val="Light Shading - Accent 1253"/>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
    <w:name w:val="Grid Table 6 Colorful - Accent 5142"/>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
    <w:name w:val="Light Shading - Accent 12112"/>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
    <w:name w:val="Grid Table 6 Colorful - Accent 51112"/>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
    <w:name w:val="Grid Table 6 Colorful - Accent 122"/>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
    <w:name w:val="Light Shading - Accent 12212"/>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
    <w:name w:val="Grid Table 6 Colorful - Accent 5212"/>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
    <w:name w:val="tabele 342"/>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
    <w:name w:val="Light Shading - Accent 1110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
    <w:name w:val="Light Shading - Accent 35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
    <w:name w:val="Light List - Accent 552"/>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
    <w:name w:val="Light Shading - Accent 3142"/>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
    <w:name w:val="Light List - Accent 315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
    <w:name w:val="Table Grid112"/>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
    <w:name w:val="Light List - Accent 5142"/>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
    <w:name w:val="Medium List 1 - Accent 5112"/>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
    <w:name w:val="Medium List 1 - Accent 522"/>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
    <w:name w:val="No List1112"/>
    <w:next w:val="NoList"/>
    <w:uiPriority w:val="99"/>
    <w:semiHidden/>
    <w:unhideWhenUsed/>
    <w:rsid w:val="005918D2"/>
  </w:style>
  <w:style w:type="table" w:customStyle="1" w:styleId="LightGrid-Accent5152">
    <w:name w:val="Light Grid - Accent 515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
    <w:name w:val="Светло сенчење – наглашавање 1142"/>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
    <w:name w:val="Light Grid - Accent 56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0">
    <w:name w:val="tabele za ifs12"/>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12">
    <w:name w:val="tabele za ifs 112"/>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
    <w:name w:val="Colorful List - Accent 112"/>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
    <w:name w:val="No List212"/>
    <w:next w:val="NoList"/>
    <w:uiPriority w:val="99"/>
    <w:semiHidden/>
    <w:unhideWhenUsed/>
    <w:rsid w:val="005918D2"/>
  </w:style>
  <w:style w:type="table" w:customStyle="1" w:styleId="LightList-Accent3242">
    <w:name w:val="Light List - Accent 324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
    <w:name w:val="Light List - Accent 3114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
    <w:name w:val="Light Shading - Accent 1317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
    <w:name w:val="Light Shading - Accent 1318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
    <w:name w:val="Light Shading - Accent 1324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
    <w:name w:val="tabele 3112"/>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
    <w:name w:val="Light Shading - Accent 111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
    <w:name w:val="Light Shading - Accent 321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
    <w:name w:val="Light List - Accent 5212"/>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
    <w:name w:val="Light Shading - Accent 31112"/>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
    <w:name w:val="Light List - Accent 312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
    <w:name w:val="Light List - Accent 51112"/>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
    <w:name w:val="Light Grid - Accent 5112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
    <w:name w:val="Светло сенчење – наглашавање 11112"/>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
    <w:name w:val="Light Grid - Accent 522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
    <w:name w:val="Light List - Accent 3211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
    <w:name w:val="Light List - Accent 3111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
    <w:name w:val="Light Shading - Accent 133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
    <w:name w:val="Light Shading - Accent 1311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
    <w:name w:val="Light Shading - Accent 1321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
    <w:name w:val="Light Shading - Accent 112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
    <w:name w:val="Light Shading - Accent 134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
    <w:name w:val="Light Shading - Accent 113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
    <w:name w:val="Light Shading - Accent 135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
    <w:name w:val="Light Shading - Accent 1362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
    <w:name w:val="Light Shading - Accent 137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
    <w:name w:val="tabele 3212"/>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
    <w:name w:val="Light Shading - Accent 114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
    <w:name w:val="Light Shading - Accent 3342"/>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
    <w:name w:val="Light List - Accent 5312"/>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
    <w:name w:val="Light Shading - Accent 31212"/>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
    <w:name w:val="Light List - Accent 313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
    <w:name w:val="Light List - Accent 51212"/>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
    <w:name w:val="Light Grid - Accent 5122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
    <w:name w:val="Светло сенчење – наглашавање 11212"/>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
    <w:name w:val="Light Grid - Accent 532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
    <w:name w:val="Light List - Accent 3221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
    <w:name w:val="Light List - Accent 3112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
    <w:name w:val="Light Shading - Accent 1382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
    <w:name w:val="Light Shading - Accent 1312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
    <w:name w:val="Light Shading - Accent 1322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
    <w:name w:val="Light Shading - Accent 115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
    <w:name w:val="Light Shading - Accent 1392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
    <w:name w:val="Light Shading - Accent 1162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
    <w:name w:val="Light Shading - Accent 13102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
    <w:name w:val="Light Shading - Accent 1313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
    <w:name w:val="tabele 3312"/>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
    <w:name w:val="Light Shading - Accent 117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
    <w:name w:val="Light Shading - Accent 343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
    <w:name w:val="Light List - Accent 5412"/>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
    <w:name w:val="Light Shading - Accent 31312"/>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
    <w:name w:val="Light List - Accent 314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
    <w:name w:val="Light List - Accent 51312"/>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
    <w:name w:val="Light Grid - Accent 5132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
    <w:name w:val="Светло сенчење – наглашавање 11312"/>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
    <w:name w:val="Light Grid - Accent 542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
    <w:name w:val="Light Shading - Accent 12312"/>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
    <w:name w:val="Light List - Accent 32312"/>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
    <w:name w:val="Light List - Accent 311312"/>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
    <w:name w:val="Light Shading - Accent 1314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
    <w:name w:val="Light Shading - Accent 1315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
    <w:name w:val="Light Shading - Accent 1323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
    <w:name w:val="Light Shading - Accent 1316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
    <w:name w:val="Light Shading - Accent 1381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
    <w:name w:val="Light Shading - Accent 118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
    <w:name w:val="Light Shading - Accent 1391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
    <w:name w:val="Light Shading - Accent 116112"/>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
    <w:name w:val="Light Shading - Accent 13101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
    <w:name w:val="Light Shading - Accent 1361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
    <w:name w:val="Light Shading - Accent 11912"/>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
    <w:name w:val="Light Shading - Accent 3311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
    <w:name w:val="Light Shading - Accent 3321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
    <w:name w:val="Light Shading - Accent 3331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
    <w:name w:val="Light Shading - Accent 3411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
    <w:name w:val="Light Shading - Accent 34212"/>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
    <w:name w:val="Light Grid - Accent 514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
    <w:name w:val="Light Grid - Accent 551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
    <w:name w:val="Light Grid - Accent 5111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
    <w:name w:val="Light Grid - Accent 5211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
    <w:name w:val="Light Grid - Accent 5121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
    <w:name w:val="Light Grid - Accent 5311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
    <w:name w:val="Light Grid - Accent 513112"/>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
    <w:name w:val="Light Grid - Accent 54112"/>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
    <w:name w:val="Light Shading - Accent 622"/>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
    <w:name w:val="Grid Table 6 Colorful - Accent 422"/>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
    <w:name w:val="Grid Table 6 Colorful - Accent 322"/>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
    <w:name w:val="Grid Table 4 - Accent 522"/>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
    <w:name w:val="Grid Table 5 Dark - Accent 522"/>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
    <w:name w:val="ФС12"/>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22">
    <w:name w:val="List Table 6 Colorful - Accent 322"/>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
    <w:name w:val="Grid Table 1 Light - Accent 122"/>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
    <w:name w:val="List Table 1 Light - Accent 122"/>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
    <w:name w:val="List Table 2 - Accent 122"/>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
    <w:name w:val="List Table 2 - Accent 522"/>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
    <w:name w:val="Grid Table 2 - Accent 522"/>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
    <w:name w:val="Grid Table 6 Colorful - Accent 4112"/>
    <w:basedOn w:val="TableNormal"/>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
    <w:name w:val="Grid Table 6 Colorful - Accent 3112"/>
    <w:basedOn w:val="TableNormal"/>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
    <w:name w:val="Table Grid212"/>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
    <w:name w:val="Light Shading - Accent 12412"/>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
    <w:name w:val="Light Shading - Accent 12512"/>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
    <w:name w:val="Light Shading3"/>
    <w:basedOn w:val="TableNormal"/>
    <w:next w:val="LightShading"/>
    <w:uiPriority w:val="60"/>
    <w:semiHidden/>
    <w:unhideWhenUsed/>
    <w:rsid w:val="005918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
    <w:name w:val="Grid Table 6 Colorful - Accent 55"/>
    <w:basedOn w:val="TableNormal"/>
    <w:next w:val="GridTable6Colorful-Accent54"/>
    <w:uiPriority w:val="51"/>
    <w:rsid w:val="005918D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
    <w:name w:val="Grid Table 6 Colorful - Accent 14"/>
    <w:basedOn w:val="TableNormal"/>
    <w:next w:val="GridTable6Colorful-Accent13"/>
    <w:uiPriority w:val="51"/>
    <w:rsid w:val="005918D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
    <w:name w:val="Light Shading - Accent 16"/>
    <w:basedOn w:val="TableNormal"/>
    <w:next w:val="LightShading-Accent1"/>
    <w:uiPriority w:val="60"/>
    <w:semiHidden/>
    <w:unhideWhenUsed/>
    <w:rsid w:val="005918D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
    <w:name w:val="Light Shading - Accent 64"/>
    <w:basedOn w:val="TableNormal"/>
    <w:next w:val="LightShading-Accent6"/>
    <w:uiPriority w:val="60"/>
    <w:semiHidden/>
    <w:unhideWhenUsed/>
    <w:rsid w:val="005918D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
    <w:name w:val="Grid Table 6 Colorful - Accent 44"/>
    <w:basedOn w:val="TableNormal"/>
    <w:next w:val="GridTable6Colorful-Accent43"/>
    <w:uiPriority w:val="51"/>
    <w:rsid w:val="005918D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
    <w:name w:val="Grid Table 6 Colorful - Accent 34"/>
    <w:basedOn w:val="TableNormal"/>
    <w:next w:val="GridTable6Colorful-Accent33"/>
    <w:uiPriority w:val="51"/>
    <w:rsid w:val="005918D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
    <w:name w:val="Grid Table 4 - Accent 54"/>
    <w:basedOn w:val="TableNormal"/>
    <w:next w:val="GridTable4-Accent53"/>
    <w:uiPriority w:val="49"/>
    <w:rsid w:val="005918D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
    <w:name w:val="Grid Table 5 Dark - Accent 54"/>
    <w:basedOn w:val="TableNormal"/>
    <w:next w:val="GridTable5Dark-Accent53"/>
    <w:uiPriority w:val="50"/>
    <w:rsid w:val="00591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
    <w:name w:val="List Table 6 Colorful - Accent 34"/>
    <w:basedOn w:val="TableNormal"/>
    <w:next w:val="ListTable6Colorful-Accent33"/>
    <w:uiPriority w:val="51"/>
    <w:rsid w:val="005918D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
    <w:name w:val="Grid Table 1 Light - Accent 14"/>
    <w:basedOn w:val="TableNormal"/>
    <w:next w:val="GridTable1Light-Accent13"/>
    <w:uiPriority w:val="46"/>
    <w:rsid w:val="005918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
    <w:name w:val="List Table 1 Light - Accent 14"/>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
    <w:name w:val="List Table 2 - Accent 14"/>
    <w:basedOn w:val="TableNormal"/>
    <w:next w:val="ListTable2-Accent13"/>
    <w:uiPriority w:val="47"/>
    <w:rsid w:val="005918D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
    <w:name w:val="List Table 2 - Accent 54"/>
    <w:basedOn w:val="TableNormal"/>
    <w:next w:val="ListTable2-Accent53"/>
    <w:uiPriority w:val="47"/>
    <w:rsid w:val="005918D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
    <w:name w:val="Grid Table 2 - Accent 54"/>
    <w:basedOn w:val="TableNormal"/>
    <w:next w:val="GridTable2-Accent53"/>
    <w:uiPriority w:val="47"/>
    <w:rsid w:val="005918D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
    <w:name w:val="Light Shading - Accent 337"/>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
    <w:name w:val="Light Shading - Accent 338"/>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Normal1">
    <w:name w:val="Normal1"/>
    <w:rsid w:val="005918D2"/>
    <w:pPr>
      <w:pBdr>
        <w:top w:val="nil"/>
        <w:left w:val="nil"/>
        <w:bottom w:val="nil"/>
        <w:right w:val="nil"/>
        <w:between w:val="nil"/>
      </w:pBdr>
    </w:pPr>
    <w:rPr>
      <w:rFonts w:ascii="Calibri" w:eastAsia="Calibri" w:hAnsi="Calibri" w:cs="Calibri"/>
      <w:color w:val="000000"/>
    </w:rPr>
  </w:style>
  <w:style w:type="table" w:customStyle="1" w:styleId="ListTable6Colorful-Accent61">
    <w:name w:val="List Table 6 Colorful - Accent 61"/>
    <w:basedOn w:val="TableNormal"/>
    <w:uiPriority w:val="51"/>
    <w:rsid w:val="005918D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GlavnitekstGI">
    <w:name w:val="Glavni tekstGI"/>
    <w:basedOn w:val="Normal"/>
    <w:rsid w:val="005918D2"/>
    <w:pPr>
      <w:spacing w:before="40" w:after="40" w:line="300" w:lineRule="exact"/>
      <w:ind w:firstLine="357"/>
    </w:pPr>
    <w:rPr>
      <w:rFonts w:cs="Times New Roman"/>
    </w:rPr>
  </w:style>
  <w:style w:type="table" w:customStyle="1" w:styleId="TableGrid6">
    <w:name w:val="Table Grid6"/>
    <w:basedOn w:val="TableNormal"/>
    <w:next w:val="TableGrid"/>
    <w:uiPriority w:val="39"/>
    <w:rsid w:val="005918D2"/>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Char Char Char Char1,Footnote Text Char Char Char Char1,Footnote Text Char Char Char2,single space Char1,ft Char1,ft Char Char Char Char1,ft Char Char Char2,Fußnote Char1, Char Char Char Char1,footnote text Char1"/>
    <w:basedOn w:val="DefaultParagraphFont"/>
    <w:uiPriority w:val="99"/>
    <w:locked/>
    <w:rsid w:val="005918D2"/>
    <w:rPr>
      <w:rFonts w:cs="Times New Roman"/>
      <w:sz w:val="20"/>
      <w:szCs w:val="20"/>
    </w:rPr>
  </w:style>
  <w:style w:type="paragraph" w:customStyle="1" w:styleId="Glavnitekst">
    <w:name w:val="Glavni tekst"/>
    <w:basedOn w:val="BodyTextIndent"/>
    <w:rsid w:val="005918D2"/>
    <w:pPr>
      <w:spacing w:after="240" w:line="240" w:lineRule="exact"/>
      <w:ind w:firstLine="0"/>
      <w:jc w:val="both"/>
    </w:pPr>
    <w:rPr>
      <w:rFonts w:ascii="Times New Roman" w:eastAsia="Times New Roman" w:hAnsi="Times New Roman"/>
      <w:bCs w:val="0"/>
      <w:color w:val="auto"/>
      <w:sz w:val="20"/>
      <w:szCs w:val="20"/>
      <w:lang w:val="sr-Latn-CS"/>
    </w:rPr>
  </w:style>
  <w:style w:type="paragraph" w:customStyle="1" w:styleId="EFP2012tekst">
    <w:name w:val="EFP 2012 tekst"/>
    <w:basedOn w:val="Normal"/>
    <w:uiPriority w:val="99"/>
    <w:rsid w:val="005918D2"/>
    <w:pPr>
      <w:ind w:firstLine="709"/>
    </w:pPr>
    <w:rPr>
      <w:rFonts w:ascii="Cambria" w:eastAsia="Constantia" w:hAnsi="Cambria" w:cs="Times New Roman"/>
      <w:color w:val="262626"/>
      <w:sz w:val="21"/>
      <w:lang w:val="sr-Cyrl-CS"/>
    </w:rPr>
  </w:style>
  <w:style w:type="paragraph" w:customStyle="1" w:styleId="EFPNaslov2">
    <w:name w:val="EFP Naslov 2"/>
    <w:basedOn w:val="Normal"/>
    <w:link w:val="EFPNaslov2Char"/>
    <w:rsid w:val="005918D2"/>
    <w:pPr>
      <w:keepNext/>
      <w:keepLines/>
      <w:numPr>
        <w:ilvl w:val="1"/>
        <w:numId w:val="8"/>
      </w:numPr>
      <w:spacing w:before="200" w:after="0"/>
      <w:outlineLvl w:val="1"/>
    </w:pPr>
    <w:rPr>
      <w:rFonts w:ascii="Constantia" w:eastAsia="Times New Roman" w:hAnsi="Constantia" w:cs="Times New Roman"/>
      <w:b/>
      <w:bCs/>
      <w:color w:val="76923C"/>
      <w:sz w:val="21"/>
      <w:szCs w:val="26"/>
      <w:lang w:val="sr-Cyrl-CS"/>
    </w:rPr>
  </w:style>
  <w:style w:type="character" w:customStyle="1" w:styleId="EFPNaslov2Char">
    <w:name w:val="EFP Naslov 2 Char"/>
    <w:link w:val="EFPNaslov2"/>
    <w:rsid w:val="005918D2"/>
    <w:rPr>
      <w:rFonts w:ascii="Constantia" w:eastAsia="Times New Roman" w:hAnsi="Constantia" w:cs="Times New Roman"/>
      <w:b/>
      <w:bCs/>
      <w:color w:val="76923C"/>
      <w:sz w:val="21"/>
      <w:szCs w:val="26"/>
      <w:lang w:val="sr-Cyrl-CS"/>
    </w:rPr>
  </w:style>
  <w:style w:type="table" w:customStyle="1" w:styleId="tabele37">
    <w:name w:val="tabele 37"/>
    <w:basedOn w:val="TableNormal"/>
    <w:next w:val="LightList-Accent3"/>
    <w:uiPriority w:val="61"/>
    <w:rsid w:val="005918D2"/>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
    <w:name w:val="Light Shading - Accent 1116"/>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
    <w:name w:val="Light Shading - Accent 317"/>
    <w:basedOn w:val="TableNormal"/>
    <w:next w:val="LightShading-Accent3"/>
    <w:uiPriority w:val="60"/>
    <w:rsid w:val="005918D2"/>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
    <w:name w:val="Light List - Accent 318"/>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
    <w:name w:val="Table Grid14"/>
    <w:basedOn w:val="TableNormal"/>
    <w:next w:val="TableGrid"/>
    <w:uiPriority w:val="39"/>
    <w:rsid w:val="005918D2"/>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
    <w:name w:val="Light List - Accent 517"/>
    <w:basedOn w:val="TableNormal"/>
    <w:next w:val="LightList-Accent5"/>
    <w:uiPriority w:val="61"/>
    <w:rsid w:val="005918D2"/>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
    <w:name w:val="Medium List 1 - Accent 514"/>
    <w:basedOn w:val="TableNormal"/>
    <w:next w:val="MediumList1-Accent5"/>
    <w:uiPriority w:val="65"/>
    <w:rsid w:val="005918D2"/>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
    <w:name w:val="Medium List 1 - Accent 55"/>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
    <w:name w:val="Light Grid - Accent 518"/>
    <w:basedOn w:val="TableNormal"/>
    <w:next w:val="LightGrid-Accent5"/>
    <w:uiPriority w:val="62"/>
    <w:rsid w:val="005918D2"/>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
    <w:name w:val="Светло сенчење – наглашавање 117"/>
    <w:basedOn w:val="TableNormal"/>
    <w:uiPriority w:val="60"/>
    <w:rsid w:val="005918D2"/>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
    <w:name w:val="Light Grid - Accent 59"/>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
    <w:name w:val="Light Shading - Accent 128"/>
    <w:basedOn w:val="TableNormal"/>
    <w:uiPriority w:val="60"/>
    <w:rsid w:val="005918D2"/>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
    <w:name w:val="Light List - Accent 3117"/>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
    <w:name w:val="Light List - Accent 31114"/>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
    <w:name w:val="Table Grid24"/>
    <w:basedOn w:val="TableNormal"/>
    <w:next w:val="TableGrid"/>
    <w:uiPriority w:val="39"/>
    <w:rsid w:val="005918D2"/>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
    <w:name w:val="tabele 314"/>
    <w:basedOn w:val="TableNormal"/>
    <w:next w:val="LightList-Accent3"/>
    <w:uiPriority w:val="61"/>
    <w:rsid w:val="005918D2"/>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
    <w:name w:val="Light Shading - Accent 1117"/>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
    <w:name w:val="Light Shading - Accent 324"/>
    <w:basedOn w:val="TableNormal"/>
    <w:next w:val="LightShading-Accent3"/>
    <w:uiPriority w:val="60"/>
    <w:rsid w:val="005918D2"/>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
    <w:name w:val="Light List - Accent 524"/>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
    <w:name w:val="Light Shading - Accent 3114"/>
    <w:basedOn w:val="TableNormal"/>
    <w:next w:val="LightShading-Accent3"/>
    <w:uiPriority w:val="60"/>
    <w:rsid w:val="005918D2"/>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
    <w:name w:val="Light List - Accent 3124"/>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
    <w:name w:val="Light List - Accent 5114"/>
    <w:basedOn w:val="TableNormal"/>
    <w:next w:val="LightList-Accent5"/>
    <w:uiPriority w:val="61"/>
    <w:rsid w:val="005918D2"/>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
    <w:name w:val="Light Grid - Accent 5115"/>
    <w:basedOn w:val="TableNormal"/>
    <w:next w:val="LightGrid-Accent5"/>
    <w:uiPriority w:val="62"/>
    <w:rsid w:val="005918D2"/>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
    <w:name w:val="Светло сенчење – наглашавање 1114"/>
    <w:basedOn w:val="TableNormal"/>
    <w:uiPriority w:val="60"/>
    <w:rsid w:val="005918D2"/>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
    <w:name w:val="Light Grid - Accent 525"/>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
    <w:name w:val="Light Shading - Accent 1214"/>
    <w:basedOn w:val="TableNormal"/>
    <w:uiPriority w:val="60"/>
    <w:rsid w:val="005918D2"/>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
    <w:name w:val="Light List - Accent 31124"/>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
    <w:name w:val="Light Shading - Accent 1124"/>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
    <w:name w:val="Light Shading - Accent 1134"/>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
    <w:name w:val="tabele 324"/>
    <w:basedOn w:val="TableNormal"/>
    <w:next w:val="LightList-Accent3"/>
    <w:uiPriority w:val="61"/>
    <w:rsid w:val="005918D2"/>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
    <w:name w:val="Light Shading - Accent 1144"/>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
    <w:name w:val="Light Shading - Accent 339"/>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
    <w:name w:val="Light Shading - Accent 3124"/>
    <w:basedOn w:val="TableNormal"/>
    <w:next w:val="LightShading-Accent3"/>
    <w:uiPriority w:val="60"/>
    <w:rsid w:val="005918D2"/>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
    <w:name w:val="Light List - Accent 3134"/>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
    <w:name w:val="Light List - Accent 5124"/>
    <w:basedOn w:val="TableNormal"/>
    <w:next w:val="LightList-Accent5"/>
    <w:uiPriority w:val="61"/>
    <w:rsid w:val="005918D2"/>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
    <w:name w:val="Light Grid - Accent 5125"/>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
    <w:name w:val="Light Grid - Accent 535"/>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
    <w:name w:val="Light Shading - Accent 1154"/>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
    <w:name w:val="Light Shading - Accent 1165"/>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
    <w:name w:val="tabele 334"/>
    <w:basedOn w:val="TableNormal"/>
    <w:next w:val="LightList-Accent3"/>
    <w:uiPriority w:val="61"/>
    <w:rsid w:val="005918D2"/>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
    <w:name w:val="Light Shading - Accent 1174"/>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
    <w:name w:val="Light Shading - Accent 3134"/>
    <w:basedOn w:val="TableNormal"/>
    <w:next w:val="LightShading-Accent3"/>
    <w:uiPriority w:val="60"/>
    <w:rsid w:val="005918D2"/>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
    <w:name w:val="Light List - Accent 3144"/>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
    <w:name w:val="Light List - Accent 5134"/>
    <w:basedOn w:val="TableNormal"/>
    <w:next w:val="LightList-Accent5"/>
    <w:uiPriority w:val="61"/>
    <w:rsid w:val="005918D2"/>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
    <w:name w:val="Light Grid - Accent 5135"/>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
    <w:name w:val="Light Grid - Accent 545"/>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
    <w:name w:val="Light List - Accent 31134"/>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
    <w:name w:val="Light Shading - Accent 1184"/>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
    <w:name w:val="Light Shading - Accent 11614"/>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
    <w:name w:val="Light Shading - Accent 17"/>
    <w:basedOn w:val="TableNormal"/>
    <w:next w:val="LightShading-Accent1"/>
    <w:uiPriority w:val="60"/>
    <w:rsid w:val="005918D2"/>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5918D2"/>
  </w:style>
  <w:style w:type="table" w:customStyle="1" w:styleId="TableGrid33">
    <w:name w:val="Table Grid33"/>
    <w:basedOn w:val="TableNormal"/>
    <w:next w:val="TableGrid"/>
    <w:uiPriority w:val="39"/>
    <w:rsid w:val="005918D2"/>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
    <w:name w:val="Grid Table 6 Colorful - Accent 517"/>
    <w:basedOn w:val="TableNormal"/>
    <w:uiPriority w:val="51"/>
    <w:rsid w:val="005918D2"/>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
    <w:name w:val="Grid Table 7 Colorful1"/>
    <w:basedOn w:val="TableNormal"/>
    <w:uiPriority w:val="52"/>
    <w:rsid w:val="005918D2"/>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
    <w:name w:val="Plain Table 31"/>
    <w:basedOn w:val="TableNormal"/>
    <w:uiPriority w:val="43"/>
    <w:rsid w:val="005918D2"/>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918D2"/>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
    <w:name w:val="Grid Table 7 Colorful - Accent 31"/>
    <w:basedOn w:val="TableNormal"/>
    <w:uiPriority w:val="52"/>
    <w:rsid w:val="005918D2"/>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
    <w:name w:val="Grid Table 21"/>
    <w:basedOn w:val="TableNormal"/>
    <w:uiPriority w:val="47"/>
    <w:rsid w:val="005918D2"/>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qFormat/>
    <w:rsid w:val="005918D2"/>
    <w:pPr>
      <w:tabs>
        <w:tab w:val="decimal" w:pos="360"/>
      </w:tabs>
      <w:spacing w:after="200" w:line="276" w:lineRule="auto"/>
    </w:pPr>
    <w:rPr>
      <w:rFonts w:ascii="Calibri" w:eastAsia="Calibri" w:hAnsi="Calibri" w:cs="Times New Roman"/>
      <w:lang w:eastAsia="ja-JP"/>
    </w:rPr>
  </w:style>
  <w:style w:type="numbering" w:customStyle="1" w:styleId="NoList7">
    <w:name w:val="No List7"/>
    <w:next w:val="NoList"/>
    <w:uiPriority w:val="99"/>
    <w:semiHidden/>
    <w:unhideWhenUsed/>
    <w:rsid w:val="005918D2"/>
  </w:style>
  <w:style w:type="table" w:customStyle="1" w:styleId="LightShading-Accent353">
    <w:name w:val="Light Shading - Accent 353"/>
    <w:basedOn w:val="TableNormal"/>
    <w:next w:val="LightShading-Accent3"/>
    <w:uiPriority w:val="60"/>
    <w:rsid w:val="005918D2"/>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
    <w:name w:val="2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
    <w:name w:val="20"/>
    <w:basedOn w:val="TableNormal"/>
    <w:rsid w:val="005918D2"/>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
    <w:name w:val="19"/>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
    <w:name w:val="18"/>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
    <w:name w:val="17"/>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
    <w:name w:val="16"/>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
    <w:name w:val="15"/>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
    <w:name w:val="14"/>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
    <w:name w:val="13"/>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0">
    <w:name w:val="12"/>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8">
    <w:name w:val="1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
    <w:name w:val="10"/>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
    <w:name w:val="9"/>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
    <w:name w:val="8"/>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
    <w:name w:val="7"/>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
    <w:name w:val="6"/>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
    <w:name w:val="5"/>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
    <w:name w:val="4"/>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0">
    <w:name w:val="3"/>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
    <w:name w:val="2"/>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a">
    <w:name w:val="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paragraph" w:customStyle="1" w:styleId="Nabrajanjemera">
    <w:name w:val="Nabrajanje mera"/>
    <w:basedOn w:val="Normal"/>
    <w:qFormat/>
    <w:rsid w:val="005918D2"/>
    <w:pPr>
      <w:numPr>
        <w:numId w:val="9"/>
      </w:numPr>
      <w:spacing w:after="0"/>
      <w:ind w:left="1495"/>
    </w:pPr>
    <w:rPr>
      <w:b/>
      <w:smallCaps/>
      <w:szCs w:val="24"/>
      <w:lang w:val="sr-Cyrl-RS"/>
    </w:rPr>
  </w:style>
  <w:style w:type="character" w:customStyle="1" w:styleId="Nazivmere">
    <w:name w:val="Naziv mere"/>
    <w:basedOn w:val="DefaultParagraphFont"/>
    <w:uiPriority w:val="1"/>
    <w:rsid w:val="005918D2"/>
    <w:rPr>
      <w:rFonts w:asciiTheme="minorHAnsi" w:hAnsiTheme="minorHAnsi"/>
      <w:b w:val="0"/>
      <w:caps/>
      <w:smallCaps w:val="0"/>
      <w:sz w:val="22"/>
    </w:rPr>
  </w:style>
  <w:style w:type="character" w:customStyle="1" w:styleId="tekst">
    <w:name w:val="tekst"/>
    <w:basedOn w:val="DefaultParagraphFont"/>
    <w:uiPriority w:val="1"/>
    <w:rsid w:val="005918D2"/>
    <w:rPr>
      <w:rFonts w:asciiTheme="minorHAnsi" w:hAnsiTheme="minorHAnsi"/>
      <w:sz w:val="22"/>
    </w:rPr>
  </w:style>
  <w:style w:type="table" w:customStyle="1" w:styleId="TableGrid41">
    <w:name w:val="Table Grid41"/>
    <w:basedOn w:val="TableNormal"/>
    <w:next w:val="TableGrid"/>
    <w:uiPriority w:val="39"/>
    <w:rsid w:val="005918D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b/>
      <w:bCs/>
      <w:sz w:val="20"/>
      <w:szCs w:val="20"/>
      <w:lang w:val="sr-Latn-RS" w:eastAsia="sr-Latn-RS"/>
    </w:rPr>
  </w:style>
  <w:style w:type="paragraph" w:customStyle="1" w:styleId="xl67">
    <w:name w:val="xl67"/>
    <w:basedOn w:val="Normal"/>
    <w:rsid w:val="005918D2"/>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8">
    <w:name w:val="xl68"/>
    <w:basedOn w:val="Normal"/>
    <w:rsid w:val="005918D2"/>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69">
    <w:name w:val="xl69"/>
    <w:basedOn w:val="Normal"/>
    <w:rsid w:val="005918D2"/>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i/>
      <w:iCs/>
      <w:sz w:val="16"/>
      <w:szCs w:val="16"/>
      <w:lang w:val="sr-Latn-RS" w:eastAsia="sr-Latn-RS"/>
    </w:rPr>
  </w:style>
  <w:style w:type="paragraph" w:customStyle="1" w:styleId="xl70">
    <w:name w:val="xl70"/>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sz w:val="16"/>
      <w:szCs w:val="16"/>
      <w:lang w:val="sr-Latn-RS" w:eastAsia="sr-Latn-RS"/>
    </w:rPr>
  </w:style>
  <w:style w:type="paragraph" w:customStyle="1" w:styleId="xl71">
    <w:name w:val="xl71"/>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72">
    <w:name w:val="xl72"/>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3">
    <w:name w:val="xl73"/>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74">
    <w:name w:val="xl74"/>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75">
    <w:name w:val="xl75"/>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6">
    <w:name w:val="xl76"/>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77">
    <w:name w:val="xl77"/>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8">
    <w:name w:val="xl78"/>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color w:val="FF0000"/>
      <w:sz w:val="16"/>
      <w:szCs w:val="16"/>
      <w:lang w:val="sr-Latn-RS" w:eastAsia="sr-Latn-RS"/>
    </w:rPr>
  </w:style>
  <w:style w:type="paragraph" w:customStyle="1" w:styleId="xl79">
    <w:name w:val="xl79"/>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Times New Roman"/>
      <w:i/>
      <w:iCs/>
      <w:sz w:val="16"/>
      <w:szCs w:val="16"/>
      <w:lang w:val="sr-Latn-RS" w:eastAsia="sr-Latn-RS"/>
    </w:rPr>
  </w:style>
  <w:style w:type="paragraph" w:customStyle="1" w:styleId="xl80">
    <w:name w:val="xl80"/>
    <w:basedOn w:val="Normal"/>
    <w:rsid w:val="005918D2"/>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 w:val="18"/>
      <w:szCs w:val="18"/>
      <w:lang w:val="sr-Latn-RS" w:eastAsia="sr-Latn-RS"/>
    </w:rPr>
  </w:style>
  <w:style w:type="paragraph" w:customStyle="1" w:styleId="xl81">
    <w:name w:val="xl81"/>
    <w:basedOn w:val="Normal"/>
    <w:rsid w:val="005918D2"/>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szCs w:val="24"/>
      <w:lang w:val="sr-Latn-RS" w:eastAsia="sr-Latn-RS"/>
    </w:rPr>
  </w:style>
  <w:style w:type="paragraph" w:customStyle="1" w:styleId="xl82">
    <w:name w:val="xl82"/>
    <w:basedOn w:val="Normal"/>
    <w:rsid w:val="005918D2"/>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jc w:val="right"/>
      <w:textAlignment w:val="center"/>
    </w:pPr>
    <w:rPr>
      <w:rFonts w:ascii="Calibri" w:eastAsia="Times New Roman" w:hAnsi="Calibri" w:cs="Times New Roman"/>
      <w:b/>
      <w:bCs/>
      <w:sz w:val="18"/>
      <w:szCs w:val="18"/>
      <w:lang w:val="sr-Latn-RS" w:eastAsia="sr-Latn-RS"/>
    </w:rPr>
  </w:style>
  <w:style w:type="paragraph" w:customStyle="1" w:styleId="xl83">
    <w:name w:val="xl83"/>
    <w:basedOn w:val="Normal"/>
    <w:rsid w:val="005918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w:eastAsia="Times New Roman" w:hAnsi="Calibri" w:cs="Times New Roman"/>
      <w:b/>
      <w:bCs/>
      <w:i/>
      <w:iCs/>
      <w:sz w:val="18"/>
      <w:szCs w:val="18"/>
      <w:lang w:val="sr-Latn-RS" w:eastAsia="sr-Latn-RS"/>
    </w:rPr>
  </w:style>
  <w:style w:type="paragraph" w:customStyle="1" w:styleId="xl84">
    <w:name w:val="xl84"/>
    <w:basedOn w:val="Normal"/>
    <w:rsid w:val="005918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Cs w:val="24"/>
      <w:lang w:val="sr-Latn-RS" w:eastAsia="sr-Latn-RS"/>
    </w:rPr>
  </w:style>
  <w:style w:type="paragraph" w:customStyle="1" w:styleId="xl85">
    <w:name w:val="xl85"/>
    <w:basedOn w:val="Normal"/>
    <w:rsid w:val="005918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eastAsia="Times New Roman" w:hAnsi="Calibri" w:cs="Times New Roman"/>
      <w:b/>
      <w:bCs/>
      <w:i/>
      <w:iCs/>
      <w:sz w:val="18"/>
      <w:szCs w:val="18"/>
      <w:lang w:val="sr-Latn-RS" w:eastAsia="sr-Latn-RS"/>
    </w:rPr>
  </w:style>
  <w:style w:type="paragraph" w:customStyle="1" w:styleId="xl86">
    <w:name w:val="xl86"/>
    <w:basedOn w:val="Normal"/>
    <w:rsid w:val="005918D2"/>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color w:val="FF0000"/>
      <w:sz w:val="16"/>
      <w:szCs w:val="16"/>
      <w:lang w:val="sr-Latn-RS" w:eastAsia="sr-Latn-RS"/>
    </w:rPr>
  </w:style>
  <w:style w:type="paragraph" w:customStyle="1" w:styleId="xl87">
    <w:name w:val="xl87"/>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8">
    <w:name w:val="xl88"/>
    <w:basedOn w:val="Normal"/>
    <w:rsid w:val="005918D2"/>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89">
    <w:name w:val="xl89"/>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0">
    <w:name w:val="xl90"/>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1">
    <w:name w:val="xl91"/>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2">
    <w:name w:val="xl92"/>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3">
    <w:name w:val="xl93"/>
    <w:basedOn w:val="Normal"/>
    <w:rsid w:val="005918D2"/>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paragraph" w:customStyle="1" w:styleId="xl94">
    <w:name w:val="xl94"/>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5">
    <w:name w:val="xl95"/>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Times New Roman"/>
      <w:sz w:val="16"/>
      <w:szCs w:val="16"/>
      <w:lang w:val="sr-Latn-RS" w:eastAsia="sr-Latn-RS"/>
    </w:rPr>
  </w:style>
  <w:style w:type="paragraph" w:customStyle="1" w:styleId="xl96">
    <w:name w:val="xl96"/>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sz w:val="16"/>
      <w:szCs w:val="16"/>
      <w:lang w:val="sr-Latn-RS" w:eastAsia="sr-Latn-RS"/>
    </w:rPr>
  </w:style>
  <w:style w:type="paragraph" w:customStyle="1" w:styleId="xl97">
    <w:name w:val="xl97"/>
    <w:basedOn w:val="Normal"/>
    <w:rsid w:val="005918D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Times New Roman" w:hAnsi="Calibri" w:cs="Times New Roman"/>
      <w:i/>
      <w:iCs/>
      <w:sz w:val="16"/>
      <w:szCs w:val="16"/>
      <w:lang w:val="sr-Latn-RS" w:eastAsia="sr-Latn-RS"/>
    </w:rPr>
  </w:style>
  <w:style w:type="paragraph" w:customStyle="1" w:styleId="xl98">
    <w:name w:val="xl98"/>
    <w:basedOn w:val="Normal"/>
    <w:rsid w:val="005918D2"/>
    <w:pPr>
      <w:pBdr>
        <w:top w:val="single" w:sz="4" w:space="0" w:color="auto"/>
        <w:left w:val="single" w:sz="4" w:space="0" w:color="auto"/>
        <w:bottom w:val="single" w:sz="4" w:space="0" w:color="auto"/>
        <w:right w:val="single" w:sz="4" w:space="0" w:color="auto"/>
      </w:pBdr>
      <w:shd w:val="clear" w:color="D9D9D9" w:fill="D9D9D9"/>
      <w:spacing w:before="100" w:beforeAutospacing="1" w:after="100" w:afterAutospacing="1"/>
      <w:textAlignment w:val="center"/>
    </w:pPr>
    <w:rPr>
      <w:rFonts w:ascii="Calibri" w:eastAsia="Times New Roman" w:hAnsi="Calibri" w:cs="Times New Roman"/>
      <w:b/>
      <w:bCs/>
      <w:i/>
      <w:iCs/>
      <w:sz w:val="16"/>
      <w:szCs w:val="16"/>
      <w:lang w:val="sr-Latn-RS" w:eastAsia="sr-Latn-RS"/>
    </w:rPr>
  </w:style>
  <w:style w:type="character" w:customStyle="1" w:styleId="Bodytext0">
    <w:name w:val="Body text_"/>
    <w:basedOn w:val="DefaultParagraphFont"/>
    <w:link w:val="BodyText9"/>
    <w:locked/>
    <w:rsid w:val="005918D2"/>
    <w:rPr>
      <w:sz w:val="19"/>
      <w:szCs w:val="19"/>
      <w:shd w:val="clear" w:color="auto" w:fill="FFFFFF"/>
    </w:rPr>
  </w:style>
  <w:style w:type="paragraph" w:customStyle="1" w:styleId="BodyText9">
    <w:name w:val="Body Text9"/>
    <w:basedOn w:val="Normal"/>
    <w:link w:val="Bodytext0"/>
    <w:rsid w:val="005918D2"/>
    <w:pPr>
      <w:shd w:val="clear" w:color="auto" w:fill="FFFFFF"/>
      <w:spacing w:before="180" w:after="180" w:line="277" w:lineRule="exact"/>
      <w:ind w:hanging="340"/>
    </w:pPr>
    <w:rPr>
      <w:rFonts w:asciiTheme="minorHAnsi" w:hAnsiTheme="minorHAnsi"/>
      <w:sz w:val="19"/>
      <w:szCs w:val="19"/>
    </w:rPr>
  </w:style>
  <w:style w:type="character" w:customStyle="1" w:styleId="BodytextBold">
    <w:name w:val="Body text + Bold"/>
    <w:basedOn w:val="Bodytext0"/>
    <w:rsid w:val="005918D2"/>
    <w:rPr>
      <w:b/>
      <w:bCs/>
      <w:sz w:val="19"/>
      <w:szCs w:val="19"/>
      <w:shd w:val="clear" w:color="auto" w:fill="FFFFFF"/>
    </w:rPr>
  </w:style>
  <w:style w:type="table" w:customStyle="1" w:styleId="TableGrid311">
    <w:name w:val="Table Grid311"/>
    <w:basedOn w:val="TableNormal"/>
    <w:next w:val="TableGrid"/>
    <w:uiPriority w:val="39"/>
    <w:rsid w:val="005918D2"/>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
    <w:name w:val="Grid Table 5 Dark - Accent 55"/>
    <w:basedOn w:val="TableNormal"/>
    <w:uiPriority w:val="50"/>
    <w:rsid w:val="00591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UnresolvedMention1">
    <w:name w:val="Unresolved Mention1"/>
    <w:basedOn w:val="DefaultParagraphFont"/>
    <w:uiPriority w:val="99"/>
    <w:semiHidden/>
    <w:unhideWhenUsed/>
    <w:rsid w:val="005918D2"/>
    <w:rPr>
      <w:color w:val="605E5C"/>
      <w:shd w:val="clear" w:color="auto" w:fill="E1DFDD"/>
    </w:rPr>
  </w:style>
  <w:style w:type="table" w:customStyle="1" w:styleId="LightShading-Accent3351">
    <w:name w:val="Light Shading - Accent 335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
    <w:name w:val="List Table 6 Colorful - Accent 62"/>
    <w:basedOn w:val="TableNormal"/>
    <w:uiPriority w:val="51"/>
    <w:rsid w:val="005918D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yperlink2">
    <w:name w:val="Hyperlink2"/>
    <w:basedOn w:val="DefaultParagraphFont"/>
    <w:uiPriority w:val="99"/>
    <w:rsid w:val="005918D2"/>
    <w:rPr>
      <w:color w:val="0563C1"/>
      <w:u w:val="single"/>
    </w:rPr>
  </w:style>
  <w:style w:type="character" w:customStyle="1" w:styleId="UnresolvedMention2">
    <w:name w:val="Unresolved Mention2"/>
    <w:basedOn w:val="DefaultParagraphFont"/>
    <w:uiPriority w:val="99"/>
    <w:semiHidden/>
    <w:unhideWhenUsed/>
    <w:rsid w:val="005918D2"/>
    <w:rPr>
      <w:color w:val="605E5C"/>
      <w:shd w:val="clear" w:color="auto" w:fill="E1DFDD"/>
    </w:rPr>
  </w:style>
  <w:style w:type="character" w:customStyle="1" w:styleId="UnresolvedMention3">
    <w:name w:val="Unresolved Mention3"/>
    <w:basedOn w:val="DefaultParagraphFont"/>
    <w:uiPriority w:val="99"/>
    <w:semiHidden/>
    <w:unhideWhenUsed/>
    <w:rsid w:val="005918D2"/>
    <w:rPr>
      <w:color w:val="605E5C"/>
      <w:shd w:val="clear" w:color="auto" w:fill="E1DFDD"/>
    </w:rPr>
  </w:style>
  <w:style w:type="table" w:customStyle="1" w:styleId="GridTable1Light-Accent15">
    <w:name w:val="Grid Table 1 Light - Accent 15"/>
    <w:basedOn w:val="TableNormal"/>
    <w:uiPriority w:val="46"/>
    <w:rsid w:val="005918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39"/>
    <w:rsid w:val="00591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
    <w:name w:val="Plain Table 41"/>
    <w:basedOn w:val="TableNormal"/>
    <w:uiPriority w:val="44"/>
    <w:rsid w:val="005918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usnoteIoI">
    <w:name w:val="Fusnote_IoI"/>
    <w:basedOn w:val="FootnoteText"/>
    <w:link w:val="FusnoteIoIChar"/>
    <w:uiPriority w:val="99"/>
    <w:rsid w:val="005918D2"/>
    <w:pPr>
      <w:keepLines/>
      <w:tabs>
        <w:tab w:val="left" w:pos="454"/>
        <w:tab w:val="left" w:pos="907"/>
        <w:tab w:val="left" w:pos="1361"/>
        <w:tab w:val="left" w:pos="1814"/>
        <w:tab w:val="right" w:pos="9072"/>
      </w:tabs>
      <w:spacing w:before="60" w:after="0"/>
      <w:ind w:firstLine="0"/>
    </w:pPr>
    <w:rPr>
      <w:rFonts w:ascii="Times New Roman" w:eastAsia="Calibri" w:hAnsi="Times New Roman" w:cs="Times New Roman"/>
      <w:bCs w:val="0"/>
      <w:noProof/>
      <w:color w:val="auto"/>
      <w:spacing w:val="-2"/>
      <w:sz w:val="14"/>
    </w:rPr>
  </w:style>
  <w:style w:type="character" w:customStyle="1" w:styleId="FusnoteIoIChar">
    <w:name w:val="Fusnote_IoI Char"/>
    <w:link w:val="FusnoteIoI"/>
    <w:uiPriority w:val="99"/>
    <w:locked/>
    <w:rsid w:val="005918D2"/>
    <w:rPr>
      <w:rFonts w:ascii="Times New Roman" w:eastAsia="Calibri" w:hAnsi="Times New Roman" w:cs="Times New Roman"/>
      <w:noProof/>
      <w:spacing w:val="-2"/>
      <w:sz w:val="14"/>
      <w:szCs w:val="20"/>
      <w:lang w:val="sr-Cyrl-CS"/>
    </w:rPr>
  </w:style>
  <w:style w:type="table" w:customStyle="1" w:styleId="LightShading-Accent3352">
    <w:name w:val="Light Shading - Accent 3352"/>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
    <w:name w:val="Grid Table 6 Colorful - Accent 15"/>
    <w:basedOn w:val="TableNormal"/>
    <w:next w:val="GridTable6Colorful-Accent1"/>
    <w:uiPriority w:val="51"/>
    <w:rsid w:val="005918D2"/>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1">
    <w:name w:val="Grid Table 6 Colorful Accent 1"/>
    <w:basedOn w:val="TableNormal"/>
    <w:uiPriority w:val="51"/>
    <w:rsid w:val="005918D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wtze">
    <w:name w:val="hwtze"/>
    <w:basedOn w:val="DefaultParagraphFont"/>
    <w:rsid w:val="005918D2"/>
  </w:style>
  <w:style w:type="character" w:customStyle="1" w:styleId="rynqvb">
    <w:name w:val="rynqvb"/>
    <w:basedOn w:val="DefaultParagraphFont"/>
    <w:rsid w:val="005918D2"/>
  </w:style>
  <w:style w:type="paragraph" w:customStyle="1" w:styleId="Naglasavanjepreglavteksta">
    <w:name w:val="Naglasavanje_pre_glav_teksta"/>
    <w:basedOn w:val="Normal"/>
    <w:rsid w:val="005918D2"/>
    <w:pPr>
      <w:spacing w:before="200" w:after="200"/>
    </w:pPr>
    <w:rPr>
      <w:rFonts w:ascii="Arial" w:eastAsia="Batang" w:hAnsi="Arial" w:cs="Arial"/>
      <w:b/>
      <w:i/>
      <w:color w:val="808080"/>
      <w:sz w:val="18"/>
      <w:szCs w:val="18"/>
      <w:lang w:val="sr-Cyrl-CS" w:eastAsia="x-none"/>
    </w:rPr>
  </w:style>
  <w:style w:type="paragraph" w:customStyle="1" w:styleId="NumPar1">
    <w:name w:val="NumPar 1"/>
    <w:basedOn w:val="Normal"/>
    <w:next w:val="Normal"/>
    <w:link w:val="FootnoteReference"/>
    <w:uiPriority w:val="99"/>
    <w:rsid w:val="005918D2"/>
    <w:pPr>
      <w:numPr>
        <w:numId w:val="28"/>
      </w:numPr>
      <w:spacing w:before="120"/>
    </w:pPr>
    <w:rPr>
      <w:rFonts w:asciiTheme="minorHAnsi" w:hAnsiTheme="minorHAnsi"/>
      <w:sz w:val="22"/>
      <w:vertAlign w:val="superscript"/>
    </w:rPr>
  </w:style>
  <w:style w:type="paragraph" w:customStyle="1" w:styleId="NumPar2">
    <w:name w:val="NumPar 2"/>
    <w:basedOn w:val="Normal"/>
    <w:next w:val="Normal"/>
    <w:rsid w:val="005918D2"/>
    <w:pPr>
      <w:numPr>
        <w:ilvl w:val="1"/>
        <w:numId w:val="28"/>
      </w:numPr>
      <w:spacing w:before="120"/>
    </w:pPr>
    <w:rPr>
      <w:rFonts w:ascii="Tunga" w:eastAsia="Arial Unicode MS" w:hAnsi="Tunga" w:cs="Tunga"/>
      <w:snapToGrid w:val="0"/>
      <w:sz w:val="20"/>
      <w:szCs w:val="20"/>
    </w:rPr>
  </w:style>
  <w:style w:type="paragraph" w:customStyle="1" w:styleId="NumPar3">
    <w:name w:val="NumPar 3"/>
    <w:basedOn w:val="Normal"/>
    <w:next w:val="Normal"/>
    <w:rsid w:val="005918D2"/>
    <w:pPr>
      <w:numPr>
        <w:ilvl w:val="2"/>
        <w:numId w:val="28"/>
      </w:numPr>
      <w:spacing w:before="120"/>
    </w:pPr>
    <w:rPr>
      <w:rFonts w:ascii="Tunga" w:eastAsia="Arial Unicode MS" w:hAnsi="Tunga" w:cs="Tunga"/>
      <w:snapToGrid w:val="0"/>
      <w:sz w:val="20"/>
      <w:szCs w:val="20"/>
    </w:rPr>
  </w:style>
  <w:style w:type="paragraph" w:customStyle="1" w:styleId="NumPar4">
    <w:name w:val="NumPar 4"/>
    <w:basedOn w:val="Normal"/>
    <w:next w:val="Normal"/>
    <w:rsid w:val="005918D2"/>
    <w:pPr>
      <w:numPr>
        <w:ilvl w:val="3"/>
        <w:numId w:val="28"/>
      </w:numPr>
      <w:spacing w:before="120"/>
    </w:pPr>
    <w:rPr>
      <w:rFonts w:ascii="Tunga" w:eastAsia="Arial Unicode MS" w:hAnsi="Tunga" w:cs="Tunga"/>
      <w:snapToGrid w:val="0"/>
      <w:sz w:val="20"/>
      <w:szCs w:val="20"/>
    </w:rPr>
  </w:style>
  <w:style w:type="paragraph" w:customStyle="1" w:styleId="FootnotesrefssChar">
    <w:name w:val="Footnotes refss Char"/>
    <w:aliases w:val="16 Point Char,Superscript 6 Point Char,Footnote Reference Number Char,nota pié di pagina Char,Times 10 Point Char, Exposant 3 Point Char,Footnote symbol Char,Footnote reference number Char"/>
    <w:basedOn w:val="Normal"/>
    <w:uiPriority w:val="99"/>
    <w:rsid w:val="005918D2"/>
    <w:pPr>
      <w:spacing w:after="160" w:line="240" w:lineRule="exact"/>
      <w:jc w:val="left"/>
    </w:pPr>
    <w:rPr>
      <w:rFonts w:asciiTheme="minorHAnsi" w:hAnsiTheme="minorHAnsi"/>
      <w:sz w:val="22"/>
      <w:vertAlign w:val="superscript"/>
    </w:rPr>
  </w:style>
  <w:style w:type="table" w:customStyle="1" w:styleId="TableGrid8">
    <w:name w:val="Table Grid8"/>
    <w:basedOn w:val="TableNormal"/>
    <w:next w:val="TableGrid"/>
    <w:uiPriority w:val="39"/>
    <w:rsid w:val="00591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918D2"/>
  </w:style>
  <w:style w:type="numbering" w:customStyle="1" w:styleId="NoList14">
    <w:name w:val="No List14"/>
    <w:next w:val="NoList"/>
    <w:uiPriority w:val="99"/>
    <w:semiHidden/>
    <w:unhideWhenUsed/>
    <w:rsid w:val="005918D2"/>
  </w:style>
  <w:style w:type="table" w:customStyle="1" w:styleId="TableGrid9">
    <w:name w:val="Table Grid9"/>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4">
    <w:name w:val="Financial Table4"/>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3">
    <w:name w:val="Light Shading13"/>
    <w:basedOn w:val="TableNormal"/>
    <w:next w:val="LightShading"/>
    <w:uiPriority w:val="60"/>
    <w:rsid w:val="005918D2"/>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8">
    <w:name w:val="Grid Table 6 Colorful - Accent 518"/>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9">
    <w:name w:val="Light Shading - Accent 129"/>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4">
    <w:name w:val="Grid Table 6 Colorful - Accent 5114"/>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5">
    <w:name w:val="Light Shading - Accent 1215"/>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3">
    <w:name w:val="Grid Table 6 Colorful - Accent 113"/>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4">
    <w:name w:val="Light Shading - Accent 1224"/>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4">
    <w:name w:val="Grid Table 6 Colorful - Accent 524"/>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8">
    <w:name w:val="tabele 38"/>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8">
    <w:name w:val="Light Shading - Accent 1118"/>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8">
    <w:name w:val="Light Shading - Accent 38"/>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8">
    <w:name w:val="Light List - Accent 58"/>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8">
    <w:name w:val="Light Shading - Accent 318"/>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9">
    <w:name w:val="Light List - Accent 319"/>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6">
    <w:name w:val="Table Grid16"/>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8">
    <w:name w:val="Light List - Accent 518"/>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5">
    <w:name w:val="Medium List 1 - Accent 515"/>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6">
    <w:name w:val="Medium List 1 - Accent 56"/>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4">
    <w:name w:val="No List114"/>
    <w:next w:val="NoList"/>
    <w:uiPriority w:val="99"/>
    <w:semiHidden/>
    <w:unhideWhenUsed/>
    <w:rsid w:val="005918D2"/>
  </w:style>
  <w:style w:type="table" w:customStyle="1" w:styleId="LightGrid-Accent519">
    <w:name w:val="Light Grid - Accent 519"/>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80">
    <w:name w:val="Светло сенчење – наглашавање 118"/>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10">
    <w:name w:val="Light Grid - Accent 510"/>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4">
    <w:name w:val="tabele za ifs4"/>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4">
    <w:name w:val="tabele za ifs 14"/>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4">
    <w:name w:val="Colorful List - Accent 14"/>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4">
    <w:name w:val="No List24"/>
    <w:next w:val="NoList"/>
    <w:uiPriority w:val="99"/>
    <w:semiHidden/>
    <w:unhideWhenUsed/>
    <w:rsid w:val="005918D2"/>
  </w:style>
  <w:style w:type="table" w:customStyle="1" w:styleId="LightList-Accent327">
    <w:name w:val="Light List - Accent 327"/>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8">
    <w:name w:val="Light List - Accent 3118"/>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7">
    <w:name w:val="Light Shading - Accent 1327"/>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5">
    <w:name w:val="Light Shading - Accent 13115"/>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8">
    <w:name w:val="Light Shading - Accent 1328"/>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5">
    <w:name w:val="tabele 315"/>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9">
    <w:name w:val="Light Shading - Accent 1119"/>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5">
    <w:name w:val="Light Shading - Accent 325"/>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5">
    <w:name w:val="Light List - Accent 525"/>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5">
    <w:name w:val="Light Shading - Accent 3115"/>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5">
    <w:name w:val="Light List - Accent 3125"/>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5">
    <w:name w:val="Light List - Accent 5115"/>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6">
    <w:name w:val="Light Grid - Accent 5116"/>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5">
    <w:name w:val="Светло сенчење – наглашавање 1115"/>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6">
    <w:name w:val="Light Grid - Accent 526"/>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4">
    <w:name w:val="Light List - Accent 3214"/>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5">
    <w:name w:val="Light List - Accent 31115"/>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4">
    <w:name w:val="Light Shading - Accent 133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6">
    <w:name w:val="Light Shading - Accent 13116"/>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4">
    <w:name w:val="Light Shading - Accent 1321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5">
    <w:name w:val="Light Shading - Accent 112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4">
    <w:name w:val="Light Shading - Accent 134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5">
    <w:name w:val="Light Shading - Accent 113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4">
    <w:name w:val="Light Shading - Accent 135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5">
    <w:name w:val="Light Shading - Accent 1365"/>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4">
    <w:name w:val="Light Shading - Accent 137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5">
    <w:name w:val="tabele 325"/>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5">
    <w:name w:val="Light Shading - Accent 114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0">
    <w:name w:val="Light Shading - Accent 3310"/>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4">
    <w:name w:val="Light List - Accent 534"/>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5">
    <w:name w:val="Light Shading - Accent 3125"/>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5">
    <w:name w:val="Light List - Accent 3135"/>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5">
    <w:name w:val="Light List - Accent 5125"/>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6">
    <w:name w:val="Light Grid - Accent 5126"/>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4">
    <w:name w:val="Светло сенчење – наглашавање 1124"/>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6">
    <w:name w:val="Light Grid - Accent 536"/>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4">
    <w:name w:val="Light List - Accent 3224"/>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5">
    <w:name w:val="Light List - Accent 31125"/>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5">
    <w:name w:val="Light Shading - Accent 1385"/>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4">
    <w:name w:val="Light Shading - Accent 1312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4">
    <w:name w:val="Light Shading - Accent 1322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5">
    <w:name w:val="Light Shading - Accent 115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5">
    <w:name w:val="Light Shading - Accent 1395"/>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6">
    <w:name w:val="Light Shading - Accent 1166"/>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5">
    <w:name w:val="Light Shading - Accent 13105"/>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4">
    <w:name w:val="Light Shading - Accent 1313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5">
    <w:name w:val="tabele 335"/>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5">
    <w:name w:val="Light Shading - Accent 117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6">
    <w:name w:val="Light Shading - Accent 346"/>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4">
    <w:name w:val="Light List - Accent 544"/>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5">
    <w:name w:val="Light Shading - Accent 3135"/>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5">
    <w:name w:val="Light List - Accent 3145"/>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5">
    <w:name w:val="Light List - Accent 5135"/>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6">
    <w:name w:val="Light Grid - Accent 5136"/>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4">
    <w:name w:val="Светло сенчење – наглашавање 1134"/>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6">
    <w:name w:val="Light Grid - Accent 546"/>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4">
    <w:name w:val="Light Shading - Accent 1234"/>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4">
    <w:name w:val="Light List - Accent 3234"/>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5">
    <w:name w:val="Light List - Accent 31135"/>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4">
    <w:name w:val="Light Shading - Accent 1314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4">
    <w:name w:val="Light Shading - Accent 1315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4">
    <w:name w:val="Light Shading - Accent 1323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4">
    <w:name w:val="Light Shading - Accent 1316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4">
    <w:name w:val="Light Shading - Accent 1381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5">
    <w:name w:val="Light Shading - Accent 118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4">
    <w:name w:val="Light Shading - Accent 1391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5">
    <w:name w:val="Light Shading - Accent 11615"/>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4">
    <w:name w:val="Light Shading - Accent 13101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4">
    <w:name w:val="Light Shading - Accent 1361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4">
    <w:name w:val="Light Shading - Accent 1194"/>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3">
    <w:name w:val="Light Shading - Accent 143"/>
    <w:basedOn w:val="TableNormal"/>
    <w:next w:val="LightShading-Accent1"/>
    <w:uiPriority w:val="60"/>
    <w:rsid w:val="005918D2"/>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4">
    <w:name w:val="Light Shading - Accent 3314"/>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4">
    <w:name w:val="Light Shading - Accent 3324"/>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4">
    <w:name w:val="Light Shading - Accent 3334"/>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4">
    <w:name w:val="Light Shading - Accent 3414"/>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4">
    <w:name w:val="Light Shading - Accent 3424"/>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4">
    <w:name w:val="Light Grid - Accent 5144"/>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4">
    <w:name w:val="Light Grid - Accent 554"/>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4">
    <w:name w:val="Light Grid - Accent 51114"/>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4">
    <w:name w:val="Light Grid - Accent 5214"/>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4">
    <w:name w:val="Light Grid - Accent 51214"/>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4">
    <w:name w:val="Light Grid - Accent 5314"/>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4">
    <w:name w:val="Light Grid - Accent 51314"/>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4">
    <w:name w:val="Light Grid - Accent 5414"/>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4">
    <w:name w:val="Light Shading - Accent 614"/>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4">
    <w:name w:val="Grid Table 6 Colorful - Accent 414"/>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3">
    <w:name w:val="Light Shading - Accent 6113"/>
    <w:basedOn w:val="TableNormal"/>
    <w:next w:val="LightShading-Accent6"/>
    <w:uiPriority w:val="60"/>
    <w:rsid w:val="005918D2"/>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4">
    <w:name w:val="Grid Table 6 Colorful - Accent 314"/>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3">
    <w:name w:val="Grid Table 4 - Accent 513"/>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3">
    <w:name w:val="Grid Table 5 Dark - Accent 513"/>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40">
    <w:name w:val="ФС4"/>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13">
    <w:name w:val="List Table 6 Colorful - Accent 313"/>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3">
    <w:name w:val="Grid Table 1 Light - Accent 113"/>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3">
    <w:name w:val="List Table 1 Light - Accent 113"/>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3">
    <w:name w:val="List Table 2 - Accent 113"/>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3">
    <w:name w:val="List Table 2 - Accent 513"/>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3">
    <w:name w:val="Grid Table 2 - Accent 513"/>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5">
    <w:name w:val="Table Grid25"/>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4">
    <w:name w:val="Light Shading - Accent 1244"/>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3">
    <w:name w:val="Grid Table 6 Colorful - Accent 5123"/>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3">
    <w:name w:val="Grid Table 6 Colorful - Accent 5133"/>
    <w:basedOn w:val="TableNormal"/>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3">
    <w:name w:val="No List33"/>
    <w:next w:val="NoList"/>
    <w:uiPriority w:val="99"/>
    <w:semiHidden/>
    <w:unhideWhenUsed/>
    <w:rsid w:val="005918D2"/>
  </w:style>
  <w:style w:type="table" w:customStyle="1" w:styleId="TableGrid34">
    <w:name w:val="Table Grid34"/>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3">
    <w:name w:val="Financial Table13"/>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3">
    <w:name w:val="Grid Table 6 Colorful - Accent 533"/>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4">
    <w:name w:val="Light Shading - Accent 1254"/>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3">
    <w:name w:val="Grid Table 6 Colorful - Accent 5143"/>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3">
    <w:name w:val="Light Shading - Accent 12113"/>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3">
    <w:name w:val="Grid Table 6 Colorful - Accent 51113"/>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3">
    <w:name w:val="Grid Table 6 Colorful - Accent 123"/>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3">
    <w:name w:val="Light Shading - Accent 12213"/>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3">
    <w:name w:val="Grid Table 6 Colorful - Accent 5213"/>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3">
    <w:name w:val="tabele 343"/>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3">
    <w:name w:val="Light Shading - Accent 1110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4">
    <w:name w:val="Light Shading - Accent 354"/>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3">
    <w:name w:val="Light List - Accent 553"/>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3">
    <w:name w:val="Light Shading - Accent 3143"/>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3">
    <w:name w:val="Light List - Accent 315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3">
    <w:name w:val="Table Grid113"/>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3">
    <w:name w:val="Light List - Accent 5143"/>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3">
    <w:name w:val="Medium List 1 - Accent 5113"/>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3">
    <w:name w:val="Medium List 1 - Accent 523"/>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3">
    <w:name w:val="No List1113"/>
    <w:next w:val="NoList"/>
    <w:uiPriority w:val="99"/>
    <w:semiHidden/>
    <w:unhideWhenUsed/>
    <w:rsid w:val="005918D2"/>
  </w:style>
  <w:style w:type="table" w:customStyle="1" w:styleId="LightGrid-Accent5153">
    <w:name w:val="Light Grid - Accent 515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3">
    <w:name w:val="Светло сенчење – наглашавање 1143"/>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3">
    <w:name w:val="Light Grid - Accent 56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30">
    <w:name w:val="tabele za ifs13"/>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13">
    <w:name w:val="tabele za ifs 113"/>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3">
    <w:name w:val="Colorful List - Accent 113"/>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3">
    <w:name w:val="No List213"/>
    <w:next w:val="NoList"/>
    <w:uiPriority w:val="99"/>
    <w:semiHidden/>
    <w:unhideWhenUsed/>
    <w:rsid w:val="005918D2"/>
  </w:style>
  <w:style w:type="table" w:customStyle="1" w:styleId="LightList-Accent3243">
    <w:name w:val="Light List - Accent 3243"/>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3">
    <w:name w:val="Light List - Accent 3114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3">
    <w:name w:val="Light Shading - Accent 1317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3">
    <w:name w:val="Light Shading - Accent 1318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3">
    <w:name w:val="Light Shading - Accent 1324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3">
    <w:name w:val="tabele 3113"/>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3">
    <w:name w:val="Light Shading - Accent 111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3">
    <w:name w:val="Light Shading - Accent 321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3">
    <w:name w:val="Light List - Accent 5213"/>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3">
    <w:name w:val="Light Shading - Accent 31113"/>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3">
    <w:name w:val="Light List - Accent 312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3">
    <w:name w:val="Light List - Accent 51113"/>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3">
    <w:name w:val="Light Grid - Accent 5112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3">
    <w:name w:val="Светло сенчење – наглашавање 11113"/>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3">
    <w:name w:val="Light Grid - Accent 522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3">
    <w:name w:val="Light List - Accent 32113"/>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3">
    <w:name w:val="Light List - Accent 3111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3">
    <w:name w:val="Light Shading - Accent 133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3">
    <w:name w:val="Light Shading - Accent 1311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3">
    <w:name w:val="Light Shading - Accent 1321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3">
    <w:name w:val="Light Shading - Accent 112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3">
    <w:name w:val="Light Shading - Accent 134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3">
    <w:name w:val="Light Shading - Accent 113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3">
    <w:name w:val="Light Shading - Accent 135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3">
    <w:name w:val="Light Shading - Accent 1362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3">
    <w:name w:val="Light Shading - Accent 137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3">
    <w:name w:val="tabele 3213"/>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3">
    <w:name w:val="Light Shading - Accent 114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3">
    <w:name w:val="Light Shading - Accent 3343"/>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3">
    <w:name w:val="Light List - Accent 5313"/>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3">
    <w:name w:val="Light Shading - Accent 31213"/>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3">
    <w:name w:val="Light List - Accent 313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3">
    <w:name w:val="Light List - Accent 51213"/>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3">
    <w:name w:val="Light Grid - Accent 5122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3">
    <w:name w:val="Светло сенчење – наглашавање 11213"/>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3">
    <w:name w:val="Light Grid - Accent 532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3">
    <w:name w:val="Light List - Accent 32213"/>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3">
    <w:name w:val="Light List - Accent 3112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3">
    <w:name w:val="Light Shading - Accent 1382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3">
    <w:name w:val="Light Shading - Accent 1312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3">
    <w:name w:val="Light Shading - Accent 1322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3">
    <w:name w:val="Light Shading - Accent 115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3">
    <w:name w:val="Light Shading - Accent 1392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3">
    <w:name w:val="Light Shading - Accent 1162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3">
    <w:name w:val="Light Shading - Accent 13102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3">
    <w:name w:val="Light Shading - Accent 1313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3">
    <w:name w:val="tabele 3313"/>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3">
    <w:name w:val="Light Shading - Accent 117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3">
    <w:name w:val="Light Shading - Accent 343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3">
    <w:name w:val="Light List - Accent 5413"/>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3">
    <w:name w:val="Light Shading - Accent 31313"/>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3">
    <w:name w:val="Light List - Accent 314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3">
    <w:name w:val="Light List - Accent 51313"/>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3">
    <w:name w:val="Light Grid - Accent 5132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3">
    <w:name w:val="Светло сенчење – наглашавање 11313"/>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3">
    <w:name w:val="Light Grid - Accent 542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3">
    <w:name w:val="Light Shading - Accent 12313"/>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3">
    <w:name w:val="Light List - Accent 32313"/>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3">
    <w:name w:val="Light List - Accent 311313"/>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3">
    <w:name w:val="Light Shading - Accent 1314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3">
    <w:name w:val="Light Shading - Accent 1315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3">
    <w:name w:val="Light Shading - Accent 1323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3">
    <w:name w:val="Light Shading - Accent 1316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3">
    <w:name w:val="Light Shading - Accent 1381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3">
    <w:name w:val="Light Shading - Accent 118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3">
    <w:name w:val="Light Shading - Accent 1391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3">
    <w:name w:val="Light Shading - Accent 116113"/>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3">
    <w:name w:val="Light Shading - Accent 13101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3">
    <w:name w:val="Light Shading - Accent 1361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3">
    <w:name w:val="Light Shading - Accent 11913"/>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3">
    <w:name w:val="Light Shading - Accent 3311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3">
    <w:name w:val="Light Shading - Accent 3321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3">
    <w:name w:val="Light Shading - Accent 3331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3">
    <w:name w:val="Light Shading - Accent 3411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3">
    <w:name w:val="Light Shading - Accent 34213"/>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3">
    <w:name w:val="Light Grid - Accent 514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3">
    <w:name w:val="Light Grid - Accent 551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3">
    <w:name w:val="Light Grid - Accent 5111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3">
    <w:name w:val="Light Grid - Accent 5211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3">
    <w:name w:val="Light Grid - Accent 5121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3">
    <w:name w:val="Light Grid - Accent 5311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3">
    <w:name w:val="Light Grid - Accent 513113"/>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3">
    <w:name w:val="Light Grid - Accent 54113"/>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3">
    <w:name w:val="Light Shading - Accent 623"/>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3">
    <w:name w:val="Grid Table 6 Colorful - Accent 423"/>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3">
    <w:name w:val="Grid Table 6 Colorful - Accent 323"/>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3">
    <w:name w:val="Grid Table 4 - Accent 523"/>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3">
    <w:name w:val="Grid Table 5 Dark - Accent 523"/>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30">
    <w:name w:val="ФС13"/>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23">
    <w:name w:val="List Table 6 Colorful - Accent 323"/>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3">
    <w:name w:val="Grid Table 1 Light - Accent 123"/>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3">
    <w:name w:val="List Table 1 Light - Accent 123"/>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3">
    <w:name w:val="List Table 2 - Accent 123"/>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3">
    <w:name w:val="List Table 2 - Accent 523"/>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3">
    <w:name w:val="Grid Table 2 - Accent 523"/>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3">
    <w:name w:val="Grid Table 6 Colorful - Accent 4113"/>
    <w:basedOn w:val="TableNormal"/>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3">
    <w:name w:val="Grid Table 6 Colorful - Accent 3113"/>
    <w:basedOn w:val="TableNormal"/>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3">
    <w:name w:val="Table Grid213"/>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3">
    <w:name w:val="Light Shading - Accent 12413"/>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3">
    <w:name w:val="Light Shading - Accent 12513"/>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4">
    <w:name w:val="Light Shading4"/>
    <w:basedOn w:val="TableNormal"/>
    <w:next w:val="LightShading"/>
    <w:uiPriority w:val="60"/>
    <w:unhideWhenUsed/>
    <w:rsid w:val="005918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41">
    <w:name w:val="Grid Table 6 Colorful - Accent 541"/>
    <w:basedOn w:val="TableNormal"/>
    <w:uiPriority w:val="51"/>
    <w:rsid w:val="005918D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31">
    <w:name w:val="Grid Table 6 Colorful - Accent 131"/>
    <w:basedOn w:val="TableNormal"/>
    <w:uiPriority w:val="51"/>
    <w:rsid w:val="005918D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8">
    <w:name w:val="Light Shading - Accent 18"/>
    <w:basedOn w:val="TableNormal"/>
    <w:next w:val="LightShading-Accent1"/>
    <w:uiPriority w:val="60"/>
    <w:unhideWhenUsed/>
    <w:rsid w:val="005918D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5">
    <w:name w:val="Light Shading - Accent 65"/>
    <w:basedOn w:val="TableNormal"/>
    <w:next w:val="LightShading-Accent6"/>
    <w:uiPriority w:val="60"/>
    <w:unhideWhenUsed/>
    <w:rsid w:val="005918D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31">
    <w:name w:val="Grid Table 6 Colorful - Accent 431"/>
    <w:basedOn w:val="TableNormal"/>
    <w:uiPriority w:val="51"/>
    <w:rsid w:val="005918D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31">
    <w:name w:val="Grid Table 6 Colorful - Accent 331"/>
    <w:basedOn w:val="TableNormal"/>
    <w:uiPriority w:val="51"/>
    <w:rsid w:val="005918D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31">
    <w:name w:val="Grid Table 4 - Accent 531"/>
    <w:basedOn w:val="TableNormal"/>
    <w:uiPriority w:val="49"/>
    <w:rsid w:val="005918D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31">
    <w:name w:val="Grid Table 5 Dark - Accent 531"/>
    <w:basedOn w:val="TableNormal"/>
    <w:uiPriority w:val="50"/>
    <w:rsid w:val="00591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31">
    <w:name w:val="List Table 6 Colorful - Accent 331"/>
    <w:basedOn w:val="TableNormal"/>
    <w:uiPriority w:val="51"/>
    <w:rsid w:val="005918D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31">
    <w:name w:val="Grid Table 1 Light - Accent 131"/>
    <w:basedOn w:val="TableNormal"/>
    <w:uiPriority w:val="46"/>
    <w:rsid w:val="005918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31">
    <w:name w:val="List Table 1 Light - Accent 131"/>
    <w:basedOn w:val="TableNormal"/>
    <w:uiPriority w:val="46"/>
    <w:rsid w:val="005918D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31">
    <w:name w:val="List Table 2 - Accent 131"/>
    <w:basedOn w:val="TableNormal"/>
    <w:uiPriority w:val="47"/>
    <w:rsid w:val="005918D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31">
    <w:name w:val="List Table 2 - Accent 531"/>
    <w:basedOn w:val="TableNormal"/>
    <w:uiPriority w:val="47"/>
    <w:rsid w:val="005918D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31">
    <w:name w:val="Grid Table 2 - Accent 531"/>
    <w:basedOn w:val="TableNormal"/>
    <w:uiPriority w:val="47"/>
    <w:rsid w:val="005918D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222">
    <w:name w:val="Table Grid222"/>
    <w:basedOn w:val="TableNormal"/>
    <w:next w:val="TableGrid"/>
    <w:uiPriority w:val="39"/>
    <w:rsid w:val="005918D2"/>
    <w:pPr>
      <w:spacing w:before="120" w:after="120" w:line="264" w:lineRule="auto"/>
      <w:ind w:left="115" w:right="115"/>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numbering" w:customStyle="1" w:styleId="NoList41">
    <w:name w:val="No List41"/>
    <w:next w:val="NoList"/>
    <w:uiPriority w:val="99"/>
    <w:semiHidden/>
    <w:unhideWhenUsed/>
    <w:rsid w:val="005918D2"/>
  </w:style>
  <w:style w:type="numbering" w:customStyle="1" w:styleId="NoList121">
    <w:name w:val="No List121"/>
    <w:next w:val="NoList"/>
    <w:uiPriority w:val="99"/>
    <w:semiHidden/>
    <w:unhideWhenUsed/>
    <w:rsid w:val="005918D2"/>
  </w:style>
  <w:style w:type="table" w:customStyle="1" w:styleId="TableGrid42">
    <w:name w:val="Table Grid42"/>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21">
    <w:name w:val="Financial Table21"/>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11">
    <w:name w:val="Light Shading111"/>
    <w:basedOn w:val="TableNormal"/>
    <w:next w:val="LightShading"/>
    <w:uiPriority w:val="60"/>
    <w:rsid w:val="005918D2"/>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51">
    <w:name w:val="Grid Table 6 Colorful - Accent 5151"/>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61">
    <w:name w:val="Light Shading - Accent 126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21">
    <w:name w:val="Grid Table 6 Colorful - Accent 5112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21">
    <w:name w:val="Light Shading - Accent 1212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11">
    <w:name w:val="Grid Table 6 Colorful - Accent 1111"/>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21">
    <w:name w:val="Light Shading - Accent 1222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21">
    <w:name w:val="Grid Table 6 Colorful - Accent 522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51">
    <w:name w:val="tabele 35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21">
    <w:name w:val="Light Shading - Accent 11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61">
    <w:name w:val="Light Shading - Accent 36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1">
    <w:name w:val="Light List - Accent 56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51">
    <w:name w:val="Light Shading - Accent 315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61">
    <w:name w:val="Light List - Accent 316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21">
    <w:name w:val="Table Grid121"/>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51">
    <w:name w:val="Light List - Accent 515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21">
    <w:name w:val="Medium List 1 - Accent 5121"/>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31">
    <w:name w:val="Medium List 1 - Accent 531"/>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21">
    <w:name w:val="No List1121"/>
    <w:next w:val="NoList"/>
    <w:uiPriority w:val="99"/>
    <w:semiHidden/>
    <w:unhideWhenUsed/>
    <w:rsid w:val="005918D2"/>
  </w:style>
  <w:style w:type="table" w:customStyle="1" w:styleId="LightGrid-Accent5161">
    <w:name w:val="Light Grid - Accent 516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51">
    <w:name w:val="Светло сенчење – наглашавање 115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71">
    <w:name w:val="Light Grid - Accent 57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21">
    <w:name w:val="tabele za ifs21"/>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21">
    <w:name w:val="tabele za ifs 121"/>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21">
    <w:name w:val="Colorful List - Accent 121"/>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21">
    <w:name w:val="No List221"/>
    <w:next w:val="NoList"/>
    <w:uiPriority w:val="99"/>
    <w:semiHidden/>
    <w:unhideWhenUsed/>
    <w:rsid w:val="005918D2"/>
  </w:style>
  <w:style w:type="table" w:customStyle="1" w:styleId="LightList-Accent3251">
    <w:name w:val="Light List - Accent 325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51">
    <w:name w:val="Light List - Accent 3115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91">
    <w:name w:val="Light Shading - Accent 1319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01">
    <w:name w:val="Light Shading - Accent 13110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51">
    <w:name w:val="Light Shading - Accent 1325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21">
    <w:name w:val="tabele 312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31">
    <w:name w:val="Light Shading - Accent 111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21">
    <w:name w:val="Light Shading - Accent 32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21">
    <w:name w:val="Light List - Accent 522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21">
    <w:name w:val="Light Shading - Accent 3112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21">
    <w:name w:val="Light List - Accent 312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21">
    <w:name w:val="Light List - Accent 5112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31">
    <w:name w:val="Light Grid - Accent 5113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21">
    <w:name w:val="Светло сенчење – наглашавање 1112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31">
    <w:name w:val="Light Grid - Accent 523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21">
    <w:name w:val="Light List - Accent 321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21">
    <w:name w:val="Light List - Accent 311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21">
    <w:name w:val="Light Shading - Accent 133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21">
    <w:name w:val="Light Shading - Accent 131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21">
    <w:name w:val="Light Shading - Accent 132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21">
    <w:name w:val="Light Shading - Accent 112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21">
    <w:name w:val="Light Shading - Accent 134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21">
    <w:name w:val="Light Shading - Accent 113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21">
    <w:name w:val="Light Shading - Accent 135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31">
    <w:name w:val="Light Shading - Accent 136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21">
    <w:name w:val="Light Shading - Accent 137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21">
    <w:name w:val="tabele 322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21">
    <w:name w:val="Light Shading - Accent 114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53">
    <w:name w:val="Light Shading - Accent 3353"/>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21">
    <w:name w:val="Light List - Accent 532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21">
    <w:name w:val="Light Shading - Accent 3122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21">
    <w:name w:val="Light List - Accent 313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21">
    <w:name w:val="Light List - Accent 5122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31">
    <w:name w:val="Light Grid - Accent 5123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21">
    <w:name w:val="Светло сенчење – наглашавање 1122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31">
    <w:name w:val="Light Grid - Accent 533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21">
    <w:name w:val="Light List - Accent 322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21">
    <w:name w:val="Light List - Accent 3112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31">
    <w:name w:val="Light Shading - Accent 138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21">
    <w:name w:val="Light Shading - Accent 1312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21">
    <w:name w:val="Light Shading - Accent 1322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21">
    <w:name w:val="Light Shading - Accent 115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31">
    <w:name w:val="Light Shading - Accent 139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31">
    <w:name w:val="Light Shading - Accent 116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31">
    <w:name w:val="Light Shading - Accent 1310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21">
    <w:name w:val="Light Shading - Accent 1313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21">
    <w:name w:val="tabele 332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21">
    <w:name w:val="Light Shading - Accent 117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41">
    <w:name w:val="Light Shading - Accent 344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21">
    <w:name w:val="Light List - Accent 542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21">
    <w:name w:val="Light Shading - Accent 3132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21">
    <w:name w:val="Light List - Accent 314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21">
    <w:name w:val="Light List - Accent 5132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31">
    <w:name w:val="Light Grid - Accent 5133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21">
    <w:name w:val="Светло сенчење – наглашавање 1132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31">
    <w:name w:val="Light Grid - Accent 543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21">
    <w:name w:val="Light Shading - Accent 1232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21">
    <w:name w:val="Light List - Accent 323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21">
    <w:name w:val="Light List - Accent 3113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21">
    <w:name w:val="Light Shading - Accent 1314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21">
    <w:name w:val="Light Shading - Accent 1315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21">
    <w:name w:val="Light Shading - Accent 1323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21">
    <w:name w:val="Light Shading - Accent 1316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21">
    <w:name w:val="Light Shading - Accent 138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21">
    <w:name w:val="Light Shading - Accent 118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21">
    <w:name w:val="Light Shading - Accent 139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21">
    <w:name w:val="Light Shading - Accent 116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21">
    <w:name w:val="Light Shading - Accent 1310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21">
    <w:name w:val="Light Shading - Accent 136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21">
    <w:name w:val="Light Shading - Accent 119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11">
    <w:name w:val="Light Shading - Accent 1411"/>
    <w:basedOn w:val="TableNormal"/>
    <w:next w:val="LightShading-Accent1"/>
    <w:uiPriority w:val="60"/>
    <w:rsid w:val="005918D2"/>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21">
    <w:name w:val="Light Shading - Accent 331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21">
    <w:name w:val="Light Shading - Accent 332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21">
    <w:name w:val="Light Shading - Accent 333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21">
    <w:name w:val="Light Shading - Accent 341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21">
    <w:name w:val="Light Shading - Accent 342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21">
    <w:name w:val="Light Grid - Accent 514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21">
    <w:name w:val="Light Grid - Accent 55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21">
    <w:name w:val="Light Grid - Accent 511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21">
    <w:name w:val="Light Grid - Accent 521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21">
    <w:name w:val="Light Grid - Accent 512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21">
    <w:name w:val="Light Grid - Accent 531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21">
    <w:name w:val="Light Grid - Accent 513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21">
    <w:name w:val="Light Grid - Accent 541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21">
    <w:name w:val="Light Shading - Accent 6121"/>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21">
    <w:name w:val="Grid Table 6 Colorful - Accent 4121"/>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11">
    <w:name w:val="Light Shading - Accent 61111"/>
    <w:basedOn w:val="TableNormal"/>
    <w:next w:val="LightShading-Accent6"/>
    <w:uiPriority w:val="60"/>
    <w:rsid w:val="005918D2"/>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21">
    <w:name w:val="Grid Table 6 Colorful - Accent 3121"/>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11">
    <w:name w:val="Grid Table 4 - Accent 5111"/>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11">
    <w:name w:val="Grid Table 5 Dark - Accent 5111"/>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210">
    <w:name w:val="ФС21"/>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111">
    <w:name w:val="List Table 6 Colorful - Accent 3111"/>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11">
    <w:name w:val="Grid Table 1 Light - Accent 1111"/>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11">
    <w:name w:val="List Table 1 Light - Accent 1111"/>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11">
    <w:name w:val="List Table 2 - Accent 1111"/>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11">
    <w:name w:val="List Table 2 - Accent 5111"/>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11">
    <w:name w:val="Grid Table 2 - Accent 5111"/>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211">
    <w:name w:val="Table Grid221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21">
    <w:name w:val="Light Shading - Accent 1242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11">
    <w:name w:val="Grid Table 6 Colorful - Accent 5121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11">
    <w:name w:val="Grid Table 6 Colorful - Accent 51311"/>
    <w:basedOn w:val="TableNormal"/>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11">
    <w:name w:val="No List311"/>
    <w:next w:val="NoList"/>
    <w:uiPriority w:val="99"/>
    <w:semiHidden/>
    <w:unhideWhenUsed/>
    <w:rsid w:val="005918D2"/>
  </w:style>
  <w:style w:type="table" w:customStyle="1" w:styleId="TableGrid312">
    <w:name w:val="Table Grid312"/>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11">
    <w:name w:val="Financial Table111"/>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11">
    <w:name w:val="Grid Table 6 Colorful - Accent 5311"/>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21">
    <w:name w:val="Light Shading - Accent 1252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11">
    <w:name w:val="Grid Table 6 Colorful - Accent 5141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11">
    <w:name w:val="Light Shading - Accent 12111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11">
    <w:name w:val="Grid Table 6 Colorful - Accent 51111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11">
    <w:name w:val="Grid Table 6 Colorful - Accent 1211"/>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11">
    <w:name w:val="Light Shading - Accent 12211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11">
    <w:name w:val="Grid Table 6 Colorful - Accent 5211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11">
    <w:name w:val="tabele 341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11">
    <w:name w:val="Light Shading - Accent 1110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11">
    <w:name w:val="Light Shading - Accent 35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11">
    <w:name w:val="Light List - Accent 551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11">
    <w:name w:val="Light Shading - Accent 314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11">
    <w:name w:val="Light List - Accent 315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11">
    <w:name w:val="Table Grid1111"/>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11">
    <w:name w:val="Light List - Accent 514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11">
    <w:name w:val="Medium List 1 - Accent 51111"/>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Consolas" w:eastAsia="Times New Roman" w:hAnsi="Consolas"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11">
    <w:name w:val="Medium List 1 - Accent 5211"/>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11">
    <w:name w:val="No List11111"/>
    <w:next w:val="NoList"/>
    <w:uiPriority w:val="99"/>
    <w:semiHidden/>
    <w:unhideWhenUsed/>
    <w:rsid w:val="005918D2"/>
  </w:style>
  <w:style w:type="table" w:customStyle="1" w:styleId="LightGrid-Accent51511">
    <w:name w:val="Light Grid - Accent 515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11">
    <w:name w:val="Светло сенчење – наглашавање 114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11">
    <w:name w:val="Light Grid - Accent 56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110">
    <w:name w:val="tabele za ifs111"/>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111">
    <w:name w:val="tabele za ifs 1111"/>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11">
    <w:name w:val="Colorful List - Accent 1111"/>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11">
    <w:name w:val="No List2111"/>
    <w:next w:val="NoList"/>
    <w:uiPriority w:val="99"/>
    <w:semiHidden/>
    <w:unhideWhenUsed/>
    <w:rsid w:val="005918D2"/>
  </w:style>
  <w:style w:type="table" w:customStyle="1" w:styleId="LightList-Accent32411">
    <w:name w:val="Light List - Accent 3241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11">
    <w:name w:val="Light List - Accent 3114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11">
    <w:name w:val="Light Shading - Accent 1317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11">
    <w:name w:val="Light Shading - Accent 1318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11">
    <w:name w:val="Light Shading - Accent 1324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11">
    <w:name w:val="tabele 3111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11">
    <w:name w:val="Light Shading - Accent 111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11">
    <w:name w:val="Light Shading - Accent 321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11">
    <w:name w:val="Light List - Accent 5211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11">
    <w:name w:val="Light Shading - Accent 3111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11">
    <w:name w:val="Light List - Accent 312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11">
    <w:name w:val="Light List - Accent 5111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11">
    <w:name w:val="Light Grid - Accent 5112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11">
    <w:name w:val="Светло сенчење – наглашавање 1111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11">
    <w:name w:val="Light Grid - Accent 522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11">
    <w:name w:val="Light List - Accent 32111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11">
    <w:name w:val="Light List - Accent 3111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11">
    <w:name w:val="Light Shading - Accent 133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11">
    <w:name w:val="Light Shading - Accent 1311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11">
    <w:name w:val="Light Shading - Accent 1321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11">
    <w:name w:val="Light Shading - Accent 112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11">
    <w:name w:val="Light Shading - Accent 134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11">
    <w:name w:val="Light Shading - Accent 113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11">
    <w:name w:val="Light Shading - Accent 135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11">
    <w:name w:val="Light Shading - Accent 1362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11">
    <w:name w:val="Light Shading - Accent 137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11">
    <w:name w:val="tabele 3211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11">
    <w:name w:val="Light Shading - Accent 114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11">
    <w:name w:val="Light Shading - Accent 3341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11">
    <w:name w:val="Light List - Accent 5311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11">
    <w:name w:val="Light Shading - Accent 3121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11">
    <w:name w:val="Light List - Accent 313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11">
    <w:name w:val="Light List - Accent 5121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11">
    <w:name w:val="Light Grid - Accent 5122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11">
    <w:name w:val="Светло сенчење – наглашавање 1121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11">
    <w:name w:val="Light Grid - Accent 532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11">
    <w:name w:val="Light List - Accent 32211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11">
    <w:name w:val="Light List - Accent 3112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11">
    <w:name w:val="Light Shading - Accent 1382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11">
    <w:name w:val="Light Shading - Accent 1312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11">
    <w:name w:val="Light Shading - Accent 1322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11">
    <w:name w:val="Light Shading - Accent 115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11">
    <w:name w:val="Light Shading - Accent 1392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11">
    <w:name w:val="Light Shading - Accent 1162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11">
    <w:name w:val="Light Shading - Accent 13102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11">
    <w:name w:val="Light Shading - Accent 1313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11">
    <w:name w:val="tabele 3311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11">
    <w:name w:val="Light Shading - Accent 117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11">
    <w:name w:val="Light Shading - Accent 343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11">
    <w:name w:val="Light List - Accent 5411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11">
    <w:name w:val="Light Shading - Accent 31311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11">
    <w:name w:val="Light List - Accent 314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11">
    <w:name w:val="Light List - Accent 51311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11">
    <w:name w:val="Light Grid - Accent 5132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11">
    <w:name w:val="Светло сенчење – наглашавање 11311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11">
    <w:name w:val="Light Grid - Accent 542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Verdana" w:eastAsia="Times New Roman" w:hAnsi="Verdan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Verdana" w:eastAsia="Times New Roman" w:hAnsi="Verdan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11">
    <w:name w:val="Light Shading - Accent 12311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11">
    <w:name w:val="Light List - Accent 32311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11">
    <w:name w:val="Light List - Accent 311311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11">
    <w:name w:val="Light Shading - Accent 1314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11">
    <w:name w:val="Light Shading - Accent 1315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11">
    <w:name w:val="Light Shading - Accent 1323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11">
    <w:name w:val="Light Shading - Accent 1316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11">
    <w:name w:val="Light Shading - Accent 1381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11">
    <w:name w:val="Light Shading - Accent 118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11">
    <w:name w:val="Light Shading - Accent 1391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11">
    <w:name w:val="Light Shading - Accent 116111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11">
    <w:name w:val="Light Shading - Accent 13101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11">
    <w:name w:val="Light Shading - Accent 1361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11">
    <w:name w:val="Light Shading - Accent 11911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11">
    <w:name w:val="Light Shading - Accent 3311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11">
    <w:name w:val="Light Shading - Accent 3321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11">
    <w:name w:val="Light Shading - Accent 3331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11">
    <w:name w:val="Light Shading - Accent 3411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11">
    <w:name w:val="Light Shading - Accent 34211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11">
    <w:name w:val="Light Grid - Accent 514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11">
    <w:name w:val="Light Grid - Accent 551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11">
    <w:name w:val="Light Grid - Accent 5111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11">
    <w:name w:val="Light Grid - Accent 5211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11">
    <w:name w:val="Light Grid - Accent 5121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11">
    <w:name w:val="Light Grid - Accent 5311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11">
    <w:name w:val="Light Grid - Accent 513111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11">
    <w:name w:val="Light Grid - Accent 54111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11">
    <w:name w:val="Light Shading - Accent 6211"/>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11">
    <w:name w:val="Grid Table 6 Colorful - Accent 4211"/>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11">
    <w:name w:val="Grid Table 6 Colorful - Accent 3211"/>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11">
    <w:name w:val="Grid Table 4 - Accent 5211"/>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11">
    <w:name w:val="Grid Table 5 Dark - Accent 5211"/>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110">
    <w:name w:val="ФС111"/>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211">
    <w:name w:val="List Table 6 Colorful - Accent 3211"/>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11">
    <w:name w:val="Grid Table 1 Light - Accent 1211"/>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11">
    <w:name w:val="List Table 1 Light - Accent 1211"/>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11">
    <w:name w:val="List Table 2 - Accent 1211"/>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11">
    <w:name w:val="List Table 2 - Accent 5211"/>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11">
    <w:name w:val="Grid Table 2 - Accent 5211"/>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11">
    <w:name w:val="Grid Table 6 Colorful - Accent 41111"/>
    <w:basedOn w:val="TableNormal"/>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11">
    <w:name w:val="Grid Table 6 Colorful - Accent 31111"/>
    <w:basedOn w:val="TableNormal"/>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11">
    <w:name w:val="Table Grid211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11">
    <w:name w:val="Light Shading - Accent 12411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11">
    <w:name w:val="Light Shading - Accent 12511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21">
    <w:name w:val="Light Shading21"/>
    <w:basedOn w:val="TableNormal"/>
    <w:next w:val="LightShading"/>
    <w:uiPriority w:val="60"/>
    <w:semiHidden/>
    <w:unhideWhenUsed/>
    <w:rsid w:val="005918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1">
    <w:name w:val="Light Shading - Accent 151"/>
    <w:basedOn w:val="TableNormal"/>
    <w:next w:val="LightShading-Accent1"/>
    <w:uiPriority w:val="60"/>
    <w:semiHidden/>
    <w:unhideWhenUsed/>
    <w:rsid w:val="005918D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31">
    <w:name w:val="Light Shading - Accent 631"/>
    <w:basedOn w:val="TableNormal"/>
    <w:next w:val="LightShading-Accent6"/>
    <w:uiPriority w:val="60"/>
    <w:semiHidden/>
    <w:unhideWhenUsed/>
    <w:rsid w:val="005918D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ListTable1Light-Accent611">
    <w:name w:val="List Table 1 Light - Accent 611"/>
    <w:basedOn w:val="TableNormal"/>
    <w:uiPriority w:val="46"/>
    <w:rsid w:val="005918D2"/>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1">
    <w:name w:val="No List51"/>
    <w:next w:val="NoList"/>
    <w:uiPriority w:val="99"/>
    <w:semiHidden/>
    <w:unhideWhenUsed/>
    <w:rsid w:val="005918D2"/>
  </w:style>
  <w:style w:type="numbering" w:customStyle="1" w:styleId="NoList131">
    <w:name w:val="No List131"/>
    <w:next w:val="NoList"/>
    <w:uiPriority w:val="99"/>
    <w:semiHidden/>
    <w:unhideWhenUsed/>
    <w:rsid w:val="005918D2"/>
  </w:style>
  <w:style w:type="table" w:customStyle="1" w:styleId="TableGrid51">
    <w:name w:val="Table Grid5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31">
    <w:name w:val="Financial Table31"/>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LightShading121">
    <w:name w:val="Light Shading121"/>
    <w:basedOn w:val="TableNormal"/>
    <w:next w:val="LightShading"/>
    <w:uiPriority w:val="60"/>
    <w:rsid w:val="005918D2"/>
    <w:pPr>
      <w:spacing w:after="0" w:line="264" w:lineRule="auto"/>
    </w:pPr>
    <w:rPr>
      <w:rFonts w:eastAsia="MS PGothic"/>
      <w:color w:val="000000"/>
      <w:sz w:val="20"/>
      <w:szCs w:val="20"/>
      <w:lang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6Colorful-Accent5161">
    <w:name w:val="Grid Table 6 Colorful - Accent 5161"/>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71">
    <w:name w:val="Light Shading - Accent 127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31">
    <w:name w:val="Grid Table 6 Colorful - Accent 5113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31">
    <w:name w:val="Light Shading - Accent 1213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1121">
    <w:name w:val="Grid Table 6 Colorful - Accent 1121"/>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31">
    <w:name w:val="Light Shading - Accent 1223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31">
    <w:name w:val="Grid Table 6 Colorful - Accent 523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61">
    <w:name w:val="tabele 36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41">
    <w:name w:val="Light Shading - Accent 1114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71">
    <w:name w:val="Light Shading - Accent 37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71">
    <w:name w:val="Light List - Accent 57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61">
    <w:name w:val="Light Shading - Accent 316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71">
    <w:name w:val="Light List - Accent 317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31">
    <w:name w:val="Table Grid131"/>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61">
    <w:name w:val="Light List - Accent 516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31">
    <w:name w:val="Medium List 1 - Accent 5131"/>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41">
    <w:name w:val="Medium List 1 - Accent 541"/>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31">
    <w:name w:val="No List1131"/>
    <w:next w:val="NoList"/>
    <w:uiPriority w:val="99"/>
    <w:semiHidden/>
    <w:unhideWhenUsed/>
    <w:rsid w:val="005918D2"/>
  </w:style>
  <w:style w:type="table" w:customStyle="1" w:styleId="LightGrid-Accent5171">
    <w:name w:val="Light Grid - Accent 517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61">
    <w:name w:val="Светло сенчење – наглашавање 116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81">
    <w:name w:val="Light Grid - Accent 58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31">
    <w:name w:val="tabele za ifs31"/>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31">
    <w:name w:val="tabele za ifs 131"/>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31">
    <w:name w:val="Colorful List - Accent 131"/>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31">
    <w:name w:val="No List231"/>
    <w:next w:val="NoList"/>
    <w:uiPriority w:val="99"/>
    <w:semiHidden/>
    <w:unhideWhenUsed/>
    <w:rsid w:val="005918D2"/>
  </w:style>
  <w:style w:type="table" w:customStyle="1" w:styleId="LightList-Accent3261">
    <w:name w:val="Light List - Accent 326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61">
    <w:name w:val="Light List - Accent 3116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201">
    <w:name w:val="Light Shading - Accent 1320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31">
    <w:name w:val="Light Shading - Accent 1311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61">
    <w:name w:val="Light Shading - Accent 1326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31">
    <w:name w:val="tabele 313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51">
    <w:name w:val="Light Shading - Accent 1115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31">
    <w:name w:val="Light Shading - Accent 32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31">
    <w:name w:val="Light List - Accent 523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31">
    <w:name w:val="Light Shading - Accent 3113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31">
    <w:name w:val="Light List - Accent 312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31">
    <w:name w:val="Light List - Accent 5113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41">
    <w:name w:val="Light Grid - Accent 5114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31">
    <w:name w:val="Светло сенчење – наглашавање 1113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41">
    <w:name w:val="Light Grid - Accent 524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31">
    <w:name w:val="Light List - Accent 3213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31">
    <w:name w:val="Light List - Accent 3111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31">
    <w:name w:val="Light Shading - Accent 133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41">
    <w:name w:val="Light Shading - Accent 13114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31">
    <w:name w:val="Light Shading - Accent 1321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31">
    <w:name w:val="Light Shading - Accent 112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31">
    <w:name w:val="Light Shading - Accent 134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31">
    <w:name w:val="Light Shading - Accent 113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31">
    <w:name w:val="Light Shading - Accent 135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41">
    <w:name w:val="Light Shading - Accent 1364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31">
    <w:name w:val="Light Shading - Accent 137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31">
    <w:name w:val="tabele 323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31">
    <w:name w:val="Light Shading - Accent 114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61">
    <w:name w:val="Light Shading - Accent 336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31">
    <w:name w:val="Light List - Accent 533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31">
    <w:name w:val="Light Shading - Accent 3123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31">
    <w:name w:val="Light List - Accent 313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31">
    <w:name w:val="Light List - Accent 5123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41">
    <w:name w:val="Light Grid - Accent 5124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31">
    <w:name w:val="Светло сенчење – наглашавање 1123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41">
    <w:name w:val="Light Grid - Accent 534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31">
    <w:name w:val="Light List - Accent 3223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31">
    <w:name w:val="Light List - Accent 3112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41">
    <w:name w:val="Light Shading - Accent 1384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31">
    <w:name w:val="Light Shading - Accent 1312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31">
    <w:name w:val="Light Shading - Accent 1322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31">
    <w:name w:val="Light Shading - Accent 115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41">
    <w:name w:val="Light Shading - Accent 1394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41">
    <w:name w:val="Light Shading - Accent 1164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41">
    <w:name w:val="Light Shading - Accent 13104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31">
    <w:name w:val="Light Shading - Accent 1313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31">
    <w:name w:val="tabele 333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31">
    <w:name w:val="Light Shading - Accent 117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51">
    <w:name w:val="Light Shading - Accent 345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31">
    <w:name w:val="Light List - Accent 543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31">
    <w:name w:val="Light Shading - Accent 3133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31">
    <w:name w:val="Light List - Accent 314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31">
    <w:name w:val="Light List - Accent 5133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41">
    <w:name w:val="Light Grid - Accent 5134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31">
    <w:name w:val="Светло сенчење – наглашавање 1133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41">
    <w:name w:val="Light Grid - Accent 544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31">
    <w:name w:val="Light Shading - Accent 1233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31">
    <w:name w:val="Light List - Accent 3233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31">
    <w:name w:val="Light List - Accent 31133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31">
    <w:name w:val="Light Shading - Accent 1314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31">
    <w:name w:val="Light Shading - Accent 1315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31">
    <w:name w:val="Light Shading - Accent 1323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31">
    <w:name w:val="Light Shading - Accent 1316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31">
    <w:name w:val="Light Shading - Accent 1381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31">
    <w:name w:val="Light Shading - Accent 118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31">
    <w:name w:val="Light Shading - Accent 1391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31">
    <w:name w:val="Light Shading - Accent 11613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31">
    <w:name w:val="Light Shading - Accent 13101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31">
    <w:name w:val="Light Shading - Accent 1361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31">
    <w:name w:val="Light Shading - Accent 1193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421">
    <w:name w:val="Light Shading - Accent 1421"/>
    <w:basedOn w:val="TableNormal"/>
    <w:next w:val="LightShading-Accent1"/>
    <w:uiPriority w:val="60"/>
    <w:rsid w:val="005918D2"/>
    <w:pPr>
      <w:spacing w:after="0" w:line="240" w:lineRule="auto"/>
    </w:pPr>
    <w:rPr>
      <w:color w:val="BF2B0E"/>
    </w:rPr>
    <w:tblPr>
      <w:tblStyleRowBandSize w:val="1"/>
      <w:tblStyleColBandSize w:val="1"/>
      <w:tblBorders>
        <w:top w:val="single" w:sz="8" w:space="0" w:color="EF4623"/>
        <w:bottom w:val="single" w:sz="8" w:space="0" w:color="EF4623"/>
      </w:tblBorders>
    </w:tblPr>
    <w:tblStylePr w:type="fir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lastRow">
      <w:pPr>
        <w:spacing w:before="0" w:after="0" w:line="240" w:lineRule="auto"/>
      </w:pPr>
      <w:rPr>
        <w:b/>
        <w:bCs/>
      </w:rPr>
      <w:tblPr/>
      <w:tcPr>
        <w:tcBorders>
          <w:top w:val="single" w:sz="8" w:space="0" w:color="EF4623"/>
          <w:left w:val="nil"/>
          <w:bottom w:val="single" w:sz="8" w:space="0" w:color="EF462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1C8"/>
      </w:tcPr>
    </w:tblStylePr>
    <w:tblStylePr w:type="band1Horz">
      <w:tblPr/>
      <w:tcPr>
        <w:tcBorders>
          <w:left w:val="nil"/>
          <w:right w:val="nil"/>
          <w:insideH w:val="nil"/>
          <w:insideV w:val="nil"/>
        </w:tcBorders>
        <w:shd w:val="clear" w:color="auto" w:fill="FBD1C8"/>
      </w:tcPr>
    </w:tblStylePr>
  </w:style>
  <w:style w:type="table" w:customStyle="1" w:styleId="LightShading-Accent33131">
    <w:name w:val="Light Shading - Accent 331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31">
    <w:name w:val="Light Shading - Accent 332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31">
    <w:name w:val="Light Shading - Accent 333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31">
    <w:name w:val="Light Shading - Accent 341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31">
    <w:name w:val="Light Shading - Accent 3423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31">
    <w:name w:val="Light Grid - Accent 5143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31">
    <w:name w:val="Light Grid - Accent 553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31">
    <w:name w:val="Light Grid - Accent 51113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31">
    <w:name w:val="Light Grid - Accent 5213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31">
    <w:name w:val="Light Grid - Accent 51213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31">
    <w:name w:val="Light Grid - Accent 5313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31">
    <w:name w:val="Light Grid - Accent 51313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31">
    <w:name w:val="Light Grid - Accent 5413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131">
    <w:name w:val="Light Shading - Accent 6131"/>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131">
    <w:name w:val="Grid Table 6 Colorful - Accent 4131"/>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LightShading-Accent61121">
    <w:name w:val="Light Shading - Accent 61121"/>
    <w:basedOn w:val="TableNormal"/>
    <w:next w:val="LightShading-Accent6"/>
    <w:uiPriority w:val="60"/>
    <w:rsid w:val="005918D2"/>
    <w:pPr>
      <w:spacing w:after="0" w:line="240" w:lineRule="auto"/>
    </w:pPr>
    <w:rPr>
      <w:rFonts w:ascii="Calibri" w:eastAsia="Calibri" w:hAnsi="Calibri"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6Colorful-Accent3131">
    <w:name w:val="Grid Table 6 Colorful - Accent 3131"/>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121">
    <w:name w:val="Grid Table 4 - Accent 5121"/>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121">
    <w:name w:val="Grid Table 5 Dark - Accent 5121"/>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31">
    <w:name w:val="ФС31"/>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121">
    <w:name w:val="List Table 6 Colorful - Accent 3121"/>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121">
    <w:name w:val="Grid Table 1 Light - Accent 1121"/>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121">
    <w:name w:val="List Table 1 Light - Accent 1121"/>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121">
    <w:name w:val="List Table 2 - Accent 1121"/>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121">
    <w:name w:val="List Table 2 - Accent 5121"/>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121">
    <w:name w:val="Grid Table 2 - Accent 5121"/>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TableGrid231">
    <w:name w:val="Table Grid23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31">
    <w:name w:val="Light Shading - Accent 1243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221">
    <w:name w:val="Grid Table 6 Colorful - Accent 5122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GridTable6Colorful-Accent51321">
    <w:name w:val="Grid Table 6 Colorful - Accent 51321"/>
    <w:basedOn w:val="TableNormal"/>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numbering" w:customStyle="1" w:styleId="NoList321">
    <w:name w:val="No List321"/>
    <w:next w:val="NoList"/>
    <w:uiPriority w:val="99"/>
    <w:semiHidden/>
    <w:unhideWhenUsed/>
    <w:rsid w:val="005918D2"/>
  </w:style>
  <w:style w:type="table" w:customStyle="1" w:styleId="TableGrid321">
    <w:name w:val="Table Grid32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FinancialTable121">
    <w:name w:val="Financial Table121"/>
    <w:basedOn w:val="TableNormal"/>
    <w:uiPriority w:val="99"/>
    <w:rsid w:val="005918D2"/>
    <w:pPr>
      <w:spacing w:before="60" w:after="60" w:line="264" w:lineRule="auto"/>
    </w:pPr>
    <w:rPr>
      <w:rFonts w:eastAsia="MS PGothic"/>
      <w:sz w:val="20"/>
      <w:szCs w:val="20"/>
      <w:lang w:eastAsia="ja-JP"/>
    </w:rPr>
    <w:tblPr>
      <w:tblBorders>
        <w:top w:val="single" w:sz="8" w:space="0" w:color="000000"/>
        <w:left w:val="single" w:sz="8" w:space="0" w:color="000000"/>
        <w:bottom w:val="single" w:sz="24" w:space="0" w:color="000000"/>
        <w:right w:val="single" w:sz="8" w:space="0" w:color="000000"/>
        <w:insideH w:val="single" w:sz="8" w:space="0" w:color="000000"/>
        <w:insideV w:val="single" w:sz="8" w:space="0" w:color="000000"/>
      </w:tblBorders>
      <w:tblCellMar>
        <w:left w:w="72" w:type="dxa"/>
        <w:right w:w="72" w:type="dxa"/>
      </w:tblCellMar>
    </w:tblPr>
    <w:tblStylePr w:type="firstRow">
      <w:pPr>
        <w:wordWrap/>
        <w:spacing w:beforeLines="0" w:before="40" w:beforeAutospacing="0" w:afterLines="0" w:after="40" w:afterAutospacing="0"/>
        <w:jc w:val="left"/>
      </w:pPr>
      <w:rPr>
        <w:rFonts w:ascii="Arial" w:hAnsi="Arial"/>
        <w:b/>
        <w:i w:val="0"/>
        <w:caps w:val="0"/>
        <w:smallCaps w:val="0"/>
        <w:color w:val="000000"/>
        <w:sz w:val="22"/>
      </w:rPr>
    </w:tblStylePr>
    <w:tblStylePr w:type="firstCol">
      <w:rPr>
        <w:b/>
        <w:color w:val="000000"/>
      </w:rPr>
    </w:tblStylePr>
  </w:style>
  <w:style w:type="table" w:customStyle="1" w:styleId="GridTable6Colorful-Accent5321">
    <w:name w:val="Grid Table 6 Colorful - Accent 5321"/>
    <w:basedOn w:val="TableNormal"/>
    <w:next w:val="GridTable6Colorful-Accent54"/>
    <w:uiPriority w:val="51"/>
    <w:rsid w:val="005918D2"/>
    <w:pPr>
      <w:spacing w:after="0" w:line="264" w:lineRule="auto"/>
    </w:pPr>
    <w:rPr>
      <w:rFonts w:ascii="Calibri" w:eastAsia="Calibri" w:hAnsi="Calibri" w:cs="Times New Roman"/>
      <w:color w:val="474747"/>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rPr>
      <w:tblPr/>
      <w:tcPr>
        <w:tcBorders>
          <w:bottom w:val="single" w:sz="12" w:space="0" w:color="9F9F9F"/>
        </w:tcBorders>
      </w:tcPr>
    </w:tblStylePr>
    <w:tblStylePr w:type="lastRow">
      <w:rPr>
        <w:b/>
        <w:bCs/>
      </w:rPr>
      <w:tblPr/>
      <w:tcPr>
        <w:tcBorders>
          <w:top w:val="double" w:sz="4" w:space="0" w:color="9F9F9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LightShading-Accent12531">
    <w:name w:val="Light Shading - Accent 1253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421">
    <w:name w:val="Grid Table 6 Colorful - Accent 5142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LightShading-Accent121121">
    <w:name w:val="Light Shading - Accent 12112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11121">
    <w:name w:val="Grid Table 6 Colorful - Accent 511121"/>
    <w:basedOn w:val="TableNormal"/>
    <w:uiPriority w:val="51"/>
    <w:rsid w:val="005918D2"/>
    <w:pPr>
      <w:spacing w:after="0" w:line="264" w:lineRule="auto"/>
    </w:pPr>
    <w:rPr>
      <w:rFonts w:ascii="Calibri" w:eastAsia="Calibri" w:hAnsi="Calibri" w:cs="Times New Roman"/>
      <w:color w:val="387AAA"/>
      <w:sz w:val="20"/>
      <w:szCs w:val="20"/>
    </w:rPr>
    <w:tblPr>
      <w:tblStyleRowBandSize w:val="1"/>
      <w:tblStyleColBandSize w:val="1"/>
      <w:tblBorders>
        <w:top w:val="single" w:sz="4" w:space="0" w:color="A1C5E0"/>
        <w:left w:val="single" w:sz="4" w:space="0" w:color="A1C5E0"/>
        <w:bottom w:val="single" w:sz="4" w:space="0" w:color="A1C5E0"/>
        <w:right w:val="single" w:sz="4" w:space="0" w:color="A1C5E0"/>
        <w:insideH w:val="single" w:sz="4" w:space="0" w:color="A1C5E0"/>
        <w:insideV w:val="single" w:sz="4" w:space="0" w:color="A1C5E0"/>
      </w:tblBorders>
    </w:tblPr>
    <w:tblStylePr w:type="firstRow">
      <w:rPr>
        <w:b/>
        <w:bCs/>
      </w:rPr>
      <w:tblPr/>
      <w:tcPr>
        <w:tcBorders>
          <w:bottom w:val="single" w:sz="12" w:space="0" w:color="A1C5E0"/>
        </w:tcBorders>
      </w:tcPr>
    </w:tblStylePr>
    <w:tblStylePr w:type="lastRow">
      <w:rPr>
        <w:b/>
        <w:bCs/>
      </w:rPr>
      <w:tblPr/>
      <w:tcPr>
        <w:tcBorders>
          <w:top w:val="double" w:sz="4" w:space="0" w:color="A1C5E0"/>
        </w:tcBorders>
      </w:tcPr>
    </w:tblStylePr>
    <w:tblStylePr w:type="firstCol">
      <w:rPr>
        <w:b/>
        <w:bCs/>
      </w:rPr>
    </w:tblStylePr>
    <w:tblStylePr w:type="lastCol">
      <w:rPr>
        <w:b/>
        <w:bCs/>
      </w:rPr>
    </w:tblStylePr>
    <w:tblStylePr w:type="band1Vert">
      <w:tblPr/>
      <w:tcPr>
        <w:shd w:val="clear" w:color="auto" w:fill="DFEBF4"/>
      </w:tcPr>
    </w:tblStylePr>
    <w:tblStylePr w:type="band1Horz">
      <w:tblPr/>
      <w:tcPr>
        <w:shd w:val="clear" w:color="auto" w:fill="DFEBF4"/>
      </w:tcPr>
    </w:tblStylePr>
  </w:style>
  <w:style w:type="table" w:customStyle="1" w:styleId="GridTable6Colorful-Accent1221">
    <w:name w:val="Grid Table 6 Colorful - Accent 1221"/>
    <w:basedOn w:val="TableNormal"/>
    <w:next w:val="GridTable6Colorful-Accent13"/>
    <w:uiPriority w:val="51"/>
    <w:rsid w:val="005918D2"/>
    <w:pPr>
      <w:spacing w:after="0" w:line="264" w:lineRule="auto"/>
    </w:pPr>
    <w:rPr>
      <w:rFonts w:eastAsia="MS PGothic"/>
      <w:color w:val="BF2B0E"/>
      <w:sz w:val="20"/>
      <w:szCs w:val="20"/>
      <w:lang w:eastAsia="ja-JP"/>
    </w:rPr>
    <w:tblPr>
      <w:tblStyleRowBandSize w:val="1"/>
      <w:tblStyleColBandSize w:val="1"/>
      <w:tblBorders>
        <w:top w:val="single" w:sz="4" w:space="0" w:color="F58F7A"/>
        <w:left w:val="single" w:sz="4" w:space="0" w:color="F58F7A"/>
        <w:bottom w:val="single" w:sz="4" w:space="0" w:color="F58F7A"/>
        <w:right w:val="single" w:sz="4" w:space="0" w:color="F58F7A"/>
        <w:insideH w:val="single" w:sz="4" w:space="0" w:color="F58F7A"/>
        <w:insideV w:val="single" w:sz="4" w:space="0" w:color="F58F7A"/>
      </w:tblBorders>
    </w:tblPr>
    <w:tblStylePr w:type="firstRow">
      <w:rPr>
        <w:b/>
        <w:bCs/>
      </w:rPr>
      <w:tblPr/>
      <w:tcPr>
        <w:tcBorders>
          <w:bottom w:val="single" w:sz="12" w:space="0" w:color="F58F7A"/>
        </w:tcBorders>
      </w:tcPr>
    </w:tblStylePr>
    <w:tblStylePr w:type="lastRow">
      <w:rPr>
        <w:b/>
        <w:bCs/>
      </w:rPr>
      <w:tblPr/>
      <w:tcPr>
        <w:tcBorders>
          <w:top w:val="doub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ghtShading-Accent122121">
    <w:name w:val="Light Shading - Accent 12212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GridTable6Colorful-Accent52121">
    <w:name w:val="Grid Table 6 Colorful - Accent 52121"/>
    <w:basedOn w:val="TableNormal"/>
    <w:next w:val="GridTable6Colorful-Accent54"/>
    <w:uiPriority w:val="51"/>
    <w:rsid w:val="005918D2"/>
    <w:pPr>
      <w:spacing w:after="0" w:line="240" w:lineRule="auto"/>
    </w:pPr>
    <w:rPr>
      <w:rFonts w:ascii="Calibri" w:eastAsia="Calibri" w:hAnsi="Calibri" w:cs="Times New Roman"/>
      <w:color w:val="C19300"/>
      <w:sz w:val="20"/>
      <w:szCs w:val="20"/>
    </w:rPr>
    <w:tblPr>
      <w:tblStyleRowBandSize w:val="1"/>
      <w:tblStyleColBandSize w:val="1"/>
      <w:tblBorders>
        <w:top w:val="single" w:sz="4" w:space="0" w:color="FEDA69"/>
        <w:left w:val="single" w:sz="4" w:space="0" w:color="FEDA69"/>
        <w:bottom w:val="single" w:sz="4" w:space="0" w:color="FEDA69"/>
        <w:right w:val="single" w:sz="4" w:space="0" w:color="FEDA69"/>
        <w:insideH w:val="single" w:sz="4" w:space="0" w:color="FEDA69"/>
        <w:insideV w:val="single" w:sz="4" w:space="0" w:color="FEDA69"/>
      </w:tblBorders>
    </w:tblPr>
    <w:tblStylePr w:type="firstRow">
      <w:rPr>
        <w:b/>
        <w:bCs/>
      </w:rPr>
      <w:tblPr/>
      <w:tcPr>
        <w:tcBorders>
          <w:bottom w:val="single" w:sz="12" w:space="0" w:color="FEDA69"/>
        </w:tcBorders>
      </w:tcPr>
    </w:tblStylePr>
    <w:tblStylePr w:type="lastRow">
      <w:rPr>
        <w:b/>
        <w:bCs/>
      </w:rPr>
      <w:tblPr/>
      <w:tcPr>
        <w:tcBorders>
          <w:top w:val="double" w:sz="4" w:space="0" w:color="FEDA69"/>
        </w:tcBorders>
      </w:tcPr>
    </w:tblStylePr>
    <w:tblStylePr w:type="firstCol">
      <w:rPr>
        <w:b/>
        <w:bCs/>
      </w:rPr>
    </w:tblStylePr>
    <w:tblStylePr w:type="lastCol">
      <w:rPr>
        <w:b/>
        <w:bCs/>
      </w:rPr>
    </w:tblStylePr>
    <w:tblStylePr w:type="band1Vert">
      <w:tblPr/>
      <w:tcPr>
        <w:shd w:val="clear" w:color="auto" w:fill="FEF2CD"/>
      </w:tcPr>
    </w:tblStylePr>
    <w:tblStylePr w:type="band1Horz">
      <w:tblPr/>
      <w:tcPr>
        <w:shd w:val="clear" w:color="auto" w:fill="FEF2CD"/>
      </w:tcPr>
    </w:tblStylePr>
  </w:style>
  <w:style w:type="table" w:customStyle="1" w:styleId="tabele3421">
    <w:name w:val="tabele 342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021">
    <w:name w:val="Light Shading - Accent 1110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521">
    <w:name w:val="Light Shading - Accent 35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521">
    <w:name w:val="Light List - Accent 552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421">
    <w:name w:val="Light Shading - Accent 3142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521">
    <w:name w:val="Light List - Accent 315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121">
    <w:name w:val="Table Grid1121"/>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421">
    <w:name w:val="Light List - Accent 5142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121">
    <w:name w:val="Medium List 1 - Accent 51121"/>
    <w:basedOn w:val="TableNormal"/>
    <w:next w:val="MediumList1-Accent5"/>
    <w:uiPriority w:val="65"/>
    <w:rsid w:val="005918D2"/>
    <w:pPr>
      <w:spacing w:after="0" w:line="240" w:lineRule="auto"/>
    </w:pPr>
    <w:rPr>
      <w:rFonts w:ascii="Constantia" w:eastAsia="Constantia" w:hAnsi="Constantia" w:cs="Times New Roman"/>
      <w:color w:val="000000"/>
      <w:lang w:val="sr-Cyrl-CS"/>
    </w:rPr>
    <w:tblPr>
      <w:tblStyleRowBandSize w:val="1"/>
      <w:tblStyleColBandSize w:val="1"/>
      <w:tblBorders>
        <w:top w:val="single" w:sz="8" w:space="0" w:color="8FB08C"/>
        <w:bottom w:val="single" w:sz="8" w:space="0" w:color="8FB08C"/>
      </w:tblBorders>
    </w:tblPr>
    <w:tblStylePr w:type="firstRow">
      <w:rPr>
        <w:rFonts w:ascii="Verdana" w:eastAsia="Times New Roman" w:hAnsi="Verdan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221">
    <w:name w:val="Medium List 1 - Accent 5221"/>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numbering" w:customStyle="1" w:styleId="NoList11121">
    <w:name w:val="No List11121"/>
    <w:next w:val="NoList"/>
    <w:uiPriority w:val="99"/>
    <w:semiHidden/>
    <w:unhideWhenUsed/>
    <w:rsid w:val="005918D2"/>
  </w:style>
  <w:style w:type="table" w:customStyle="1" w:styleId="LightGrid-Accent51521">
    <w:name w:val="Light Grid - Accent 515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421">
    <w:name w:val="Светло сенчење – наглашавање 1142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621">
    <w:name w:val="Light Grid - Accent 56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tabelezaifs1210">
    <w:name w:val="tabele za ifs121"/>
    <w:basedOn w:val="TableNormal"/>
    <w:uiPriority w:val="99"/>
    <w:qFormat/>
    <w:rsid w:val="005918D2"/>
    <w:pPr>
      <w:spacing w:after="0" w:line="240" w:lineRule="auto"/>
    </w:pPr>
    <w:rPr>
      <w:rFonts w:ascii="Cambria Math" w:eastAsia="Calibri" w:hAnsi="Cambria Math" w:cs="Times New Roman"/>
      <w:sz w:val="20"/>
      <w:szCs w:val="20"/>
      <w:lang w:val="en-GB" w:eastAsia="en-GB"/>
    </w:rPr>
    <w:tblPr/>
  </w:style>
  <w:style w:type="table" w:customStyle="1" w:styleId="tabelezaifs1121">
    <w:name w:val="tabele za ifs 1121"/>
    <w:basedOn w:val="TableNormal"/>
    <w:uiPriority w:val="66"/>
    <w:rsid w:val="005918D2"/>
    <w:pPr>
      <w:spacing w:after="0" w:line="240" w:lineRule="auto"/>
    </w:pPr>
    <w:rPr>
      <w:rFonts w:ascii="Cambria Math" w:eastAsia="Times New Roman" w:hAnsi="Cambria Math" w:cs="Times New Roman"/>
      <w:color w:val="000000"/>
      <w:sz w:val="20"/>
      <w:szCs w:val="20"/>
      <w:lang w:val="en-GB" w:eastAsia="en-GB"/>
    </w:rPr>
    <w:tblPr>
      <w:tblStyleRowBandSize w:val="1"/>
      <w:tblStyleColBandSize w:val="1"/>
      <w:tblBorders>
        <w:top w:val="single" w:sz="8" w:space="0" w:color="8CADAE"/>
        <w:left w:val="single" w:sz="8" w:space="0" w:color="8CADAE"/>
        <w:bottom w:val="single" w:sz="8" w:space="0" w:color="8CADAE"/>
        <w:right w:val="single" w:sz="8" w:space="0" w:color="8CADAE"/>
      </w:tblBorders>
    </w:tblPr>
    <w:tcPr>
      <w:vAlign w:val="bottom"/>
    </w:tcPr>
    <w:tblStylePr w:type="firstRow">
      <w:rPr>
        <w:sz w:val="24"/>
        <w:szCs w:val="24"/>
      </w:rPr>
      <w:tblPr/>
      <w:tcPr>
        <w:tcBorders>
          <w:top w:val="nil"/>
          <w:left w:val="nil"/>
          <w:bottom w:val="single" w:sz="24" w:space="0" w:color="8CADAE"/>
          <w:right w:val="nil"/>
          <w:insideH w:val="nil"/>
          <w:insideV w:val="nil"/>
        </w:tcBorders>
        <w:shd w:val="clear" w:color="auto" w:fill="FFFFFF"/>
      </w:tcPr>
    </w:tblStylePr>
    <w:tblStylePr w:type="lastRow">
      <w:tblPr/>
      <w:tcPr>
        <w:tcBorders>
          <w:top w:val="single" w:sz="8" w:space="0" w:color="8CADAE"/>
          <w:left w:val="nil"/>
          <w:bottom w:val="nil"/>
          <w:right w:val="nil"/>
          <w:insideH w:val="nil"/>
          <w:insideV w:val="nil"/>
        </w:tcBorders>
        <w:shd w:val="clear" w:color="auto" w:fill="FFFFFF"/>
      </w:tcPr>
    </w:tblStylePr>
    <w:tblStylePr w:type="firstCol">
      <w:tblPr/>
      <w:tcPr>
        <w:tcBorders>
          <w:top w:val="nil"/>
          <w:left w:val="nil"/>
          <w:bottom w:val="nil"/>
          <w:right w:val="single" w:sz="8" w:space="0" w:color="8CADAE"/>
          <w:insideH w:val="nil"/>
          <w:insideV w:val="nil"/>
        </w:tcBorders>
        <w:shd w:val="clear" w:color="auto" w:fill="FFFFFF"/>
      </w:tcPr>
    </w:tblStylePr>
    <w:tblStylePr w:type="lastCol">
      <w:tblPr/>
      <w:tcPr>
        <w:tcBorders>
          <w:top w:val="nil"/>
          <w:left w:val="single" w:sz="8" w:space="0" w:color="8CADA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EAEB"/>
      </w:tcPr>
    </w:tblStylePr>
    <w:tblStylePr w:type="band1Horz">
      <w:tblPr/>
      <w:tcPr>
        <w:tcBorders>
          <w:top w:val="nil"/>
          <w:bottom w:val="nil"/>
          <w:insideH w:val="nil"/>
          <w:insideV w:val="nil"/>
        </w:tcBorders>
        <w:shd w:val="clear" w:color="auto" w:fill="E2EAEB"/>
      </w:tcPr>
    </w:tblStylePr>
    <w:tblStylePr w:type="nwCell">
      <w:tblPr/>
      <w:tcPr>
        <w:shd w:val="clear" w:color="auto" w:fill="FFFFFF"/>
      </w:tcPr>
    </w:tblStylePr>
    <w:tblStylePr w:type="swCell">
      <w:tblPr/>
      <w:tcPr>
        <w:tcBorders>
          <w:top w:val="nil"/>
        </w:tcBorders>
      </w:tcPr>
    </w:tblStylePr>
  </w:style>
  <w:style w:type="table" w:customStyle="1" w:styleId="ColorfulList-Accent1121">
    <w:name w:val="Colorful List - Accent 1121"/>
    <w:basedOn w:val="TableNormal"/>
    <w:next w:val="ColorfulList-Accent1"/>
    <w:uiPriority w:val="72"/>
    <w:rsid w:val="005918D2"/>
    <w:pPr>
      <w:spacing w:after="0" w:line="240" w:lineRule="auto"/>
    </w:pPr>
    <w:rPr>
      <w:rFonts w:ascii="Calibri" w:eastAsia="Calibri" w:hAnsi="Calibri" w:cs="Times New Roman"/>
      <w:color w:val="000000"/>
      <w:sz w:val="20"/>
      <w:szCs w:val="20"/>
      <w:lang w:val="en-GB" w:eastAsia="en-GB"/>
    </w:rPr>
    <w:tblPr>
      <w:tblStyleRowBandSize w:val="1"/>
      <w:tblStyleColBandSize w:val="1"/>
    </w:tblPr>
    <w:tcPr>
      <w:shd w:val="clear" w:color="auto" w:fill="FAEFEC"/>
    </w:tcPr>
    <w:tblStylePr w:type="firstRow">
      <w:rPr>
        <w:b/>
        <w:bCs/>
        <w:color w:val="FFFFFF"/>
      </w:rPr>
      <w:tblPr/>
      <w:tcPr>
        <w:tcBorders>
          <w:bottom w:val="single" w:sz="12" w:space="0" w:color="FFFFFF"/>
        </w:tcBorders>
        <w:shd w:val="clear" w:color="auto" w:fill="A38F00"/>
      </w:tcPr>
    </w:tblStylePr>
    <w:tblStylePr w:type="lastRow">
      <w:rPr>
        <w:b/>
        <w:bCs/>
        <w:color w:val="A38F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D2"/>
      </w:tcPr>
    </w:tblStylePr>
    <w:tblStylePr w:type="band1Horz">
      <w:tblPr/>
      <w:tcPr>
        <w:shd w:val="clear" w:color="auto" w:fill="F5DFDA"/>
      </w:tcPr>
    </w:tblStylePr>
  </w:style>
  <w:style w:type="numbering" w:customStyle="1" w:styleId="NoList2121">
    <w:name w:val="No List2121"/>
    <w:next w:val="NoList"/>
    <w:uiPriority w:val="99"/>
    <w:semiHidden/>
    <w:unhideWhenUsed/>
    <w:rsid w:val="005918D2"/>
  </w:style>
  <w:style w:type="table" w:customStyle="1" w:styleId="LightList-Accent32421">
    <w:name w:val="Light List - Accent 324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421">
    <w:name w:val="Light List - Accent 3114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721">
    <w:name w:val="Light Shading - Accent 1317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821">
    <w:name w:val="Light Shading - Accent 1318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421">
    <w:name w:val="Light Shading - Accent 1324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1121">
    <w:name w:val="tabele 3112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121">
    <w:name w:val="Light Shading - Accent 111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121">
    <w:name w:val="Light Shading - Accent 321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2121">
    <w:name w:val="Light List - Accent 5212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1121">
    <w:name w:val="Light Shading - Accent 31112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121">
    <w:name w:val="Light List - Accent 312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121">
    <w:name w:val="Light List - Accent 51112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221">
    <w:name w:val="Light Grid - Accent 5112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121">
    <w:name w:val="Светло сенчење – наглашавање 11112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221">
    <w:name w:val="Light Grid - Accent 522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1121">
    <w:name w:val="Light List - Accent 3211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121">
    <w:name w:val="Light List - Accent 3111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3121">
    <w:name w:val="Light Shading - Accent 133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1121">
    <w:name w:val="Light Shading - Accent 1311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1121">
    <w:name w:val="Light Shading - Accent 1321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121">
    <w:name w:val="Light Shading - Accent 112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4121">
    <w:name w:val="Light Shading - Accent 134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121">
    <w:name w:val="Light Shading - Accent 113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5121">
    <w:name w:val="Light Shading - Accent 135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221">
    <w:name w:val="Light Shading - Accent 1362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7121">
    <w:name w:val="Light Shading - Accent 137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121">
    <w:name w:val="tabele 3212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121">
    <w:name w:val="Light Shading - Accent 114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421">
    <w:name w:val="Light Shading - Accent 3342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3121">
    <w:name w:val="Light List - Accent 5312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2121">
    <w:name w:val="Light Shading - Accent 31212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121">
    <w:name w:val="Light List - Accent 313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121">
    <w:name w:val="Light List - Accent 51212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221">
    <w:name w:val="Light Grid - Accent 5122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2121">
    <w:name w:val="Светло сенчење – наглашавање 11212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3221">
    <w:name w:val="Light Grid - Accent 532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22121">
    <w:name w:val="Light List - Accent 3221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2121">
    <w:name w:val="Light List - Accent 3112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8221">
    <w:name w:val="Light Shading - Accent 1382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2121">
    <w:name w:val="Light Shading - Accent 1312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2121">
    <w:name w:val="Light Shading - Accent 1322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121">
    <w:name w:val="Light Shading - Accent 115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221">
    <w:name w:val="Light Shading - Accent 1392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221">
    <w:name w:val="Light Shading - Accent 1162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221">
    <w:name w:val="Light Shading - Accent 13102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3121">
    <w:name w:val="Light Shading - Accent 1313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121">
    <w:name w:val="tabele 33121"/>
    <w:basedOn w:val="TableNormal"/>
    <w:next w:val="LightList-Accent3"/>
    <w:uiPriority w:val="61"/>
    <w:rsid w:val="005918D2"/>
    <w:pPr>
      <w:spacing w:after="0" w:line="240" w:lineRule="auto"/>
    </w:pPr>
    <w:rPr>
      <w:rFonts w:ascii="Cambria Math" w:eastAsia="Calibri" w:hAnsi="Cambria Math" w:cs="Times New Roman"/>
      <w:sz w:val="18"/>
      <w:lang w:val="sr-Cyrl-C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121">
    <w:name w:val="Light Shading - Accent 117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4321">
    <w:name w:val="Light Shading - Accent 343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4121">
    <w:name w:val="Light List - Accent 5412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Shading-Accent313121">
    <w:name w:val="Light Shading - Accent 313121"/>
    <w:basedOn w:val="TableNormal"/>
    <w:next w:val="LightShading-Accent3"/>
    <w:uiPriority w:val="60"/>
    <w:rsid w:val="005918D2"/>
    <w:pPr>
      <w:spacing w:after="0" w:line="240" w:lineRule="auto"/>
    </w:pPr>
    <w:rPr>
      <w:rFonts w:ascii="Constantia" w:eastAsia="Constantia" w:hAnsi="Constantia" w:cs="Times New Roman"/>
      <w:color w:val="8CADAE"/>
      <w:lang w:val="sr-Cyrl-CS"/>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121">
    <w:name w:val="Light List - Accent 314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121">
    <w:name w:val="Light List - Accent 513121"/>
    <w:basedOn w:val="TableNormal"/>
    <w:next w:val="LightList-Accent5"/>
    <w:uiPriority w:val="61"/>
    <w:rsid w:val="005918D2"/>
    <w:pPr>
      <w:spacing w:after="0" w:line="240" w:lineRule="auto"/>
    </w:pPr>
    <w:rPr>
      <w:rFonts w:ascii="Times New Roman" w:eastAsia="Constantia" w:hAnsi="Times New Roman" w:cs="Times New Roman"/>
      <w:lang w:val="sr-Cyrl-CS"/>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221">
    <w:name w:val="Light Grid - Accent 5132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mic Sans MS" w:eastAsia="Times New Roman" w:hAnsi="Comic Sans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3121">
    <w:name w:val="Светло сенчење – наглашавање 113121"/>
    <w:basedOn w:val="TableNormal"/>
    <w:uiPriority w:val="60"/>
    <w:rsid w:val="005918D2"/>
    <w:pPr>
      <w:spacing w:after="0" w:line="240" w:lineRule="auto"/>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4221">
    <w:name w:val="Light Grid - Accent 542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mic Sans MS" w:eastAsia="Times New Roman" w:hAnsi="Comic Sans MS"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3121">
    <w:name w:val="Light Shading - Accent 12312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23121">
    <w:name w:val="Light List - Accent 323121"/>
    <w:basedOn w:val="TableNormal"/>
    <w:next w:val="LightList-Accent3"/>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3121">
    <w:name w:val="Light List - Accent 3113121"/>
    <w:basedOn w:val="TableNormal"/>
    <w:next w:val="LightList-Accent3"/>
    <w:uiPriority w:val="61"/>
    <w:rsid w:val="005918D2"/>
    <w:pPr>
      <w:spacing w:after="0" w:line="240" w:lineRule="auto"/>
    </w:pPr>
    <w:rPr>
      <w:rFonts w:ascii="Constantia" w:eastAsia="Constantia" w:hAnsi="Constantia" w:cs="Times New Roman"/>
      <w:lang w:val="sr-Cyrl-CS"/>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314121">
    <w:name w:val="Light Shading - Accent 1314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5121">
    <w:name w:val="Light Shading - Accent 1315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23121">
    <w:name w:val="Light Shading - Accent 1323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6121">
    <w:name w:val="Light Shading - Accent 1316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81121">
    <w:name w:val="Light Shading - Accent 1381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8121">
    <w:name w:val="Light Shading - Accent 118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91121">
    <w:name w:val="Light Shading - Accent 1391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121">
    <w:name w:val="Light Shading - Accent 1161121"/>
    <w:basedOn w:val="TableNormal"/>
    <w:uiPriority w:val="60"/>
    <w:rsid w:val="005918D2"/>
    <w:pPr>
      <w:spacing w:after="0" w:line="240" w:lineRule="auto"/>
      <w:ind w:left="568" w:hanging="284"/>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101121">
    <w:name w:val="Light Shading - Accent 13101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361121">
    <w:name w:val="Light Shading - Accent 1361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9121">
    <w:name w:val="Light Shading - Accent 119121"/>
    <w:basedOn w:val="TableNormal"/>
    <w:uiPriority w:val="60"/>
    <w:rsid w:val="005918D2"/>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1121">
    <w:name w:val="Light Shading - Accent 3311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2121">
    <w:name w:val="Light Shading - Accent 3321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3121">
    <w:name w:val="Light Shading - Accent 3331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1121">
    <w:name w:val="Light Shading - Accent 3411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42121">
    <w:name w:val="Light Shading - Accent 34212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514121">
    <w:name w:val="Light Grid - Accent 514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5121">
    <w:name w:val="Light Grid - Accent 551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11121">
    <w:name w:val="Light Grid - Accent 5111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21121">
    <w:name w:val="Light Grid - Accent 5211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21121">
    <w:name w:val="Light Grid - Accent 5121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1121">
    <w:name w:val="Light Grid - Accent 5311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Grid-Accent5131121">
    <w:name w:val="Light Grid - Accent 513112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1121">
    <w:name w:val="Light Grid - Accent 54112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Franklin Gothic Medium" w:eastAsia="Times New Roman" w:hAnsi="Franklin Gothic Medium"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Franklin Gothic Medium" w:eastAsia="Times New Roman" w:hAnsi="Franklin Gothic Medium"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Franklin Gothic Medium" w:eastAsia="Times New Roman" w:hAnsi="Franklin Gothic Medium" w:cs="Times New Roman"/>
        <w:b/>
        <w:bCs/>
      </w:rPr>
    </w:tblStylePr>
    <w:tblStylePr w:type="lastCol">
      <w:rPr>
        <w:rFonts w:ascii="Franklin Gothic Medium" w:eastAsia="Times New Roman" w:hAnsi="Franklin Gothic Medium"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6221">
    <w:name w:val="Light Shading - Accent 6221"/>
    <w:basedOn w:val="TableNormal"/>
    <w:next w:val="LightShading-Accent6"/>
    <w:uiPriority w:val="60"/>
    <w:rsid w:val="005918D2"/>
    <w:pPr>
      <w:spacing w:after="0" w:line="240" w:lineRule="auto"/>
    </w:pPr>
    <w:rPr>
      <w:rFonts w:ascii="Calibri" w:eastAsia="Calibri" w:hAnsi="Calibri" w:cs="Times New Roman"/>
      <w:color w:val="393939"/>
      <w:sz w:val="20"/>
      <w:szCs w:val="20"/>
    </w:rPr>
    <w:tblPr>
      <w:tblStyleRowBandSize w:val="1"/>
      <w:tblStyleColBandSize w:val="1"/>
      <w:tblBorders>
        <w:top w:val="single" w:sz="8" w:space="0" w:color="4D4D4D"/>
        <w:bottom w:val="single" w:sz="8" w:space="0" w:color="4D4D4D"/>
      </w:tblBorders>
    </w:tblPr>
    <w:tblStylePr w:type="fir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D4D4D"/>
          <w:left w:val="nil"/>
          <w:bottom w:val="single" w:sz="8" w:space="0" w:color="4D4D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cPr>
    </w:tblStylePr>
    <w:tblStylePr w:type="band1Horz">
      <w:tblPr/>
      <w:tcPr>
        <w:tcBorders>
          <w:left w:val="nil"/>
          <w:right w:val="nil"/>
          <w:insideH w:val="nil"/>
          <w:insideV w:val="nil"/>
        </w:tcBorders>
        <w:shd w:val="clear" w:color="auto" w:fill="D3D3D3"/>
      </w:tcPr>
    </w:tblStylePr>
  </w:style>
  <w:style w:type="table" w:customStyle="1" w:styleId="GridTable6Colorful-Accent4221">
    <w:name w:val="Grid Table 6 Colorful - Accent 4221"/>
    <w:basedOn w:val="TableNormal"/>
    <w:next w:val="GridTable6Colorful-Accent43"/>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221">
    <w:name w:val="Grid Table 6 Colorful - Accent 3221"/>
    <w:basedOn w:val="TableNormal"/>
    <w:next w:val="Grid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4-Accent5221">
    <w:name w:val="Grid Table 4 - Accent 5221"/>
    <w:basedOn w:val="TableNormal"/>
    <w:next w:val="GridTable4-Accent53"/>
    <w:uiPriority w:val="49"/>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9F9F9F"/>
        <w:left w:val="single" w:sz="4" w:space="0" w:color="9F9F9F"/>
        <w:bottom w:val="single" w:sz="4" w:space="0" w:color="9F9F9F"/>
        <w:right w:val="single" w:sz="4" w:space="0" w:color="9F9F9F"/>
        <w:insideH w:val="single" w:sz="4" w:space="0" w:color="9F9F9F"/>
        <w:insideV w:val="single" w:sz="4" w:space="0" w:color="9F9F9F"/>
      </w:tblBorders>
    </w:tblPr>
    <w:tblStylePr w:type="firstRow">
      <w:rPr>
        <w:b/>
        <w:bCs/>
        <w:color w:val="FFFFFF"/>
      </w:rPr>
      <w:tblPr/>
      <w:tcPr>
        <w:tcBorders>
          <w:top w:val="single" w:sz="4" w:space="0" w:color="5F5F5F"/>
          <w:left w:val="single" w:sz="4" w:space="0" w:color="5F5F5F"/>
          <w:bottom w:val="single" w:sz="4" w:space="0" w:color="5F5F5F"/>
          <w:right w:val="single" w:sz="4" w:space="0" w:color="5F5F5F"/>
          <w:insideH w:val="nil"/>
          <w:insideV w:val="nil"/>
        </w:tcBorders>
        <w:shd w:val="clear" w:color="auto" w:fill="5F5F5F"/>
      </w:tcPr>
    </w:tblStylePr>
    <w:tblStylePr w:type="lastRow">
      <w:rPr>
        <w:b/>
        <w:bCs/>
      </w:rPr>
      <w:tblPr/>
      <w:tcPr>
        <w:tcBorders>
          <w:top w:val="double" w:sz="4" w:space="0" w:color="5F5F5F"/>
        </w:tcBorders>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5Dark-Accent5221">
    <w:name w:val="Grid Table 5 Dark - Accent 5221"/>
    <w:basedOn w:val="TableNormal"/>
    <w:next w:val="GridTable5Dark-Accent53"/>
    <w:uiPriority w:val="50"/>
    <w:rsid w:val="005918D2"/>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customStyle="1" w:styleId="121">
    <w:name w:val="ФС121"/>
    <w:basedOn w:val="TableNormal"/>
    <w:uiPriority w:val="99"/>
    <w:rsid w:val="005918D2"/>
    <w:pPr>
      <w:spacing w:after="0" w:line="240" w:lineRule="auto"/>
    </w:pPr>
    <w:rPr>
      <w:rFonts w:ascii="Calibri" w:eastAsia="Calibri" w:hAnsi="Calibri" w:cs="Times New Roman"/>
      <w:sz w:val="20"/>
      <w:szCs w:val="20"/>
    </w:rPr>
    <w:tblPr/>
  </w:style>
  <w:style w:type="table" w:customStyle="1" w:styleId="ListTable6Colorful-Accent3221">
    <w:name w:val="List Table 6 Colorful - Accent 3221"/>
    <w:basedOn w:val="TableNormal"/>
    <w:next w:val="ListTable6Colorful-Accent33"/>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969696"/>
        <w:bottom w:val="single" w:sz="4" w:space="0" w:color="969696"/>
      </w:tblBorders>
    </w:tblPr>
    <w:tblStylePr w:type="firstRow">
      <w:rPr>
        <w:b/>
        <w:bCs/>
      </w:rPr>
      <w:tblPr/>
      <w:tcPr>
        <w:tcBorders>
          <w:bottom w:val="single" w:sz="4" w:space="0" w:color="969696"/>
        </w:tcBorders>
      </w:tcPr>
    </w:tblStylePr>
    <w:tblStylePr w:type="lastRow">
      <w:rPr>
        <w:b/>
        <w:bCs/>
      </w:rPr>
      <w:tblPr/>
      <w:tcPr>
        <w:tcBorders>
          <w:top w:val="double" w:sz="4" w:space="0" w:color="969696"/>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GridTable1Light-Accent1221">
    <w:name w:val="Grid Table 1 Light - Accent 1221"/>
    <w:basedOn w:val="TableNormal"/>
    <w:next w:val="GridTable1Light-Accent13"/>
    <w:uiPriority w:val="46"/>
    <w:rsid w:val="005918D2"/>
    <w:pPr>
      <w:spacing w:after="0" w:line="240" w:lineRule="auto"/>
    </w:pPr>
    <w:tblPr>
      <w:tblStyleRowBandSize w:val="1"/>
      <w:tblStyleColBandSize w:val="1"/>
      <w:tblBorders>
        <w:top w:val="single" w:sz="4" w:space="0" w:color="F8B4A6"/>
        <w:left w:val="single" w:sz="4" w:space="0" w:color="F8B4A6"/>
        <w:bottom w:val="single" w:sz="4" w:space="0" w:color="F8B4A6"/>
        <w:right w:val="single" w:sz="4" w:space="0" w:color="F8B4A6"/>
        <w:insideH w:val="single" w:sz="4" w:space="0" w:color="F8B4A6"/>
        <w:insideV w:val="single" w:sz="4" w:space="0" w:color="F8B4A6"/>
      </w:tblBorders>
    </w:tblPr>
    <w:tblStylePr w:type="firstRow">
      <w:rPr>
        <w:b/>
        <w:bCs/>
      </w:rPr>
      <w:tblPr/>
      <w:tcPr>
        <w:tcBorders>
          <w:bottom w:val="single" w:sz="12" w:space="0" w:color="F58F7A"/>
        </w:tcBorders>
      </w:tcPr>
    </w:tblStylePr>
    <w:tblStylePr w:type="lastRow">
      <w:rPr>
        <w:b/>
        <w:bCs/>
      </w:rPr>
      <w:tblPr/>
      <w:tcPr>
        <w:tcBorders>
          <w:top w:val="double" w:sz="2" w:space="0" w:color="F58F7A"/>
        </w:tcBorders>
      </w:tcPr>
    </w:tblStylePr>
    <w:tblStylePr w:type="firstCol">
      <w:rPr>
        <w:b/>
        <w:bCs/>
      </w:rPr>
    </w:tblStylePr>
    <w:tblStylePr w:type="lastCol">
      <w:rPr>
        <w:b/>
        <w:bCs/>
      </w:rPr>
    </w:tblStylePr>
  </w:style>
  <w:style w:type="table" w:customStyle="1" w:styleId="ListTable1Light-Accent1221">
    <w:name w:val="List Table 1 Light - Accent 1221"/>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F58F7A"/>
        </w:tcBorders>
      </w:tcPr>
    </w:tblStylePr>
    <w:tblStylePr w:type="lastRow">
      <w:rPr>
        <w:b/>
        <w:bCs/>
      </w:rPr>
      <w:tblPr/>
      <w:tcPr>
        <w:tcBorders>
          <w:top w:val="single" w:sz="4" w:space="0" w:color="F58F7A"/>
        </w:tcBorders>
      </w:tc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1221">
    <w:name w:val="List Table 2 - Accent 1221"/>
    <w:basedOn w:val="TableNormal"/>
    <w:next w:val="ListTable2-Accent13"/>
    <w:uiPriority w:val="47"/>
    <w:rsid w:val="005918D2"/>
    <w:pPr>
      <w:spacing w:after="0" w:line="240" w:lineRule="auto"/>
    </w:pPr>
    <w:tblPr>
      <w:tblStyleRowBandSize w:val="1"/>
      <w:tblStyleColBandSize w:val="1"/>
      <w:tblBorders>
        <w:top w:val="single" w:sz="4" w:space="0" w:color="F58F7A"/>
        <w:bottom w:val="single" w:sz="4" w:space="0" w:color="F58F7A"/>
        <w:insideH w:val="single" w:sz="4" w:space="0" w:color="F58F7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9D2"/>
      </w:tcPr>
    </w:tblStylePr>
    <w:tblStylePr w:type="band1Horz">
      <w:tblPr/>
      <w:tcPr>
        <w:shd w:val="clear" w:color="auto" w:fill="FBD9D2"/>
      </w:tcPr>
    </w:tblStylePr>
  </w:style>
  <w:style w:type="table" w:customStyle="1" w:styleId="ListTable2-Accent5221">
    <w:name w:val="List Table 2 - Accent 5221"/>
    <w:basedOn w:val="TableNormal"/>
    <w:next w:val="ListTable2-Accent53"/>
    <w:uiPriority w:val="47"/>
    <w:rsid w:val="005918D2"/>
    <w:pPr>
      <w:spacing w:after="0" w:line="240" w:lineRule="auto"/>
    </w:pPr>
    <w:tblPr>
      <w:tblStyleRowBandSize w:val="1"/>
      <w:tblStyleColBandSize w:val="1"/>
      <w:tblBorders>
        <w:top w:val="single" w:sz="4" w:space="0" w:color="9F9F9F"/>
        <w:bottom w:val="single" w:sz="4" w:space="0" w:color="9F9F9F"/>
        <w:insideH w:val="single" w:sz="4" w:space="0" w:color="9F9F9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2-Accent5221">
    <w:name w:val="Grid Table 2 - Accent 5221"/>
    <w:basedOn w:val="TableNormal"/>
    <w:next w:val="GridTable2-Accent53"/>
    <w:uiPriority w:val="47"/>
    <w:rsid w:val="005918D2"/>
    <w:pPr>
      <w:spacing w:after="0" w:line="240" w:lineRule="auto"/>
    </w:pPr>
    <w:tblPr>
      <w:tblStyleRowBandSize w:val="1"/>
      <w:tblStyleColBandSize w:val="1"/>
      <w:tblBorders>
        <w:top w:val="single" w:sz="2" w:space="0" w:color="9F9F9F"/>
        <w:bottom w:val="single" w:sz="2" w:space="0" w:color="9F9F9F"/>
        <w:insideH w:val="single" w:sz="2" w:space="0" w:color="9F9F9F"/>
        <w:insideV w:val="single" w:sz="2" w:space="0" w:color="9F9F9F"/>
      </w:tblBorders>
    </w:tblPr>
    <w:tblStylePr w:type="firstRow">
      <w:rPr>
        <w:b/>
        <w:bCs/>
      </w:rPr>
      <w:tblPr/>
      <w:tcPr>
        <w:tcBorders>
          <w:top w:val="nil"/>
          <w:bottom w:val="single" w:sz="12" w:space="0" w:color="9F9F9F"/>
          <w:insideH w:val="nil"/>
          <w:insideV w:val="nil"/>
        </w:tcBorders>
        <w:shd w:val="clear" w:color="auto" w:fill="FFFFFF"/>
      </w:tcPr>
    </w:tblStylePr>
    <w:tblStylePr w:type="lastRow">
      <w:rPr>
        <w:b/>
        <w:bCs/>
      </w:rPr>
      <w:tblPr/>
      <w:tcPr>
        <w:tcBorders>
          <w:top w:val="double" w:sz="2" w:space="0" w:color="9F9F9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FDF"/>
      </w:tcPr>
    </w:tblStylePr>
    <w:tblStylePr w:type="band1Horz">
      <w:tblPr/>
      <w:tcPr>
        <w:shd w:val="clear" w:color="auto" w:fill="DFDFDF"/>
      </w:tcPr>
    </w:tblStylePr>
  </w:style>
  <w:style w:type="table" w:customStyle="1" w:styleId="GridTable6Colorful-Accent41121">
    <w:name w:val="Grid Table 6 Colorful - Accent 41121"/>
    <w:basedOn w:val="TableNormal"/>
    <w:uiPriority w:val="51"/>
    <w:rsid w:val="005918D2"/>
    <w:pPr>
      <w:spacing w:after="0" w:line="240" w:lineRule="auto"/>
    </w:pPr>
    <w:rPr>
      <w:color w:val="5F5F5F"/>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bottom w:val="single" w:sz="12" w:space="0" w:color="B2B2B2"/>
        </w:tcBorders>
      </w:tcPr>
    </w:tblStylePr>
    <w:tblStylePr w:type="lastRow">
      <w:rPr>
        <w:b/>
        <w:bCs/>
      </w:rPr>
      <w:tblPr/>
      <w:tcPr>
        <w:tcBorders>
          <w:top w:val="double" w:sz="4" w:space="0" w:color="B2B2B2"/>
        </w:tcBorders>
      </w:tcPr>
    </w:tblStylePr>
    <w:tblStylePr w:type="firstCol">
      <w:rPr>
        <w:b/>
        <w:bCs/>
      </w:rPr>
    </w:tblStylePr>
    <w:tblStylePr w:type="lastCol">
      <w:rPr>
        <w:b/>
        <w:bCs/>
      </w:rPr>
    </w:tblStylePr>
    <w:tblStylePr w:type="band1Vert">
      <w:tblPr/>
      <w:tcPr>
        <w:shd w:val="clear" w:color="auto" w:fill="E5E5E5"/>
      </w:tcPr>
    </w:tblStylePr>
    <w:tblStylePr w:type="band1Horz">
      <w:tblPr/>
      <w:tcPr>
        <w:shd w:val="clear" w:color="auto" w:fill="E5E5E5"/>
      </w:tcPr>
    </w:tblStylePr>
  </w:style>
  <w:style w:type="table" w:customStyle="1" w:styleId="GridTable6Colorful-Accent31121">
    <w:name w:val="Grid Table 6 Colorful - Accent 31121"/>
    <w:basedOn w:val="TableNormal"/>
    <w:uiPriority w:val="51"/>
    <w:rsid w:val="005918D2"/>
    <w:pPr>
      <w:spacing w:after="0" w:line="240" w:lineRule="auto"/>
    </w:pPr>
    <w:rPr>
      <w:rFonts w:ascii="Calibri" w:eastAsia="Calibri" w:hAnsi="Calibri" w:cs="Times New Roman"/>
      <w:color w:val="70707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bottom w:val="single" w:sz="12" w:space="0" w:color="C0C0C0"/>
        </w:tcBorders>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EAEAEA"/>
      </w:tcPr>
    </w:tblStylePr>
    <w:tblStylePr w:type="band1Horz">
      <w:tblPr/>
      <w:tcPr>
        <w:shd w:val="clear" w:color="auto" w:fill="EAEAEA"/>
      </w:tcPr>
    </w:tblStylePr>
  </w:style>
  <w:style w:type="table" w:customStyle="1" w:styleId="TableGrid2121">
    <w:name w:val="Table Grid2121"/>
    <w:basedOn w:val="TableNormal"/>
    <w:next w:val="TableGrid"/>
    <w:uiPriority w:val="39"/>
    <w:rsid w:val="005918D2"/>
    <w:pPr>
      <w:spacing w:before="120" w:after="120" w:line="264" w:lineRule="auto"/>
      <w:ind w:left="115" w:right="115"/>
    </w:pPr>
    <w:rPr>
      <w:rFonts w:eastAsia="MS PGothic"/>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table" w:customStyle="1" w:styleId="LightShading-Accent124121">
    <w:name w:val="Light Shading - Accent 124121"/>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5121">
    <w:name w:val="Light Shading - Accent 125121"/>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31">
    <w:name w:val="Light Shading31"/>
    <w:basedOn w:val="TableNormal"/>
    <w:next w:val="LightShading"/>
    <w:uiPriority w:val="60"/>
    <w:semiHidden/>
    <w:unhideWhenUsed/>
    <w:rsid w:val="005918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6Colorful-Accent551">
    <w:name w:val="Grid Table 6 Colorful - Accent 551"/>
    <w:basedOn w:val="TableNormal"/>
    <w:next w:val="GridTable6Colorful-Accent54"/>
    <w:uiPriority w:val="51"/>
    <w:rsid w:val="005918D2"/>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141">
    <w:name w:val="Grid Table 6 Colorful - Accent 141"/>
    <w:basedOn w:val="TableNormal"/>
    <w:next w:val="GridTable6Colorful-Accent13"/>
    <w:uiPriority w:val="51"/>
    <w:rsid w:val="005918D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61">
    <w:name w:val="Light Shading - Accent 161"/>
    <w:basedOn w:val="TableNormal"/>
    <w:next w:val="LightShading-Accent1"/>
    <w:uiPriority w:val="60"/>
    <w:semiHidden/>
    <w:unhideWhenUsed/>
    <w:rsid w:val="005918D2"/>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Accent641">
    <w:name w:val="Light Shading - Accent 641"/>
    <w:basedOn w:val="TableNormal"/>
    <w:next w:val="LightShading-Accent6"/>
    <w:uiPriority w:val="60"/>
    <w:semiHidden/>
    <w:unhideWhenUsed/>
    <w:rsid w:val="005918D2"/>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GridTable6Colorful-Accent441">
    <w:name w:val="Grid Table 6 Colorful - Accent 441"/>
    <w:basedOn w:val="TableNormal"/>
    <w:next w:val="GridTable6Colorful-Accent43"/>
    <w:uiPriority w:val="51"/>
    <w:rsid w:val="005918D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341">
    <w:name w:val="Grid Table 6 Colorful - Accent 341"/>
    <w:basedOn w:val="TableNormal"/>
    <w:next w:val="GridTable6Colorful-Accent33"/>
    <w:uiPriority w:val="51"/>
    <w:rsid w:val="005918D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541">
    <w:name w:val="Grid Table 4 - Accent 541"/>
    <w:basedOn w:val="TableNormal"/>
    <w:next w:val="GridTable4-Accent53"/>
    <w:uiPriority w:val="49"/>
    <w:rsid w:val="005918D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41">
    <w:name w:val="Grid Table 5 Dark - Accent 541"/>
    <w:basedOn w:val="TableNormal"/>
    <w:next w:val="GridTable5Dark-Accent53"/>
    <w:uiPriority w:val="50"/>
    <w:rsid w:val="00591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stTable6Colorful-Accent341">
    <w:name w:val="List Table 6 Colorful - Accent 341"/>
    <w:basedOn w:val="TableNormal"/>
    <w:next w:val="ListTable6Colorful-Accent33"/>
    <w:uiPriority w:val="51"/>
    <w:rsid w:val="005918D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41">
    <w:name w:val="Grid Table 1 Light - Accent 141"/>
    <w:basedOn w:val="TableNormal"/>
    <w:next w:val="GridTable1Light-Accent13"/>
    <w:uiPriority w:val="46"/>
    <w:rsid w:val="005918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ListTable1Light-Accent141">
    <w:name w:val="List Table 1 Light - Accent 141"/>
    <w:basedOn w:val="TableNormal"/>
    <w:next w:val="ListTable1Light-Accent13"/>
    <w:uiPriority w:val="46"/>
    <w:rsid w:val="005918D2"/>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41">
    <w:name w:val="List Table 2 - Accent 141"/>
    <w:basedOn w:val="TableNormal"/>
    <w:next w:val="ListTable2-Accent13"/>
    <w:uiPriority w:val="47"/>
    <w:rsid w:val="005918D2"/>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41">
    <w:name w:val="List Table 2 - Accent 541"/>
    <w:basedOn w:val="TableNormal"/>
    <w:next w:val="ListTable2-Accent53"/>
    <w:uiPriority w:val="47"/>
    <w:rsid w:val="005918D2"/>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41">
    <w:name w:val="Grid Table 2 - Accent 541"/>
    <w:basedOn w:val="TableNormal"/>
    <w:next w:val="GridTable2-Accent53"/>
    <w:uiPriority w:val="47"/>
    <w:rsid w:val="005918D2"/>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Shading-Accent3371">
    <w:name w:val="Light Shading - Accent 337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381">
    <w:name w:val="Light Shading - Accent 338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11">
    <w:name w:val="List Table 6 Colorful - Accent 611"/>
    <w:basedOn w:val="TableNormal"/>
    <w:uiPriority w:val="51"/>
    <w:rsid w:val="005918D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61">
    <w:name w:val="Table Grid61"/>
    <w:basedOn w:val="TableNormal"/>
    <w:next w:val="TableGrid"/>
    <w:uiPriority w:val="39"/>
    <w:rsid w:val="005918D2"/>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71">
    <w:name w:val="tabele 371"/>
    <w:basedOn w:val="TableNormal"/>
    <w:next w:val="LightList-Accent3"/>
    <w:uiPriority w:val="61"/>
    <w:rsid w:val="005918D2"/>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61">
    <w:name w:val="Light Shading - Accent 1116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71">
    <w:name w:val="Light Shading - Accent 3171"/>
    <w:basedOn w:val="TableNormal"/>
    <w:next w:val="LightShading-Accent3"/>
    <w:uiPriority w:val="60"/>
    <w:rsid w:val="005918D2"/>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81">
    <w:name w:val="Light List - Accent 3181"/>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141">
    <w:name w:val="Table Grid141"/>
    <w:basedOn w:val="TableNormal"/>
    <w:next w:val="TableGrid"/>
    <w:uiPriority w:val="39"/>
    <w:rsid w:val="005918D2"/>
    <w:pPr>
      <w:spacing w:after="0" w:line="240" w:lineRule="auto"/>
    </w:pPr>
    <w:rPr>
      <w:rFonts w:ascii="Constantia" w:eastAsia="Constantia" w:hAnsi="Constant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5171">
    <w:name w:val="Light List - Accent 5171"/>
    <w:basedOn w:val="TableNormal"/>
    <w:next w:val="LightList-Accent5"/>
    <w:uiPriority w:val="61"/>
    <w:rsid w:val="005918D2"/>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MediumList1-Accent5141">
    <w:name w:val="Medium List 1 - Accent 5141"/>
    <w:basedOn w:val="TableNormal"/>
    <w:next w:val="MediumList1-Accent5"/>
    <w:uiPriority w:val="65"/>
    <w:rsid w:val="005918D2"/>
    <w:pPr>
      <w:spacing w:after="0" w:line="240" w:lineRule="auto"/>
    </w:pPr>
    <w:rPr>
      <w:rFonts w:ascii="Constantia" w:eastAsia="Constantia" w:hAnsi="Constantia" w:cs="Times New Roman"/>
      <w:color w:val="000000"/>
      <w:sz w:val="20"/>
      <w:szCs w:val="20"/>
    </w:rPr>
    <w:tblPr>
      <w:tblStyleRowBandSize w:val="1"/>
      <w:tblStyleColBandSize w:val="1"/>
      <w:tblBorders>
        <w:top w:val="single" w:sz="8" w:space="0" w:color="8FB08C"/>
        <w:bottom w:val="single" w:sz="8" w:space="0" w:color="8FB08C"/>
      </w:tblBorders>
    </w:tblPr>
    <w:tblStylePr w:type="firstRow">
      <w:rPr>
        <w:rFonts w:ascii="Constantia" w:eastAsia="Times New Roman" w:hAnsi="Constantia" w:cs="Times New Roman"/>
      </w:rPr>
      <w:tblPr/>
      <w:tcPr>
        <w:tcBorders>
          <w:top w:val="nil"/>
          <w:bottom w:val="single" w:sz="8" w:space="0" w:color="8FB08C"/>
        </w:tcBorders>
      </w:tcPr>
    </w:tblStylePr>
    <w:tblStylePr w:type="lastRow">
      <w:rPr>
        <w:b/>
        <w:bCs/>
        <w:color w:val="646B86"/>
      </w:rPr>
      <w:tblPr/>
      <w:tcPr>
        <w:tcBorders>
          <w:top w:val="single" w:sz="8" w:space="0" w:color="8FB08C"/>
          <w:bottom w:val="single" w:sz="8" w:space="0" w:color="8FB08C"/>
        </w:tcBorders>
      </w:tcPr>
    </w:tblStylePr>
    <w:tblStylePr w:type="firstCol">
      <w:rPr>
        <w:b/>
        <w:bCs/>
      </w:rPr>
    </w:tblStylePr>
    <w:tblStylePr w:type="lastCol">
      <w:rPr>
        <w:b/>
        <w:bCs/>
      </w:rPr>
      <w:tblPr/>
      <w:tcPr>
        <w:tcBorders>
          <w:top w:val="single" w:sz="8" w:space="0" w:color="8FB08C"/>
          <w:bottom w:val="single" w:sz="8" w:space="0" w:color="8FB08C"/>
        </w:tcBorders>
      </w:tcPr>
    </w:tblStylePr>
    <w:tblStylePr w:type="band1Vert">
      <w:tblPr/>
      <w:tcPr>
        <w:shd w:val="clear" w:color="auto" w:fill="E3EBE2"/>
      </w:tcPr>
    </w:tblStylePr>
    <w:tblStylePr w:type="band1Horz">
      <w:tblPr/>
      <w:tcPr>
        <w:shd w:val="clear" w:color="auto" w:fill="E3EBE2"/>
      </w:tcPr>
    </w:tblStylePr>
  </w:style>
  <w:style w:type="table" w:customStyle="1" w:styleId="MediumList1-Accent551">
    <w:name w:val="Medium List 1 - Accent 551"/>
    <w:basedOn w:val="TableNormal"/>
    <w:next w:val="MediumList1-Accent5"/>
    <w:uiPriority w:val="65"/>
    <w:rsid w:val="005918D2"/>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onstantia" w:eastAsia="Times New Roman" w:hAnsi="Constant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Grid-Accent5181">
    <w:name w:val="Light Grid - Accent 5181"/>
    <w:basedOn w:val="TableNormal"/>
    <w:next w:val="LightGrid-Accent5"/>
    <w:uiPriority w:val="62"/>
    <w:rsid w:val="005918D2"/>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71">
    <w:name w:val="Светло сенчење – наглашавање 1171"/>
    <w:basedOn w:val="TableNormal"/>
    <w:uiPriority w:val="60"/>
    <w:rsid w:val="005918D2"/>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91">
    <w:name w:val="Light Grid - Accent 59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81">
    <w:name w:val="Light Shading - Accent 1281"/>
    <w:basedOn w:val="TableNormal"/>
    <w:uiPriority w:val="60"/>
    <w:rsid w:val="005918D2"/>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71">
    <w:name w:val="Light List - Accent 31171"/>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311141">
    <w:name w:val="Light List - Accent 311141"/>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TableGrid241">
    <w:name w:val="Table Grid241"/>
    <w:basedOn w:val="TableNormal"/>
    <w:next w:val="TableGrid"/>
    <w:uiPriority w:val="39"/>
    <w:rsid w:val="005918D2"/>
    <w:pPr>
      <w:spacing w:after="0" w:line="240" w:lineRule="auto"/>
      <w:jc w:val="both"/>
    </w:pPr>
    <w:rPr>
      <w:rFonts w:ascii="Calibri" w:eastAsia="Calibri" w:hAnsi="Calibri" w:cs="Times New Roman"/>
      <w:sz w:val="20"/>
      <w:szCs w:val="20"/>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3141">
    <w:name w:val="tabele 3141"/>
    <w:basedOn w:val="TableNormal"/>
    <w:next w:val="LightList-Accent3"/>
    <w:uiPriority w:val="61"/>
    <w:rsid w:val="005918D2"/>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171">
    <w:name w:val="Light Shading - Accent 1117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41">
    <w:name w:val="Light Shading - Accent 3241"/>
    <w:basedOn w:val="TableNormal"/>
    <w:next w:val="LightShading-Accent3"/>
    <w:uiPriority w:val="60"/>
    <w:rsid w:val="005918D2"/>
    <w:pPr>
      <w:spacing w:after="0" w:line="240" w:lineRule="auto"/>
    </w:pPr>
    <w:rPr>
      <w:rFonts w:ascii="Calibri" w:eastAsia="Calibri" w:hAnsi="Calibri" w:cs="Times New Roman"/>
      <w:color w:val="618889"/>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5241">
    <w:name w:val="Light List - Accent 5241"/>
    <w:basedOn w:val="TableNormal"/>
    <w:next w:val="LightList-Accent5"/>
    <w:uiPriority w:val="61"/>
    <w:rsid w:val="005918D2"/>
    <w:pPr>
      <w:spacing w:after="0" w:line="240" w:lineRule="auto"/>
    </w:pPr>
    <w:rPr>
      <w:rFonts w:ascii="Calibri" w:eastAsia="Calibri" w:hAnsi="Calibri"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Shading-Accent31141">
    <w:name w:val="Light Shading - Accent 31141"/>
    <w:basedOn w:val="TableNormal"/>
    <w:next w:val="LightShading-Accent3"/>
    <w:uiPriority w:val="60"/>
    <w:rsid w:val="005918D2"/>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241">
    <w:name w:val="Light List - Accent 31241"/>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141">
    <w:name w:val="Light List - Accent 51141"/>
    <w:basedOn w:val="TableNormal"/>
    <w:next w:val="LightList-Accent5"/>
    <w:uiPriority w:val="61"/>
    <w:rsid w:val="005918D2"/>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151">
    <w:name w:val="Light Grid - Accent 51151"/>
    <w:basedOn w:val="TableNormal"/>
    <w:next w:val="LightGrid-Accent5"/>
    <w:uiPriority w:val="62"/>
    <w:rsid w:val="005918D2"/>
    <w:pPr>
      <w:spacing w:after="0" w:line="240" w:lineRule="auto"/>
      <w:jc w:val="both"/>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11141">
    <w:name w:val="Светло сенчење – наглашавање 11141"/>
    <w:basedOn w:val="TableNormal"/>
    <w:uiPriority w:val="60"/>
    <w:rsid w:val="005918D2"/>
    <w:pPr>
      <w:spacing w:after="0" w:line="240" w:lineRule="auto"/>
      <w:jc w:val="both"/>
    </w:pPr>
    <w:rPr>
      <w:rFonts w:ascii="Calibri" w:eastAsia="Calibri" w:hAnsi="Calibri" w:cs="Times New Roman"/>
      <w:color w:val="365F91"/>
      <w:sz w:val="20"/>
      <w:szCs w:val="20"/>
      <w:lang w:val="sr-Latn-CS"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5251">
    <w:name w:val="Light Grid - Accent 525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Tahoma" w:eastAsia="Times New Roman" w:hAnsi="Tahom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Tahoma" w:eastAsia="Times New Roman" w:hAnsi="Tahom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2141">
    <w:name w:val="Light Shading - Accent 12141"/>
    <w:basedOn w:val="TableNormal"/>
    <w:uiPriority w:val="60"/>
    <w:rsid w:val="005918D2"/>
    <w:pPr>
      <w:spacing w:after="0" w:line="240" w:lineRule="auto"/>
    </w:pPr>
    <w:rPr>
      <w:rFonts w:ascii="Calibri" w:eastAsia="Calibri" w:hAnsi="Calibri"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List-Accent311241">
    <w:name w:val="Light List - Accent 311241"/>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241">
    <w:name w:val="Light Shading - Accent 1124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41">
    <w:name w:val="Light Shading - Accent 1134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241">
    <w:name w:val="tabele 3241"/>
    <w:basedOn w:val="TableNormal"/>
    <w:next w:val="LightList-Accent3"/>
    <w:uiPriority w:val="61"/>
    <w:rsid w:val="005918D2"/>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441">
    <w:name w:val="Light Shading - Accent 1144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91">
    <w:name w:val="Light Shading - Accent 3391"/>
    <w:basedOn w:val="TableNormal"/>
    <w:next w:val="LightShading-Accent3"/>
    <w:uiPriority w:val="60"/>
    <w:rsid w:val="005918D2"/>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31241">
    <w:name w:val="Light Shading - Accent 31241"/>
    <w:basedOn w:val="TableNormal"/>
    <w:next w:val="LightShading-Accent3"/>
    <w:uiPriority w:val="60"/>
    <w:rsid w:val="005918D2"/>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341">
    <w:name w:val="Light List - Accent 31341"/>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241">
    <w:name w:val="Light List - Accent 51241"/>
    <w:basedOn w:val="TableNormal"/>
    <w:next w:val="LightList-Accent5"/>
    <w:uiPriority w:val="61"/>
    <w:rsid w:val="005918D2"/>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251">
    <w:name w:val="Light Grid - Accent 5125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351">
    <w:name w:val="Light Grid - Accent 535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Shading-Accent11541">
    <w:name w:val="Light Shading - Accent 1154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51">
    <w:name w:val="Light Shading - Accent 1165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e3341">
    <w:name w:val="tabele 3341"/>
    <w:basedOn w:val="TableNormal"/>
    <w:next w:val="LightList-Accent3"/>
    <w:uiPriority w:val="61"/>
    <w:rsid w:val="005918D2"/>
    <w:pPr>
      <w:spacing w:after="0" w:line="240" w:lineRule="auto"/>
    </w:pPr>
    <w:rPr>
      <w:rFonts w:ascii="Cambria Math" w:eastAsia="Calibri" w:hAnsi="Cambria Math" w:cs="Times New Roman"/>
      <w:sz w:val="18"/>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Shading-Accent11741">
    <w:name w:val="Light Shading - Accent 1174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341">
    <w:name w:val="Light Shading - Accent 31341"/>
    <w:basedOn w:val="TableNormal"/>
    <w:next w:val="LightShading-Accent3"/>
    <w:uiPriority w:val="60"/>
    <w:rsid w:val="005918D2"/>
    <w:pPr>
      <w:spacing w:after="0" w:line="240" w:lineRule="auto"/>
    </w:pPr>
    <w:rPr>
      <w:rFonts w:ascii="Constantia" w:eastAsia="Constantia" w:hAnsi="Constantia" w:cs="Times New Roman"/>
      <w:color w:val="8CADAE"/>
      <w:sz w:val="20"/>
      <w:szCs w:val="20"/>
    </w:rPr>
    <w:tblPr>
      <w:tblStyleRowBandSize w:val="1"/>
      <w:tblStyleColBandSize w:val="1"/>
      <w:tblBorders>
        <w:top w:val="single" w:sz="8" w:space="0" w:color="8CADAE"/>
        <w:bottom w:val="single" w:sz="8" w:space="0" w:color="8CADAE"/>
      </w:tblBorders>
    </w:tblPr>
    <w:tblStylePr w:type="fir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lastRow">
      <w:pPr>
        <w:spacing w:before="0" w:after="0" w:line="240" w:lineRule="auto"/>
      </w:pPr>
      <w:rPr>
        <w:b/>
        <w:bCs/>
      </w:rPr>
      <w:tblPr/>
      <w:tcPr>
        <w:tcBorders>
          <w:top w:val="single" w:sz="8" w:space="0" w:color="8CADAE"/>
          <w:left w:val="nil"/>
          <w:bottom w:val="single" w:sz="8" w:space="0" w:color="8CAD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AEB"/>
      </w:tcPr>
    </w:tblStylePr>
    <w:tblStylePr w:type="band1Horz">
      <w:tblPr/>
      <w:tcPr>
        <w:tcBorders>
          <w:left w:val="nil"/>
          <w:right w:val="nil"/>
          <w:insideH w:val="nil"/>
          <w:insideV w:val="nil"/>
        </w:tcBorders>
        <w:shd w:val="clear" w:color="auto" w:fill="E2EAEB"/>
      </w:tcPr>
    </w:tblStylePr>
  </w:style>
  <w:style w:type="table" w:customStyle="1" w:styleId="LightList-Accent31441">
    <w:name w:val="Light List - Accent 31441"/>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List-Accent51341">
    <w:name w:val="Light List - Accent 51341"/>
    <w:basedOn w:val="TableNormal"/>
    <w:next w:val="LightList-Accent5"/>
    <w:uiPriority w:val="61"/>
    <w:rsid w:val="005918D2"/>
    <w:pPr>
      <w:spacing w:after="0" w:line="240" w:lineRule="auto"/>
    </w:pPr>
    <w:rPr>
      <w:rFonts w:ascii="Times New Roman" w:eastAsia="Constantia" w:hAnsi="Times New Roman" w:cs="Times New Roman"/>
      <w:sz w:val="20"/>
      <w:szCs w:val="20"/>
    </w:rPr>
    <w:tblPr>
      <w:tblStyleRowBandSize w:val="1"/>
      <w:tblStyleColBandSize w:val="1"/>
      <w:tblBorders>
        <w:top w:val="single" w:sz="8" w:space="0" w:color="8FB08C"/>
        <w:left w:val="single" w:sz="8" w:space="0" w:color="8FB08C"/>
        <w:bottom w:val="single" w:sz="8" w:space="0" w:color="8FB08C"/>
        <w:right w:val="single" w:sz="8" w:space="0" w:color="8FB08C"/>
      </w:tblBorders>
    </w:tblPr>
    <w:tblStylePr w:type="firstRow">
      <w:pPr>
        <w:spacing w:before="0" w:after="0" w:line="240" w:lineRule="auto"/>
      </w:pPr>
      <w:rPr>
        <w:b/>
        <w:bCs/>
        <w:color w:val="FFFFFF"/>
      </w:rPr>
      <w:tblPr/>
      <w:tcPr>
        <w:shd w:val="clear" w:color="auto" w:fill="8FB08C"/>
      </w:tcPr>
    </w:tblStylePr>
    <w:tblStylePr w:type="lastRow">
      <w:pPr>
        <w:spacing w:before="0" w:after="0" w:line="240" w:lineRule="auto"/>
      </w:pPr>
      <w:rPr>
        <w:b/>
        <w:bCs/>
      </w:rPr>
      <w:tblPr/>
      <w:tcPr>
        <w:tcBorders>
          <w:top w:val="double" w:sz="6" w:space="0" w:color="8FB08C"/>
          <w:left w:val="single" w:sz="8" w:space="0" w:color="8FB08C"/>
          <w:bottom w:val="single" w:sz="8" w:space="0" w:color="8FB08C"/>
          <w:right w:val="single" w:sz="8" w:space="0" w:color="8FB08C"/>
        </w:tcBorders>
      </w:tcPr>
    </w:tblStylePr>
    <w:tblStylePr w:type="firstCol">
      <w:rPr>
        <w:b/>
        <w:bCs/>
      </w:rPr>
    </w:tblStylePr>
    <w:tblStylePr w:type="lastCol">
      <w:rPr>
        <w:b/>
        <w:bCs/>
      </w:rPr>
    </w:tblStylePr>
    <w:tblStylePr w:type="band1Vert">
      <w:tblPr/>
      <w:tcPr>
        <w:tcBorders>
          <w:top w:val="single" w:sz="8" w:space="0" w:color="8FB08C"/>
          <w:left w:val="single" w:sz="8" w:space="0" w:color="8FB08C"/>
          <w:bottom w:val="single" w:sz="8" w:space="0" w:color="8FB08C"/>
          <w:right w:val="single" w:sz="8" w:space="0" w:color="8FB08C"/>
        </w:tcBorders>
      </w:tcPr>
    </w:tblStylePr>
    <w:tblStylePr w:type="band1Horz">
      <w:tblPr/>
      <w:tcPr>
        <w:tcBorders>
          <w:top w:val="single" w:sz="8" w:space="0" w:color="8FB08C"/>
          <w:left w:val="single" w:sz="8" w:space="0" w:color="8FB08C"/>
          <w:bottom w:val="single" w:sz="8" w:space="0" w:color="8FB08C"/>
          <w:right w:val="single" w:sz="8" w:space="0" w:color="8FB08C"/>
        </w:tcBorders>
      </w:tcPr>
    </w:tblStylePr>
  </w:style>
  <w:style w:type="table" w:customStyle="1" w:styleId="LightGrid-Accent51351">
    <w:name w:val="Light Grid - Accent 51351"/>
    <w:basedOn w:val="TableNormal"/>
    <w:next w:val="LightGrid-Accent5"/>
    <w:uiPriority w:val="62"/>
    <w:rsid w:val="005918D2"/>
    <w:pPr>
      <w:spacing w:after="0" w:line="240" w:lineRule="auto"/>
    </w:pPr>
    <w:rPr>
      <w:rFonts w:ascii="Calibri" w:eastAsia="Calibri" w:hAnsi="Calibri" w:cs="Times New Roman"/>
      <w:sz w:val="20"/>
      <w:szCs w:val="20"/>
      <w:lang w:val="sr-Latn-CS" w:eastAsia="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onstantia" w:eastAsia="Times New Roman" w:hAnsi="Constant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onstantia" w:eastAsia="Times New Roman" w:hAnsi="Constant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5451">
    <w:name w:val="Light Grid - Accent 5451"/>
    <w:basedOn w:val="TableNormal"/>
    <w:next w:val="LightGrid-Accent5"/>
    <w:uiPriority w:val="62"/>
    <w:rsid w:val="005918D2"/>
    <w:pPr>
      <w:spacing w:after="0" w:line="240" w:lineRule="auto"/>
    </w:pPr>
    <w:rPr>
      <w:rFonts w:ascii="Calibri" w:eastAsia="Calibri" w:hAnsi="Calibri" w:cs="Times New Roman"/>
      <w:sz w:val="20"/>
      <w:szCs w:val="20"/>
      <w:lang w:val="en-GB" w:eastAsia="en-GB"/>
    </w:rPr>
    <w:tblPr>
      <w:tblStyleRowBandSize w:val="1"/>
      <w:tblStyleColBandSize w:val="1"/>
      <w:tblBorders>
        <w:top w:val="single" w:sz="8" w:space="0" w:color="8FB08C"/>
        <w:left w:val="single" w:sz="8" w:space="0" w:color="8FB08C"/>
        <w:bottom w:val="single" w:sz="8" w:space="0" w:color="8FB08C"/>
        <w:right w:val="single" w:sz="8" w:space="0" w:color="8FB08C"/>
        <w:insideH w:val="single" w:sz="8" w:space="0" w:color="8FB08C"/>
        <w:insideV w:val="single" w:sz="8" w:space="0" w:color="8FB08C"/>
      </w:tblBorders>
    </w:tblPr>
    <w:tblStylePr w:type="firstRow">
      <w:pPr>
        <w:spacing w:before="0" w:after="0" w:line="240" w:lineRule="auto"/>
      </w:pPr>
      <w:rPr>
        <w:rFonts w:ascii="Constantia" w:eastAsia="Times New Roman" w:hAnsi="Constantia" w:cs="Times New Roman"/>
        <w:b/>
        <w:bCs/>
      </w:rPr>
      <w:tblPr/>
      <w:tcPr>
        <w:tcBorders>
          <w:top w:val="single" w:sz="8" w:space="0" w:color="8FB08C"/>
          <w:left w:val="single" w:sz="8" w:space="0" w:color="8FB08C"/>
          <w:bottom w:val="single" w:sz="18" w:space="0" w:color="8FB08C"/>
          <w:right w:val="single" w:sz="8" w:space="0" w:color="8FB08C"/>
          <w:insideH w:val="nil"/>
          <w:insideV w:val="single" w:sz="8" w:space="0" w:color="8FB08C"/>
        </w:tcBorders>
      </w:tcPr>
    </w:tblStylePr>
    <w:tblStylePr w:type="lastRow">
      <w:pPr>
        <w:spacing w:before="0" w:after="0" w:line="240" w:lineRule="auto"/>
      </w:pPr>
      <w:rPr>
        <w:rFonts w:ascii="Constantia" w:eastAsia="Times New Roman" w:hAnsi="Constantia" w:cs="Times New Roman"/>
        <w:b/>
        <w:bCs/>
      </w:rPr>
      <w:tblPr/>
      <w:tcPr>
        <w:tcBorders>
          <w:top w:val="double" w:sz="6" w:space="0" w:color="8FB08C"/>
          <w:left w:val="single" w:sz="8" w:space="0" w:color="8FB08C"/>
          <w:bottom w:val="single" w:sz="8" w:space="0" w:color="8FB08C"/>
          <w:right w:val="single" w:sz="8" w:space="0" w:color="8FB08C"/>
          <w:insideH w:val="nil"/>
          <w:insideV w:val="single" w:sz="8" w:space="0" w:color="8FB08C"/>
        </w:tcBorders>
      </w:tcPr>
    </w:tblStylePr>
    <w:tblStylePr w:type="firstCol">
      <w:rPr>
        <w:rFonts w:ascii="Constantia" w:eastAsia="Times New Roman" w:hAnsi="Constantia" w:cs="Times New Roman"/>
        <w:b/>
        <w:bCs/>
      </w:rPr>
    </w:tblStylePr>
    <w:tblStylePr w:type="lastCol">
      <w:rPr>
        <w:rFonts w:ascii="Constantia" w:eastAsia="Times New Roman" w:hAnsi="Constantia" w:cs="Times New Roman"/>
        <w:b/>
        <w:bCs/>
      </w:rPr>
      <w:tblPr/>
      <w:tcPr>
        <w:tcBorders>
          <w:top w:val="single" w:sz="8" w:space="0" w:color="8FB08C"/>
          <w:left w:val="single" w:sz="8" w:space="0" w:color="8FB08C"/>
          <w:bottom w:val="single" w:sz="8" w:space="0" w:color="8FB08C"/>
          <w:right w:val="single" w:sz="8" w:space="0" w:color="8FB08C"/>
        </w:tcBorders>
      </w:tcPr>
    </w:tblStylePr>
    <w:tblStylePr w:type="band1Vert">
      <w:tblPr/>
      <w:tcPr>
        <w:tcBorders>
          <w:top w:val="single" w:sz="8" w:space="0" w:color="8FB08C"/>
          <w:left w:val="single" w:sz="8" w:space="0" w:color="8FB08C"/>
          <w:bottom w:val="single" w:sz="8" w:space="0" w:color="8FB08C"/>
          <w:right w:val="single" w:sz="8" w:space="0" w:color="8FB08C"/>
        </w:tcBorders>
        <w:shd w:val="clear" w:color="auto" w:fill="E3EBE2"/>
      </w:tcPr>
    </w:tblStylePr>
    <w:tblStylePr w:type="band1Horz">
      <w:tblPr/>
      <w:tcPr>
        <w:tcBorders>
          <w:top w:val="single" w:sz="8" w:space="0" w:color="8FB08C"/>
          <w:left w:val="single" w:sz="8" w:space="0" w:color="8FB08C"/>
          <w:bottom w:val="single" w:sz="8" w:space="0" w:color="8FB08C"/>
          <w:right w:val="single" w:sz="8" w:space="0" w:color="8FB08C"/>
          <w:insideV w:val="single" w:sz="8" w:space="0" w:color="8FB08C"/>
        </w:tcBorders>
        <w:shd w:val="clear" w:color="auto" w:fill="E3EBE2"/>
      </w:tcPr>
    </w:tblStylePr>
    <w:tblStylePr w:type="band2Horz">
      <w:tblPr/>
      <w:tcPr>
        <w:tcBorders>
          <w:top w:val="single" w:sz="8" w:space="0" w:color="8FB08C"/>
          <w:left w:val="single" w:sz="8" w:space="0" w:color="8FB08C"/>
          <w:bottom w:val="single" w:sz="8" w:space="0" w:color="8FB08C"/>
          <w:right w:val="single" w:sz="8" w:space="0" w:color="8FB08C"/>
          <w:insideV w:val="single" w:sz="8" w:space="0" w:color="8FB08C"/>
        </w:tcBorders>
      </w:tcPr>
    </w:tblStylePr>
  </w:style>
  <w:style w:type="table" w:customStyle="1" w:styleId="LightList-Accent311341">
    <w:name w:val="Light List - Accent 311341"/>
    <w:basedOn w:val="TableNormal"/>
    <w:next w:val="LightList-Accent3"/>
    <w:uiPriority w:val="61"/>
    <w:rsid w:val="005918D2"/>
    <w:pPr>
      <w:spacing w:after="0" w:line="240" w:lineRule="auto"/>
    </w:pPr>
    <w:rPr>
      <w:rFonts w:ascii="Constantia" w:eastAsia="Constantia" w:hAnsi="Constantia" w:cs="Times New Roman"/>
      <w:sz w:val="20"/>
      <w:szCs w:val="20"/>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table" w:customStyle="1" w:styleId="LightShading-Accent11841">
    <w:name w:val="Light Shading - Accent 1184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6141">
    <w:name w:val="Light Shading - Accent 116141"/>
    <w:basedOn w:val="TableNormal"/>
    <w:uiPriority w:val="60"/>
    <w:rsid w:val="005918D2"/>
    <w:pPr>
      <w:spacing w:after="0" w:line="240" w:lineRule="auto"/>
      <w:ind w:left="568" w:hanging="284"/>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71">
    <w:name w:val="Light Shading - Accent 171"/>
    <w:basedOn w:val="TableNormal"/>
    <w:next w:val="LightShading-Accent1"/>
    <w:uiPriority w:val="60"/>
    <w:rsid w:val="005918D2"/>
    <w:pPr>
      <w:spacing w:after="0" w:line="240" w:lineRule="auto"/>
    </w:pPr>
    <w:rPr>
      <w:rFonts w:ascii="Constantia" w:eastAsia="Constantia" w:hAnsi="Constantia"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1">
    <w:name w:val="No List61"/>
    <w:next w:val="NoList"/>
    <w:uiPriority w:val="99"/>
    <w:semiHidden/>
    <w:unhideWhenUsed/>
    <w:rsid w:val="005918D2"/>
  </w:style>
  <w:style w:type="table" w:customStyle="1" w:styleId="TableGrid331">
    <w:name w:val="Table Grid331"/>
    <w:basedOn w:val="TableNormal"/>
    <w:next w:val="TableGrid"/>
    <w:uiPriority w:val="39"/>
    <w:rsid w:val="005918D2"/>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71">
    <w:name w:val="Grid Table 6 Colorful - Accent 5171"/>
    <w:basedOn w:val="TableNormal"/>
    <w:uiPriority w:val="51"/>
    <w:rsid w:val="005918D2"/>
    <w:pPr>
      <w:spacing w:after="0" w:line="240" w:lineRule="auto"/>
    </w:pPr>
    <w:rPr>
      <w:rFonts w:ascii="Constantia" w:eastAsia="Constantia" w:hAnsi="Constantia" w:cs="Times New Roman"/>
      <w:color w:val="2F5496" w:themeColor="accent5" w:themeShade="BF"/>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7Colorful11">
    <w:name w:val="Grid Table 7 Colorful11"/>
    <w:basedOn w:val="TableNormal"/>
    <w:uiPriority w:val="52"/>
    <w:rsid w:val="005918D2"/>
    <w:pPr>
      <w:spacing w:after="0" w:line="240" w:lineRule="auto"/>
    </w:pPr>
    <w:rPr>
      <w:rFonts w:ascii="Constantia" w:eastAsia="Constantia" w:hAnsi="Constantia" w:cs="Times New Roman"/>
      <w:color w:val="000000" w:themeColor="text1"/>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11">
    <w:name w:val="Plain Table 311"/>
    <w:basedOn w:val="TableNormal"/>
    <w:uiPriority w:val="43"/>
    <w:rsid w:val="005918D2"/>
    <w:pPr>
      <w:spacing w:after="0" w:line="240" w:lineRule="auto"/>
    </w:pPr>
    <w:rPr>
      <w:rFonts w:ascii="Constantia" w:eastAsia="Constantia" w:hAnsi="Constantia" w:cs="Times New Roman"/>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1">
    <w:name w:val="Plain Table 511"/>
    <w:basedOn w:val="TableNormal"/>
    <w:uiPriority w:val="45"/>
    <w:rsid w:val="005918D2"/>
    <w:pPr>
      <w:spacing w:after="0" w:line="240" w:lineRule="auto"/>
    </w:pPr>
    <w:rPr>
      <w:rFonts w:ascii="Constantia" w:eastAsia="Constantia" w:hAnsi="Constantia" w:cs="Times New Roman"/>
      <w:sz w:val="20"/>
      <w:szCs w:val="2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311">
    <w:name w:val="Grid Table 7 Colorful - Accent 311"/>
    <w:basedOn w:val="TableNormal"/>
    <w:uiPriority w:val="52"/>
    <w:rsid w:val="005918D2"/>
    <w:pPr>
      <w:spacing w:after="0" w:line="240" w:lineRule="auto"/>
    </w:pPr>
    <w:rPr>
      <w:rFonts w:ascii="Constantia" w:eastAsia="Constantia" w:hAnsi="Constantia" w:cs="Times New Roman"/>
      <w:color w:val="7B7B7B" w:themeColor="accent3" w:themeShade="BF"/>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211">
    <w:name w:val="Grid Table 211"/>
    <w:basedOn w:val="TableNormal"/>
    <w:uiPriority w:val="47"/>
    <w:rsid w:val="005918D2"/>
    <w:pPr>
      <w:spacing w:after="0" w:line="240" w:lineRule="auto"/>
    </w:pPr>
    <w:rPr>
      <w:rFonts w:ascii="Constantia" w:eastAsia="Constantia" w:hAnsi="Constantia" w:cs="Times New Roman"/>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71">
    <w:name w:val="No List71"/>
    <w:next w:val="NoList"/>
    <w:uiPriority w:val="99"/>
    <w:semiHidden/>
    <w:unhideWhenUsed/>
    <w:rsid w:val="005918D2"/>
  </w:style>
  <w:style w:type="table" w:customStyle="1" w:styleId="LightShading-Accent3531">
    <w:name w:val="Light Shading - Accent 3531"/>
    <w:basedOn w:val="TableNormal"/>
    <w:next w:val="LightShading-Accent3"/>
    <w:uiPriority w:val="60"/>
    <w:rsid w:val="005918D2"/>
    <w:pPr>
      <w:spacing w:after="0" w:line="240" w:lineRule="auto"/>
    </w:pPr>
    <w:rPr>
      <w:rFonts w:ascii="Calibri" w:eastAsia="Calibri" w:hAnsi="Calibri" w:cs="Times New Roman"/>
      <w:color w:val="76923C"/>
      <w:lang w:val="sr-Latn-R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211">
    <w:name w:val="21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01">
    <w:name w:val="201"/>
    <w:basedOn w:val="TableNormal"/>
    <w:rsid w:val="005918D2"/>
    <w:pPr>
      <w:spacing w:after="0" w:line="240" w:lineRule="auto"/>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91">
    <w:name w:val="19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81">
    <w:name w:val="18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71">
    <w:name w:val="17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61">
    <w:name w:val="16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51">
    <w:name w:val="15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41">
    <w:name w:val="14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31">
    <w:name w:val="13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210">
    <w:name w:val="12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16">
    <w:name w:val="11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01">
    <w:name w:val="10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91">
    <w:name w:val="9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81">
    <w:name w:val="8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71">
    <w:name w:val="7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61">
    <w:name w:val="6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51">
    <w:name w:val="5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41">
    <w:name w:val="4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310">
    <w:name w:val="31"/>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220">
    <w:name w:val="22"/>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1100">
    <w:name w:val="110"/>
    <w:basedOn w:val="TableNormal"/>
    <w:rsid w:val="005918D2"/>
    <w:pPr>
      <w:contextualSpacing/>
    </w:pPr>
    <w:rPr>
      <w:rFonts w:ascii="Calibri" w:eastAsia="Calibri" w:hAnsi="Calibri" w:cs="Calibri"/>
      <w:color w:val="000000"/>
    </w:rPr>
    <w:tblPr>
      <w:tblStyleRowBandSize w:val="1"/>
      <w:tblStyleColBandSize w:val="1"/>
      <w:tblCellMar>
        <w:left w:w="115" w:type="dxa"/>
        <w:right w:w="115" w:type="dxa"/>
      </w:tblCellMar>
    </w:tblPr>
  </w:style>
  <w:style w:type="table" w:customStyle="1" w:styleId="TableGrid411">
    <w:name w:val="Table Grid411"/>
    <w:basedOn w:val="TableNormal"/>
    <w:next w:val="TableGrid"/>
    <w:uiPriority w:val="39"/>
    <w:rsid w:val="005918D2"/>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5918D2"/>
    <w:pPr>
      <w:spacing w:after="0" w:line="240" w:lineRule="auto"/>
    </w:pPr>
    <w:rPr>
      <w:rFonts w:ascii="Constantia" w:eastAsia="Constantia" w:hAnsi="Constant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51">
    <w:name w:val="Grid Table 5 Dark - Accent 551"/>
    <w:basedOn w:val="TableNormal"/>
    <w:uiPriority w:val="50"/>
    <w:rsid w:val="005918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LightShading-Accent33511">
    <w:name w:val="Light Shading - Accent 3351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Table6Colorful-Accent621">
    <w:name w:val="List Table 6 Colorful - Accent 621"/>
    <w:basedOn w:val="TableNormal"/>
    <w:uiPriority w:val="51"/>
    <w:rsid w:val="005918D2"/>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1Light-Accent151">
    <w:name w:val="Grid Table 1 Light - Accent 151"/>
    <w:basedOn w:val="TableNormal"/>
    <w:uiPriority w:val="46"/>
    <w:rsid w:val="005918D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71">
    <w:name w:val="Table Grid71"/>
    <w:basedOn w:val="TableNormal"/>
    <w:next w:val="TableGrid"/>
    <w:uiPriority w:val="39"/>
    <w:rsid w:val="00591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918D2"/>
    <w:pPr>
      <w:spacing w:after="0" w:line="240" w:lineRule="auto"/>
    </w:pPr>
    <w:rPr>
      <w:rFonts w:ascii="Constantia" w:eastAsia="Constantia" w:hAnsi="Constantia" w:cs="Times New Roman"/>
      <w:lang w:val="sr-Cyrl-C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411">
    <w:name w:val="Plain Table 411"/>
    <w:basedOn w:val="TableNormal"/>
    <w:uiPriority w:val="44"/>
    <w:rsid w:val="005918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ghtShading-Accent33521">
    <w:name w:val="Light Shading - Accent 33521"/>
    <w:basedOn w:val="TableNormal"/>
    <w:next w:val="LightShading-Accent3"/>
    <w:uiPriority w:val="60"/>
    <w:rsid w:val="005918D2"/>
    <w:pPr>
      <w:spacing w:after="0" w:line="240" w:lineRule="auto"/>
    </w:pPr>
    <w:rPr>
      <w:rFonts w:ascii="Arial" w:eastAsia="Calibri" w:hAnsi="Arial" w:cs="Times New Roman"/>
      <w:color w:val="474747"/>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dTable6Colorful-Accent151">
    <w:name w:val="Grid Table 6 Colorful - Accent 151"/>
    <w:basedOn w:val="TableNormal"/>
    <w:next w:val="GridTable6Colorful-Accent1"/>
    <w:uiPriority w:val="51"/>
    <w:rsid w:val="005918D2"/>
    <w:pPr>
      <w:spacing w:after="0" w:line="240" w:lineRule="auto"/>
    </w:pPr>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16">
    <w:name w:val="Grid Table 6 Colorful - Accent 16"/>
    <w:basedOn w:val="TableNormal"/>
    <w:next w:val="GridTable6Colorful-Accent1"/>
    <w:uiPriority w:val="51"/>
    <w:rsid w:val="005918D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Shading-Accent12214">
    <w:name w:val="Light Shading - Accent 12214"/>
    <w:basedOn w:val="TableNormal"/>
    <w:uiPriority w:val="60"/>
    <w:rsid w:val="005918D2"/>
    <w:pPr>
      <w:spacing w:after="0" w:line="240"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customStyle="1" w:styleId="LightShading-Accent12114">
    <w:name w:val="Light Shading - Accent 12114"/>
    <w:basedOn w:val="TableNormal"/>
    <w:uiPriority w:val="60"/>
    <w:rsid w:val="005918D2"/>
    <w:pPr>
      <w:spacing w:after="0" w:line="264" w:lineRule="auto"/>
    </w:pPr>
    <w:rPr>
      <w:rFonts w:ascii="Cambria" w:eastAsia="Calibri" w:hAnsi="Cambria" w:cs="Times New Roman"/>
      <w:color w:val="A8422A"/>
      <w:sz w:val="20"/>
      <w:szCs w:val="20"/>
      <w:lang w:val="en-GB" w:eastAsia="sr-Cyrl-CS"/>
    </w:rPr>
    <w:tblPr>
      <w:tblStyleRowBandSize w:val="1"/>
      <w:tblStyleColBandSize w:val="1"/>
      <w:tblBorders>
        <w:top w:val="single" w:sz="8" w:space="0" w:color="D16349"/>
        <w:bottom w:val="single" w:sz="8" w:space="0" w:color="D16349"/>
      </w:tblBorders>
    </w:tblPr>
    <w:tblStylePr w:type="fir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lastRow">
      <w:pPr>
        <w:spacing w:before="0" w:after="0" w:line="240" w:lineRule="auto"/>
      </w:pPr>
      <w:rPr>
        <w:b/>
        <w:bCs/>
      </w:rPr>
      <w:tblPr/>
      <w:tcPr>
        <w:tcBorders>
          <w:top w:val="single" w:sz="8" w:space="0" w:color="D16349"/>
          <w:left w:val="nil"/>
          <w:bottom w:val="single" w:sz="8" w:space="0" w:color="D1634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D2"/>
      </w:tcPr>
    </w:tblStylePr>
    <w:tblStylePr w:type="band1Horz">
      <w:tblPr/>
      <w:tcPr>
        <w:tcBorders>
          <w:left w:val="nil"/>
          <w:right w:val="nil"/>
          <w:insideH w:val="nil"/>
          <w:insideV w:val="nil"/>
        </w:tcBorders>
        <w:shd w:val="clear" w:color="auto" w:fill="F3D8D2"/>
      </w:tcPr>
    </w:tblStylePr>
  </w:style>
  <w:style w:type="table" w:styleId="PlainTable2">
    <w:name w:val="Plain Table 2"/>
    <w:basedOn w:val="TableNormal"/>
    <w:uiPriority w:val="42"/>
    <w:rsid w:val="005918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9">
    <w:name w:val="No List9"/>
    <w:next w:val="NoList"/>
    <w:uiPriority w:val="99"/>
    <w:semiHidden/>
    <w:unhideWhenUsed/>
    <w:rsid w:val="005918D2"/>
  </w:style>
  <w:style w:type="paragraph" w:styleId="TOC6">
    <w:name w:val="toc 6"/>
    <w:basedOn w:val="Normal"/>
    <w:next w:val="Normal"/>
    <w:autoRedefine/>
    <w:uiPriority w:val="39"/>
    <w:unhideWhenUsed/>
    <w:rsid w:val="005918D2"/>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918D2"/>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918D2"/>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918D2"/>
    <w:pPr>
      <w:spacing w:after="100" w:line="259" w:lineRule="auto"/>
      <w:ind w:left="1760"/>
      <w:jc w:val="left"/>
    </w:pPr>
    <w:rPr>
      <w:rFonts w:asciiTheme="minorHAnsi" w:eastAsiaTheme="minorEastAsia" w:hAnsiTheme="minorHAnsi"/>
      <w:sz w:val="22"/>
    </w:rPr>
  </w:style>
  <w:style w:type="table" w:customStyle="1" w:styleId="TableGrid17">
    <w:name w:val="Table Grid17"/>
    <w:basedOn w:val="TableNormal"/>
    <w:next w:val="TableGrid"/>
    <w:uiPriority w:val="39"/>
    <w:rsid w:val="004D65F1"/>
    <w:pPr>
      <w:spacing w:before="120" w:after="120" w:line="264" w:lineRule="auto"/>
      <w:ind w:left="115" w:right="115"/>
    </w:pPr>
    <w:rPr>
      <w:rFonts w:eastAsia="MS PGothic"/>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szCs w:val="22"/>
      </w:rPr>
    </w:tblStylePr>
    <w:tblStylePr w:type="lastRow">
      <w:rPr>
        <w:b/>
        <w:i w:val="0"/>
        <w:sz w:val="22"/>
        <w:szCs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12095">
      <w:bodyDiv w:val="1"/>
      <w:marLeft w:val="0"/>
      <w:marRight w:val="0"/>
      <w:marTop w:val="0"/>
      <w:marBottom w:val="0"/>
      <w:divBdr>
        <w:top w:val="none" w:sz="0" w:space="0" w:color="auto"/>
        <w:left w:val="none" w:sz="0" w:space="0" w:color="auto"/>
        <w:bottom w:val="none" w:sz="0" w:space="0" w:color="auto"/>
        <w:right w:val="none" w:sz="0" w:space="0" w:color="auto"/>
      </w:divBdr>
    </w:div>
    <w:div w:id="32049493">
      <w:bodyDiv w:val="1"/>
      <w:marLeft w:val="0"/>
      <w:marRight w:val="0"/>
      <w:marTop w:val="0"/>
      <w:marBottom w:val="0"/>
      <w:divBdr>
        <w:top w:val="none" w:sz="0" w:space="0" w:color="auto"/>
        <w:left w:val="none" w:sz="0" w:space="0" w:color="auto"/>
        <w:bottom w:val="none" w:sz="0" w:space="0" w:color="auto"/>
        <w:right w:val="none" w:sz="0" w:space="0" w:color="auto"/>
      </w:divBdr>
    </w:div>
    <w:div w:id="66391688">
      <w:bodyDiv w:val="1"/>
      <w:marLeft w:val="0"/>
      <w:marRight w:val="0"/>
      <w:marTop w:val="0"/>
      <w:marBottom w:val="0"/>
      <w:divBdr>
        <w:top w:val="none" w:sz="0" w:space="0" w:color="auto"/>
        <w:left w:val="none" w:sz="0" w:space="0" w:color="auto"/>
        <w:bottom w:val="none" w:sz="0" w:space="0" w:color="auto"/>
        <w:right w:val="none" w:sz="0" w:space="0" w:color="auto"/>
      </w:divBdr>
    </w:div>
    <w:div w:id="71851221">
      <w:bodyDiv w:val="1"/>
      <w:marLeft w:val="0"/>
      <w:marRight w:val="0"/>
      <w:marTop w:val="0"/>
      <w:marBottom w:val="0"/>
      <w:divBdr>
        <w:top w:val="none" w:sz="0" w:space="0" w:color="auto"/>
        <w:left w:val="none" w:sz="0" w:space="0" w:color="auto"/>
        <w:bottom w:val="none" w:sz="0" w:space="0" w:color="auto"/>
        <w:right w:val="none" w:sz="0" w:space="0" w:color="auto"/>
      </w:divBdr>
    </w:div>
    <w:div w:id="94711055">
      <w:bodyDiv w:val="1"/>
      <w:marLeft w:val="0"/>
      <w:marRight w:val="0"/>
      <w:marTop w:val="0"/>
      <w:marBottom w:val="0"/>
      <w:divBdr>
        <w:top w:val="none" w:sz="0" w:space="0" w:color="auto"/>
        <w:left w:val="none" w:sz="0" w:space="0" w:color="auto"/>
        <w:bottom w:val="none" w:sz="0" w:space="0" w:color="auto"/>
        <w:right w:val="none" w:sz="0" w:space="0" w:color="auto"/>
      </w:divBdr>
    </w:div>
    <w:div w:id="94831135">
      <w:bodyDiv w:val="1"/>
      <w:marLeft w:val="0"/>
      <w:marRight w:val="0"/>
      <w:marTop w:val="0"/>
      <w:marBottom w:val="0"/>
      <w:divBdr>
        <w:top w:val="none" w:sz="0" w:space="0" w:color="auto"/>
        <w:left w:val="none" w:sz="0" w:space="0" w:color="auto"/>
        <w:bottom w:val="none" w:sz="0" w:space="0" w:color="auto"/>
        <w:right w:val="none" w:sz="0" w:space="0" w:color="auto"/>
      </w:divBdr>
    </w:div>
    <w:div w:id="97409448">
      <w:bodyDiv w:val="1"/>
      <w:marLeft w:val="0"/>
      <w:marRight w:val="0"/>
      <w:marTop w:val="0"/>
      <w:marBottom w:val="0"/>
      <w:divBdr>
        <w:top w:val="none" w:sz="0" w:space="0" w:color="auto"/>
        <w:left w:val="none" w:sz="0" w:space="0" w:color="auto"/>
        <w:bottom w:val="none" w:sz="0" w:space="0" w:color="auto"/>
        <w:right w:val="none" w:sz="0" w:space="0" w:color="auto"/>
      </w:divBdr>
    </w:div>
    <w:div w:id="124977929">
      <w:bodyDiv w:val="1"/>
      <w:marLeft w:val="0"/>
      <w:marRight w:val="0"/>
      <w:marTop w:val="0"/>
      <w:marBottom w:val="0"/>
      <w:divBdr>
        <w:top w:val="none" w:sz="0" w:space="0" w:color="auto"/>
        <w:left w:val="none" w:sz="0" w:space="0" w:color="auto"/>
        <w:bottom w:val="none" w:sz="0" w:space="0" w:color="auto"/>
        <w:right w:val="none" w:sz="0" w:space="0" w:color="auto"/>
      </w:divBdr>
    </w:div>
    <w:div w:id="167450115">
      <w:bodyDiv w:val="1"/>
      <w:marLeft w:val="0"/>
      <w:marRight w:val="0"/>
      <w:marTop w:val="0"/>
      <w:marBottom w:val="0"/>
      <w:divBdr>
        <w:top w:val="none" w:sz="0" w:space="0" w:color="auto"/>
        <w:left w:val="none" w:sz="0" w:space="0" w:color="auto"/>
        <w:bottom w:val="none" w:sz="0" w:space="0" w:color="auto"/>
        <w:right w:val="none" w:sz="0" w:space="0" w:color="auto"/>
      </w:divBdr>
    </w:div>
    <w:div w:id="212545247">
      <w:bodyDiv w:val="1"/>
      <w:marLeft w:val="0"/>
      <w:marRight w:val="0"/>
      <w:marTop w:val="0"/>
      <w:marBottom w:val="0"/>
      <w:divBdr>
        <w:top w:val="none" w:sz="0" w:space="0" w:color="auto"/>
        <w:left w:val="none" w:sz="0" w:space="0" w:color="auto"/>
        <w:bottom w:val="none" w:sz="0" w:space="0" w:color="auto"/>
        <w:right w:val="none" w:sz="0" w:space="0" w:color="auto"/>
      </w:divBdr>
    </w:div>
    <w:div w:id="441077669">
      <w:bodyDiv w:val="1"/>
      <w:marLeft w:val="0"/>
      <w:marRight w:val="0"/>
      <w:marTop w:val="0"/>
      <w:marBottom w:val="0"/>
      <w:divBdr>
        <w:top w:val="none" w:sz="0" w:space="0" w:color="auto"/>
        <w:left w:val="none" w:sz="0" w:space="0" w:color="auto"/>
        <w:bottom w:val="none" w:sz="0" w:space="0" w:color="auto"/>
        <w:right w:val="none" w:sz="0" w:space="0" w:color="auto"/>
      </w:divBdr>
    </w:div>
    <w:div w:id="489177182">
      <w:bodyDiv w:val="1"/>
      <w:marLeft w:val="0"/>
      <w:marRight w:val="0"/>
      <w:marTop w:val="0"/>
      <w:marBottom w:val="0"/>
      <w:divBdr>
        <w:top w:val="none" w:sz="0" w:space="0" w:color="auto"/>
        <w:left w:val="none" w:sz="0" w:space="0" w:color="auto"/>
        <w:bottom w:val="none" w:sz="0" w:space="0" w:color="auto"/>
        <w:right w:val="none" w:sz="0" w:space="0" w:color="auto"/>
      </w:divBdr>
    </w:div>
    <w:div w:id="534856103">
      <w:bodyDiv w:val="1"/>
      <w:marLeft w:val="0"/>
      <w:marRight w:val="0"/>
      <w:marTop w:val="0"/>
      <w:marBottom w:val="0"/>
      <w:divBdr>
        <w:top w:val="none" w:sz="0" w:space="0" w:color="auto"/>
        <w:left w:val="none" w:sz="0" w:space="0" w:color="auto"/>
        <w:bottom w:val="none" w:sz="0" w:space="0" w:color="auto"/>
        <w:right w:val="none" w:sz="0" w:space="0" w:color="auto"/>
      </w:divBdr>
    </w:div>
    <w:div w:id="538468982">
      <w:bodyDiv w:val="1"/>
      <w:marLeft w:val="0"/>
      <w:marRight w:val="0"/>
      <w:marTop w:val="0"/>
      <w:marBottom w:val="0"/>
      <w:divBdr>
        <w:top w:val="none" w:sz="0" w:space="0" w:color="auto"/>
        <w:left w:val="none" w:sz="0" w:space="0" w:color="auto"/>
        <w:bottom w:val="none" w:sz="0" w:space="0" w:color="auto"/>
        <w:right w:val="none" w:sz="0" w:space="0" w:color="auto"/>
      </w:divBdr>
    </w:div>
    <w:div w:id="545485398">
      <w:bodyDiv w:val="1"/>
      <w:marLeft w:val="0"/>
      <w:marRight w:val="0"/>
      <w:marTop w:val="0"/>
      <w:marBottom w:val="0"/>
      <w:divBdr>
        <w:top w:val="none" w:sz="0" w:space="0" w:color="auto"/>
        <w:left w:val="none" w:sz="0" w:space="0" w:color="auto"/>
        <w:bottom w:val="none" w:sz="0" w:space="0" w:color="auto"/>
        <w:right w:val="none" w:sz="0" w:space="0" w:color="auto"/>
      </w:divBdr>
    </w:div>
    <w:div w:id="598413375">
      <w:bodyDiv w:val="1"/>
      <w:marLeft w:val="0"/>
      <w:marRight w:val="0"/>
      <w:marTop w:val="0"/>
      <w:marBottom w:val="0"/>
      <w:divBdr>
        <w:top w:val="none" w:sz="0" w:space="0" w:color="auto"/>
        <w:left w:val="none" w:sz="0" w:space="0" w:color="auto"/>
        <w:bottom w:val="none" w:sz="0" w:space="0" w:color="auto"/>
        <w:right w:val="none" w:sz="0" w:space="0" w:color="auto"/>
      </w:divBdr>
    </w:div>
    <w:div w:id="611130057">
      <w:bodyDiv w:val="1"/>
      <w:marLeft w:val="0"/>
      <w:marRight w:val="0"/>
      <w:marTop w:val="0"/>
      <w:marBottom w:val="0"/>
      <w:divBdr>
        <w:top w:val="none" w:sz="0" w:space="0" w:color="auto"/>
        <w:left w:val="none" w:sz="0" w:space="0" w:color="auto"/>
        <w:bottom w:val="none" w:sz="0" w:space="0" w:color="auto"/>
        <w:right w:val="none" w:sz="0" w:space="0" w:color="auto"/>
      </w:divBdr>
    </w:div>
    <w:div w:id="644512100">
      <w:bodyDiv w:val="1"/>
      <w:marLeft w:val="0"/>
      <w:marRight w:val="0"/>
      <w:marTop w:val="0"/>
      <w:marBottom w:val="0"/>
      <w:divBdr>
        <w:top w:val="none" w:sz="0" w:space="0" w:color="auto"/>
        <w:left w:val="none" w:sz="0" w:space="0" w:color="auto"/>
        <w:bottom w:val="none" w:sz="0" w:space="0" w:color="auto"/>
        <w:right w:val="none" w:sz="0" w:space="0" w:color="auto"/>
      </w:divBdr>
    </w:div>
    <w:div w:id="654797946">
      <w:bodyDiv w:val="1"/>
      <w:marLeft w:val="0"/>
      <w:marRight w:val="0"/>
      <w:marTop w:val="0"/>
      <w:marBottom w:val="0"/>
      <w:divBdr>
        <w:top w:val="none" w:sz="0" w:space="0" w:color="auto"/>
        <w:left w:val="none" w:sz="0" w:space="0" w:color="auto"/>
        <w:bottom w:val="none" w:sz="0" w:space="0" w:color="auto"/>
        <w:right w:val="none" w:sz="0" w:space="0" w:color="auto"/>
      </w:divBdr>
    </w:div>
    <w:div w:id="718094531">
      <w:bodyDiv w:val="1"/>
      <w:marLeft w:val="0"/>
      <w:marRight w:val="0"/>
      <w:marTop w:val="0"/>
      <w:marBottom w:val="0"/>
      <w:divBdr>
        <w:top w:val="none" w:sz="0" w:space="0" w:color="auto"/>
        <w:left w:val="none" w:sz="0" w:space="0" w:color="auto"/>
        <w:bottom w:val="none" w:sz="0" w:space="0" w:color="auto"/>
        <w:right w:val="none" w:sz="0" w:space="0" w:color="auto"/>
      </w:divBdr>
    </w:div>
    <w:div w:id="781921381">
      <w:bodyDiv w:val="1"/>
      <w:marLeft w:val="0"/>
      <w:marRight w:val="0"/>
      <w:marTop w:val="0"/>
      <w:marBottom w:val="0"/>
      <w:divBdr>
        <w:top w:val="none" w:sz="0" w:space="0" w:color="auto"/>
        <w:left w:val="none" w:sz="0" w:space="0" w:color="auto"/>
        <w:bottom w:val="none" w:sz="0" w:space="0" w:color="auto"/>
        <w:right w:val="none" w:sz="0" w:space="0" w:color="auto"/>
      </w:divBdr>
    </w:div>
    <w:div w:id="784691996">
      <w:bodyDiv w:val="1"/>
      <w:marLeft w:val="0"/>
      <w:marRight w:val="0"/>
      <w:marTop w:val="0"/>
      <w:marBottom w:val="0"/>
      <w:divBdr>
        <w:top w:val="none" w:sz="0" w:space="0" w:color="auto"/>
        <w:left w:val="none" w:sz="0" w:space="0" w:color="auto"/>
        <w:bottom w:val="none" w:sz="0" w:space="0" w:color="auto"/>
        <w:right w:val="none" w:sz="0" w:space="0" w:color="auto"/>
      </w:divBdr>
    </w:div>
    <w:div w:id="808014185">
      <w:bodyDiv w:val="1"/>
      <w:marLeft w:val="0"/>
      <w:marRight w:val="0"/>
      <w:marTop w:val="0"/>
      <w:marBottom w:val="0"/>
      <w:divBdr>
        <w:top w:val="none" w:sz="0" w:space="0" w:color="auto"/>
        <w:left w:val="none" w:sz="0" w:space="0" w:color="auto"/>
        <w:bottom w:val="none" w:sz="0" w:space="0" w:color="auto"/>
        <w:right w:val="none" w:sz="0" w:space="0" w:color="auto"/>
      </w:divBdr>
    </w:div>
    <w:div w:id="874999875">
      <w:bodyDiv w:val="1"/>
      <w:marLeft w:val="0"/>
      <w:marRight w:val="0"/>
      <w:marTop w:val="0"/>
      <w:marBottom w:val="0"/>
      <w:divBdr>
        <w:top w:val="none" w:sz="0" w:space="0" w:color="auto"/>
        <w:left w:val="none" w:sz="0" w:space="0" w:color="auto"/>
        <w:bottom w:val="none" w:sz="0" w:space="0" w:color="auto"/>
        <w:right w:val="none" w:sz="0" w:space="0" w:color="auto"/>
      </w:divBdr>
    </w:div>
    <w:div w:id="888566224">
      <w:bodyDiv w:val="1"/>
      <w:marLeft w:val="0"/>
      <w:marRight w:val="0"/>
      <w:marTop w:val="0"/>
      <w:marBottom w:val="0"/>
      <w:divBdr>
        <w:top w:val="none" w:sz="0" w:space="0" w:color="auto"/>
        <w:left w:val="none" w:sz="0" w:space="0" w:color="auto"/>
        <w:bottom w:val="none" w:sz="0" w:space="0" w:color="auto"/>
        <w:right w:val="none" w:sz="0" w:space="0" w:color="auto"/>
      </w:divBdr>
    </w:div>
    <w:div w:id="933130060">
      <w:bodyDiv w:val="1"/>
      <w:marLeft w:val="0"/>
      <w:marRight w:val="0"/>
      <w:marTop w:val="0"/>
      <w:marBottom w:val="0"/>
      <w:divBdr>
        <w:top w:val="none" w:sz="0" w:space="0" w:color="auto"/>
        <w:left w:val="none" w:sz="0" w:space="0" w:color="auto"/>
        <w:bottom w:val="none" w:sz="0" w:space="0" w:color="auto"/>
        <w:right w:val="none" w:sz="0" w:space="0" w:color="auto"/>
      </w:divBdr>
    </w:div>
    <w:div w:id="937716239">
      <w:bodyDiv w:val="1"/>
      <w:marLeft w:val="0"/>
      <w:marRight w:val="0"/>
      <w:marTop w:val="0"/>
      <w:marBottom w:val="0"/>
      <w:divBdr>
        <w:top w:val="none" w:sz="0" w:space="0" w:color="auto"/>
        <w:left w:val="none" w:sz="0" w:space="0" w:color="auto"/>
        <w:bottom w:val="none" w:sz="0" w:space="0" w:color="auto"/>
        <w:right w:val="none" w:sz="0" w:space="0" w:color="auto"/>
      </w:divBdr>
    </w:div>
    <w:div w:id="971785593">
      <w:bodyDiv w:val="1"/>
      <w:marLeft w:val="0"/>
      <w:marRight w:val="0"/>
      <w:marTop w:val="0"/>
      <w:marBottom w:val="0"/>
      <w:divBdr>
        <w:top w:val="none" w:sz="0" w:space="0" w:color="auto"/>
        <w:left w:val="none" w:sz="0" w:space="0" w:color="auto"/>
        <w:bottom w:val="none" w:sz="0" w:space="0" w:color="auto"/>
        <w:right w:val="none" w:sz="0" w:space="0" w:color="auto"/>
      </w:divBdr>
    </w:div>
    <w:div w:id="1163397412">
      <w:bodyDiv w:val="1"/>
      <w:marLeft w:val="0"/>
      <w:marRight w:val="0"/>
      <w:marTop w:val="0"/>
      <w:marBottom w:val="0"/>
      <w:divBdr>
        <w:top w:val="none" w:sz="0" w:space="0" w:color="auto"/>
        <w:left w:val="none" w:sz="0" w:space="0" w:color="auto"/>
        <w:bottom w:val="none" w:sz="0" w:space="0" w:color="auto"/>
        <w:right w:val="none" w:sz="0" w:space="0" w:color="auto"/>
      </w:divBdr>
    </w:div>
    <w:div w:id="1213158451">
      <w:bodyDiv w:val="1"/>
      <w:marLeft w:val="0"/>
      <w:marRight w:val="0"/>
      <w:marTop w:val="0"/>
      <w:marBottom w:val="0"/>
      <w:divBdr>
        <w:top w:val="none" w:sz="0" w:space="0" w:color="auto"/>
        <w:left w:val="none" w:sz="0" w:space="0" w:color="auto"/>
        <w:bottom w:val="none" w:sz="0" w:space="0" w:color="auto"/>
        <w:right w:val="none" w:sz="0" w:space="0" w:color="auto"/>
      </w:divBdr>
    </w:div>
    <w:div w:id="1223520532">
      <w:bodyDiv w:val="1"/>
      <w:marLeft w:val="0"/>
      <w:marRight w:val="0"/>
      <w:marTop w:val="0"/>
      <w:marBottom w:val="0"/>
      <w:divBdr>
        <w:top w:val="none" w:sz="0" w:space="0" w:color="auto"/>
        <w:left w:val="none" w:sz="0" w:space="0" w:color="auto"/>
        <w:bottom w:val="none" w:sz="0" w:space="0" w:color="auto"/>
        <w:right w:val="none" w:sz="0" w:space="0" w:color="auto"/>
      </w:divBdr>
    </w:div>
    <w:div w:id="1268538086">
      <w:bodyDiv w:val="1"/>
      <w:marLeft w:val="0"/>
      <w:marRight w:val="0"/>
      <w:marTop w:val="0"/>
      <w:marBottom w:val="0"/>
      <w:divBdr>
        <w:top w:val="none" w:sz="0" w:space="0" w:color="auto"/>
        <w:left w:val="none" w:sz="0" w:space="0" w:color="auto"/>
        <w:bottom w:val="none" w:sz="0" w:space="0" w:color="auto"/>
        <w:right w:val="none" w:sz="0" w:space="0" w:color="auto"/>
      </w:divBdr>
    </w:div>
    <w:div w:id="1286542751">
      <w:bodyDiv w:val="1"/>
      <w:marLeft w:val="0"/>
      <w:marRight w:val="0"/>
      <w:marTop w:val="0"/>
      <w:marBottom w:val="0"/>
      <w:divBdr>
        <w:top w:val="none" w:sz="0" w:space="0" w:color="auto"/>
        <w:left w:val="none" w:sz="0" w:space="0" w:color="auto"/>
        <w:bottom w:val="none" w:sz="0" w:space="0" w:color="auto"/>
        <w:right w:val="none" w:sz="0" w:space="0" w:color="auto"/>
      </w:divBdr>
    </w:div>
    <w:div w:id="1312708389">
      <w:bodyDiv w:val="1"/>
      <w:marLeft w:val="0"/>
      <w:marRight w:val="0"/>
      <w:marTop w:val="0"/>
      <w:marBottom w:val="0"/>
      <w:divBdr>
        <w:top w:val="none" w:sz="0" w:space="0" w:color="auto"/>
        <w:left w:val="none" w:sz="0" w:space="0" w:color="auto"/>
        <w:bottom w:val="none" w:sz="0" w:space="0" w:color="auto"/>
        <w:right w:val="none" w:sz="0" w:space="0" w:color="auto"/>
      </w:divBdr>
    </w:div>
    <w:div w:id="1391687770">
      <w:bodyDiv w:val="1"/>
      <w:marLeft w:val="0"/>
      <w:marRight w:val="0"/>
      <w:marTop w:val="0"/>
      <w:marBottom w:val="0"/>
      <w:divBdr>
        <w:top w:val="none" w:sz="0" w:space="0" w:color="auto"/>
        <w:left w:val="none" w:sz="0" w:space="0" w:color="auto"/>
        <w:bottom w:val="none" w:sz="0" w:space="0" w:color="auto"/>
        <w:right w:val="none" w:sz="0" w:space="0" w:color="auto"/>
      </w:divBdr>
    </w:div>
    <w:div w:id="1467046461">
      <w:bodyDiv w:val="1"/>
      <w:marLeft w:val="0"/>
      <w:marRight w:val="0"/>
      <w:marTop w:val="0"/>
      <w:marBottom w:val="0"/>
      <w:divBdr>
        <w:top w:val="none" w:sz="0" w:space="0" w:color="auto"/>
        <w:left w:val="none" w:sz="0" w:space="0" w:color="auto"/>
        <w:bottom w:val="none" w:sz="0" w:space="0" w:color="auto"/>
        <w:right w:val="none" w:sz="0" w:space="0" w:color="auto"/>
      </w:divBdr>
    </w:div>
    <w:div w:id="1472167083">
      <w:bodyDiv w:val="1"/>
      <w:marLeft w:val="0"/>
      <w:marRight w:val="0"/>
      <w:marTop w:val="0"/>
      <w:marBottom w:val="0"/>
      <w:divBdr>
        <w:top w:val="none" w:sz="0" w:space="0" w:color="auto"/>
        <w:left w:val="none" w:sz="0" w:space="0" w:color="auto"/>
        <w:bottom w:val="none" w:sz="0" w:space="0" w:color="auto"/>
        <w:right w:val="none" w:sz="0" w:space="0" w:color="auto"/>
      </w:divBdr>
    </w:div>
    <w:div w:id="1547058872">
      <w:bodyDiv w:val="1"/>
      <w:marLeft w:val="0"/>
      <w:marRight w:val="0"/>
      <w:marTop w:val="0"/>
      <w:marBottom w:val="0"/>
      <w:divBdr>
        <w:top w:val="none" w:sz="0" w:space="0" w:color="auto"/>
        <w:left w:val="none" w:sz="0" w:space="0" w:color="auto"/>
        <w:bottom w:val="none" w:sz="0" w:space="0" w:color="auto"/>
        <w:right w:val="none" w:sz="0" w:space="0" w:color="auto"/>
      </w:divBdr>
    </w:div>
    <w:div w:id="1561598545">
      <w:bodyDiv w:val="1"/>
      <w:marLeft w:val="0"/>
      <w:marRight w:val="0"/>
      <w:marTop w:val="0"/>
      <w:marBottom w:val="0"/>
      <w:divBdr>
        <w:top w:val="none" w:sz="0" w:space="0" w:color="auto"/>
        <w:left w:val="none" w:sz="0" w:space="0" w:color="auto"/>
        <w:bottom w:val="none" w:sz="0" w:space="0" w:color="auto"/>
        <w:right w:val="none" w:sz="0" w:space="0" w:color="auto"/>
      </w:divBdr>
    </w:div>
    <w:div w:id="1607538978">
      <w:bodyDiv w:val="1"/>
      <w:marLeft w:val="0"/>
      <w:marRight w:val="0"/>
      <w:marTop w:val="0"/>
      <w:marBottom w:val="0"/>
      <w:divBdr>
        <w:top w:val="none" w:sz="0" w:space="0" w:color="auto"/>
        <w:left w:val="none" w:sz="0" w:space="0" w:color="auto"/>
        <w:bottom w:val="none" w:sz="0" w:space="0" w:color="auto"/>
        <w:right w:val="none" w:sz="0" w:space="0" w:color="auto"/>
      </w:divBdr>
    </w:div>
    <w:div w:id="1639648189">
      <w:bodyDiv w:val="1"/>
      <w:marLeft w:val="0"/>
      <w:marRight w:val="0"/>
      <w:marTop w:val="0"/>
      <w:marBottom w:val="0"/>
      <w:divBdr>
        <w:top w:val="none" w:sz="0" w:space="0" w:color="auto"/>
        <w:left w:val="none" w:sz="0" w:space="0" w:color="auto"/>
        <w:bottom w:val="none" w:sz="0" w:space="0" w:color="auto"/>
        <w:right w:val="none" w:sz="0" w:space="0" w:color="auto"/>
      </w:divBdr>
    </w:div>
    <w:div w:id="1695303889">
      <w:bodyDiv w:val="1"/>
      <w:marLeft w:val="0"/>
      <w:marRight w:val="0"/>
      <w:marTop w:val="0"/>
      <w:marBottom w:val="0"/>
      <w:divBdr>
        <w:top w:val="none" w:sz="0" w:space="0" w:color="auto"/>
        <w:left w:val="none" w:sz="0" w:space="0" w:color="auto"/>
        <w:bottom w:val="none" w:sz="0" w:space="0" w:color="auto"/>
        <w:right w:val="none" w:sz="0" w:space="0" w:color="auto"/>
      </w:divBdr>
    </w:div>
    <w:div w:id="1738824429">
      <w:bodyDiv w:val="1"/>
      <w:marLeft w:val="0"/>
      <w:marRight w:val="0"/>
      <w:marTop w:val="0"/>
      <w:marBottom w:val="0"/>
      <w:divBdr>
        <w:top w:val="none" w:sz="0" w:space="0" w:color="auto"/>
        <w:left w:val="none" w:sz="0" w:space="0" w:color="auto"/>
        <w:bottom w:val="none" w:sz="0" w:space="0" w:color="auto"/>
        <w:right w:val="none" w:sz="0" w:space="0" w:color="auto"/>
      </w:divBdr>
    </w:div>
    <w:div w:id="1762023816">
      <w:bodyDiv w:val="1"/>
      <w:marLeft w:val="0"/>
      <w:marRight w:val="0"/>
      <w:marTop w:val="0"/>
      <w:marBottom w:val="0"/>
      <w:divBdr>
        <w:top w:val="none" w:sz="0" w:space="0" w:color="auto"/>
        <w:left w:val="none" w:sz="0" w:space="0" w:color="auto"/>
        <w:bottom w:val="none" w:sz="0" w:space="0" w:color="auto"/>
        <w:right w:val="none" w:sz="0" w:space="0" w:color="auto"/>
      </w:divBdr>
    </w:div>
    <w:div w:id="1833523048">
      <w:bodyDiv w:val="1"/>
      <w:marLeft w:val="0"/>
      <w:marRight w:val="0"/>
      <w:marTop w:val="0"/>
      <w:marBottom w:val="0"/>
      <w:divBdr>
        <w:top w:val="none" w:sz="0" w:space="0" w:color="auto"/>
        <w:left w:val="none" w:sz="0" w:space="0" w:color="auto"/>
        <w:bottom w:val="none" w:sz="0" w:space="0" w:color="auto"/>
        <w:right w:val="none" w:sz="0" w:space="0" w:color="auto"/>
      </w:divBdr>
    </w:div>
    <w:div w:id="1867711780">
      <w:bodyDiv w:val="1"/>
      <w:marLeft w:val="0"/>
      <w:marRight w:val="0"/>
      <w:marTop w:val="0"/>
      <w:marBottom w:val="0"/>
      <w:divBdr>
        <w:top w:val="none" w:sz="0" w:space="0" w:color="auto"/>
        <w:left w:val="none" w:sz="0" w:space="0" w:color="auto"/>
        <w:bottom w:val="none" w:sz="0" w:space="0" w:color="auto"/>
        <w:right w:val="none" w:sz="0" w:space="0" w:color="auto"/>
      </w:divBdr>
    </w:div>
    <w:div w:id="1911845476">
      <w:bodyDiv w:val="1"/>
      <w:marLeft w:val="0"/>
      <w:marRight w:val="0"/>
      <w:marTop w:val="0"/>
      <w:marBottom w:val="0"/>
      <w:divBdr>
        <w:top w:val="none" w:sz="0" w:space="0" w:color="auto"/>
        <w:left w:val="none" w:sz="0" w:space="0" w:color="auto"/>
        <w:bottom w:val="none" w:sz="0" w:space="0" w:color="auto"/>
        <w:right w:val="none" w:sz="0" w:space="0" w:color="auto"/>
      </w:divBdr>
    </w:div>
    <w:div w:id="1939019584">
      <w:bodyDiv w:val="1"/>
      <w:marLeft w:val="0"/>
      <w:marRight w:val="0"/>
      <w:marTop w:val="0"/>
      <w:marBottom w:val="0"/>
      <w:divBdr>
        <w:top w:val="none" w:sz="0" w:space="0" w:color="auto"/>
        <w:left w:val="none" w:sz="0" w:space="0" w:color="auto"/>
        <w:bottom w:val="none" w:sz="0" w:space="0" w:color="auto"/>
        <w:right w:val="none" w:sz="0" w:space="0" w:color="auto"/>
      </w:divBdr>
    </w:div>
    <w:div w:id="1944260716">
      <w:bodyDiv w:val="1"/>
      <w:marLeft w:val="0"/>
      <w:marRight w:val="0"/>
      <w:marTop w:val="0"/>
      <w:marBottom w:val="0"/>
      <w:divBdr>
        <w:top w:val="none" w:sz="0" w:space="0" w:color="auto"/>
        <w:left w:val="none" w:sz="0" w:space="0" w:color="auto"/>
        <w:bottom w:val="none" w:sz="0" w:space="0" w:color="auto"/>
        <w:right w:val="none" w:sz="0" w:space="0" w:color="auto"/>
      </w:divBdr>
    </w:div>
    <w:div w:id="1989631586">
      <w:bodyDiv w:val="1"/>
      <w:marLeft w:val="0"/>
      <w:marRight w:val="0"/>
      <w:marTop w:val="0"/>
      <w:marBottom w:val="0"/>
      <w:divBdr>
        <w:top w:val="none" w:sz="0" w:space="0" w:color="auto"/>
        <w:left w:val="none" w:sz="0" w:space="0" w:color="auto"/>
        <w:bottom w:val="none" w:sz="0" w:space="0" w:color="auto"/>
        <w:right w:val="none" w:sz="0" w:space="0" w:color="auto"/>
      </w:divBdr>
    </w:div>
    <w:div w:id="2022734187">
      <w:bodyDiv w:val="1"/>
      <w:marLeft w:val="0"/>
      <w:marRight w:val="0"/>
      <w:marTop w:val="0"/>
      <w:marBottom w:val="0"/>
      <w:divBdr>
        <w:top w:val="none" w:sz="0" w:space="0" w:color="auto"/>
        <w:left w:val="none" w:sz="0" w:space="0" w:color="auto"/>
        <w:bottom w:val="none" w:sz="0" w:space="0" w:color="auto"/>
        <w:right w:val="none" w:sz="0" w:space="0" w:color="auto"/>
      </w:divBdr>
    </w:div>
    <w:div w:id="2081783628">
      <w:bodyDiv w:val="1"/>
      <w:marLeft w:val="0"/>
      <w:marRight w:val="0"/>
      <w:marTop w:val="0"/>
      <w:marBottom w:val="0"/>
      <w:divBdr>
        <w:top w:val="none" w:sz="0" w:space="0" w:color="auto"/>
        <w:left w:val="none" w:sz="0" w:space="0" w:color="auto"/>
        <w:bottom w:val="none" w:sz="0" w:space="0" w:color="auto"/>
        <w:right w:val="none" w:sz="0" w:space="0" w:color="auto"/>
      </w:divBdr>
    </w:div>
    <w:div w:id="2102949869">
      <w:bodyDiv w:val="1"/>
      <w:marLeft w:val="0"/>
      <w:marRight w:val="0"/>
      <w:marTop w:val="0"/>
      <w:marBottom w:val="0"/>
      <w:divBdr>
        <w:top w:val="none" w:sz="0" w:space="0" w:color="auto"/>
        <w:left w:val="none" w:sz="0" w:space="0" w:color="auto"/>
        <w:bottom w:val="none" w:sz="0" w:space="0" w:color="auto"/>
        <w:right w:val="none" w:sz="0" w:space="0" w:color="auto"/>
      </w:divBdr>
    </w:div>
    <w:div w:id="2116250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7.xml"/><Relationship Id="rId26" Type="http://schemas.openxmlformats.org/officeDocument/2006/relationships/header" Target="header6.xml"/><Relationship Id="rId39" Type="http://schemas.openxmlformats.org/officeDocument/2006/relationships/chart" Target="charts/chart17.xml"/><Relationship Id="rId21" Type="http://schemas.openxmlformats.org/officeDocument/2006/relationships/header" Target="header3.xml"/><Relationship Id="rId34" Type="http://schemas.openxmlformats.org/officeDocument/2006/relationships/chart" Target="charts/chart14.xml"/><Relationship Id="rId42" Type="http://schemas.openxmlformats.org/officeDocument/2006/relationships/image" Target="media/image5.emf"/><Relationship Id="rId47" Type="http://schemas.openxmlformats.org/officeDocument/2006/relationships/hyperlink" Target="file:///C:\Users\ognjen.jancic\Dropbox\Dropbox\Makro%20sektor\13.%20ERP%202026-2028\ERP%20OBJEDINJENI\engleska%20verzija\engleska%20verzija%20za%20objavu\ERP_Annex_tables_2026_XY.xlsx" TargetMode="External"/><Relationship Id="rId50" Type="http://schemas.openxmlformats.org/officeDocument/2006/relationships/hyperlink" Target="file:///C:\Users\ognjen.jancic\Dropbox\Dropbox\Makro%20sektor\13.%20ERP%202026-2028\ERP%20OBJEDINJENI\engleska%20verzija\engleska%20verzija%20za%20objavu\ERP_Annex_tables_2026_XY.xlsx" TargetMode="External"/><Relationship Id="rId55" Type="http://schemas.openxmlformats.org/officeDocument/2006/relationships/hyperlink" Target="file:///C:\Users\ognjen.jancic\Dropbox\Dropbox\Makro%20sektor\13.%20ERP%202026-2028\ERP%20OBJEDINJENI\engleska%20verzija\engleska%20verzija%20za%20objavu\ERP_Annex_tables_2026_XY.xls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eader" Target="header7.xml"/><Relationship Id="rId11" Type="http://schemas.openxmlformats.org/officeDocument/2006/relationships/chart" Target="charts/chart4.xml"/><Relationship Id="rId24" Type="http://schemas.openxmlformats.org/officeDocument/2006/relationships/footer" Target="footer4.xml"/><Relationship Id="rId32" Type="http://schemas.openxmlformats.org/officeDocument/2006/relationships/chart" Target="charts/chart12.xml"/><Relationship Id="rId37" Type="http://schemas.openxmlformats.org/officeDocument/2006/relationships/chart" Target="charts/chart16.xml"/><Relationship Id="rId40" Type="http://schemas.openxmlformats.org/officeDocument/2006/relationships/image" Target="media/image3.emf"/><Relationship Id="rId45" Type="http://schemas.openxmlformats.org/officeDocument/2006/relationships/hyperlink" Target="file:///C:\Users\ognjen.jancic\Dropbox\Dropbox\Makro%20sektor\13.%20ERP%202026-2028\ERP%20OBJEDINJENI\engleska%20verzija\engleska%20verzija%20za%20objavu\ERP_Annex_tables_2026_XY.xlsx" TargetMode="External"/><Relationship Id="rId53" Type="http://schemas.openxmlformats.org/officeDocument/2006/relationships/hyperlink" Target="file:///C:\Users\ognjen.jancic\Dropbox\Dropbox\Makro%20sektor\13.%20ERP%202026-2028\ERP%20OBJEDINJENI\engleska%20verzija\engleska%20verzija%20za%20objavu\ERP_Annex_tables_2026_XY.xlsx" TargetMode="External"/><Relationship Id="rId58" Type="http://schemas.openxmlformats.org/officeDocument/2006/relationships/hyperlink" Target="file:///C:\Users\ognjen.jancic\Dropbox\Dropbox\Makro%20sektor\13.%20ERP%202026-2028\ERP%20OBJEDINJENI\engleska%20verzija\engleska%20verzija%20za%20objavu\ERP_Annex_tables_2026_XY.xlsx"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chart" Target="charts/chart8.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hyperlink" Target="file:///C:\Users\ognjen.jancic\Dropbox\Dropbox\Makro%20sektor\13.%20ERP%202026-2028\ERP%20OBJEDINJENI\engleska%20verzija\engleska%20verzija%20za%20objavu\ERP_Annex_tables_2026_XY.xlsx" TargetMode="External"/><Relationship Id="rId48" Type="http://schemas.openxmlformats.org/officeDocument/2006/relationships/hyperlink" Target="file:///C:\Users\ognjen.jancic\Dropbox\Dropbox\Makro%20sektor\13.%20ERP%202026-2028\ERP%20OBJEDINJENI\engleska%20verzija\engleska%20verzija%20za%20objavu\ERP_Annex_tables_2026_XY.xlsx" TargetMode="External"/><Relationship Id="rId56" Type="http://schemas.openxmlformats.org/officeDocument/2006/relationships/hyperlink" Target="file:///C:\Users\ognjen.jancic\Dropbox\Dropbox\Makro%20sektor\13.%20ERP%202026-2028\ERP%20OBJEDINJENI\engleska%20verzija\engleska%20verzija%20za%20objavu\ERP_Annex_tables_2026_XY.xlsx" TargetMode="External"/><Relationship Id="rId8" Type="http://schemas.openxmlformats.org/officeDocument/2006/relationships/chart" Target="charts/chart1.xml"/><Relationship Id="rId51" Type="http://schemas.openxmlformats.org/officeDocument/2006/relationships/hyperlink" Target="file:///C:\Users\ognjen.jancic\Dropbox\Dropbox\Makro%20sektor\13.%20ERP%202026-2028\ERP%20OBJEDINJENI\engleska%20verzija\engleska%20verzija%20za%20objavu\ERP_Annex_tables_2026_XY.xlsx"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chart" Target="charts/chart13.xml"/><Relationship Id="rId38" Type="http://schemas.openxmlformats.org/officeDocument/2006/relationships/image" Target="media/image2.png"/><Relationship Id="rId46" Type="http://schemas.openxmlformats.org/officeDocument/2006/relationships/hyperlink" Target="file:///C:\Users\ognjen.jancic\Dropbox\Dropbox\Makro%20sektor\13.%20ERP%202026-2028\ERP%20OBJEDINJENI\engleska%20verzija\engleska%20verzija%20za%20objavu\ERP_Annex_tables_2026_XY.xlsx" TargetMode="External"/><Relationship Id="rId59" Type="http://schemas.openxmlformats.org/officeDocument/2006/relationships/image" Target="media/image6.emf"/><Relationship Id="rId20" Type="http://schemas.openxmlformats.org/officeDocument/2006/relationships/chart" Target="charts/chart9.xml"/><Relationship Id="rId41" Type="http://schemas.openxmlformats.org/officeDocument/2006/relationships/image" Target="media/image4.emf"/><Relationship Id="rId54" Type="http://schemas.openxmlformats.org/officeDocument/2006/relationships/hyperlink" Target="file:///C:\Users\ognjen.jancic\Dropbox\Dropbox\Makro%20sektor\13.%20ERP%202026-2028\ERP%20OBJEDINJENI\engleska%20verzija\engleska%20verzija%20za%20objavu\ERP_Annex_tables_2026_XY.xlsx"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1.png"/><Relationship Id="rId49" Type="http://schemas.openxmlformats.org/officeDocument/2006/relationships/hyperlink" Target="file:///C:\Users\ognjen.jancic\Dropbox\Dropbox\Makro%20sektor\13.%20ERP%202026-2028\ERP%20OBJEDINJENI\engleska%20verzija\engleska%20verzija%20za%20objavu\ERP_Annex_tables_2026_XY.xlsx" TargetMode="External"/><Relationship Id="rId57" Type="http://schemas.openxmlformats.org/officeDocument/2006/relationships/hyperlink" Target="file:///C:\Users\ognjen.jancic\Dropbox\Dropbox\Makro%20sektor\13.%20ERP%202026-2028\ERP%20OBJEDINJENI\engleska%20verzija\engleska%20verzija%20za%20objavu\ERP_Annex_tables_2026_XY.xlsx" TargetMode="External"/><Relationship Id="rId10" Type="http://schemas.openxmlformats.org/officeDocument/2006/relationships/chart" Target="charts/chart3.xml"/><Relationship Id="rId31" Type="http://schemas.openxmlformats.org/officeDocument/2006/relationships/chart" Target="charts/chart11.xml"/><Relationship Id="rId44" Type="http://schemas.openxmlformats.org/officeDocument/2006/relationships/hyperlink" Target="file:///C:\Users\ognjen.jancic\Dropbox\Dropbox\Makro%20sektor\13.%20ERP%202026-2028\ERP%20OBJEDINJENI\engleska%20verzija\engleska%20verzija%20za%20objavu\ERP_Annex_tables_2026_XY.xlsx" TargetMode="External"/><Relationship Id="rId52" Type="http://schemas.openxmlformats.org/officeDocument/2006/relationships/hyperlink" Target="file:///C:\Users\ognjen.jancic\Dropbox\Dropbox\Makro%20sektor\13.%20ERP%202026-2028\ERP%20OBJEDINJENI\engleska%20verzija\engleska%20verzija%20za%20objavu\ERP_Annex_tables_2026_XY.xlsx" TargetMode="External"/><Relationship Id="rId60" Type="http://schemas.openxmlformats.org/officeDocument/2006/relationships/hyperlink" Target="mailto:nebojsajeremicbeograd@gmail.com" TargetMode="External"/><Relationship Id="rId4" Type="http://schemas.openxmlformats.org/officeDocument/2006/relationships/settings" Target="settings.xml"/><Relationship Id="rId9" Type="http://schemas.openxmlformats.org/officeDocument/2006/relationships/chart" Target="charts/chart2.xml"/></Relationships>
</file>

<file path=word/_rels/footnotes.xml.rels><?xml version="1.0" encoding="UTF-8" standalone="yes"?>
<Relationships xmlns="http://schemas.openxmlformats.org/package/2006/relationships"><Relationship Id="rId1" Type="http://schemas.openxmlformats.org/officeDocument/2006/relationships/hyperlink" Target="https://www.mfin.gov.rs//upload/media/jzsbpL_601ab1585ca02.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sara.radulovic\Dropbox\Makro%20sektor\6.%20FS\Revidirana%20FS%202026-2028\Radni\GRAFIKONI_MAKRO_okt25.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8.xml"/><Relationship Id="rId4" Type="http://schemas.openxmlformats.org/officeDocument/2006/relationships/package" Target="../embeddings/Microsoft_Excel_Worksheet2.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9.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ognjen.jancic\Dropbox\Dropbox\Makro%20sektor\13.%20ERP%202026-2028\grafikoni%20i%20tabele\Dijagram%20FS%20prvi%20u%20fis%20rizicim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11.xml"/><Relationship Id="rId4" Type="http://schemas.openxmlformats.org/officeDocument/2006/relationships/oleObject" Target="file:///C:\Users\danilo.vukojcic\Desktop\Obracun%20duga%20i%20deficita%20za%20alternativni%20scenario%202026-2028.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C:\Users\ivan.krstic\Desktop\grafikon%20rade%20ERP%201.2.2%20Calculation.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sara.radulovic\Dropbox\Makro%20sektor\6.%20FS\Revidirana%20FS%202026-2028\Radni\GRAFIKONI_MAKRO_okt2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sara.radulovic\Dropbox\Makro%20sektor\6.%20FS\Revidirana%20FS%202026-2028\Radni\GRAFIKONI_MAKRO_okt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ilos.gligorijevic\Dropbox\Makro%20sektor\1.%20Baze%20makro\BDP\Projekcija\Fan%20charts\New%20Fan%20Chart.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van.krstic\Dropbox\Makro%20sektor\6.%20FS\FS%202026-2028\fiskal\S0%202025%20final.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5.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van.krstic\Desktop\Revidirana%20FS%20%202026\S0%202025%20final%20rev.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van.krstic\Desktop\Revidirana%20FS%20%202026\S0%202025%20final%20rev.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0.10822441192336815"/>
          <c:w val="0.90740810185185183"/>
          <c:h val="0.54865260792746606"/>
        </c:manualLayout>
      </c:layout>
      <c:barChart>
        <c:barDir val="col"/>
        <c:grouping val="stacked"/>
        <c:varyColors val="0"/>
        <c:ser>
          <c:idx val="0"/>
          <c:order val="0"/>
          <c:tx>
            <c:strRef>
              <c:f>BDP_doprinosi!$Q$34</c:f>
              <c:strCache>
                <c:ptCount val="1"/>
                <c:pt idx="0">
                  <c:v>Agriculture</c:v>
                </c:pt>
              </c:strCache>
            </c:strRef>
          </c:tx>
          <c:spPr>
            <a:solidFill>
              <a:srgbClr val="10103C"/>
            </a:solidFill>
            <a:ln>
              <a:noFill/>
            </a:ln>
            <a:effectLst/>
          </c:spPr>
          <c:invertIfNegative val="0"/>
          <c:cat>
            <c:numRef>
              <c:f>BDP_doprinosi!$AF$33:$AM$33</c:f>
              <c:numCache>
                <c:formatCode>General</c:formatCode>
                <c:ptCount val="7"/>
                <c:pt idx="0">
                  <c:v>2022</c:v>
                </c:pt>
                <c:pt idx="1">
                  <c:v>2023</c:v>
                </c:pt>
                <c:pt idx="2">
                  <c:v>2024</c:v>
                </c:pt>
                <c:pt idx="3">
                  <c:v>2025</c:v>
                </c:pt>
                <c:pt idx="4">
                  <c:v>2026</c:v>
                </c:pt>
                <c:pt idx="5">
                  <c:v>2027</c:v>
                </c:pt>
                <c:pt idx="6">
                  <c:v>2028</c:v>
                </c:pt>
              </c:numCache>
              <c:extLst/>
            </c:numRef>
          </c:cat>
          <c:val>
            <c:numRef>
              <c:f>BDP_doprinosi!$AF$34:$AM$34</c:f>
              <c:numCache>
                <c:formatCode>0.0</c:formatCode>
                <c:ptCount val="7"/>
                <c:pt idx="0">
                  <c:v>-0.38323156971446615</c:v>
                </c:pt>
                <c:pt idx="1">
                  <c:v>0.39680897090011247</c:v>
                </c:pt>
                <c:pt idx="2">
                  <c:v>-0.26559926313592375</c:v>
                </c:pt>
                <c:pt idx="3">
                  <c:v>6.6388042001179259E-2</c:v>
                </c:pt>
                <c:pt idx="4">
                  <c:v>0.10330792250183506</c:v>
                </c:pt>
                <c:pt idx="5">
                  <c:v>-1.3548580000240665E-3</c:v>
                </c:pt>
                <c:pt idx="6">
                  <c:v>0</c:v>
                </c:pt>
              </c:numCache>
              <c:extLst/>
            </c:numRef>
          </c:val>
          <c:extLst>
            <c:ext xmlns:c16="http://schemas.microsoft.com/office/drawing/2014/chart" uri="{C3380CC4-5D6E-409C-BE32-E72D297353CC}">
              <c16:uniqueId val="{00000000-1912-44AB-922C-D9E7ECBA6E12}"/>
            </c:ext>
          </c:extLst>
        </c:ser>
        <c:ser>
          <c:idx val="1"/>
          <c:order val="1"/>
          <c:tx>
            <c:strRef>
              <c:f>BDP_doprinosi!$Q$35</c:f>
              <c:strCache>
                <c:ptCount val="1"/>
                <c:pt idx="0">
                  <c:v>Industry</c:v>
                </c:pt>
              </c:strCache>
            </c:strRef>
          </c:tx>
          <c:spPr>
            <a:solidFill>
              <a:srgbClr val="29489A"/>
            </a:solidFill>
            <a:ln>
              <a:noFill/>
            </a:ln>
            <a:effectLst/>
          </c:spPr>
          <c:invertIfNegative val="0"/>
          <c:cat>
            <c:numRef>
              <c:f>BDP_doprinosi!$AF$33:$AM$33</c:f>
              <c:numCache>
                <c:formatCode>General</c:formatCode>
                <c:ptCount val="7"/>
                <c:pt idx="0">
                  <c:v>2022</c:v>
                </c:pt>
                <c:pt idx="1">
                  <c:v>2023</c:v>
                </c:pt>
                <c:pt idx="2">
                  <c:v>2024</c:v>
                </c:pt>
                <c:pt idx="3">
                  <c:v>2025</c:v>
                </c:pt>
                <c:pt idx="4">
                  <c:v>2026</c:v>
                </c:pt>
                <c:pt idx="5">
                  <c:v>2027</c:v>
                </c:pt>
                <c:pt idx="6">
                  <c:v>2028</c:v>
                </c:pt>
              </c:numCache>
              <c:extLst/>
            </c:numRef>
          </c:cat>
          <c:val>
            <c:numRef>
              <c:f>BDP_doprinosi!$AF$35:$AM$35</c:f>
              <c:numCache>
                <c:formatCode>0.0</c:formatCode>
                <c:ptCount val="7"/>
                <c:pt idx="0">
                  <c:v>0.79837299863869049</c:v>
                </c:pt>
                <c:pt idx="1">
                  <c:v>0.37894201110574322</c:v>
                </c:pt>
                <c:pt idx="2">
                  <c:v>0.77833082527449671</c:v>
                </c:pt>
                <c:pt idx="3">
                  <c:v>0.51746989200868454</c:v>
                </c:pt>
                <c:pt idx="4">
                  <c:v>-7.5240987569419786E-3</c:v>
                </c:pt>
                <c:pt idx="5">
                  <c:v>0.73359962880184282</c:v>
                </c:pt>
                <c:pt idx="6">
                  <c:v>0.8916057026976244</c:v>
                </c:pt>
              </c:numCache>
              <c:extLst/>
            </c:numRef>
          </c:val>
          <c:extLst>
            <c:ext xmlns:c16="http://schemas.microsoft.com/office/drawing/2014/chart" uri="{C3380CC4-5D6E-409C-BE32-E72D297353CC}">
              <c16:uniqueId val="{00000001-1912-44AB-922C-D9E7ECBA6E12}"/>
            </c:ext>
          </c:extLst>
        </c:ser>
        <c:ser>
          <c:idx val="2"/>
          <c:order val="2"/>
          <c:tx>
            <c:strRef>
              <c:f>BDP_doprinosi!$Q$36</c:f>
              <c:strCache>
                <c:ptCount val="1"/>
                <c:pt idx="0">
                  <c:v>Construction</c:v>
                </c:pt>
              </c:strCache>
            </c:strRef>
          </c:tx>
          <c:spPr>
            <a:solidFill>
              <a:srgbClr val="2183C4"/>
            </a:solidFill>
            <a:ln>
              <a:noFill/>
            </a:ln>
            <a:effectLst/>
          </c:spPr>
          <c:invertIfNegative val="0"/>
          <c:cat>
            <c:numRef>
              <c:f>BDP_doprinosi!$AF$33:$AM$33</c:f>
              <c:numCache>
                <c:formatCode>General</c:formatCode>
                <c:ptCount val="7"/>
                <c:pt idx="0">
                  <c:v>2022</c:v>
                </c:pt>
                <c:pt idx="1">
                  <c:v>2023</c:v>
                </c:pt>
                <c:pt idx="2">
                  <c:v>2024</c:v>
                </c:pt>
                <c:pt idx="3">
                  <c:v>2025</c:v>
                </c:pt>
                <c:pt idx="4">
                  <c:v>2026</c:v>
                </c:pt>
                <c:pt idx="5">
                  <c:v>2027</c:v>
                </c:pt>
                <c:pt idx="6">
                  <c:v>2028</c:v>
                </c:pt>
              </c:numCache>
              <c:extLst/>
            </c:numRef>
          </c:cat>
          <c:val>
            <c:numRef>
              <c:f>BDP_doprinosi!$AF$36:$AM$36</c:f>
              <c:numCache>
                <c:formatCode>0.0</c:formatCode>
                <c:ptCount val="7"/>
                <c:pt idx="0">
                  <c:v>-0.49638809104102988</c:v>
                </c:pt>
                <c:pt idx="1">
                  <c:v>0.50016763763162086</c:v>
                </c:pt>
                <c:pt idx="2">
                  <c:v>0.19848017248080982</c:v>
                </c:pt>
                <c:pt idx="3">
                  <c:v>-0.2570998901367002</c:v>
                </c:pt>
                <c:pt idx="4">
                  <c:v>0.42316441061410193</c:v>
                </c:pt>
                <c:pt idx="5">
                  <c:v>0.24509522600580372</c:v>
                </c:pt>
                <c:pt idx="6">
                  <c:v>0.1320513054398616</c:v>
                </c:pt>
              </c:numCache>
              <c:extLst/>
            </c:numRef>
          </c:val>
          <c:extLst>
            <c:ext xmlns:c16="http://schemas.microsoft.com/office/drawing/2014/chart" uri="{C3380CC4-5D6E-409C-BE32-E72D297353CC}">
              <c16:uniqueId val="{00000002-1912-44AB-922C-D9E7ECBA6E12}"/>
            </c:ext>
          </c:extLst>
        </c:ser>
        <c:ser>
          <c:idx val="3"/>
          <c:order val="3"/>
          <c:tx>
            <c:strRef>
              <c:f>BDP_doprinosi!$Q$37</c:f>
              <c:strCache>
                <c:ptCount val="1"/>
                <c:pt idx="0">
                  <c:v>Services</c:v>
                </c:pt>
              </c:strCache>
            </c:strRef>
          </c:tx>
          <c:spPr>
            <a:solidFill>
              <a:srgbClr val="51BBE7"/>
            </a:solidFill>
            <a:ln>
              <a:noFill/>
            </a:ln>
            <a:effectLst/>
          </c:spPr>
          <c:invertIfNegative val="0"/>
          <c:cat>
            <c:numRef>
              <c:f>BDP_doprinosi!$AF$33:$AM$33</c:f>
              <c:numCache>
                <c:formatCode>General</c:formatCode>
                <c:ptCount val="7"/>
                <c:pt idx="0">
                  <c:v>2022</c:v>
                </c:pt>
                <c:pt idx="1">
                  <c:v>2023</c:v>
                </c:pt>
                <c:pt idx="2">
                  <c:v>2024</c:v>
                </c:pt>
                <c:pt idx="3">
                  <c:v>2025</c:v>
                </c:pt>
                <c:pt idx="4">
                  <c:v>2026</c:v>
                </c:pt>
                <c:pt idx="5">
                  <c:v>2027</c:v>
                </c:pt>
                <c:pt idx="6">
                  <c:v>2028</c:v>
                </c:pt>
              </c:numCache>
              <c:extLst/>
            </c:numRef>
          </c:cat>
          <c:val>
            <c:numRef>
              <c:f>BDP_doprinosi!$AF$37:$AM$37</c:f>
              <c:numCache>
                <c:formatCode>0.0</c:formatCode>
                <c:ptCount val="7"/>
                <c:pt idx="0">
                  <c:v>2.2640413112847577</c:v>
                </c:pt>
                <c:pt idx="1">
                  <c:v>2.7066373081422959</c:v>
                </c:pt>
                <c:pt idx="2">
                  <c:v>2.5969128620465889</c:v>
                </c:pt>
                <c:pt idx="3">
                  <c:v>1.5974405635708095</c:v>
                </c:pt>
                <c:pt idx="4">
                  <c:v>2.0040617979342885</c:v>
                </c:pt>
                <c:pt idx="5">
                  <c:v>3.4272361182064643</c:v>
                </c:pt>
                <c:pt idx="6">
                  <c:v>1.9517819249446982</c:v>
                </c:pt>
              </c:numCache>
              <c:extLst/>
            </c:numRef>
          </c:val>
          <c:extLst>
            <c:ext xmlns:c16="http://schemas.microsoft.com/office/drawing/2014/chart" uri="{C3380CC4-5D6E-409C-BE32-E72D297353CC}">
              <c16:uniqueId val="{00000003-1912-44AB-922C-D9E7ECBA6E12}"/>
            </c:ext>
          </c:extLst>
        </c:ser>
        <c:ser>
          <c:idx val="4"/>
          <c:order val="4"/>
          <c:tx>
            <c:strRef>
              <c:f>BDP_doprinosi!$Q$38</c:f>
              <c:strCache>
                <c:ptCount val="1"/>
                <c:pt idx="0">
                  <c:v>Net taxes</c:v>
                </c:pt>
              </c:strCache>
            </c:strRef>
          </c:tx>
          <c:spPr>
            <a:solidFill>
              <a:srgbClr val="9ED1E6"/>
            </a:solidFill>
            <a:ln>
              <a:noFill/>
            </a:ln>
            <a:effectLst/>
          </c:spPr>
          <c:invertIfNegative val="0"/>
          <c:cat>
            <c:numRef>
              <c:f>BDP_doprinosi!$AF$33:$AM$33</c:f>
              <c:numCache>
                <c:formatCode>General</c:formatCode>
                <c:ptCount val="7"/>
                <c:pt idx="0">
                  <c:v>2022</c:v>
                </c:pt>
                <c:pt idx="1">
                  <c:v>2023</c:v>
                </c:pt>
                <c:pt idx="2">
                  <c:v>2024</c:v>
                </c:pt>
                <c:pt idx="3">
                  <c:v>2025</c:v>
                </c:pt>
                <c:pt idx="4">
                  <c:v>2026</c:v>
                </c:pt>
                <c:pt idx="5">
                  <c:v>2027</c:v>
                </c:pt>
                <c:pt idx="6">
                  <c:v>2028</c:v>
                </c:pt>
              </c:numCache>
              <c:extLst/>
            </c:numRef>
          </c:cat>
          <c:val>
            <c:numRef>
              <c:f>BDP_doprinosi!$AF$38:$AM$38</c:f>
              <c:numCache>
                <c:formatCode>0.0</c:formatCode>
                <c:ptCount val="7"/>
                <c:pt idx="0">
                  <c:v>0.52068240626859308</c:v>
                </c:pt>
                <c:pt idx="1">
                  <c:v>-0.2346216400155999</c:v>
                </c:pt>
                <c:pt idx="2">
                  <c:v>0.64180298536778724</c:v>
                </c:pt>
                <c:pt idx="3">
                  <c:v>0.40604893802719505</c:v>
                </c:pt>
                <c:pt idx="4">
                  <c:v>0.52227309057845739</c:v>
                </c:pt>
                <c:pt idx="5">
                  <c:v>0.63261247591193437</c:v>
                </c:pt>
                <c:pt idx="6">
                  <c:v>0.50020521351176206</c:v>
                </c:pt>
              </c:numCache>
              <c:extLst/>
            </c:numRef>
          </c:val>
          <c:extLst>
            <c:ext xmlns:c16="http://schemas.microsoft.com/office/drawing/2014/chart" uri="{C3380CC4-5D6E-409C-BE32-E72D297353CC}">
              <c16:uniqueId val="{00000004-1912-44AB-922C-D9E7ECBA6E12}"/>
            </c:ext>
          </c:extLst>
        </c:ser>
        <c:dLbls>
          <c:showLegendKey val="0"/>
          <c:showVal val="0"/>
          <c:showCatName val="0"/>
          <c:showSerName val="0"/>
          <c:showPercent val="0"/>
          <c:showBubbleSize val="0"/>
        </c:dLbls>
        <c:gapWidth val="60"/>
        <c:overlap val="100"/>
        <c:axId val="1768832224"/>
        <c:axId val="1961445552"/>
      </c:barChart>
      <c:lineChart>
        <c:grouping val="standard"/>
        <c:varyColors val="0"/>
        <c:ser>
          <c:idx val="5"/>
          <c:order val="5"/>
          <c:tx>
            <c:strRef>
              <c:f>BDP_doprinosi!$Q$39</c:f>
              <c:strCache>
                <c:ptCount val="1"/>
                <c:pt idx="0">
                  <c:v>Real GDP growth</c:v>
                </c:pt>
              </c:strCache>
            </c:strRef>
          </c:tx>
          <c:spPr>
            <a:ln w="25400"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BDP_doprinosi!$AF$33:$AM$33</c:f>
              <c:numCache>
                <c:formatCode>General</c:formatCode>
                <c:ptCount val="7"/>
                <c:pt idx="0">
                  <c:v>2022</c:v>
                </c:pt>
                <c:pt idx="1">
                  <c:v>2023</c:v>
                </c:pt>
                <c:pt idx="2">
                  <c:v>2024</c:v>
                </c:pt>
                <c:pt idx="3">
                  <c:v>2025</c:v>
                </c:pt>
                <c:pt idx="4">
                  <c:v>2026</c:v>
                </c:pt>
                <c:pt idx="5">
                  <c:v>2027</c:v>
                </c:pt>
                <c:pt idx="6">
                  <c:v>2028</c:v>
                </c:pt>
              </c:numCache>
              <c:extLst/>
            </c:numRef>
          </c:cat>
          <c:val>
            <c:numRef>
              <c:f>BDP_doprinosi!$AF$39:$AM$39</c:f>
              <c:numCache>
                <c:formatCode>0.0</c:formatCode>
                <c:ptCount val="7"/>
                <c:pt idx="0">
                  <c:v>2.7034766749054739</c:v>
                </c:pt>
                <c:pt idx="1">
                  <c:v>3.7479330956034858</c:v>
                </c:pt>
                <c:pt idx="2">
                  <c:v>3.9165582040709159</c:v>
                </c:pt>
                <c:pt idx="3">
                  <c:v>2.3302475454711682</c:v>
                </c:pt>
                <c:pt idx="4">
                  <c:v>3.0452831228717412</c:v>
                </c:pt>
                <c:pt idx="5">
                  <c:v>5.0371885909260214</c:v>
                </c:pt>
                <c:pt idx="6">
                  <c:v>3.4756441465939467</c:v>
                </c:pt>
              </c:numCache>
              <c:extLst/>
            </c:numRef>
          </c:val>
          <c:smooth val="0"/>
          <c:extLst>
            <c:ext xmlns:c16="http://schemas.microsoft.com/office/drawing/2014/chart" uri="{C3380CC4-5D6E-409C-BE32-E72D297353CC}">
              <c16:uniqueId val="{00000005-1912-44AB-922C-D9E7ECBA6E12}"/>
            </c:ext>
          </c:extLst>
        </c:ser>
        <c:dLbls>
          <c:showLegendKey val="0"/>
          <c:showVal val="0"/>
          <c:showCatName val="0"/>
          <c:showSerName val="0"/>
          <c:showPercent val="0"/>
          <c:showBubbleSize val="0"/>
        </c:dLbls>
        <c:marker val="1"/>
        <c:smooth val="0"/>
        <c:axId val="1768832224"/>
        <c:axId val="1961445552"/>
      </c:lineChart>
      <c:catAx>
        <c:axId val="1768832224"/>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961445552"/>
        <c:crosses val="autoZero"/>
        <c:auto val="1"/>
        <c:lblAlgn val="ctr"/>
        <c:lblOffset val="100"/>
        <c:noMultiLvlLbl val="0"/>
      </c:catAx>
      <c:valAx>
        <c:axId val="1961445552"/>
        <c:scaling>
          <c:orientation val="minMax"/>
          <c:max val="9"/>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768832224"/>
        <c:crosses val="autoZero"/>
        <c:crossBetween val="between"/>
        <c:majorUnit val="2"/>
      </c:valAx>
      <c:spPr>
        <a:noFill/>
        <a:ln>
          <a:noFill/>
        </a:ln>
        <a:effectLst/>
      </c:spPr>
    </c:plotArea>
    <c:legend>
      <c:legendPos val="b"/>
      <c:layout>
        <c:manualLayout>
          <c:xMode val="edge"/>
          <c:yMode val="edge"/>
          <c:x val="4.5115193934091562E-3"/>
          <c:y val="0.77222318454693473"/>
          <c:w val="0.9954884806065909"/>
          <c:h val="0.2235770104475470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7.9033714179804967E-2"/>
          <c:y val="0.10598834128245893"/>
          <c:w val="0.86085801063022016"/>
          <c:h val="0.71439104690610022"/>
        </c:manualLayout>
      </c:layout>
      <c:barChart>
        <c:barDir val="col"/>
        <c:grouping val="clustered"/>
        <c:varyColors val="0"/>
        <c:ser>
          <c:idx val="0"/>
          <c:order val="0"/>
          <c:tx>
            <c:strRef>
              <c:f>'мемо 2011-2016'!$E$50</c:f>
              <c:strCache>
                <c:ptCount val="1"/>
                <c:pt idx="0">
                  <c:v>debt</c:v>
                </c:pt>
              </c:strCache>
            </c:strRef>
          </c:tx>
          <c:spPr>
            <a:solidFill>
              <a:schemeClr val="tx2"/>
            </a:solidFill>
          </c:spPr>
          <c:invertIfNegative val="0"/>
          <c:dLbls>
            <c:numFmt formatCode="#,##0.0" sourceLinked="0"/>
            <c:spPr>
              <a:noFill/>
              <a:ln>
                <a:noFill/>
              </a:ln>
              <a:effectLst/>
            </c:spPr>
            <c:txPr>
              <a:bodyPr/>
              <a:lstStyle/>
              <a:p>
                <a:pPr>
                  <a:defRPr b="1" baseline="0">
                    <a:solidFill>
                      <a:schemeClr val="bg1"/>
                    </a:solidFill>
                    <a:latin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2011-2016'!$J$48:$W$48</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'мемо 2011-2016'!$J$50:$W$50</c:f>
              <c:numCache>
                <c:formatCode>0.0</c:formatCode>
                <c:ptCount val="11"/>
                <c:pt idx="0">
                  <c:v>52.142562046645665</c:v>
                </c:pt>
                <c:pt idx="1">
                  <c:v>50.517490084354399</c:v>
                </c:pt>
                <c:pt idx="2">
                  <c:v>55.189879391575488</c:v>
                </c:pt>
                <c:pt idx="3">
                  <c:v>54.46703770748725</c:v>
                </c:pt>
                <c:pt idx="4">
                  <c:v>52.901616882676905</c:v>
                </c:pt>
                <c:pt idx="5">
                  <c:v>48.386002589196323</c:v>
                </c:pt>
                <c:pt idx="6" formatCode="General">
                  <c:v>46.9</c:v>
                </c:pt>
                <c:pt idx="7">
                  <c:v>45</c:v>
                </c:pt>
                <c:pt idx="8" formatCode="General">
                  <c:v>44.5</c:v>
                </c:pt>
                <c:pt idx="9" formatCode="General">
                  <c:v>44.3</c:v>
                </c:pt>
                <c:pt idx="10" formatCode="General">
                  <c:v>44.1</c:v>
                </c:pt>
              </c:numCache>
            </c:numRef>
          </c:val>
          <c:extLst>
            <c:ext xmlns:c16="http://schemas.microsoft.com/office/drawing/2014/chart" uri="{C3380CC4-5D6E-409C-BE32-E72D297353CC}">
              <c16:uniqueId val="{00000000-C96A-407E-879C-E70A2AB67504}"/>
            </c:ext>
          </c:extLst>
        </c:ser>
        <c:dLbls>
          <c:showLegendKey val="0"/>
          <c:showVal val="0"/>
          <c:showCatName val="0"/>
          <c:showSerName val="0"/>
          <c:showPercent val="0"/>
          <c:showBubbleSize val="0"/>
        </c:dLbls>
        <c:gapWidth val="22"/>
        <c:overlap val="60"/>
        <c:axId val="505323568"/>
        <c:axId val="505322000"/>
      </c:barChart>
      <c:lineChart>
        <c:grouping val="standard"/>
        <c:varyColors val="0"/>
        <c:ser>
          <c:idx val="2"/>
          <c:order val="1"/>
          <c:tx>
            <c:strRef>
              <c:f>'мемо 2011-2016'!$E$49</c:f>
              <c:strCache>
                <c:ptCount val="1"/>
                <c:pt idx="0">
                  <c:v>result (rhs) </c:v>
                </c:pt>
              </c:strCache>
            </c:strRef>
          </c:tx>
          <c:spPr>
            <a:ln>
              <a:solidFill>
                <a:srgbClr val="FF0000"/>
              </a:solidFill>
            </a:ln>
          </c:spPr>
          <c:marker>
            <c:symbol val="none"/>
          </c:marker>
          <c:dLbls>
            <c:dLbl>
              <c:idx val="2"/>
              <c:numFmt formatCode="#,##0.0" sourceLinked="0"/>
              <c:spPr>
                <a:noFill/>
                <a:ln>
                  <a:noFill/>
                </a:ln>
                <a:effectLst/>
              </c:spPr>
              <c:txPr>
                <a:bodyPr wrap="square" lIns="38100" tIns="19050" rIns="38100" bIns="19050" anchor="ctr">
                  <a:spAutoFit/>
                </a:bodyPr>
                <a:lstStyle/>
                <a:p>
                  <a:pPr>
                    <a:defRPr b="1">
                      <a:solidFill>
                        <a:schemeClr val="bg1"/>
                      </a:solidFill>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1-C96A-407E-879C-E70A2AB67504}"/>
                </c:ext>
              </c:extLst>
            </c:dLbl>
            <c:dLbl>
              <c:idx val="3"/>
              <c:numFmt formatCode="#,##0.0" sourceLinked="0"/>
              <c:spPr>
                <a:noFill/>
                <a:ln>
                  <a:noFill/>
                </a:ln>
                <a:effectLst/>
              </c:spPr>
              <c:txPr>
                <a:bodyPr wrap="square" lIns="38100" tIns="19050" rIns="38100" bIns="19050" anchor="ctr">
                  <a:spAutoFit/>
                </a:bodyPr>
                <a:lstStyle/>
                <a:p>
                  <a:pPr>
                    <a:defRPr b="1">
                      <a:solidFill>
                        <a:schemeClr val="bg1"/>
                      </a:solidFill>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C96A-407E-879C-E70A2AB67504}"/>
                </c:ext>
              </c:extLst>
            </c:dLbl>
            <c:dLbl>
              <c:idx val="4"/>
              <c:numFmt formatCode="#,##0.0" sourceLinked="0"/>
              <c:spPr>
                <a:noFill/>
                <a:ln>
                  <a:noFill/>
                </a:ln>
                <a:effectLst/>
              </c:spPr>
              <c:txPr>
                <a:bodyPr wrap="square" lIns="38100" tIns="19050" rIns="38100" bIns="19050" anchor="ctr">
                  <a:spAutoFit/>
                </a:bodyPr>
                <a:lstStyle/>
                <a:p>
                  <a:pPr>
                    <a:defRPr b="1">
                      <a:solidFill>
                        <a:schemeClr val="bg1"/>
                      </a:solidFill>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3-C96A-407E-879C-E70A2AB67504}"/>
                </c:ext>
              </c:extLst>
            </c:dLbl>
            <c:numFmt formatCode="#,##0.0" sourceLinked="0"/>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'мемо 2011-2016'!$J$47:$W$47</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'мемо 2011-2016'!$J$49:$W$49</c:f>
              <c:numCache>
                <c:formatCode>#,##0.0</c:formatCode>
                <c:ptCount val="11"/>
                <c:pt idx="0" formatCode="0.0">
                  <c:v>0.60940162463873881</c:v>
                </c:pt>
                <c:pt idx="1">
                  <c:v>-0.19603223337184297</c:v>
                </c:pt>
                <c:pt idx="2">
                  <c:v>-7.6817157912618654</c:v>
                </c:pt>
                <c:pt idx="3">
                  <c:v>-3.944488655583605</c:v>
                </c:pt>
                <c:pt idx="4">
                  <c:v>-3.0145096000432612</c:v>
                </c:pt>
                <c:pt idx="5" formatCode="0.0">
                  <c:v>-2.0537459179069328</c:v>
                </c:pt>
                <c:pt idx="6" formatCode="0.0">
                  <c:v>-2</c:v>
                </c:pt>
                <c:pt idx="7" formatCode="0.0">
                  <c:v>-3</c:v>
                </c:pt>
                <c:pt idx="8" formatCode="0.0">
                  <c:v>-3</c:v>
                </c:pt>
                <c:pt idx="9" formatCode="0.0">
                  <c:v>-3</c:v>
                </c:pt>
                <c:pt idx="10" formatCode="General">
                  <c:v>-2.5</c:v>
                </c:pt>
              </c:numCache>
            </c:numRef>
          </c:val>
          <c:smooth val="1"/>
          <c:extLst>
            <c:ext xmlns:c16="http://schemas.microsoft.com/office/drawing/2014/chart" uri="{C3380CC4-5D6E-409C-BE32-E72D297353CC}">
              <c16:uniqueId val="{00000004-C96A-407E-879C-E70A2AB67504}"/>
            </c:ext>
          </c:extLst>
        </c:ser>
        <c:ser>
          <c:idx val="1"/>
          <c:order val="2"/>
          <c:tx>
            <c:strRef>
              <c:f>'мемо 2011-2016'!$E$51</c:f>
              <c:strCache>
                <c:ptCount val="1"/>
                <c:pt idx="0">
                  <c:v>balance</c:v>
                </c:pt>
              </c:strCache>
            </c:strRef>
          </c:tx>
          <c:spPr>
            <a:ln w="22225">
              <a:solidFill>
                <a:schemeClr val="tx1"/>
              </a:solidFill>
            </a:ln>
          </c:spPr>
          <c:marker>
            <c:symbol val="none"/>
          </c:marker>
          <c:cat>
            <c:numRef>
              <c:f>'мемо 2011-2016'!$J$47:$W$47</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'мемо 2011-2016'!$J$51:$W$51</c:f>
              <c:numCache>
                <c:formatCode>#,##0.0</c:formatCode>
                <c:ptCount val="11"/>
                <c:pt idx="0">
                  <c:v>0</c:v>
                </c:pt>
                <c:pt idx="1">
                  <c:v>0</c:v>
                </c:pt>
                <c:pt idx="2">
                  <c:v>0</c:v>
                </c:pt>
                <c:pt idx="3">
                  <c:v>0</c:v>
                </c:pt>
                <c:pt idx="4">
                  <c:v>0</c:v>
                </c:pt>
                <c:pt idx="5" formatCode="General">
                  <c:v>0</c:v>
                </c:pt>
                <c:pt idx="6" formatCode="General">
                  <c:v>0</c:v>
                </c:pt>
                <c:pt idx="7" formatCode="General">
                  <c:v>0</c:v>
                </c:pt>
                <c:pt idx="8" formatCode="General">
                  <c:v>0</c:v>
                </c:pt>
                <c:pt idx="9" formatCode="General">
                  <c:v>0</c:v>
                </c:pt>
                <c:pt idx="10" formatCode="General">
                  <c:v>0</c:v>
                </c:pt>
              </c:numCache>
            </c:numRef>
          </c:val>
          <c:smooth val="0"/>
          <c:extLst>
            <c:ext xmlns:c16="http://schemas.microsoft.com/office/drawing/2014/chart" uri="{C3380CC4-5D6E-409C-BE32-E72D297353CC}">
              <c16:uniqueId val="{00000005-C96A-407E-879C-E70A2AB67504}"/>
            </c:ext>
          </c:extLst>
        </c:ser>
        <c:dLbls>
          <c:showLegendKey val="0"/>
          <c:showVal val="0"/>
          <c:showCatName val="0"/>
          <c:showSerName val="0"/>
          <c:showPercent val="0"/>
          <c:showBubbleSize val="0"/>
        </c:dLbls>
        <c:marker val="1"/>
        <c:smooth val="0"/>
        <c:axId val="505322392"/>
        <c:axId val="505324352"/>
      </c:lineChart>
      <c:catAx>
        <c:axId val="505323568"/>
        <c:scaling>
          <c:orientation val="minMax"/>
        </c:scaling>
        <c:delete val="0"/>
        <c:axPos val="b"/>
        <c:numFmt formatCode="General" sourceLinked="1"/>
        <c:majorTickMark val="out"/>
        <c:minorTickMark val="none"/>
        <c:tickLblPos val="nextTo"/>
        <c:spPr>
          <a:ln>
            <a:noFill/>
          </a:ln>
        </c:spPr>
        <c:txPr>
          <a:bodyPr/>
          <a:lstStyle/>
          <a:p>
            <a:pPr>
              <a:defRPr sz="800" baseline="0">
                <a:latin typeface="Times New Roman" panose="02020603050405020304" pitchFamily="18" charset="0"/>
              </a:defRPr>
            </a:pPr>
            <a:endParaRPr lang="en-US"/>
          </a:p>
        </c:txPr>
        <c:crossAx val="505322000"/>
        <c:crossesAt val="0"/>
        <c:auto val="1"/>
        <c:lblAlgn val="ctr"/>
        <c:lblOffset val="100"/>
        <c:noMultiLvlLbl val="0"/>
      </c:catAx>
      <c:valAx>
        <c:axId val="505322000"/>
        <c:scaling>
          <c:orientation val="minMax"/>
          <c:max val="80"/>
        </c:scaling>
        <c:delete val="0"/>
        <c:axPos val="l"/>
        <c:majorGridlines>
          <c:spPr>
            <a:ln>
              <a:noFill/>
            </a:ln>
          </c:spPr>
        </c:majorGridlines>
        <c:numFmt formatCode="#,##0" sourceLinked="0"/>
        <c:majorTickMark val="out"/>
        <c:minorTickMark val="none"/>
        <c:tickLblPos val="nextTo"/>
        <c:spPr>
          <a:ln>
            <a:noFill/>
          </a:ln>
        </c:spPr>
        <c:txPr>
          <a:bodyPr/>
          <a:lstStyle/>
          <a:p>
            <a:pPr>
              <a:defRPr>
                <a:latin typeface="Times New Roman" panose="02020603050405020304" pitchFamily="18" charset="0"/>
                <a:cs typeface="Times New Roman" panose="02020603050405020304" pitchFamily="18" charset="0"/>
              </a:defRPr>
            </a:pPr>
            <a:endParaRPr lang="en-US"/>
          </a:p>
        </c:txPr>
        <c:crossAx val="505323568"/>
        <c:crosses val="autoZero"/>
        <c:crossBetween val="between"/>
        <c:majorUnit val="5"/>
      </c:valAx>
      <c:valAx>
        <c:axId val="505324352"/>
        <c:scaling>
          <c:orientation val="minMax"/>
        </c:scaling>
        <c:delete val="0"/>
        <c:axPos val="r"/>
        <c:numFmt formatCode="#,##0" sourceLinked="0"/>
        <c:majorTickMark val="out"/>
        <c:minorTickMark val="none"/>
        <c:tickLblPos val="nextTo"/>
        <c:spPr>
          <a:ln>
            <a:noFill/>
          </a:ln>
        </c:spPr>
        <c:txPr>
          <a:bodyPr/>
          <a:lstStyle/>
          <a:p>
            <a:pPr>
              <a:defRPr>
                <a:latin typeface="Times New Roman" panose="02020603050405020304" pitchFamily="18" charset="0"/>
                <a:cs typeface="Times New Roman" panose="02020603050405020304" pitchFamily="18" charset="0"/>
              </a:defRPr>
            </a:pPr>
            <a:endParaRPr lang="en-US"/>
          </a:p>
        </c:txPr>
        <c:crossAx val="505322392"/>
        <c:crosses val="max"/>
        <c:crossBetween val="between"/>
      </c:valAx>
      <c:catAx>
        <c:axId val="505322392"/>
        <c:scaling>
          <c:orientation val="minMax"/>
        </c:scaling>
        <c:delete val="1"/>
        <c:axPos val="b"/>
        <c:numFmt formatCode="General" sourceLinked="1"/>
        <c:majorTickMark val="out"/>
        <c:minorTickMark val="none"/>
        <c:tickLblPos val="nextTo"/>
        <c:crossAx val="505324352"/>
        <c:crosses val="autoZero"/>
        <c:auto val="1"/>
        <c:lblAlgn val="ctr"/>
        <c:lblOffset val="100"/>
        <c:noMultiLvlLbl val="0"/>
      </c:catAx>
      <c:spPr>
        <a:noFill/>
        <a:ln>
          <a:noFill/>
        </a:ln>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txPr>
    <a:bodyPr/>
    <a:lstStyle/>
    <a:p>
      <a:pPr>
        <a:defRPr sz="900" baseline="0">
          <a:latin typeface="Calibri" panose="020F050202020403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47576242700263"/>
          <c:y val="0.12195169524878018"/>
          <c:w val="0.84888199129380071"/>
          <c:h val="0.72252618511373012"/>
        </c:manualLayout>
      </c:layout>
      <c:areaChart>
        <c:grouping val="stacked"/>
        <c:varyColors val="0"/>
        <c:ser>
          <c:idx val="2"/>
          <c:order val="2"/>
          <c:tx>
            <c:strRef>
              <c:f>'Grafikoni, CAB, Karakter'!$G$9</c:f>
              <c:strCache>
                <c:ptCount val="1"/>
                <c:pt idx="0">
                  <c:v>Output gap</c:v>
                </c:pt>
              </c:strCache>
            </c:strRef>
          </c:tx>
          <c:spPr>
            <a:solidFill>
              <a:srgbClr val="29489A"/>
            </a:solidFill>
            <a:ln w="9525" cap="rnd" cmpd="sng" algn="ctr">
              <a:solidFill>
                <a:srgbClr val="29489A"/>
              </a:solidFill>
              <a:prstDash val="solid"/>
              <a:round/>
            </a:ln>
            <a:effectLst/>
          </c:spPr>
          <c:cat>
            <c:numRef>
              <c:f>'Grafikoni, CAB, Karakter'!$F$11:$F$23</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('Grafikoni, CAB, Karakter'!$G$11:$G$28,'Grafikoni, CAB, Karakter'!$G$29,'Grafikoni, CAB, Karakter'!$G$30,'Grafikoni, CAB, Karakter'!$G$31,'Grafikoni, CAB, Karakter'!$G$32,'Grafikoni, CAB, Karakter'!$G$33,'Grafikoni, CAB, Karakter'!$G$34)</c:f>
              <c:numCache>
                <c:formatCode>#,##0.0</c:formatCode>
                <c:ptCount val="24"/>
                <c:pt idx="0">
                  <c:v>3.4939700056136114E-2</c:v>
                </c:pt>
                <c:pt idx="1">
                  <c:v>-3.5217079908271129</c:v>
                </c:pt>
                <c:pt idx="2">
                  <c:v>1.1932327892653696</c:v>
                </c:pt>
                <c:pt idx="3">
                  <c:v>4.0965378566338515</c:v>
                </c:pt>
                <c:pt idx="4">
                  <c:v>-0.54105372671559238</c:v>
                </c:pt>
                <c:pt idx="5">
                  <c:v>0.40289807525243404</c:v>
                </c:pt>
                <c:pt idx="6">
                  <c:v>0.3014330037382022</c:v>
                </c:pt>
                <c:pt idx="7">
                  <c:v>-6.0525521927000531E-2</c:v>
                </c:pt>
                <c:pt idx="8">
                  <c:v>0.41039422140570492</c:v>
                </c:pt>
                <c:pt idx="9">
                  <c:v>-1.7460085776485106</c:v>
                </c:pt>
                <c:pt idx="10">
                  <c:v>-1.4930652876282089</c:v>
                </c:pt>
                <c:pt idx="11">
                  <c:v>-0.41527684062091835</c:v>
                </c:pt>
                <c:pt idx="12">
                  <c:v>-0.65079897397803466</c:v>
                </c:pt>
                <c:pt idx="13">
                  <c:v>0.78705197632453983</c:v>
                </c:pt>
                <c:pt idx="14">
                  <c:v>2.0350944379029965</c:v>
                </c:pt>
                <c:pt idx="15">
                  <c:v>-2.4845507588129903</c:v>
                </c:pt>
                <c:pt idx="16">
                  <c:v>1.4161994429154008</c:v>
                </c:pt>
                <c:pt idx="17">
                  <c:v>0.282533855978224</c:v>
                </c:pt>
                <c:pt idx="18">
                  <c:v>0.43864915241958552</c:v>
                </c:pt>
                <c:pt idx="19">
                  <c:v>0.7323666600844716</c:v>
                </c:pt>
                <c:pt idx="20">
                  <c:v>-0.41041698212489947</c:v>
                </c:pt>
                <c:pt idx="21">
                  <c:v>-1</c:v>
                </c:pt>
                <c:pt idx="22">
                  <c:v>0.29624114464401735</c:v>
                </c:pt>
                <c:pt idx="23">
                  <c:v>-6.8222143353295957E-3</c:v>
                </c:pt>
              </c:numCache>
            </c:numRef>
          </c:val>
          <c:extLst>
            <c:ext xmlns:c16="http://schemas.microsoft.com/office/drawing/2014/chart" uri="{C3380CC4-5D6E-409C-BE32-E72D297353CC}">
              <c16:uniqueId val="{00000000-7931-4714-875F-7A344DFBC456}"/>
            </c:ext>
          </c:extLst>
        </c:ser>
        <c:dLbls>
          <c:showLegendKey val="0"/>
          <c:showVal val="0"/>
          <c:showCatName val="0"/>
          <c:showSerName val="0"/>
          <c:showPercent val="0"/>
          <c:showBubbleSize val="0"/>
        </c:dLbls>
        <c:axId val="342946768"/>
        <c:axId val="410610880"/>
      </c:areaChart>
      <c:lineChart>
        <c:grouping val="standard"/>
        <c:varyColors val="0"/>
        <c:ser>
          <c:idx val="0"/>
          <c:order val="0"/>
          <c:tx>
            <c:strRef>
              <c:f>'Grafikoni, CAB, Karakter'!$H$9</c:f>
              <c:strCache>
                <c:ptCount val="1"/>
                <c:pt idx="0">
                  <c:v>Fiscal balance</c:v>
                </c:pt>
              </c:strCache>
            </c:strRef>
          </c:tx>
          <c:spPr>
            <a:ln w="19050" cap="rnd" cmpd="sng" algn="ctr">
              <a:solidFill>
                <a:schemeClr val="accent3">
                  <a:shade val="53000"/>
                  <a:shade val="95000"/>
                  <a:satMod val="105000"/>
                </a:schemeClr>
              </a:solidFill>
              <a:prstDash val="solid"/>
              <a:round/>
            </a:ln>
            <a:effectLst/>
          </c:spPr>
          <c:marker>
            <c:symbol val="none"/>
          </c:marker>
          <c:cat>
            <c:numRef>
              <c:f>('Grafikoni, CAB, Karakter'!$F$11:$F$33,'Grafikoni, CAB, Karakter'!$F$34)</c:f>
              <c:numCache>
                <c:formatCode>General</c:formatCode>
                <c:ptCount val="2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numCache>
            </c:numRef>
          </c:cat>
          <c:val>
            <c:numRef>
              <c:f>('Grafikoni, CAB, Karakter'!$H$11:$H$28,'Grafikoni, CAB, Karakter'!$H$29,'Grafikoni, CAB, Karakter'!$H$30,'Grafikoni, CAB, Karakter'!$H$31,'Grafikoni, CAB, Karakter'!$H$32,'Grafikoni, CAB, Karakter'!$H$33,'Grafikoni, CAB, Karakter'!$H$34)</c:f>
              <c:numCache>
                <c:formatCode>#,##0.0</c:formatCode>
                <c:ptCount val="24"/>
                <c:pt idx="0">
                  <c:v>1.097149537133171</c:v>
                </c:pt>
                <c:pt idx="1">
                  <c:v>-1.3625763034532159</c:v>
                </c:pt>
                <c:pt idx="2">
                  <c:v>-1.7163418836484468</c:v>
                </c:pt>
                <c:pt idx="3">
                  <c:v>-2.3843270097170652</c:v>
                </c:pt>
                <c:pt idx="4">
                  <c:v>-4.0064360419983007</c:v>
                </c:pt>
                <c:pt idx="5">
                  <c:v>-4.1670689119148951</c:v>
                </c:pt>
                <c:pt idx="6">
                  <c:v>-4.3498075491803787</c:v>
                </c:pt>
                <c:pt idx="7">
                  <c:v>-6.1793158693056833</c:v>
                </c:pt>
                <c:pt idx="8">
                  <c:v>-4.9362245543274472</c:v>
                </c:pt>
                <c:pt idx="9">
                  <c:v>-5.9449190577246052</c:v>
                </c:pt>
                <c:pt idx="10">
                  <c:v>-3.3187939284991961</c:v>
                </c:pt>
                <c:pt idx="11">
                  <c:v>-1.149397976075984</c:v>
                </c:pt>
                <c:pt idx="12">
                  <c:v>1.0557686096933128</c:v>
                </c:pt>
                <c:pt idx="13">
                  <c:v>0.60940162463875103</c:v>
                </c:pt>
                <c:pt idx="14">
                  <c:v>-0.196032233371843</c:v>
                </c:pt>
                <c:pt idx="15">
                  <c:v>-7.6817157912618725</c:v>
                </c:pt>
                <c:pt idx="16">
                  <c:v>-3.944488655583605</c:v>
                </c:pt>
                <c:pt idx="17">
                  <c:v>-3.0145095743510497</c:v>
                </c:pt>
                <c:pt idx="18">
                  <c:v>-2.0537459179069364</c:v>
                </c:pt>
                <c:pt idx="19">
                  <c:v>-2</c:v>
                </c:pt>
                <c:pt idx="20">
                  <c:v>-3</c:v>
                </c:pt>
                <c:pt idx="21">
                  <c:v>-3</c:v>
                </c:pt>
                <c:pt idx="22">
                  <c:v>-3</c:v>
                </c:pt>
                <c:pt idx="23">
                  <c:v>-2.5</c:v>
                </c:pt>
              </c:numCache>
            </c:numRef>
          </c:val>
          <c:smooth val="0"/>
          <c:extLst>
            <c:ext xmlns:c16="http://schemas.microsoft.com/office/drawing/2014/chart" uri="{C3380CC4-5D6E-409C-BE32-E72D297353CC}">
              <c16:uniqueId val="{00000001-7931-4714-875F-7A344DFBC456}"/>
            </c:ext>
          </c:extLst>
        </c:ser>
        <c:ser>
          <c:idx val="1"/>
          <c:order val="1"/>
          <c:tx>
            <c:strRef>
              <c:f>'Grafikoni, CAB, Karakter'!$K$9</c:f>
              <c:strCache>
                <c:ptCount val="1"/>
                <c:pt idx="0">
                  <c:v>Cyclically adjusted fiscal balance</c:v>
                </c:pt>
              </c:strCache>
            </c:strRef>
          </c:tx>
          <c:spPr>
            <a:ln w="19050" cap="rnd" cmpd="sng" algn="ctr">
              <a:solidFill>
                <a:sysClr val="windowText" lastClr="000000"/>
              </a:solidFill>
              <a:prstDash val="solid"/>
              <a:round/>
            </a:ln>
            <a:effectLst/>
          </c:spPr>
          <c:marker>
            <c:symbol val="none"/>
          </c:marker>
          <c:cat>
            <c:numRef>
              <c:f>('Grafikoni, CAB, Karakter'!$F$11:$F$33,'Grafikoni, CAB, Karakter'!$F$34)</c:f>
              <c:numCache>
                <c:formatCode>General</c:formatCode>
                <c:ptCount val="2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numCache>
            </c:numRef>
          </c:cat>
          <c:val>
            <c:numRef>
              <c:f>('Grafikoni, CAB, Karakter'!$K$11:$K$28,'Grafikoni, CAB, Karakter'!$K$29,'Grafikoni, CAB, Karakter'!$K$30,'Grafikoni, CAB, Karakter'!$K$31,'Grafikoni, CAB, Karakter'!$K$32,'Grafikoni, CAB, Karakter'!$K$33,'Grafikoni, CAB, Karakter'!$K$34)</c:f>
              <c:numCache>
                <c:formatCode>#,##0.0</c:formatCode>
                <c:ptCount val="24"/>
                <c:pt idx="0">
                  <c:v>1.0847517432934535</c:v>
                </c:pt>
                <c:pt idx="1">
                  <c:v>-0.11295453899010499</c:v>
                </c:pt>
                <c:pt idx="2">
                  <c:v>-2.1397414577814602</c:v>
                </c:pt>
                <c:pt idx="3">
                  <c:v>-3.8379179598839586</c:v>
                </c:pt>
                <c:pt idx="4">
                  <c:v>-3.8144517791324613</c:v>
                </c:pt>
                <c:pt idx="5">
                  <c:v>-4.3100308511236856</c:v>
                </c:pt>
                <c:pt idx="6">
                  <c:v>-4.4567662303032511</c:v>
                </c:pt>
                <c:pt idx="7">
                  <c:v>-6.1578393557212321</c:v>
                </c:pt>
                <c:pt idx="8">
                  <c:v>-5.0818463811268959</c:v>
                </c:pt>
                <c:pt idx="9">
                  <c:v>-5.3253758345920064</c:v>
                </c:pt>
                <c:pt idx="10">
                  <c:v>-2.7890035869818721</c:v>
                </c:pt>
                <c:pt idx="11">
                  <c:v>-1.0020436299266033</c:v>
                </c:pt>
                <c:pt idx="12">
                  <c:v>1.2866942185999763</c:v>
                </c:pt>
                <c:pt idx="13">
                  <c:v>0.33012881668857796</c:v>
                </c:pt>
                <c:pt idx="14">
                  <c:v>-0.91815295120686424</c:v>
                </c:pt>
                <c:pt idx="15">
                  <c:v>-6.8001126852653231</c:v>
                </c:pt>
                <c:pt idx="16">
                  <c:v>-4.4470043812761206</c:v>
                </c:pt>
                <c:pt idx="17">
                  <c:v>-3.1147621951099773</c:v>
                </c:pt>
                <c:pt idx="18">
                  <c:v>-2.2093935551484534</c:v>
                </c:pt>
                <c:pt idx="19">
                  <c:v>-2.2598685979622553</c:v>
                </c:pt>
                <c:pt idx="20">
                  <c:v>-2.8543700969233141</c:v>
                </c:pt>
                <c:pt idx="21">
                  <c:v>-2.6451659911276111</c:v>
                </c:pt>
                <c:pt idx="22">
                  <c:v>-3.105116432946982</c:v>
                </c:pt>
                <c:pt idx="23">
                  <c:v>-2.4975792463380082</c:v>
                </c:pt>
              </c:numCache>
            </c:numRef>
          </c:val>
          <c:smooth val="1"/>
          <c:extLst>
            <c:ext xmlns:c16="http://schemas.microsoft.com/office/drawing/2014/chart" uri="{C3380CC4-5D6E-409C-BE32-E72D297353CC}">
              <c16:uniqueId val="{00000002-7931-4714-875F-7A344DFBC456}"/>
            </c:ext>
          </c:extLst>
        </c:ser>
        <c:ser>
          <c:idx val="4"/>
          <c:order val="3"/>
          <c:tx>
            <c:strRef>
              <c:f>'Grafikoni, CAB, Karakter'!$N$9</c:f>
              <c:strCache>
                <c:ptCount val="1"/>
                <c:pt idx="0">
                  <c:v>Structural primary fiscal balance</c:v>
                </c:pt>
              </c:strCache>
            </c:strRef>
          </c:tx>
          <c:spPr>
            <a:ln w="19050" cap="rnd" cmpd="sng" algn="ctr">
              <a:solidFill>
                <a:srgbClr val="FF0000"/>
              </a:solidFill>
              <a:prstDash val="solid"/>
              <a:round/>
            </a:ln>
            <a:effectLst/>
          </c:spPr>
          <c:marker>
            <c:symbol val="none"/>
          </c:marker>
          <c:cat>
            <c:numRef>
              <c:f>('Grafikoni, CAB, Karakter'!$F$11:$F$33,'Grafikoni, CAB, Karakter'!$F$34)</c:f>
              <c:numCache>
                <c:formatCode>General</c:formatCode>
                <c:ptCount val="2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numCache>
            </c:numRef>
          </c:cat>
          <c:val>
            <c:numRef>
              <c:f>('Grafikoni, CAB, Karakter'!$N$11:$N$28,'Grafikoni, CAB, Karakter'!$N$29,'Grafikoni, CAB, Karakter'!$N$30,'Grafikoni, CAB, Karakter'!$N$31,'Grafikoni, CAB, Karakter'!$N$32,'Grafikoni, CAB, Karakter'!$N$33,'Grafikoni, CAB, Karakter'!$N$34)</c:f>
              <c:numCache>
                <c:formatCode>#,##0.0</c:formatCode>
                <c:ptCount val="24"/>
                <c:pt idx="0">
                  <c:v>2.1796124198770381</c:v>
                </c:pt>
                <c:pt idx="1">
                  <c:v>1.7616318299005722</c:v>
                </c:pt>
                <c:pt idx="2">
                  <c:v>-1.2912073423421659</c:v>
                </c:pt>
                <c:pt idx="3">
                  <c:v>-3.3749784765688804</c:v>
                </c:pt>
                <c:pt idx="4">
                  <c:v>-3.2994189711979804</c:v>
                </c:pt>
                <c:pt idx="5">
                  <c:v>-3.5035255319153964</c:v>
                </c:pt>
                <c:pt idx="6">
                  <c:v>-3.5499442729900572</c:v>
                </c:pt>
                <c:pt idx="7">
                  <c:v>-4.4729571306099052</c:v>
                </c:pt>
                <c:pt idx="8">
                  <c:v>-2.7194164919776229</c:v>
                </c:pt>
                <c:pt idx="9">
                  <c:v>-1.9386991445237336</c:v>
                </c:pt>
                <c:pt idx="10">
                  <c:v>0.87901681725319392</c:v>
                </c:pt>
                <c:pt idx="11">
                  <c:v>1.8645294166529678</c:v>
                </c:pt>
                <c:pt idx="12">
                  <c:v>3.5845939271944771</c:v>
                </c:pt>
                <c:pt idx="13">
                  <c:v>2.2147074078756592</c:v>
                </c:pt>
                <c:pt idx="14">
                  <c:v>0.8166936118180198</c:v>
                </c:pt>
                <c:pt idx="15">
                  <c:v>1.8354078947988608</c:v>
                </c:pt>
                <c:pt idx="16">
                  <c:v>1.08843597016488</c:v>
                </c:pt>
                <c:pt idx="17">
                  <c:v>1.5220838831118093</c:v>
                </c:pt>
                <c:pt idx="18">
                  <c:v>-7.9696304223025871E-3</c:v>
                </c:pt>
                <c:pt idx="19">
                  <c:v>-0.25417298605863231</c:v>
                </c:pt>
                <c:pt idx="20">
                  <c:v>-0.45791289850879191</c:v>
                </c:pt>
                <c:pt idx="21">
                  <c:v>0.37990566736728026</c:v>
                </c:pt>
                <c:pt idx="22">
                  <c:v>0.24046101138729203</c:v>
                </c:pt>
                <c:pt idx="23">
                  <c:v>8.3228935878478905E-2</c:v>
                </c:pt>
              </c:numCache>
            </c:numRef>
          </c:val>
          <c:smooth val="0"/>
          <c:extLst>
            <c:ext xmlns:c16="http://schemas.microsoft.com/office/drawing/2014/chart" uri="{C3380CC4-5D6E-409C-BE32-E72D297353CC}">
              <c16:uniqueId val="{00000003-7931-4714-875F-7A344DFBC456}"/>
            </c:ext>
          </c:extLst>
        </c:ser>
        <c:ser>
          <c:idx val="3"/>
          <c:order val="4"/>
          <c:tx>
            <c:strRef>
              <c:f>'Grafikoni, CAB, Karakter'!$M$9</c:f>
              <c:strCache>
                <c:ptCount val="1"/>
                <c:pt idx="0">
                  <c:v>Structural fiscal balance</c:v>
                </c:pt>
              </c:strCache>
            </c:strRef>
          </c:tx>
          <c:spPr>
            <a:ln w="19050" cap="rnd" cmpd="sng" algn="ctr">
              <a:solidFill>
                <a:srgbClr val="F79646">
                  <a:lumMod val="75000"/>
                </a:srgbClr>
              </a:solidFill>
              <a:prstDash val="solid"/>
              <a:round/>
            </a:ln>
            <a:effectLst/>
          </c:spPr>
          <c:marker>
            <c:symbol val="none"/>
          </c:marker>
          <c:cat>
            <c:numRef>
              <c:f>('Grafikoni, CAB, Karakter'!$F$11:$F$33,'Grafikoni, CAB, Karakter'!$F$34)</c:f>
              <c:numCache>
                <c:formatCode>General</c:formatCode>
                <c:ptCount val="2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numCache>
            </c:numRef>
          </c:cat>
          <c:val>
            <c:numRef>
              <c:f>('Grafikoni, CAB, Karakter'!$M$11:$M$30,'Grafikoni, CAB, Karakter'!$M$31,'Grafikoni, CAB, Karakter'!$M$32,'Grafikoni, CAB, Karakter'!$M$33,'Grafikoni, CAB, Karakter'!$M$34)</c:f>
              <c:numCache>
                <c:formatCode>#,##0.0</c:formatCode>
                <c:ptCount val="24"/>
                <c:pt idx="0">
                  <c:v>1.2963599412259406</c:v>
                </c:pt>
                <c:pt idx="1">
                  <c:v>0.54452098079790734</c:v>
                </c:pt>
                <c:pt idx="2">
                  <c:v>-1.8157915477772628</c:v>
                </c:pt>
                <c:pt idx="3">
                  <c:v>-3.8941839391121578</c:v>
                </c:pt>
                <c:pt idx="4">
                  <c:v>-3.8837799417386969</c:v>
                </c:pt>
                <c:pt idx="5">
                  <c:v>-4.4223221936271786</c:v>
                </c:pt>
                <c:pt idx="6">
                  <c:v>-4.658979005687403</c:v>
                </c:pt>
                <c:pt idx="7">
                  <c:v>-6.112475120316077</c:v>
                </c:pt>
                <c:pt idx="8">
                  <c:v>-4.8235108354132468</c:v>
                </c:pt>
                <c:pt idx="9">
                  <c:v>-4.4916522602790474</c:v>
                </c:pt>
                <c:pt idx="10">
                  <c:v>-1.9878695554133365</c:v>
                </c:pt>
                <c:pt idx="11">
                  <c:v>-0.92755593147735527</c:v>
                </c:pt>
                <c:pt idx="12">
                  <c:v>1.1474122611172137</c:v>
                </c:pt>
                <c:pt idx="13">
                  <c:v>0.18829808989201427</c:v>
                </c:pt>
                <c:pt idx="14">
                  <c:v>-1.0927796817686395</c:v>
                </c:pt>
                <c:pt idx="15">
                  <c:v>-7.058336783211594E-2</c:v>
                </c:pt>
                <c:pt idx="16">
                  <c:v>-0.55863657453872895</c:v>
                </c:pt>
                <c:pt idx="17">
                  <c:v>0.10099558098507933</c:v>
                </c:pt>
                <c:pt idx="18">
                  <c:v>-1.5629817304843721</c:v>
                </c:pt>
                <c:pt idx="19">
                  <c:v>-1.9541729860586323</c:v>
                </c:pt>
                <c:pt idx="20">
                  <c:v>-2.257912898508792</c:v>
                </c:pt>
                <c:pt idx="21">
                  <c:v>-1.4200943326327198</c:v>
                </c:pt>
                <c:pt idx="22">
                  <c:v>-1.5595389886127082</c:v>
                </c:pt>
                <c:pt idx="23">
                  <c:v>-1.716771064121521</c:v>
                </c:pt>
              </c:numCache>
            </c:numRef>
          </c:val>
          <c:smooth val="0"/>
          <c:extLst>
            <c:ext xmlns:c16="http://schemas.microsoft.com/office/drawing/2014/chart" uri="{C3380CC4-5D6E-409C-BE32-E72D297353CC}">
              <c16:uniqueId val="{00000004-7931-4714-875F-7A344DFBC456}"/>
            </c:ext>
          </c:extLst>
        </c:ser>
        <c:dLbls>
          <c:showLegendKey val="0"/>
          <c:showVal val="0"/>
          <c:showCatName val="0"/>
          <c:showSerName val="0"/>
          <c:showPercent val="0"/>
          <c:showBubbleSize val="0"/>
        </c:dLbls>
        <c:marker val="1"/>
        <c:smooth val="0"/>
        <c:axId val="342946768"/>
        <c:axId val="410610880"/>
      </c:lineChart>
      <c:catAx>
        <c:axId val="342946768"/>
        <c:scaling>
          <c:orientation val="minMax"/>
        </c:scaling>
        <c:delete val="0"/>
        <c:axPos val="b"/>
        <c:majorGridlines>
          <c:spPr>
            <a:ln w="9525" cap="flat" cmpd="sng" algn="ctr">
              <a:noFill/>
              <a:prstDash val="sysDot"/>
              <a:round/>
            </a:ln>
            <a:effectLst/>
          </c:spPr>
        </c:majorGridlines>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crossAx val="410610880"/>
        <c:crosses val="autoZero"/>
        <c:auto val="1"/>
        <c:lblAlgn val="ctr"/>
        <c:lblOffset val="100"/>
        <c:noMultiLvlLbl val="0"/>
      </c:catAx>
      <c:valAx>
        <c:axId val="410610880"/>
        <c:scaling>
          <c:orientation val="minMax"/>
        </c:scaling>
        <c:delete val="0"/>
        <c:axPos val="l"/>
        <c:majorGridlines>
          <c:spPr>
            <a:ln w="9525" cap="flat" cmpd="sng" algn="ctr">
              <a:noFill/>
              <a:prstDash val="sysDot"/>
              <a:round/>
            </a:ln>
            <a:effectLst/>
          </c:spPr>
        </c:majorGridlines>
        <c:title>
          <c:tx>
            <c:rich>
              <a:bodyPr rot="-5400000" spcFirstLastPara="1" vertOverflow="ellipsis" vert="horz" wrap="square" anchor="ctr" anchorCtr="1"/>
              <a:lstStyle/>
              <a:p>
                <a:pPr>
                  <a:defRPr sz="700" b="1"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 % GDP</a:t>
                </a:r>
                <a:endParaRPr lang="sr-Cyrl-CS">
                  <a:latin typeface="Times New Roman" panose="02020603050405020304" pitchFamily="18" charset="0"/>
                  <a:cs typeface="Times New Roman" panose="02020603050405020304" pitchFamily="18" charset="0"/>
                </a:endParaRPr>
              </a:p>
            </c:rich>
          </c:tx>
          <c:layout>
            <c:manualLayout>
              <c:xMode val="edge"/>
              <c:yMode val="edge"/>
              <c:x val="9.427787678969326E-6"/>
              <c:y val="0.3687218572951193"/>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crossAx val="342946768"/>
        <c:crosses val="autoZero"/>
        <c:crossBetween val="between"/>
      </c:valAx>
      <c:spPr>
        <a:noFill/>
        <a:ln>
          <a:noFill/>
        </a:ln>
        <a:effectLst/>
      </c:spPr>
    </c:plotArea>
    <c:legend>
      <c:legendPos val="r"/>
      <c:layout>
        <c:manualLayout>
          <c:xMode val="edge"/>
          <c:yMode val="edge"/>
          <c:x val="0.16554341370610171"/>
          <c:y val="0.7488209209394866"/>
          <c:w val="0.62122544107565747"/>
          <c:h val="0.1784738458387861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prstDash val="solid"/>
      <a:round/>
    </a:ln>
    <a:effectLst/>
  </c:spPr>
  <c:txPr>
    <a:bodyPr/>
    <a:lstStyle/>
    <a:p>
      <a:pPr>
        <a:defRPr sz="700">
          <a:solidFill>
            <a:srgbClr val="44546A"/>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3618440989179343E-2"/>
          <c:y val="5.7086964129483823E-2"/>
          <c:w val="0.91635877205946437"/>
          <c:h val="0.82967423338395085"/>
        </c:manualLayout>
      </c:layout>
      <c:barChart>
        <c:barDir val="col"/>
        <c:grouping val="clustered"/>
        <c:varyColors val="0"/>
        <c:ser>
          <c:idx val="0"/>
          <c:order val="0"/>
          <c:tx>
            <c:strRef>
              <c:f>'Grafikoni, CAB, Karakter eng'!$N$10</c:f>
              <c:strCache>
                <c:ptCount val="1"/>
                <c:pt idx="0">
                  <c:v>Fiscal impulse</c:v>
                </c:pt>
              </c:strCache>
            </c:strRef>
          </c:tx>
          <c:spPr>
            <a:solidFill>
              <a:srgbClr val="29489A"/>
            </a:solidFill>
            <a:ln w="9525" cap="flat" cmpd="sng" algn="ctr">
              <a:solidFill>
                <a:schemeClr val="accent3">
                  <a:shade val="50000"/>
                  <a:shade val="95000"/>
                  <a:satMod val="105000"/>
                </a:schemeClr>
              </a:solidFill>
              <a:prstDash val="solid"/>
              <a:round/>
            </a:ln>
            <a:effectLst/>
          </c:spPr>
          <c:invertIfNegative val="0"/>
          <c:cat>
            <c:numRef>
              <c:f>('Grafikoni, CAB, Karakter'!$F$12:$F$29,'Grafikoni, CAB, Karakter'!$F$30,'Grafikoni, CAB, Karakter'!$F$31,'Grafikoni, CAB, Karakter'!$F$32,'Grafikoni, CAB, Karakter'!$F$33,'Grafikoni, CAB, Karakter'!$F$34)</c:f>
              <c:numCache>
                <c:formatCode>General</c:formatCode>
                <c:ptCount val="2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numCache>
            </c:numRef>
          </c:cat>
          <c:val>
            <c:numRef>
              <c:f>('Grafikoni, CAB, Karakter'!$O$12:$O$29,'Grafikoni, CAB, Karakter'!$O$30,'Grafikoni, CAB, Karakter'!$O$31,'Grafikoni, CAB, Karakter'!$O$32,'Grafikoni, CAB, Karakter'!$O$33,'Grafikoni, CAB, Karakter'!$O$34)</c:f>
              <c:numCache>
                <c:formatCode>#,##0.0</c:formatCode>
                <c:ptCount val="23"/>
                <c:pt idx="0">
                  <c:v>0.86384791183199083</c:v>
                </c:pt>
                <c:pt idx="1">
                  <c:v>2.7193135624589235</c:v>
                </c:pt>
                <c:pt idx="2">
                  <c:v>1.7035552449943179</c:v>
                </c:pt>
                <c:pt idx="3">
                  <c:v>-8.8621688748936389E-2</c:v>
                </c:pt>
                <c:pt idx="4">
                  <c:v>0.161143380820159</c:v>
                </c:pt>
                <c:pt idx="5">
                  <c:v>-4.3502691805997973E-2</c:v>
                </c:pt>
                <c:pt idx="6">
                  <c:v>1.1705898684091545</c:v>
                </c:pt>
                <c:pt idx="7">
                  <c:v>-1.5405693283237878</c:v>
                </c:pt>
                <c:pt idx="8">
                  <c:v>-0.20532931885457995</c:v>
                </c:pt>
                <c:pt idx="9">
                  <c:v>-2.850305504521351</c:v>
                </c:pt>
                <c:pt idx="10">
                  <c:v>-1.7121589325190614</c:v>
                </c:pt>
                <c:pt idx="11">
                  <c:v>-1.9338341664735197</c:v>
                </c:pt>
                <c:pt idx="12">
                  <c:v>1.3673377500050168</c:v>
                </c:pt>
                <c:pt idx="13">
                  <c:v>1.3652177922924278</c:v>
                </c:pt>
                <c:pt idx="14">
                  <c:v>5.8854417650141411</c:v>
                </c:pt>
                <c:pt idx="15">
                  <c:v>-2.0941895860618347</c:v>
                </c:pt>
                <c:pt idx="16">
                  <c:v>-1.1062579435892643</c:v>
                </c:pt>
                <c:pt idx="17">
                  <c:v>-1.0392924378968633</c:v>
                </c:pt>
                <c:pt idx="18">
                  <c:v>-9.4512857124128602E-2</c:v>
                </c:pt>
                <c:pt idx="19">
                  <c:v>0.49450149896105899</c:v>
                </c:pt>
                <c:pt idx="20">
                  <c:v>-0.20920410579570325</c:v>
                </c:pt>
                <c:pt idx="21">
                  <c:v>0.45995044181937073</c:v>
                </c:pt>
                <c:pt idx="22">
                  <c:v>-0.60753718660897349</c:v>
                </c:pt>
              </c:numCache>
            </c:numRef>
          </c:val>
          <c:extLst>
            <c:ext xmlns:c16="http://schemas.microsoft.com/office/drawing/2014/chart" uri="{C3380CC4-5D6E-409C-BE32-E72D297353CC}">
              <c16:uniqueId val="{00000000-72F0-47DD-ACEE-6225AA263D65}"/>
            </c:ext>
          </c:extLst>
        </c:ser>
        <c:dLbls>
          <c:showLegendKey val="0"/>
          <c:showVal val="0"/>
          <c:showCatName val="0"/>
          <c:showSerName val="0"/>
          <c:showPercent val="0"/>
          <c:showBubbleSize val="0"/>
        </c:dLbls>
        <c:gapWidth val="41"/>
        <c:overlap val="-12"/>
        <c:axId val="467546320"/>
        <c:axId val="467537360"/>
      </c:barChart>
      <c:lineChart>
        <c:grouping val="standard"/>
        <c:varyColors val="0"/>
        <c:ser>
          <c:idx val="1"/>
          <c:order val="1"/>
          <c:tx>
            <c:strRef>
              <c:f>'Grafikoni, CAB, Karakter eng'!$F$10</c:f>
              <c:strCache>
                <c:ptCount val="1"/>
                <c:pt idx="0">
                  <c:v>Output gap</c:v>
                </c:pt>
              </c:strCache>
            </c:strRef>
          </c:tx>
          <c:spPr>
            <a:ln w="31750" cap="rnd" cmpd="sng" algn="ctr">
              <a:solidFill>
                <a:srgbClr val="FF0000"/>
              </a:solidFill>
              <a:prstDash val="solid"/>
              <a:round/>
            </a:ln>
            <a:effectLst/>
          </c:spPr>
          <c:marker>
            <c:symbol val="none"/>
          </c:marker>
          <c:cat>
            <c:numRef>
              <c:f>('Grafikoni, CAB, Karakter'!$F$12:$F$29,'Grafikoni, CAB, Karakter'!$F$30,'Grafikoni, CAB, Karakter'!$F$31,'Grafikoni, CAB, Karakter'!$F$32,'Grafikoni, CAB, Karakter'!$F$33,'Grafikoni, CAB, Karakter'!$F$34)</c:f>
              <c:numCache>
                <c:formatCode>General</c:formatCode>
                <c:ptCount val="2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numCache>
            </c:numRef>
          </c:cat>
          <c:val>
            <c:numRef>
              <c:f>('Grafikoni, CAB, Karakter'!$G$12:$G$29,'Grafikoni, CAB, Karakter'!$G$30,'Grafikoni, CAB, Karakter'!$G$31,'Grafikoni, CAB, Karakter'!$G$32,'Grafikoni, CAB, Karakter'!$G$33,'Grafikoni, CAB, Karakter'!$G$34)</c:f>
              <c:numCache>
                <c:formatCode>#,##0.0</c:formatCode>
                <c:ptCount val="23"/>
                <c:pt idx="0">
                  <c:v>-3.5217079908271129</c:v>
                </c:pt>
                <c:pt idx="1">
                  <c:v>1.1932327892653696</c:v>
                </c:pt>
                <c:pt idx="2">
                  <c:v>4.0965378566338515</c:v>
                </c:pt>
                <c:pt idx="3">
                  <c:v>-0.54105372671559238</c:v>
                </c:pt>
                <c:pt idx="4">
                  <c:v>0.40289807525243404</c:v>
                </c:pt>
                <c:pt idx="5">
                  <c:v>0.3014330037382022</c:v>
                </c:pt>
                <c:pt idx="6">
                  <c:v>-6.0525521927000531E-2</c:v>
                </c:pt>
                <c:pt idx="7">
                  <c:v>0.41039422140570492</c:v>
                </c:pt>
                <c:pt idx="8">
                  <c:v>-1.7460085776485106</c:v>
                </c:pt>
                <c:pt idx="9">
                  <c:v>-1.4930652876282089</c:v>
                </c:pt>
                <c:pt idx="10">
                  <c:v>-0.41527684062091835</c:v>
                </c:pt>
                <c:pt idx="11">
                  <c:v>-0.65079897397803466</c:v>
                </c:pt>
                <c:pt idx="12">
                  <c:v>0.78705197632453983</c:v>
                </c:pt>
                <c:pt idx="13">
                  <c:v>2.0350944379029965</c:v>
                </c:pt>
                <c:pt idx="14">
                  <c:v>-2.4845507588129903</c:v>
                </c:pt>
                <c:pt idx="15">
                  <c:v>1.4161994429154008</c:v>
                </c:pt>
                <c:pt idx="16">
                  <c:v>0.282533855978224</c:v>
                </c:pt>
                <c:pt idx="17">
                  <c:v>0.43864915241958552</c:v>
                </c:pt>
                <c:pt idx="18">
                  <c:v>0.7323666600844716</c:v>
                </c:pt>
                <c:pt idx="19">
                  <c:v>-0.41041698212489947</c:v>
                </c:pt>
                <c:pt idx="20">
                  <c:v>-1</c:v>
                </c:pt>
                <c:pt idx="21">
                  <c:v>0.29624114464401735</c:v>
                </c:pt>
                <c:pt idx="22">
                  <c:v>-6.8222143353295957E-3</c:v>
                </c:pt>
              </c:numCache>
            </c:numRef>
          </c:val>
          <c:smooth val="1"/>
          <c:extLst>
            <c:ext xmlns:c16="http://schemas.microsoft.com/office/drawing/2014/chart" uri="{C3380CC4-5D6E-409C-BE32-E72D297353CC}">
              <c16:uniqueId val="{00000001-72F0-47DD-ACEE-6225AA263D65}"/>
            </c:ext>
          </c:extLst>
        </c:ser>
        <c:dLbls>
          <c:showLegendKey val="0"/>
          <c:showVal val="0"/>
          <c:showCatName val="0"/>
          <c:showSerName val="0"/>
          <c:showPercent val="0"/>
          <c:showBubbleSize val="0"/>
        </c:dLbls>
        <c:marker val="1"/>
        <c:smooth val="0"/>
        <c:axId val="467546320"/>
        <c:axId val="467537360"/>
      </c:lineChart>
      <c:catAx>
        <c:axId val="467546320"/>
        <c:scaling>
          <c:orientation val="minMax"/>
        </c:scaling>
        <c:delete val="0"/>
        <c:axPos val="b"/>
        <c:majorGridlines>
          <c:spPr>
            <a:ln w="9525" cap="flat" cmpd="sng" algn="ctr">
              <a:noFill/>
              <a:prstDash val="solid"/>
              <a:round/>
            </a:ln>
            <a:effectLst/>
          </c:spPr>
        </c:majorGridlines>
        <c:numFmt formatCode="General" sourceLinked="1"/>
        <c:majorTickMark val="out"/>
        <c:minorTickMark val="none"/>
        <c:tickLblPos val="low"/>
        <c:spPr>
          <a:noFill/>
          <a:ln w="6350" cap="flat" cmpd="sng" algn="ctr">
            <a:solidFill>
              <a:srgbClr val="898989"/>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67537360"/>
        <c:crosses val="autoZero"/>
        <c:auto val="1"/>
        <c:lblAlgn val="ctr"/>
        <c:lblOffset val="100"/>
        <c:noMultiLvlLbl val="0"/>
      </c:catAx>
      <c:valAx>
        <c:axId val="467537360"/>
        <c:scaling>
          <c:orientation val="minMax"/>
          <c:min val="-9"/>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US" sz="800"/>
                  <a:t>% GDP</a:t>
                </a:r>
              </a:p>
            </c:rich>
          </c:tx>
          <c:layout>
            <c:manualLayout>
              <c:xMode val="edge"/>
              <c:yMode val="edge"/>
              <c:x val="6.2199432732198801E-2"/>
              <c:y val="0.4341648700162479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317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467546320"/>
        <c:crosses val="autoZero"/>
        <c:crossBetween val="between"/>
      </c:valAx>
      <c:spPr>
        <a:noFill/>
        <a:ln>
          <a:noFill/>
        </a:ln>
        <a:effectLst/>
      </c:spPr>
    </c:plotArea>
    <c:legend>
      <c:legendPos val="r"/>
      <c:layout>
        <c:manualLayout>
          <c:xMode val="edge"/>
          <c:yMode val="edge"/>
          <c:x val="0.10033178339629953"/>
          <c:y val="0.78777242925582558"/>
          <c:w val="0.795961068391148"/>
          <c:h val="4.95736562341472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489674499932388E-2"/>
          <c:y val="4.9007480657224968E-2"/>
          <c:w val="0.89281373349855619"/>
          <c:h val="0.9174795514193721"/>
        </c:manualLayout>
      </c:layout>
      <c:scatterChart>
        <c:scatterStyle val="smoothMarker"/>
        <c:varyColors val="0"/>
        <c:ser>
          <c:idx val="1"/>
          <c:order val="0"/>
          <c:spPr>
            <a:ln w="19050" cap="rnd">
              <a:solidFill>
                <a:srgbClr val="FF0000"/>
              </a:solidFill>
              <a:round/>
            </a:ln>
            <a:effectLst/>
          </c:spPr>
          <c:marker>
            <c:symbol val="circle"/>
            <c:size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3175" cap="rnd">
                <a:solidFill>
                  <a:sysClr val="windowText" lastClr="000000">
                    <a:lumMod val="50000"/>
                    <a:lumOff val="50000"/>
                  </a:sysClr>
                </a:solidFill>
                <a:round/>
              </a:ln>
              <a:effectLst/>
              <a:scene3d>
                <a:camera prst="orthographicFront">
                  <a:rot lat="0" lon="0" rev="0"/>
                </a:camera>
                <a:lightRig rig="threePt" dir="t">
                  <a:rot lat="0" lon="0" rev="1200000"/>
                </a:lightRig>
              </a:scene3d>
              <a:sp3d>
                <a:bevelT w="63500" h="25400"/>
              </a:sp3d>
            </c:spPr>
          </c:marker>
          <c:dLbls>
            <c:dLbl>
              <c:idx val="0"/>
              <c:layout>
                <c:manualLayout>
                  <c:x val="-6.9381423218486976E-2"/>
                  <c:y val="-4.1527671341031656E-2"/>
                </c:manualLayout>
              </c:layout>
              <c:tx>
                <c:rich>
                  <a:bodyPr/>
                  <a:lstStyle/>
                  <a:p>
                    <a:r>
                      <a:rPr lang="en-US"/>
                      <a:t>2006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64-4B55-8704-FB0FF4FFED8B}"/>
                </c:ext>
              </c:extLst>
            </c:dLbl>
            <c:dLbl>
              <c:idx val="1"/>
              <c:layout>
                <c:manualLayout>
                  <c:x val="-2.4016646498707127E-2"/>
                  <c:y val="-3.3977185642662298E-2"/>
                </c:manualLayout>
              </c:layout>
              <c:tx>
                <c:rich>
                  <a:bodyPr/>
                  <a:lstStyle/>
                  <a:p>
                    <a:r>
                      <a:rPr lang="en-US"/>
                      <a:t>2007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64-4B55-8704-FB0FF4FFED8B}"/>
                </c:ext>
              </c:extLst>
            </c:dLbl>
            <c:dLbl>
              <c:idx val="2"/>
              <c:layout>
                <c:manualLayout>
                  <c:x val="-5.0701809275048172E-2"/>
                  <c:y val="-6.3495592658862496E-2"/>
                </c:manualLayout>
              </c:layout>
              <c:tx>
                <c:rich>
                  <a:bodyPr/>
                  <a:lstStyle/>
                  <a:p>
                    <a:r>
                      <a:rPr lang="en-US"/>
                      <a:t>2008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64-4B55-8704-FB0FF4FFED8B}"/>
                </c:ext>
              </c:extLst>
            </c:dLbl>
            <c:dLbl>
              <c:idx val="3"/>
              <c:layout>
                <c:manualLayout>
                  <c:x val="-0.13454854074369876"/>
                  <c:y val="-3.2646747537246598E-2"/>
                </c:manualLayout>
              </c:layout>
              <c:tx>
                <c:rich>
                  <a:bodyPr/>
                  <a:lstStyle/>
                  <a:p>
                    <a:r>
                      <a:rPr lang="en-US"/>
                      <a:t>2009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64-4B55-8704-FB0FF4FFED8B}"/>
                </c:ext>
              </c:extLst>
            </c:dLbl>
            <c:dLbl>
              <c:idx val="4"/>
              <c:layout>
                <c:manualLayout>
                  <c:x val="-0.15266646933546832"/>
                  <c:y val="4.863580883951224E-2"/>
                </c:manualLayout>
              </c:layout>
              <c:tx>
                <c:rich>
                  <a:bodyPr/>
                  <a:lstStyle/>
                  <a:p>
                    <a:r>
                      <a:rPr lang="en-US"/>
                      <a:t>2010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64-4B55-8704-FB0FF4FFED8B}"/>
                </c:ext>
              </c:extLst>
            </c:dLbl>
            <c:dLbl>
              <c:idx val="5"/>
              <c:layout>
                <c:manualLayout>
                  <c:x val="8.0055488329023438E-3"/>
                  <c:y val="-3.0523469547407887E-2"/>
                </c:manualLayout>
              </c:layout>
              <c:tx>
                <c:rich>
                  <a:bodyPr/>
                  <a:lstStyle/>
                  <a:p>
                    <a:r>
                      <a:rPr lang="en-US"/>
                      <a:t>2011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64-4B55-8704-FB0FF4FFED8B}"/>
                </c:ext>
              </c:extLst>
            </c:dLbl>
            <c:dLbl>
              <c:idx val="6"/>
              <c:layout>
                <c:manualLayout>
                  <c:x val="-0.11474523872131777"/>
                  <c:y val="-3.1313914333008237E-2"/>
                </c:manualLayout>
              </c:layout>
              <c:tx>
                <c:rich>
                  <a:bodyPr/>
                  <a:lstStyle/>
                  <a:p>
                    <a:r>
                      <a:rPr lang="en-US"/>
                      <a:t>2012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64-4B55-8704-FB0FF4FFED8B}"/>
                </c:ext>
              </c:extLst>
            </c:dLbl>
            <c:dLbl>
              <c:idx val="7"/>
              <c:layout>
                <c:manualLayout>
                  <c:x val="1.3486231330586023E-2"/>
                  <c:y val="-1.6118747633412688E-3"/>
                </c:manualLayout>
              </c:layout>
              <c:tx>
                <c:rich>
                  <a:bodyPr/>
                  <a:lstStyle/>
                  <a:p>
                    <a:r>
                      <a:rPr lang="en-US"/>
                      <a:t>2013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64-4B55-8704-FB0FF4FFED8B}"/>
                </c:ext>
              </c:extLst>
            </c:dLbl>
            <c:dLbl>
              <c:idx val="8"/>
              <c:layout>
                <c:manualLayout>
                  <c:x val="-0.10140361855009634"/>
                  <c:y val="7.1367693301288504E-2"/>
                </c:manualLayout>
              </c:layout>
              <c:tx>
                <c:rich>
                  <a:bodyPr/>
                  <a:lstStyle/>
                  <a:p>
                    <a:r>
                      <a:rPr lang="en-US"/>
                      <a:t>2014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64-4B55-8704-FB0FF4FFED8B}"/>
                </c:ext>
              </c:extLst>
            </c:dLbl>
            <c:dLbl>
              <c:idx val="9"/>
              <c:layout>
                <c:manualLayout>
                  <c:x val="-5.4327355684405977E-2"/>
                  <c:y val="3.8165916006571952E-2"/>
                </c:manualLayout>
              </c:layout>
              <c:tx>
                <c:rich>
                  <a:bodyPr/>
                  <a:lstStyle/>
                  <a:p>
                    <a:r>
                      <a:rPr lang="en-US"/>
                      <a:t>2015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64-4B55-8704-FB0FF4FFED8B}"/>
                </c:ext>
              </c:extLst>
            </c:dLbl>
            <c:dLbl>
              <c:idx val="10"/>
              <c:layout>
                <c:manualLayout>
                  <c:x val="-2.1348125735417816E-2"/>
                  <c:y val="7.0193690025747005E-2"/>
                </c:manualLayout>
              </c:layout>
              <c:tx>
                <c:rich>
                  <a:bodyPr/>
                  <a:lstStyle/>
                  <a:p>
                    <a:r>
                      <a:rPr lang="en-US"/>
                      <a:t>2016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64-4B55-8704-FB0FF4FFED8B}"/>
                </c:ext>
              </c:extLst>
            </c:dLbl>
            <c:dLbl>
              <c:idx val="11"/>
              <c:layout>
                <c:manualLayout>
                  <c:x val="-0.11359758938721193"/>
                  <c:y val="-4.8172679576615751E-2"/>
                </c:manualLayout>
              </c:layout>
              <c:tx>
                <c:rich>
                  <a:bodyPr/>
                  <a:lstStyle/>
                  <a:p>
                    <a:r>
                      <a:rPr lang="en-US"/>
                      <a:t>2017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364-4B55-8704-FB0FF4FFED8B}"/>
                </c:ext>
              </c:extLst>
            </c:dLbl>
            <c:dLbl>
              <c:idx val="12"/>
              <c:layout>
                <c:manualLayout>
                  <c:x val="-8.5392520884291667E-2"/>
                  <c:y val="-2.2410209173716247E-2"/>
                </c:manualLayout>
              </c:layout>
              <c:tx>
                <c:rich>
                  <a:bodyPr/>
                  <a:lstStyle/>
                  <a:p>
                    <a:r>
                      <a:rPr lang="en-US"/>
                      <a:t>2018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364-4B55-8704-FB0FF4FFED8B}"/>
                </c:ext>
              </c:extLst>
            </c:dLbl>
            <c:dLbl>
              <c:idx val="13"/>
              <c:layout>
                <c:manualLayout>
                  <c:x val="-4.2696260442145785E-2"/>
                  <c:y val="-7.0965662383434602E-2"/>
                </c:manualLayout>
              </c:layout>
              <c:tx>
                <c:rich>
                  <a:bodyPr/>
                  <a:lstStyle/>
                  <a:p>
                    <a:r>
                      <a:rPr lang="en-US"/>
                      <a:t>2019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364-4B55-8704-FB0FF4FFED8B}"/>
                </c:ext>
              </c:extLst>
            </c:dLbl>
            <c:dLbl>
              <c:idx val="14"/>
              <c:layout>
                <c:manualLayout>
                  <c:x val="-0.14609735180420724"/>
                  <c:y val="0.13710396962214039"/>
                </c:manualLayout>
              </c:layout>
              <c:tx>
                <c:rich>
                  <a:bodyPr rot="0" spcFirstLastPara="1" vertOverflow="ellipsis" vert="horz" wrap="square" lIns="38100" tIns="19050" rIns="38100" bIns="19050" anchor="ctr" anchorCtr="1">
                    <a:noAutofit/>
                  </a:bodyPr>
                  <a:lstStyle/>
                  <a:p>
                    <a:pPr>
                      <a:defRPr sz="6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en-US" sz="600" baseline="0">
                        <a:latin typeface="Times New Roman" panose="02020603050405020304" pitchFamily="18" charset="0"/>
                        <a:cs typeface="Times New Roman" panose="02020603050405020304" pitchFamily="18" charset="0"/>
                      </a:rPr>
                      <a:t>2020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12653956364134794"/>
                      <c:h val="7.9294600009318358E-2"/>
                    </c:manualLayout>
                  </c15:layout>
                </c:ext>
                <c:ext xmlns:c16="http://schemas.microsoft.com/office/drawing/2014/chart" uri="{C3380CC4-5D6E-409C-BE32-E72D297353CC}">
                  <c16:uniqueId val="{0000000E-9364-4B55-8704-FB0FF4FFED8B}"/>
                </c:ext>
              </c:extLst>
            </c:dLbl>
            <c:dLbl>
              <c:idx val="15"/>
              <c:layout>
                <c:manualLayout>
                  <c:x val="1.0674062867708761E-2"/>
                  <c:y val="-3.2622739847777804E-2"/>
                </c:manualLayout>
              </c:layout>
              <c:tx>
                <c:rich>
                  <a:bodyPr/>
                  <a:lstStyle/>
                  <a:p>
                    <a:r>
                      <a:rPr lang="en-US"/>
                      <a:t>2021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64-4B55-8704-FB0FF4FFED8B}"/>
                </c:ext>
              </c:extLst>
            </c:dLbl>
            <c:dLbl>
              <c:idx val="16"/>
              <c:layout>
                <c:manualLayout>
                  <c:x val="-5.1434383504272506E-2"/>
                  <c:y val="6.5017585578993606E-2"/>
                </c:manualLayout>
              </c:layout>
              <c:tx>
                <c:rich>
                  <a:bodyPr rot="0" spcFirstLastPara="1" vertOverflow="ellipsis" vert="horz" wrap="square" lIns="38100" tIns="19050" rIns="38100" bIns="19050" anchor="ctr" anchorCtr="1">
                    <a:noAutofit/>
                  </a:bodyPr>
                  <a:lstStyle/>
                  <a:p>
                    <a:pPr>
                      <a:defRPr sz="6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en-US" sz="600" b="0" baseline="0">
                        <a:latin typeface="Times New Roman" panose="02020603050405020304" pitchFamily="18" charset="0"/>
                        <a:cs typeface="Times New Roman" panose="02020603050405020304" pitchFamily="18" charset="0"/>
                      </a:rPr>
                      <a:t>2022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0-9364-4B55-8704-FB0FF4FFED8B}"/>
                </c:ext>
              </c:extLst>
            </c:dLbl>
            <c:dLbl>
              <c:idx val="17"/>
              <c:layout>
                <c:manualLayout>
                  <c:x val="-7.5879186526966189E-3"/>
                  <c:y val="-1.8404077526212075E-2"/>
                </c:manualLayout>
              </c:layout>
              <c:tx>
                <c:rich>
                  <a:bodyPr/>
                  <a:lstStyle/>
                  <a:p>
                    <a:r>
                      <a:rPr lang="en-US"/>
                      <a:t>2023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364-4B55-8704-FB0FF4FFED8B}"/>
                </c:ext>
              </c:extLst>
            </c:dLbl>
            <c:dLbl>
              <c:idx val="18"/>
              <c:layout>
                <c:manualLayout>
                  <c:x val="-5.9977669858269885E-3"/>
                  <c:y val="1.4377796284852282E-2"/>
                </c:manualLayout>
              </c:layout>
              <c:tx>
                <c:rich>
                  <a:bodyPr/>
                  <a:lstStyle/>
                  <a:p>
                    <a:r>
                      <a:rPr lang="en-US"/>
                      <a:t>2024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364-4B55-8704-FB0FF4FFED8B}"/>
                </c:ext>
              </c:extLst>
            </c:dLbl>
            <c:dLbl>
              <c:idx val="19"/>
              <c:layout>
                <c:manualLayout>
                  <c:x val="-5.0560313776511115E-2"/>
                  <c:y val="-2.8422689026967769E-2"/>
                </c:manualLayout>
              </c:layout>
              <c:tx>
                <c:rich>
                  <a:bodyPr/>
                  <a:lstStyle/>
                  <a:p>
                    <a:r>
                      <a:rPr lang="en-US"/>
                      <a:t>2025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364-4B55-8704-FB0FF4FFED8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ysClr val="windowText" lastClr="000000">
                          <a:lumMod val="35000"/>
                          <a:lumOff val="65000"/>
                        </a:sysClr>
                      </a:solidFill>
                      <a:round/>
                    </a:ln>
                    <a:effectLst/>
                  </c:spPr>
                </c15:leaderLines>
              </c:ext>
            </c:extLst>
          </c:dLbls>
          <c:xVal>
            <c:numRef>
              <c:f>'Grafikoni, CAB, Karakter'!$Z$12:$Z$31</c:f>
              <c:numCache>
                <c:formatCode>#,##0.0</c:formatCode>
                <c:ptCount val="20"/>
                <c:pt idx="0">
                  <c:v>-3.5217079908271129</c:v>
                </c:pt>
                <c:pt idx="1">
                  <c:v>1.1932327892653696</c:v>
                </c:pt>
                <c:pt idx="2">
                  <c:v>4.0965378566338515</c:v>
                </c:pt>
                <c:pt idx="3">
                  <c:v>-0.54105372671559238</c:v>
                </c:pt>
                <c:pt idx="4">
                  <c:v>0.40289807525243404</c:v>
                </c:pt>
                <c:pt idx="5">
                  <c:v>0.3014330037382022</c:v>
                </c:pt>
                <c:pt idx="6">
                  <c:v>-6.0525521927000531E-2</c:v>
                </c:pt>
                <c:pt idx="7">
                  <c:v>0.41039422140570492</c:v>
                </c:pt>
                <c:pt idx="8">
                  <c:v>-1.7460085776485106</c:v>
                </c:pt>
                <c:pt idx="9">
                  <c:v>-1.4930652876282089</c:v>
                </c:pt>
                <c:pt idx="10">
                  <c:v>-0.41527684062091835</c:v>
                </c:pt>
                <c:pt idx="11">
                  <c:v>-0.65079897397803466</c:v>
                </c:pt>
                <c:pt idx="12">
                  <c:v>0.78705197632453983</c:v>
                </c:pt>
                <c:pt idx="13">
                  <c:v>2.0350944379029965</c:v>
                </c:pt>
                <c:pt idx="14">
                  <c:v>-2.4845507588129903</c:v>
                </c:pt>
                <c:pt idx="15">
                  <c:v>1.4161994429154008</c:v>
                </c:pt>
                <c:pt idx="16">
                  <c:v>0.282533855978224</c:v>
                </c:pt>
                <c:pt idx="17">
                  <c:v>0.43864915241958552</c:v>
                </c:pt>
                <c:pt idx="18">
                  <c:v>0.7323666600844716</c:v>
                </c:pt>
                <c:pt idx="19">
                  <c:v>-0.41041698212489947</c:v>
                </c:pt>
              </c:numCache>
            </c:numRef>
          </c:xVal>
          <c:yVal>
            <c:numRef>
              <c:f>'Grafikoni, CAB, Karakter'!$AA$12:$AA$31</c:f>
              <c:numCache>
                <c:formatCode>#,##0.0</c:formatCode>
                <c:ptCount val="20"/>
                <c:pt idx="0">
                  <c:v>0.86384791183199083</c:v>
                </c:pt>
                <c:pt idx="1">
                  <c:v>2.7193135624589235</c:v>
                </c:pt>
                <c:pt idx="2">
                  <c:v>1.7035552449943179</c:v>
                </c:pt>
                <c:pt idx="3">
                  <c:v>-8.8621688748936389E-2</c:v>
                </c:pt>
                <c:pt idx="4">
                  <c:v>0.161143380820159</c:v>
                </c:pt>
                <c:pt idx="5">
                  <c:v>-4.3502691805997973E-2</c:v>
                </c:pt>
                <c:pt idx="6">
                  <c:v>1.1705898684091545</c:v>
                </c:pt>
                <c:pt idx="7">
                  <c:v>-1.5405693283237878</c:v>
                </c:pt>
                <c:pt idx="8">
                  <c:v>-0.20532931885457995</c:v>
                </c:pt>
                <c:pt idx="9">
                  <c:v>-2.850305504521351</c:v>
                </c:pt>
                <c:pt idx="10">
                  <c:v>-1.7121589325190614</c:v>
                </c:pt>
                <c:pt idx="11">
                  <c:v>-1.9338341664735197</c:v>
                </c:pt>
                <c:pt idx="12">
                  <c:v>1.3673377500050168</c:v>
                </c:pt>
                <c:pt idx="13">
                  <c:v>1.3652177922924278</c:v>
                </c:pt>
                <c:pt idx="14">
                  <c:v>5.8854417650141411</c:v>
                </c:pt>
                <c:pt idx="15">
                  <c:v>-2.0941895860618347</c:v>
                </c:pt>
                <c:pt idx="16">
                  <c:v>-1.1062579435892643</c:v>
                </c:pt>
                <c:pt idx="17">
                  <c:v>-1.0392924378968633</c:v>
                </c:pt>
                <c:pt idx="18">
                  <c:v>-9.4512857124128602E-2</c:v>
                </c:pt>
                <c:pt idx="19">
                  <c:v>0.49450149896105899</c:v>
                </c:pt>
              </c:numCache>
            </c:numRef>
          </c:yVal>
          <c:smooth val="1"/>
          <c:extLst>
            <c:ext xmlns:c16="http://schemas.microsoft.com/office/drawing/2014/chart" uri="{C3380CC4-5D6E-409C-BE32-E72D297353CC}">
              <c16:uniqueId val="{00000014-9364-4B55-8704-FB0FF4FFED8B}"/>
            </c:ext>
          </c:extLst>
        </c:ser>
        <c:dLbls>
          <c:showLegendKey val="0"/>
          <c:showVal val="0"/>
          <c:showCatName val="0"/>
          <c:showSerName val="0"/>
          <c:showPercent val="0"/>
          <c:showBubbleSize val="0"/>
        </c:dLbls>
        <c:axId val="220401872"/>
        <c:axId val="343751600"/>
      </c:scatterChart>
      <c:valAx>
        <c:axId val="220401872"/>
        <c:scaling>
          <c:orientation val="minMax"/>
          <c:min val="-4"/>
        </c:scaling>
        <c:delete val="0"/>
        <c:axPos val="b"/>
        <c:majorGridlines>
          <c:spPr>
            <a:ln w="12700" cap="flat" cmpd="sng" algn="ctr">
              <a:noFill/>
              <a:round/>
            </a:ln>
            <a:effectLst/>
          </c:spPr>
        </c:majorGridlines>
        <c:title>
          <c:tx>
            <c:rich>
              <a:bodyPr rot="0" spcFirstLastPara="1" vertOverflow="ellipsis" vert="horz" wrap="square" anchor="ctr" anchorCtr="1"/>
              <a:lstStyle/>
              <a:p>
                <a:pPr>
                  <a:defRPr sz="700" b="0" i="0" u="none" strike="noStrike" kern="1200" baseline="0">
                    <a:solidFill>
                      <a:srgbClr val="44546A"/>
                    </a:solidFill>
                    <a:latin typeface="+mn-lt"/>
                    <a:ea typeface="+mn-ea"/>
                    <a:cs typeface="+mn-cs"/>
                  </a:defRPr>
                </a:pPr>
                <a:r>
                  <a:rPr lang="sr-Latn-RS" sz="700" b="0">
                    <a:solidFill>
                      <a:srgbClr val="44546A"/>
                    </a:solidFill>
                    <a:latin typeface="Times New Roman" panose="02020603050405020304" pitchFamily="18" charset="0"/>
                    <a:cs typeface="Times New Roman" panose="02020603050405020304" pitchFamily="18" charset="0"/>
                  </a:rPr>
                  <a:t>output</a:t>
                </a:r>
                <a:r>
                  <a:rPr lang="sr-Latn-RS" sz="700" b="0" baseline="0">
                    <a:solidFill>
                      <a:srgbClr val="44546A"/>
                    </a:solidFill>
                    <a:latin typeface="Times New Roman" panose="02020603050405020304" pitchFamily="18" charset="0"/>
                    <a:cs typeface="Times New Roman" panose="02020603050405020304" pitchFamily="18" charset="0"/>
                  </a:rPr>
                  <a:t> gap</a:t>
                </a:r>
                <a:endParaRPr lang="sr-Cyrl-CS" sz="700" b="0">
                  <a:solidFill>
                    <a:srgbClr val="44546A"/>
                  </a:solidFill>
                  <a:latin typeface="Times New Roman" panose="02020603050405020304" pitchFamily="18" charset="0"/>
                  <a:cs typeface="Times New Roman" panose="02020603050405020304" pitchFamily="18" charset="0"/>
                </a:endParaRPr>
              </a:p>
            </c:rich>
          </c:tx>
          <c:layout>
            <c:manualLayout>
              <c:xMode val="edge"/>
              <c:yMode val="edge"/>
              <c:x val="0.82932193475815519"/>
              <c:y val="0.56597321446622073"/>
            </c:manualLayout>
          </c:layout>
          <c:overlay val="0"/>
          <c:spPr>
            <a:noFill/>
            <a:ln>
              <a:noFill/>
            </a:ln>
            <a:effectLst/>
          </c:spPr>
        </c:title>
        <c:numFmt formatCode="#,##0" sourceLinked="0"/>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lgn="just">
              <a:defRPr sz="8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endParaRPr lang="en-US"/>
          </a:p>
        </c:txPr>
        <c:crossAx val="343751600"/>
        <c:crosses val="autoZero"/>
        <c:crossBetween val="midCat"/>
      </c:valAx>
      <c:valAx>
        <c:axId val="343751600"/>
        <c:scaling>
          <c:orientation val="minMax"/>
          <c:max val="6.5"/>
          <c:min val="-4"/>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700" b="0" i="0" u="none" strike="noStrike" kern="1200" baseline="0">
                    <a:solidFill>
                      <a:srgbClr val="44546A"/>
                    </a:solidFill>
                    <a:latin typeface="Times New Roman" panose="02020603050405020304" pitchFamily="18" charset="0"/>
                    <a:ea typeface="+mn-ea"/>
                    <a:cs typeface="Times New Roman" panose="02020603050405020304" pitchFamily="18" charset="0"/>
                  </a:defRPr>
                </a:pPr>
                <a:r>
                  <a:rPr lang="sr-Latn-RS" sz="700" b="1">
                    <a:solidFill>
                      <a:srgbClr val="44546A"/>
                    </a:solidFill>
                    <a:latin typeface="Times New Roman" panose="02020603050405020304" pitchFamily="18" charset="0"/>
                    <a:cs typeface="Times New Roman" panose="02020603050405020304" pitchFamily="18" charset="0"/>
                  </a:rPr>
                  <a:t>fiscal</a:t>
                </a:r>
                <a:r>
                  <a:rPr lang="sr-Latn-RS" sz="700" b="1" baseline="0">
                    <a:solidFill>
                      <a:srgbClr val="44546A"/>
                    </a:solidFill>
                    <a:latin typeface="Times New Roman" panose="02020603050405020304" pitchFamily="18" charset="0"/>
                    <a:cs typeface="Times New Roman" panose="02020603050405020304" pitchFamily="18" charset="0"/>
                  </a:rPr>
                  <a:t> impulse</a:t>
                </a:r>
                <a:endParaRPr lang="en-GB" sz="700" b="1">
                  <a:solidFill>
                    <a:srgbClr val="44546A"/>
                  </a:solidFill>
                  <a:latin typeface="Times New Roman" panose="02020603050405020304" pitchFamily="18" charset="0"/>
                  <a:cs typeface="Times New Roman" panose="02020603050405020304" pitchFamily="18" charset="0"/>
                </a:endParaRPr>
              </a:p>
            </c:rich>
          </c:tx>
          <c:layout>
            <c:manualLayout>
              <c:xMode val="edge"/>
              <c:yMode val="edge"/>
              <c:x val="2.4161058907862351E-3"/>
              <c:y val="0.26999619747178244"/>
            </c:manualLayout>
          </c:layout>
          <c:overlay val="0"/>
          <c:spPr>
            <a:noFill/>
            <a:ln>
              <a:noFill/>
            </a:ln>
            <a:effectLst/>
          </c:spPr>
        </c:title>
        <c:numFmt formatCode="#,##0" sourceLinked="0"/>
        <c:majorTickMark val="none"/>
        <c:minorTickMark val="none"/>
        <c:tickLblPos val="nextTo"/>
        <c:spPr>
          <a:noFill/>
          <a:ln w="9525">
            <a:solidFill>
              <a:srgbClr val="D9D9D9"/>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2040187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latin typeface="Cambria" panose="02040503050406030204" pitchFamily="18"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368051268925991E-2"/>
          <c:y val="2.4498269896193772E-2"/>
          <c:w val="0.9372012977727866"/>
          <c:h val="0.90122138542350005"/>
        </c:manualLayout>
      </c:layout>
      <c:lineChart>
        <c:grouping val="standard"/>
        <c:varyColors val="0"/>
        <c:ser>
          <c:idx val="0"/>
          <c:order val="0"/>
          <c:spPr>
            <a:ln w="28575" cap="rnd" cmpd="sng" algn="ctr">
              <a:solidFill>
                <a:schemeClr val="accent1">
                  <a:shade val="40000"/>
                  <a:shade val="95000"/>
                  <a:satMod val="105000"/>
                </a:schemeClr>
              </a:solidFill>
              <a:prstDash val="solid"/>
              <a:round/>
            </a:ln>
            <a:effectLst/>
          </c:spPr>
          <c:marker>
            <c:spPr>
              <a:solidFill>
                <a:schemeClr val="accent1">
                  <a:shade val="38000"/>
                </a:schemeClr>
              </a:solidFill>
              <a:ln w="9525" cap="flat" cmpd="sng" algn="ctr">
                <a:solidFill>
                  <a:schemeClr val="accent1">
                    <a:shade val="38000"/>
                    <a:shade val="95000"/>
                    <a:satMod val="105000"/>
                  </a:schemeClr>
                </a:solidFill>
                <a:prstDash val="solid"/>
                <a:round/>
              </a:ln>
              <a:effectLst/>
            </c:spPr>
          </c:marker>
          <c:dLbls>
            <c:numFmt formatCode="#,##0.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kursa'!$H$50:$Q$50</c:f>
              <c:numCache>
                <c:formatCode>General</c:formatCode>
                <c:ptCount val="10"/>
                <c:pt idx="0">
                  <c:v>2018</c:v>
                </c:pt>
                <c:pt idx="1">
                  <c:v>2019</c:v>
                </c:pt>
                <c:pt idx="2">
                  <c:v>2020</c:v>
                </c:pt>
                <c:pt idx="3">
                  <c:v>2021</c:v>
                </c:pt>
                <c:pt idx="4">
                  <c:v>2022</c:v>
                </c:pt>
                <c:pt idx="5">
                  <c:v>2023</c:v>
                </c:pt>
                <c:pt idx="6">
                  <c:v>2024</c:v>
                </c:pt>
                <c:pt idx="7">
                  <c:v>2025</c:v>
                </c:pt>
                <c:pt idx="8">
                  <c:v>2026</c:v>
                </c:pt>
                <c:pt idx="9">
                  <c:v>2027</c:v>
                </c:pt>
              </c:numCache>
            </c:numRef>
          </c:val>
          <c:smooth val="0"/>
          <c:extLst>
            <c:ext xmlns:c16="http://schemas.microsoft.com/office/drawing/2014/chart" uri="{C3380CC4-5D6E-409C-BE32-E72D297353CC}">
              <c16:uniqueId val="{00000000-6FA9-43F9-BA78-6D0910D44049}"/>
            </c:ext>
          </c:extLst>
        </c:ser>
        <c:ser>
          <c:idx val="1"/>
          <c:order val="1"/>
          <c:spPr>
            <a:ln w="28575" cap="rnd" cmpd="sng" algn="ctr">
              <a:solidFill>
                <a:schemeClr val="accent1">
                  <a:shade val="51000"/>
                  <a:shade val="95000"/>
                  <a:satMod val="105000"/>
                </a:schemeClr>
              </a:solidFill>
              <a:prstDash val="solid"/>
              <a:round/>
            </a:ln>
            <a:effectLst/>
          </c:spPr>
          <c:marker>
            <c:symbol val="diamond"/>
            <c:size val="10"/>
            <c:spPr>
              <a:solidFill>
                <a:schemeClr val="accent1">
                  <a:shade val="45000"/>
                </a:schemeClr>
              </a:solidFill>
              <a:ln w="9525" cap="flat" cmpd="sng" algn="ctr">
                <a:solidFill>
                  <a:schemeClr val="accent1">
                    <a:shade val="45000"/>
                    <a:shade val="95000"/>
                    <a:satMod val="105000"/>
                  </a:schemeClr>
                </a:solidFill>
                <a:prstDash val="solid"/>
                <a:round/>
              </a:ln>
              <a:effectLst/>
            </c:spPr>
          </c:marker>
          <c:dLbls>
            <c:dLbl>
              <c:idx val="0"/>
              <c:tx>
                <c:rich>
                  <a:bodyPr/>
                  <a:lstStyle/>
                  <a:p>
                    <a:r>
                      <a:rPr lang="en-US"/>
                      <a:t>51.4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A9-43F9-BA78-6D0910D44049}"/>
                </c:ext>
              </c:extLst>
            </c:dLbl>
            <c:dLbl>
              <c:idx val="1"/>
              <c:tx>
                <c:rich>
                  <a:bodyPr/>
                  <a:lstStyle/>
                  <a:p>
                    <a:r>
                      <a:rPr lang="en-US"/>
                      <a:t>49.7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A9-43F9-BA78-6D0910D44049}"/>
                </c:ext>
              </c:extLst>
            </c:dLbl>
            <c:dLbl>
              <c:idx val="2"/>
              <c:tx>
                <c:rich>
                  <a:bodyPr/>
                  <a:lstStyle/>
                  <a:p>
                    <a:r>
                      <a:rPr lang="en-US"/>
                      <a:t>54.4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A9-43F9-BA78-6D0910D44049}"/>
                </c:ext>
              </c:extLst>
            </c:dLbl>
            <c:dLbl>
              <c:idx val="3"/>
              <c:tx>
                <c:rich>
                  <a:bodyPr/>
                  <a:lstStyle/>
                  <a:p>
                    <a:r>
                      <a:rPr lang="en-US"/>
                      <a:t>53.9</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A9-43F9-BA78-6D0910D44049}"/>
                </c:ext>
              </c:extLst>
            </c:dLbl>
            <c:dLbl>
              <c:idx val="4"/>
              <c:tx>
                <c:rich>
                  <a:bodyPr/>
                  <a:lstStyle/>
                  <a:p>
                    <a:r>
                      <a:rPr lang="en-US"/>
                      <a:t>52.4</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A9-43F9-BA78-6D0910D44049}"/>
                </c:ext>
              </c:extLst>
            </c:dLbl>
            <c:dLbl>
              <c:idx val="5"/>
              <c:tx>
                <c:rich>
                  <a:bodyPr/>
                  <a:lstStyle/>
                  <a:p>
                    <a:r>
                      <a:rPr lang="en-US"/>
                      <a:t>48.0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A9-43F9-BA78-6D0910D44049}"/>
                </c:ext>
              </c:extLst>
            </c:dLbl>
            <c:dLbl>
              <c:idx val="6"/>
              <c:tx>
                <c:rich>
                  <a:bodyPr/>
                  <a:lstStyle/>
                  <a:p>
                    <a:r>
                      <a:rPr lang="en-US"/>
                      <a:t>46.7</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A9-43F9-BA78-6D0910D44049}"/>
                </c:ext>
              </c:extLst>
            </c:dLbl>
            <c:dLbl>
              <c:idx val="7"/>
              <c:tx>
                <c:rich>
                  <a:bodyPr/>
                  <a:lstStyle/>
                  <a:p>
                    <a:r>
                      <a:rPr lang="en-US"/>
                      <a:t>44.6</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A9-43F9-BA78-6D0910D44049}"/>
                </c:ext>
              </c:extLst>
            </c:dLbl>
            <c:dLbl>
              <c:idx val="8"/>
              <c:tx>
                <c:rich>
                  <a:bodyPr/>
                  <a:lstStyle/>
                  <a:p>
                    <a:r>
                      <a:rPr lang="en-US"/>
                      <a:t>44.0</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A9-43F9-BA78-6D0910D44049}"/>
                </c:ext>
              </c:extLst>
            </c:dLbl>
            <c:dLbl>
              <c:idx val="9"/>
              <c:tx>
                <c:rich>
                  <a:bodyPr/>
                  <a:lstStyle/>
                  <a:p>
                    <a:r>
                      <a:rPr lang="en-US"/>
                      <a:t>43.8</a:t>
                    </a:r>
                  </a:p>
                </c:rich>
              </c:tx>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A9-43F9-BA78-6D0910D44049}"/>
                </c:ext>
              </c:extLst>
            </c:dLbl>
            <c:dLbl>
              <c:idx val="10"/>
              <c:layout>
                <c:manualLayout>
                  <c:x val="-2.2737621714811421E-2"/>
                  <c:y val="7.1727251710116541E-2"/>
                </c:manualLayout>
              </c:layout>
              <c:tx>
                <c:rich>
                  <a:bodyPr/>
                  <a:lstStyle/>
                  <a:p>
                    <a:r>
                      <a:rPr lang="en-US"/>
                      <a:t>43.6</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A9-43F9-BA78-6D0910D4404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kursa'!$H$51:$R$51</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44.593709893393488</c:v>
                </c:pt>
                <c:pt idx="8">
                  <c:v>43.959239249480312</c:v>
                </c:pt>
                <c:pt idx="9">
                  <c:v>43.757379957092127</c:v>
                </c:pt>
                <c:pt idx="10">
                  <c:v>43.599630977631271</c:v>
                </c:pt>
              </c:numCache>
            </c:numRef>
          </c:val>
          <c:smooth val="0"/>
          <c:extLst>
            <c:ext xmlns:c16="http://schemas.microsoft.com/office/drawing/2014/chart" uri="{C3380CC4-5D6E-409C-BE32-E72D297353CC}">
              <c16:uniqueId val="{0000000C-6FA9-43F9-BA78-6D0910D44049}"/>
            </c:ext>
          </c:extLst>
        </c:ser>
        <c:ser>
          <c:idx val="2"/>
          <c:order val="2"/>
          <c:spPr>
            <a:ln w="28575" cap="rnd" cmpd="sng" algn="ctr">
              <a:solidFill>
                <a:schemeClr val="accent1">
                  <a:shade val="62000"/>
                  <a:shade val="95000"/>
                  <a:satMod val="105000"/>
                </a:schemeClr>
              </a:solidFill>
              <a:prstDash val="solid"/>
              <a:round/>
            </a:ln>
            <a:effectLst/>
          </c:spPr>
          <c:marker>
            <c:symbol val="none"/>
          </c:marker>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kursa'!$H$52:$R$52</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45.287588019334699</c:v>
                </c:pt>
                <c:pt idx="8">
                  <c:v>44.732921860271176</c:v>
                </c:pt>
                <c:pt idx="9">
                  <c:v>44.438244789224484</c:v>
                </c:pt>
                <c:pt idx="10">
                  <c:v>44.278041235643215</c:v>
                </c:pt>
              </c:numCache>
            </c:numRef>
          </c:val>
          <c:smooth val="0"/>
          <c:extLst>
            <c:ext xmlns:c16="http://schemas.microsoft.com/office/drawing/2014/chart" uri="{C3380CC4-5D6E-409C-BE32-E72D297353CC}">
              <c16:uniqueId val="{0000000D-6FA9-43F9-BA78-6D0910D44049}"/>
            </c:ext>
          </c:extLst>
        </c:ser>
        <c:ser>
          <c:idx val="3"/>
          <c:order val="3"/>
          <c:spPr>
            <a:ln w="28575" cap="rnd" cmpd="sng" algn="ctr">
              <a:solidFill>
                <a:schemeClr val="accent1">
                  <a:shade val="73000"/>
                  <a:shade val="95000"/>
                  <a:satMod val="105000"/>
                </a:schemeClr>
              </a:solidFill>
              <a:prstDash val="solid"/>
              <a:round/>
            </a:ln>
            <a:effectLst/>
          </c:spPr>
          <c:marker>
            <c:symbol val="none"/>
          </c:marker>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kursa'!$H$53:$R$53</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45.981466145275903</c:v>
                </c:pt>
                <c:pt idx="8">
                  <c:v>45.327250774924153</c:v>
                </c:pt>
                <c:pt idx="9">
                  <c:v>45.119109621356849</c:v>
                </c:pt>
                <c:pt idx="10">
                  <c:v>44.956451493655166</c:v>
                </c:pt>
              </c:numCache>
            </c:numRef>
          </c:val>
          <c:smooth val="0"/>
          <c:extLst>
            <c:ext xmlns:c16="http://schemas.microsoft.com/office/drawing/2014/chart" uri="{C3380CC4-5D6E-409C-BE32-E72D297353CC}">
              <c16:uniqueId val="{0000000E-6FA9-43F9-BA78-6D0910D44049}"/>
            </c:ext>
          </c:extLst>
        </c:ser>
        <c:ser>
          <c:idx val="4"/>
          <c:order val="4"/>
          <c:spPr>
            <a:ln w="28575" cap="rnd" cmpd="sng" algn="ctr">
              <a:solidFill>
                <a:schemeClr val="accent1">
                  <a:shade val="83000"/>
                  <a:shade val="95000"/>
                  <a:satMod val="105000"/>
                </a:schemeClr>
              </a:solidFill>
              <a:prstDash val="solid"/>
              <a:round/>
            </a:ln>
            <a:effectLst/>
          </c:spPr>
          <c:marker>
            <c:symbol val="none"/>
          </c:marker>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kursa'!$H$54:$R$54</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46.675344271217092</c:v>
                </c:pt>
                <c:pt idx="8">
                  <c:v>46.011256537646055</c:v>
                </c:pt>
                <c:pt idx="9">
                  <c:v>45.799974453489192</c:v>
                </c:pt>
                <c:pt idx="10">
                  <c:v>45.634861751667103</c:v>
                </c:pt>
              </c:numCache>
            </c:numRef>
          </c:val>
          <c:smooth val="0"/>
          <c:extLst>
            <c:ext xmlns:c16="http://schemas.microsoft.com/office/drawing/2014/chart" uri="{C3380CC4-5D6E-409C-BE32-E72D297353CC}">
              <c16:uniqueId val="{0000000F-6FA9-43F9-BA78-6D0910D44049}"/>
            </c:ext>
          </c:extLst>
        </c:ser>
        <c:ser>
          <c:idx val="5"/>
          <c:order val="5"/>
          <c:spPr>
            <a:ln w="28575" cap="rnd" cmpd="sng" algn="ctr">
              <a:solidFill>
                <a:schemeClr val="accent1">
                  <a:shade val="94000"/>
                  <a:shade val="95000"/>
                  <a:satMod val="105000"/>
                </a:schemeClr>
              </a:solidFill>
              <a:prstDash val="solid"/>
              <a:round/>
            </a:ln>
            <a:effectLst/>
          </c:spPr>
          <c:marker>
            <c:symbol val="none"/>
          </c:marker>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kursa'!$H$55:$R$55</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47.369222397158303</c:v>
                </c:pt>
                <c:pt idx="8">
                  <c:v>46.695262300367972</c:v>
                </c:pt>
                <c:pt idx="9">
                  <c:v>46.480839285621549</c:v>
                </c:pt>
                <c:pt idx="10">
                  <c:v>46.313272009679046</c:v>
                </c:pt>
              </c:numCache>
            </c:numRef>
          </c:val>
          <c:smooth val="0"/>
          <c:extLst>
            <c:ext xmlns:c16="http://schemas.microsoft.com/office/drawing/2014/chart" uri="{C3380CC4-5D6E-409C-BE32-E72D297353CC}">
              <c16:uniqueId val="{00000010-6FA9-43F9-BA78-6D0910D44049}"/>
            </c:ext>
          </c:extLst>
        </c:ser>
        <c:ser>
          <c:idx val="6"/>
          <c:order val="6"/>
          <c:spPr>
            <a:ln w="28575" cap="rnd" cmpd="sng" algn="ctr">
              <a:solidFill>
                <a:schemeClr val="accent1">
                  <a:tint val="95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1-6FA9-43F9-BA78-6D0910D44049}"/>
                </c:ext>
              </c:extLst>
            </c:dLbl>
            <c:dLbl>
              <c:idx val="1"/>
              <c:delete val="1"/>
              <c:extLst>
                <c:ext xmlns:c15="http://schemas.microsoft.com/office/drawing/2012/chart" uri="{CE6537A1-D6FC-4f65-9D91-7224C49458BB}"/>
                <c:ext xmlns:c16="http://schemas.microsoft.com/office/drawing/2014/chart" uri="{C3380CC4-5D6E-409C-BE32-E72D297353CC}">
                  <c16:uniqueId val="{00000012-6FA9-43F9-BA78-6D0910D44049}"/>
                </c:ext>
              </c:extLst>
            </c:dLbl>
            <c:dLbl>
              <c:idx val="2"/>
              <c:delete val="1"/>
              <c:extLst>
                <c:ext xmlns:c15="http://schemas.microsoft.com/office/drawing/2012/chart" uri="{CE6537A1-D6FC-4f65-9D91-7224C49458BB}"/>
                <c:ext xmlns:c16="http://schemas.microsoft.com/office/drawing/2014/chart" uri="{C3380CC4-5D6E-409C-BE32-E72D297353CC}">
                  <c16:uniqueId val="{00000013-6FA9-43F9-BA78-6D0910D44049}"/>
                </c:ext>
              </c:extLst>
            </c:dLbl>
            <c:dLbl>
              <c:idx val="3"/>
              <c:delete val="1"/>
              <c:extLst>
                <c:ext xmlns:c15="http://schemas.microsoft.com/office/drawing/2012/chart" uri="{CE6537A1-D6FC-4f65-9D91-7224C49458BB}"/>
                <c:ext xmlns:c16="http://schemas.microsoft.com/office/drawing/2014/chart" uri="{C3380CC4-5D6E-409C-BE32-E72D297353CC}">
                  <c16:uniqueId val="{00000014-6FA9-43F9-BA78-6D0910D44049}"/>
                </c:ext>
              </c:extLst>
            </c:dLbl>
            <c:dLbl>
              <c:idx val="4"/>
              <c:delete val="1"/>
              <c:extLst>
                <c:ext xmlns:c15="http://schemas.microsoft.com/office/drawing/2012/chart" uri="{CE6537A1-D6FC-4f65-9D91-7224C49458BB}"/>
                <c:ext xmlns:c16="http://schemas.microsoft.com/office/drawing/2014/chart" uri="{C3380CC4-5D6E-409C-BE32-E72D297353CC}">
                  <c16:uniqueId val="{00000015-6FA9-43F9-BA78-6D0910D44049}"/>
                </c:ext>
              </c:extLst>
            </c:dLbl>
            <c:dLbl>
              <c:idx val="5"/>
              <c:delete val="1"/>
              <c:extLst>
                <c:ext xmlns:c15="http://schemas.microsoft.com/office/drawing/2012/chart" uri="{CE6537A1-D6FC-4f65-9D91-7224C49458BB}"/>
                <c:ext xmlns:c16="http://schemas.microsoft.com/office/drawing/2014/chart" uri="{C3380CC4-5D6E-409C-BE32-E72D297353CC}">
                  <c16:uniqueId val="{00000016-6FA9-43F9-BA78-6D0910D44049}"/>
                </c:ext>
              </c:extLst>
            </c:dLbl>
            <c:dLbl>
              <c:idx val="6"/>
              <c:delete val="1"/>
              <c:extLst>
                <c:ext xmlns:c15="http://schemas.microsoft.com/office/drawing/2012/chart" uri="{CE6537A1-D6FC-4f65-9D91-7224C49458BB}"/>
                <c:ext xmlns:c16="http://schemas.microsoft.com/office/drawing/2014/chart" uri="{C3380CC4-5D6E-409C-BE32-E72D297353CC}">
                  <c16:uniqueId val="{00000017-6FA9-43F9-BA78-6D0910D44049}"/>
                </c:ext>
              </c:extLst>
            </c:dLbl>
            <c:dLbl>
              <c:idx val="7"/>
              <c:tx>
                <c:rich>
                  <a:bodyPr/>
                  <a:lstStyle/>
                  <a:p>
                    <a:r>
                      <a:rPr lang="en-US"/>
                      <a:t>48.1</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A9-43F9-BA78-6D0910D44049}"/>
                </c:ext>
              </c:extLst>
            </c:dLbl>
            <c:dLbl>
              <c:idx val="8"/>
              <c:tx>
                <c:rich>
                  <a:bodyPr/>
                  <a:lstStyle/>
                  <a:p>
                    <a:r>
                      <a:rPr lang="en-US"/>
                      <a:t>47.4</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FA9-43F9-BA78-6D0910D44049}"/>
                </c:ext>
              </c:extLst>
            </c:dLbl>
            <c:dLbl>
              <c:idx val="9"/>
              <c:tx>
                <c:rich>
                  <a:bodyPr/>
                  <a:lstStyle/>
                  <a:p>
                    <a:r>
                      <a:rPr lang="en-US"/>
                      <a:t>47.2</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FA9-43F9-BA78-6D0910D44049}"/>
                </c:ext>
              </c:extLst>
            </c:dLbl>
            <c:dLbl>
              <c:idx val="10"/>
              <c:layout>
                <c:manualLayout>
                  <c:x val="-2.4769944993989296E-2"/>
                  <c:y val="-5.445609454258632E-2"/>
                </c:manualLayout>
              </c:layout>
              <c:tx>
                <c:rich>
                  <a:bodyPr/>
                  <a:lstStyle/>
                  <a:p>
                    <a:r>
                      <a:rPr lang="en-US"/>
                      <a:t>47.0</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FA9-43F9-BA78-6D0910D4404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kursa'!$H$56:$R$56</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48.0631005230995</c:v>
                </c:pt>
                <c:pt idx="8">
                  <c:v>47.379268063089889</c:v>
                </c:pt>
                <c:pt idx="9">
                  <c:v>47.161704117753906</c:v>
                </c:pt>
                <c:pt idx="10">
                  <c:v>46.99168226769099</c:v>
                </c:pt>
              </c:numCache>
            </c:numRef>
          </c:val>
          <c:smooth val="0"/>
          <c:extLst>
            <c:ext xmlns:c16="http://schemas.microsoft.com/office/drawing/2014/chart" uri="{C3380CC4-5D6E-409C-BE32-E72D297353CC}">
              <c16:uniqueId val="{0000001C-6FA9-43F9-BA78-6D0910D44049}"/>
            </c:ext>
          </c:extLst>
        </c:ser>
        <c:ser>
          <c:idx val="7"/>
          <c:order val="7"/>
          <c:spPr>
            <a:ln w="28575" cap="rnd" cmpd="sng" algn="ctr">
              <a:solidFill>
                <a:schemeClr val="accent1">
                  <a:tint val="84000"/>
                  <a:shade val="95000"/>
                  <a:satMod val="105000"/>
                </a:schemeClr>
              </a:solidFill>
              <a:prstDash val="solid"/>
              <a:round/>
            </a:ln>
            <a:effectLst/>
          </c:spPr>
          <c:marker>
            <c:symbol val="none"/>
          </c:marker>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kursa'!$H$57:$R$57</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43.899831767452291</c:v>
                </c:pt>
                <c:pt idx="8">
                  <c:v>43.27523348675841</c:v>
                </c:pt>
                <c:pt idx="9">
                  <c:v>43.076515124959784</c:v>
                </c:pt>
                <c:pt idx="10">
                  <c:v>42.921220719619328</c:v>
                </c:pt>
              </c:numCache>
            </c:numRef>
          </c:val>
          <c:smooth val="0"/>
          <c:extLst>
            <c:ext xmlns:c16="http://schemas.microsoft.com/office/drawing/2014/chart" uri="{C3380CC4-5D6E-409C-BE32-E72D297353CC}">
              <c16:uniqueId val="{0000001D-6FA9-43F9-BA78-6D0910D44049}"/>
            </c:ext>
          </c:extLst>
        </c:ser>
        <c:ser>
          <c:idx val="8"/>
          <c:order val="8"/>
          <c:spPr>
            <a:ln w="28575" cap="rnd" cmpd="sng" algn="ctr">
              <a:solidFill>
                <a:schemeClr val="accent1">
                  <a:tint val="74000"/>
                  <a:shade val="95000"/>
                  <a:satMod val="105000"/>
                </a:schemeClr>
              </a:solidFill>
              <a:prstDash val="solid"/>
              <a:round/>
            </a:ln>
            <a:effectLst/>
          </c:spPr>
          <c:marker>
            <c:symbol val="none"/>
          </c:marker>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kursa'!$H$58:$R$58</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43.20595364151108</c:v>
                </c:pt>
                <c:pt idx="8">
                  <c:v>42.591227724036493</c:v>
                </c:pt>
                <c:pt idx="9">
                  <c:v>42.395650292827426</c:v>
                </c:pt>
                <c:pt idx="10">
                  <c:v>42.242810461607391</c:v>
                </c:pt>
              </c:numCache>
            </c:numRef>
          </c:val>
          <c:smooth val="0"/>
          <c:extLst>
            <c:ext xmlns:c16="http://schemas.microsoft.com/office/drawing/2014/chart" uri="{C3380CC4-5D6E-409C-BE32-E72D297353CC}">
              <c16:uniqueId val="{0000001E-6FA9-43F9-BA78-6D0910D44049}"/>
            </c:ext>
          </c:extLst>
        </c:ser>
        <c:ser>
          <c:idx val="9"/>
          <c:order val="9"/>
          <c:spPr>
            <a:ln w="28575" cap="rnd" cmpd="sng" algn="ctr">
              <a:solidFill>
                <a:schemeClr val="accent1">
                  <a:tint val="63000"/>
                  <a:shade val="95000"/>
                  <a:satMod val="105000"/>
                </a:schemeClr>
              </a:solidFill>
              <a:prstDash val="solid"/>
              <a:round/>
            </a:ln>
            <a:effectLst/>
          </c:spPr>
          <c:marker>
            <c:symbol val="none"/>
          </c:marker>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kursa'!$H$59:$R$59</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42.512075515569876</c:v>
                </c:pt>
                <c:pt idx="8">
                  <c:v>41.907221961314569</c:v>
                </c:pt>
                <c:pt idx="9">
                  <c:v>41.714785460695069</c:v>
                </c:pt>
                <c:pt idx="10">
                  <c:v>41.56440020359544</c:v>
                </c:pt>
              </c:numCache>
            </c:numRef>
          </c:val>
          <c:smooth val="0"/>
          <c:extLst>
            <c:ext xmlns:c16="http://schemas.microsoft.com/office/drawing/2014/chart" uri="{C3380CC4-5D6E-409C-BE32-E72D297353CC}">
              <c16:uniqueId val="{0000001F-6FA9-43F9-BA78-6D0910D44049}"/>
            </c:ext>
          </c:extLst>
        </c:ser>
        <c:ser>
          <c:idx val="10"/>
          <c:order val="10"/>
          <c:spPr>
            <a:ln w="28575" cap="rnd" cmpd="sng" algn="ctr">
              <a:solidFill>
                <a:schemeClr val="accent1">
                  <a:tint val="52000"/>
                  <a:shade val="95000"/>
                  <a:satMod val="105000"/>
                </a:schemeClr>
              </a:solidFill>
              <a:prstDash val="solid"/>
              <a:round/>
            </a:ln>
            <a:effectLst/>
          </c:spPr>
          <c:marker>
            <c:symbol val="none"/>
          </c:marker>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kursa'!$H$60:$R$60</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41.818197389628679</c:v>
                </c:pt>
                <c:pt idx="8">
                  <c:v>41.22321619859266</c:v>
                </c:pt>
                <c:pt idx="9">
                  <c:v>41.033920628562718</c:v>
                </c:pt>
                <c:pt idx="10">
                  <c:v>40.885989945583503</c:v>
                </c:pt>
              </c:numCache>
            </c:numRef>
          </c:val>
          <c:smooth val="0"/>
          <c:extLst>
            <c:ext xmlns:c16="http://schemas.microsoft.com/office/drawing/2014/chart" uri="{C3380CC4-5D6E-409C-BE32-E72D297353CC}">
              <c16:uniqueId val="{00000020-6FA9-43F9-BA78-6D0910D44049}"/>
            </c:ext>
          </c:extLst>
        </c:ser>
        <c:ser>
          <c:idx val="11"/>
          <c:order val="11"/>
          <c:spPr>
            <a:ln w="28575" cap="rnd" cmpd="sng" algn="ctr">
              <a:solidFill>
                <a:schemeClr val="accent1">
                  <a:tint val="41000"/>
                  <a:shade val="95000"/>
                  <a:satMod val="105000"/>
                </a:schemeClr>
              </a:solidFill>
              <a:prstDash val="solid"/>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21-6FA9-43F9-BA78-6D0910D44049}"/>
                </c:ext>
              </c:extLst>
            </c:dLbl>
            <c:dLbl>
              <c:idx val="1"/>
              <c:delete val="1"/>
              <c:extLst>
                <c:ext xmlns:c15="http://schemas.microsoft.com/office/drawing/2012/chart" uri="{CE6537A1-D6FC-4f65-9D91-7224C49458BB}"/>
                <c:ext xmlns:c16="http://schemas.microsoft.com/office/drawing/2014/chart" uri="{C3380CC4-5D6E-409C-BE32-E72D297353CC}">
                  <c16:uniqueId val="{00000022-6FA9-43F9-BA78-6D0910D44049}"/>
                </c:ext>
              </c:extLst>
            </c:dLbl>
            <c:dLbl>
              <c:idx val="2"/>
              <c:delete val="1"/>
              <c:extLst>
                <c:ext xmlns:c15="http://schemas.microsoft.com/office/drawing/2012/chart" uri="{CE6537A1-D6FC-4f65-9D91-7224C49458BB}"/>
                <c:ext xmlns:c16="http://schemas.microsoft.com/office/drawing/2014/chart" uri="{C3380CC4-5D6E-409C-BE32-E72D297353CC}">
                  <c16:uniqueId val="{00000023-6FA9-43F9-BA78-6D0910D44049}"/>
                </c:ext>
              </c:extLst>
            </c:dLbl>
            <c:dLbl>
              <c:idx val="3"/>
              <c:delete val="1"/>
              <c:extLst>
                <c:ext xmlns:c15="http://schemas.microsoft.com/office/drawing/2012/chart" uri="{CE6537A1-D6FC-4f65-9D91-7224C49458BB}"/>
                <c:ext xmlns:c16="http://schemas.microsoft.com/office/drawing/2014/chart" uri="{C3380CC4-5D6E-409C-BE32-E72D297353CC}">
                  <c16:uniqueId val="{00000024-6FA9-43F9-BA78-6D0910D44049}"/>
                </c:ext>
              </c:extLst>
            </c:dLbl>
            <c:dLbl>
              <c:idx val="4"/>
              <c:delete val="1"/>
              <c:extLst>
                <c:ext xmlns:c15="http://schemas.microsoft.com/office/drawing/2012/chart" uri="{CE6537A1-D6FC-4f65-9D91-7224C49458BB}"/>
                <c:ext xmlns:c16="http://schemas.microsoft.com/office/drawing/2014/chart" uri="{C3380CC4-5D6E-409C-BE32-E72D297353CC}">
                  <c16:uniqueId val="{00000025-6FA9-43F9-BA78-6D0910D44049}"/>
                </c:ext>
              </c:extLst>
            </c:dLbl>
            <c:dLbl>
              <c:idx val="5"/>
              <c:delete val="1"/>
              <c:extLst>
                <c:ext xmlns:c15="http://schemas.microsoft.com/office/drawing/2012/chart" uri="{CE6537A1-D6FC-4f65-9D91-7224C49458BB}"/>
                <c:ext xmlns:c16="http://schemas.microsoft.com/office/drawing/2014/chart" uri="{C3380CC4-5D6E-409C-BE32-E72D297353CC}">
                  <c16:uniqueId val="{00000026-6FA9-43F9-BA78-6D0910D44049}"/>
                </c:ext>
              </c:extLst>
            </c:dLbl>
            <c:dLbl>
              <c:idx val="6"/>
              <c:delete val="1"/>
              <c:extLst>
                <c:ext xmlns:c15="http://schemas.microsoft.com/office/drawing/2012/chart" uri="{CE6537A1-D6FC-4f65-9D91-7224C49458BB}"/>
                <c:ext xmlns:c16="http://schemas.microsoft.com/office/drawing/2014/chart" uri="{C3380CC4-5D6E-409C-BE32-E72D297353CC}">
                  <c16:uniqueId val="{00000027-6FA9-43F9-BA78-6D0910D44049}"/>
                </c:ext>
              </c:extLst>
            </c:dLbl>
            <c:dLbl>
              <c:idx val="7"/>
              <c:tx>
                <c:rich>
                  <a:bodyPr/>
                  <a:lstStyle/>
                  <a:p>
                    <a:r>
                      <a:rPr lang="en-US"/>
                      <a:t>41.1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6FA9-43F9-BA78-6D0910D44049}"/>
                </c:ext>
              </c:extLst>
            </c:dLbl>
            <c:dLbl>
              <c:idx val="8"/>
              <c:tx>
                <c:rich>
                  <a:bodyPr/>
                  <a:lstStyle/>
                  <a:p>
                    <a:r>
                      <a:rPr lang="en-US"/>
                      <a:t>40.5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6FA9-43F9-BA78-6D0910D44049}"/>
                </c:ext>
              </c:extLst>
            </c:dLbl>
            <c:dLbl>
              <c:idx val="9"/>
              <c:layout>
                <c:manualLayout>
                  <c:x val="-2.701808709694755E-2"/>
                  <c:y val="-2.0725426774612001E-2"/>
                </c:manualLayout>
              </c:layout>
              <c:tx>
                <c:rich>
                  <a:bodyPr/>
                  <a:lstStyle/>
                  <a:p>
                    <a:r>
                      <a:rPr lang="en-US"/>
                      <a:t>40.4</a:t>
                    </a:r>
                  </a:p>
                </c:rich>
              </c:tx>
              <c:dLblPos val="r"/>
              <c:showLegendKey val="0"/>
              <c:showVal val="1"/>
              <c:showCatName val="0"/>
              <c:showSerName val="0"/>
              <c:showPercent val="0"/>
              <c:showBubbleSize val="0"/>
              <c:extLst>
                <c:ext xmlns:c15="http://schemas.microsoft.com/office/drawing/2012/chart" uri="{CE6537A1-D6FC-4f65-9D91-7224C49458BB}">
                  <c15:layout>
                    <c:manualLayout>
                      <c:w val="5.4594164539536701E-2"/>
                      <c:h val="8.1278261269972826E-2"/>
                    </c:manualLayout>
                  </c15:layout>
                </c:ext>
                <c:ext xmlns:c16="http://schemas.microsoft.com/office/drawing/2014/chart" uri="{C3380CC4-5D6E-409C-BE32-E72D297353CC}">
                  <c16:uniqueId val="{0000002A-6FA9-43F9-BA78-6D0910D44049}"/>
                </c:ext>
              </c:extLst>
            </c:dLbl>
            <c:dLbl>
              <c:idx val="10"/>
              <c:layout>
                <c:manualLayout>
                  <c:x val="-2.4769944993989296E-2"/>
                  <c:y val="-3.4542314335060449E-2"/>
                </c:manualLayout>
              </c:layout>
              <c:tx>
                <c:rich>
                  <a:bodyPr/>
                  <a:lstStyle/>
                  <a:p>
                    <a:r>
                      <a:rPr lang="en-US"/>
                      <a:t>40.2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6FA9-43F9-BA78-6D0910D4404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numRef>
              <c:f>'uticaj promene kursa'!$H$50:$R$50</c:f>
              <c:numCache>
                <c:formatCode>General</c:formatCode>
                <c:ptCount val="11"/>
                <c:pt idx="0">
                  <c:v>2018</c:v>
                </c:pt>
                <c:pt idx="1">
                  <c:v>2019</c:v>
                </c:pt>
                <c:pt idx="2">
                  <c:v>2020</c:v>
                </c:pt>
                <c:pt idx="3">
                  <c:v>2021</c:v>
                </c:pt>
                <c:pt idx="4">
                  <c:v>2022</c:v>
                </c:pt>
                <c:pt idx="5">
                  <c:v>2023</c:v>
                </c:pt>
                <c:pt idx="6">
                  <c:v>2024</c:v>
                </c:pt>
                <c:pt idx="7">
                  <c:v>2025</c:v>
                </c:pt>
                <c:pt idx="8">
                  <c:v>2026</c:v>
                </c:pt>
                <c:pt idx="9">
                  <c:v>2027</c:v>
                </c:pt>
                <c:pt idx="10">
                  <c:v>2028</c:v>
                </c:pt>
              </c:numCache>
            </c:numRef>
          </c:cat>
          <c:val>
            <c:numRef>
              <c:f>'uticaj promene kursa'!$H$61:$R$61</c:f>
              <c:numCache>
                <c:formatCode>#,##0.0</c:formatCode>
                <c:ptCount val="11"/>
                <c:pt idx="0">
                  <c:v>51.441092072373031</c:v>
                </c:pt>
                <c:pt idx="1">
                  <c:v>49.665304025146526</c:v>
                </c:pt>
                <c:pt idx="2">
                  <c:v>54.401541892475471</c:v>
                </c:pt>
                <c:pt idx="3">
                  <c:v>53.88119796323133</c:v>
                </c:pt>
                <c:pt idx="4">
                  <c:v>52.420124041721209</c:v>
                </c:pt>
                <c:pt idx="5">
                  <c:v>48.041062113397061</c:v>
                </c:pt>
                <c:pt idx="6">
                  <c:v>46.7</c:v>
                </c:pt>
                <c:pt idx="7">
                  <c:v>41.124319263687468</c:v>
                </c:pt>
                <c:pt idx="8">
                  <c:v>40.539210435870743</c:v>
                </c:pt>
                <c:pt idx="9">
                  <c:v>40.353055796430361</c:v>
                </c:pt>
                <c:pt idx="10">
                  <c:v>40.207579687571553</c:v>
                </c:pt>
              </c:numCache>
            </c:numRef>
          </c:val>
          <c:smooth val="0"/>
          <c:extLst>
            <c:ext xmlns:c16="http://schemas.microsoft.com/office/drawing/2014/chart" uri="{C3380CC4-5D6E-409C-BE32-E72D297353CC}">
              <c16:uniqueId val="{0000002C-6FA9-43F9-BA78-6D0910D44049}"/>
            </c:ext>
          </c:extLst>
        </c:ser>
        <c:dLbls>
          <c:showLegendKey val="0"/>
          <c:showVal val="0"/>
          <c:showCatName val="0"/>
          <c:showSerName val="0"/>
          <c:showPercent val="0"/>
          <c:showBubbleSize val="0"/>
        </c:dLbls>
        <c:marker val="1"/>
        <c:smooth val="0"/>
        <c:axId val="75069312"/>
        <c:axId val="75070848"/>
      </c:lineChart>
      <c:catAx>
        <c:axId val="75069312"/>
        <c:scaling>
          <c:orientation val="minMax"/>
        </c:scaling>
        <c:delete val="0"/>
        <c:axPos val="b"/>
        <c:majorGridlines>
          <c:spPr>
            <a:ln w="9525" cap="flat" cmpd="sng" algn="ctr">
              <a:noFill/>
              <a:prstDash val="solid"/>
              <a:round/>
            </a:ln>
            <a:effectLst/>
          </c:spPr>
        </c:majorGridlines>
        <c:minorGridlines>
          <c:spPr>
            <a:ln w="9525" cap="flat" cmpd="sng" algn="ctr">
              <a:noFill/>
              <a:prstDash val="solid"/>
              <a:round/>
            </a:ln>
            <a:effectLst/>
          </c:spPr>
        </c:minorGridlines>
        <c:numFmt formatCode="General" sourceLinked="1"/>
        <c:majorTickMark val="none"/>
        <c:minorTickMark val="none"/>
        <c:tickLblPos val="low"/>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5070848"/>
        <c:crosses val="autoZero"/>
        <c:auto val="0"/>
        <c:lblAlgn val="ctr"/>
        <c:lblOffset val="100"/>
        <c:noMultiLvlLbl val="0"/>
      </c:catAx>
      <c:valAx>
        <c:axId val="75070848"/>
        <c:scaling>
          <c:orientation val="minMax"/>
          <c:max val="55"/>
          <c:min val="40"/>
        </c:scaling>
        <c:delete val="0"/>
        <c:axPos val="l"/>
        <c:majorGridlines>
          <c:spPr>
            <a:ln w="9525" cap="flat" cmpd="sng" algn="ctr">
              <a:noFill/>
              <a:prstDash val="solid"/>
              <a:round/>
            </a:ln>
            <a:effectLst/>
          </c:spPr>
        </c:majorGridlines>
        <c:numFmt formatCode="0" sourceLinked="0"/>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5069312"/>
        <c:crosses val="autoZero"/>
        <c:crossBetween val="between"/>
        <c:majorUnit val="5"/>
        <c:minorUnit val="2"/>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rot="5400000" vert="horz"/>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42289173902779E-2"/>
          <c:y val="4.3675706162229454E-2"/>
          <c:w val="0.88928959359393245"/>
          <c:h val="0.73099513548926254"/>
        </c:manualLayout>
      </c:layout>
      <c:lineChart>
        <c:grouping val="standard"/>
        <c:varyColors val="0"/>
        <c:ser>
          <c:idx val="2"/>
          <c:order val="0"/>
          <c:tx>
            <c:strRef>
              <c:f>Гаранције!$G$5</c:f>
              <c:strCache>
                <c:ptCount val="1"/>
                <c:pt idx="0">
                  <c:v>%</c:v>
                </c:pt>
              </c:strCache>
            </c:strRef>
          </c:tx>
          <c:spPr>
            <a:ln w="28575" cap="rnd">
              <a:solidFill>
                <a:schemeClr val="accent5"/>
              </a:solidFill>
              <a:round/>
            </a:ln>
            <a:effectLst/>
          </c:spPr>
          <c:marker>
            <c:symbol val="none"/>
          </c:marker>
          <c:dLbls>
            <c:dLbl>
              <c:idx val="0"/>
              <c:tx>
                <c:rich>
                  <a:bodyPr/>
                  <a:lstStyle/>
                  <a:p>
                    <a:r>
                      <a:rPr lang="en-US"/>
                      <a:t>9.5%</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9A-4035-A672-AA6CC43A0D1D}"/>
                </c:ext>
              </c:extLst>
            </c:dLbl>
            <c:dLbl>
              <c:idx val="1"/>
              <c:tx>
                <c:rich>
                  <a:bodyPr/>
                  <a:lstStyle/>
                  <a:p>
                    <a:r>
                      <a:rPr lang="en-US"/>
                      <a:t>8.5%</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9A-4035-A672-AA6CC43A0D1D}"/>
                </c:ext>
              </c:extLst>
            </c:dLbl>
            <c:dLbl>
              <c:idx val="2"/>
              <c:tx>
                <c:rich>
                  <a:bodyPr/>
                  <a:lstStyle/>
                  <a:p>
                    <a:r>
                      <a:rPr lang="en-US"/>
                      <a:t>7.5%</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9A-4035-A672-AA6CC43A0D1D}"/>
                </c:ext>
              </c:extLst>
            </c:dLbl>
            <c:dLbl>
              <c:idx val="3"/>
              <c:layout>
                <c:manualLayout>
                  <c:x val="-3.9602303755903769E-2"/>
                  <c:y val="-5.5417799613199953E-2"/>
                </c:manualLayout>
              </c:layout>
              <c:tx>
                <c:rich>
                  <a:bodyPr/>
                  <a:lstStyle/>
                  <a:p>
                    <a:r>
                      <a:rPr lang="en-US"/>
                      <a:t>6.5%</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9A-4035-A672-AA6CC43A0D1D}"/>
                </c:ext>
              </c:extLst>
            </c:dLbl>
            <c:dLbl>
              <c:idx val="4"/>
              <c:tx>
                <c:rich>
                  <a:bodyPr/>
                  <a:lstStyle/>
                  <a:p>
                    <a:r>
                      <a:rPr lang="en-US"/>
                      <a:t>6.1%</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9A-4035-A672-AA6CC43A0D1D}"/>
                </c:ext>
              </c:extLst>
            </c:dLbl>
            <c:dLbl>
              <c:idx val="5"/>
              <c:tx>
                <c:rich>
                  <a:bodyPr/>
                  <a:lstStyle/>
                  <a:p>
                    <a:r>
                      <a:rPr lang="en-US"/>
                      <a:t>5.3%</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9A-4035-A672-AA6CC43A0D1D}"/>
                </c:ext>
              </c:extLst>
            </c:dLbl>
            <c:dLbl>
              <c:idx val="6"/>
              <c:tx>
                <c:rich>
                  <a:bodyPr/>
                  <a:lstStyle/>
                  <a:p>
                    <a:r>
                      <a:rPr lang="en-US"/>
                      <a:t>4.5%</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9A-4035-A672-AA6CC43A0D1D}"/>
                </c:ext>
              </c:extLst>
            </c:dLbl>
            <c:dLbl>
              <c:idx val="7"/>
              <c:tx>
                <c:rich>
                  <a:bodyPr/>
                  <a:lstStyle/>
                  <a:p>
                    <a:r>
                      <a:rPr lang="en-US"/>
                      <a:t>4.6%</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9A-4035-A672-AA6CC43A0D1D}"/>
                </c:ext>
              </c:extLst>
            </c:dLbl>
            <c:dLbl>
              <c:idx val="8"/>
              <c:tx>
                <c:rich>
                  <a:bodyPr/>
                  <a:lstStyle/>
                  <a:p>
                    <a:r>
                      <a:rPr lang="en-US"/>
                      <a:t>5.0%</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9A-4035-A672-AA6CC43A0D1D}"/>
                </c:ext>
              </c:extLst>
            </c:dLbl>
            <c:dLbl>
              <c:idx val="9"/>
              <c:tx>
                <c:rich>
                  <a:bodyPr/>
                  <a:lstStyle/>
                  <a:p>
                    <a:r>
                      <a:rPr lang="en-US"/>
                      <a:t>4.7%</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9A-4035-A672-AA6CC43A0D1D}"/>
                </c:ext>
              </c:extLst>
            </c:dLbl>
            <c:dLbl>
              <c:idx val="10"/>
              <c:tx>
                <c:rich>
                  <a:bodyPr/>
                  <a:lstStyle/>
                  <a:p>
                    <a:r>
                      <a:rPr lang="en-US"/>
                      <a:t>4.3%</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9A-4035-A672-AA6CC43A0D1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Гаранције!$B$6:$B$16</c:f>
              <c:strCache>
                <c:ptCount val="11"/>
                <c:pt idx="0">
                  <c:v>2015</c:v>
                </c:pt>
                <c:pt idx="1">
                  <c:v>2016</c:v>
                </c:pt>
                <c:pt idx="2">
                  <c:v>2017</c:v>
                </c:pt>
                <c:pt idx="3">
                  <c:v>2018</c:v>
                </c:pt>
                <c:pt idx="4">
                  <c:v>2019</c:v>
                </c:pt>
                <c:pt idx="5">
                  <c:v>2020</c:v>
                </c:pt>
                <c:pt idx="6">
                  <c:v>2021</c:v>
                </c:pt>
                <c:pt idx="7">
                  <c:v>2022</c:v>
                </c:pt>
                <c:pt idx="8">
                  <c:v>2023</c:v>
                </c:pt>
                <c:pt idx="9">
                  <c:v>2024</c:v>
                </c:pt>
                <c:pt idx="10">
                  <c:v>31.08.2025.</c:v>
                </c:pt>
              </c:strCache>
            </c:strRef>
          </c:cat>
          <c:val>
            <c:numRef>
              <c:f>Гаранције!$G$6:$G$16</c:f>
              <c:numCache>
                <c:formatCode>0.0%</c:formatCode>
                <c:ptCount val="11"/>
                <c:pt idx="0">
                  <c:v>9.4899104808150933E-2</c:v>
                </c:pt>
                <c:pt idx="1">
                  <c:v>8.5111910741428626E-2</c:v>
                </c:pt>
                <c:pt idx="2">
                  <c:v>7.4846461096448672E-2</c:v>
                </c:pt>
                <c:pt idx="3">
                  <c:v>6.5330701534005345E-2</c:v>
                </c:pt>
                <c:pt idx="4">
                  <c:v>6.1105887904304074E-2</c:v>
                </c:pt>
                <c:pt idx="5">
                  <c:v>5.2600687485065384E-2</c:v>
                </c:pt>
                <c:pt idx="6">
                  <c:v>4.5373884092513889E-2</c:v>
                </c:pt>
                <c:pt idx="7">
                  <c:v>4.5966213245846536E-2</c:v>
                </c:pt>
                <c:pt idx="8">
                  <c:v>4.9875474153556594E-2</c:v>
                </c:pt>
                <c:pt idx="9">
                  <c:v>4.6842545982337301E-2</c:v>
                </c:pt>
                <c:pt idx="10">
                  <c:v>4.3291038553322947E-2</c:v>
                </c:pt>
              </c:numCache>
            </c:numRef>
          </c:val>
          <c:smooth val="0"/>
          <c:extLst>
            <c:ext xmlns:c16="http://schemas.microsoft.com/office/drawing/2014/chart" uri="{C3380CC4-5D6E-409C-BE32-E72D297353CC}">
              <c16:uniqueId val="{0000000B-1C9A-4035-A672-AA6CC43A0D1D}"/>
            </c:ext>
          </c:extLst>
        </c:ser>
        <c:dLbls>
          <c:dLblPos val="t"/>
          <c:showLegendKey val="0"/>
          <c:showVal val="1"/>
          <c:showCatName val="0"/>
          <c:showSerName val="0"/>
          <c:showPercent val="0"/>
          <c:showBubbleSize val="0"/>
        </c:dLbls>
        <c:smooth val="0"/>
        <c:axId val="639034111"/>
        <c:axId val="639034527"/>
      </c:lineChart>
      <c:catAx>
        <c:axId val="63903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9034527"/>
        <c:crosses val="autoZero"/>
        <c:auto val="1"/>
        <c:lblAlgn val="ctr"/>
        <c:lblOffset val="100"/>
        <c:noMultiLvlLbl val="0"/>
      </c:catAx>
      <c:valAx>
        <c:axId val="639034527"/>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39034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33714179804967E-2"/>
          <c:y val="5.4163384818697917E-2"/>
          <c:w val="0.86085801063022016"/>
          <c:h val="0.73088101323169496"/>
        </c:manualLayout>
      </c:layout>
      <c:barChart>
        <c:barDir val="col"/>
        <c:grouping val="clustered"/>
        <c:varyColors val="0"/>
        <c:ser>
          <c:idx val="0"/>
          <c:order val="0"/>
          <c:tx>
            <c:strRef>
              <c:f>grafikoni!$D$50</c:f>
              <c:strCache>
                <c:ptCount val="1"/>
                <c:pt idx="0">
                  <c:v>public debt – baseline scenario</c:v>
                </c:pt>
              </c:strCache>
            </c:strRef>
          </c:tx>
          <c:spPr>
            <a:solidFill>
              <a:schemeClr val="accent1">
                <a:lumMod val="50000"/>
              </a:schemeClr>
            </a:solidFill>
            <a:ln w="9525" cap="flat" cmpd="sng" algn="ctr">
              <a:solidFill>
                <a:schemeClr val="accent6">
                  <a:shade val="50000"/>
                  <a:shade val="95000"/>
                  <a:satMod val="105000"/>
                </a:schemeClr>
              </a:solidFill>
              <a:prstDash val="solid"/>
              <a:round/>
            </a:ln>
            <a:effectLst/>
          </c:spPr>
          <c:invertIfNegative val="0"/>
          <c:dLbls>
            <c:dLbl>
              <c:idx val="0"/>
              <c:tx>
                <c:rich>
                  <a:bodyPr/>
                  <a:lstStyle/>
                  <a:p>
                    <a:r>
                      <a:rPr lang="en-US"/>
                      <a:t>45.0</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BE-4744-8FFD-BE6C26504592}"/>
                </c:ext>
              </c:extLst>
            </c:dLbl>
            <c:dLbl>
              <c:idx val="1"/>
              <c:tx>
                <c:rich>
                  <a:bodyPr/>
                  <a:lstStyle/>
                  <a:p>
                    <a:r>
                      <a:rPr lang="en-US"/>
                      <a:t>44.5</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BE-4744-8FFD-BE6C26504592}"/>
                </c:ext>
              </c:extLst>
            </c:dLbl>
            <c:dLbl>
              <c:idx val="2"/>
              <c:tx>
                <c:rich>
                  <a:bodyPr/>
                  <a:lstStyle/>
                  <a:p>
                    <a:r>
                      <a:rPr lang="en-US"/>
                      <a:t>44.3</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BE-4744-8FFD-BE6C26504592}"/>
                </c:ext>
              </c:extLst>
            </c:dLbl>
            <c:dLbl>
              <c:idx val="3"/>
              <c:tx>
                <c:rich>
                  <a:bodyPr/>
                  <a:lstStyle/>
                  <a:p>
                    <a:r>
                      <a:rPr lang="en-US"/>
                      <a:t>44.1</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BE-4744-8FFD-BE6C2650459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2025</c:v>
                </c:pt>
                <c:pt idx="1">
                  <c:v>2026</c:v>
                </c:pt>
                <c:pt idx="2">
                  <c:v>2027</c:v>
                </c:pt>
                <c:pt idx="3">
                  <c:v>2028</c:v>
                </c:pt>
              </c:numCache>
            </c:numRef>
          </c:cat>
          <c:val>
            <c:numRef>
              <c:f>grafikoni!$F$50:$I$50</c:f>
              <c:numCache>
                <c:formatCode>#,##0.0</c:formatCode>
                <c:ptCount val="4"/>
                <c:pt idx="0">
                  <c:v>45</c:v>
                </c:pt>
                <c:pt idx="1">
                  <c:v>44.5</c:v>
                </c:pt>
                <c:pt idx="2">
                  <c:v>44.3</c:v>
                </c:pt>
                <c:pt idx="3">
                  <c:v>44.1</c:v>
                </c:pt>
              </c:numCache>
            </c:numRef>
          </c:val>
          <c:extLst>
            <c:ext xmlns:c16="http://schemas.microsoft.com/office/drawing/2014/chart" uri="{C3380CC4-5D6E-409C-BE32-E72D297353CC}">
              <c16:uniqueId val="{00000004-DBBE-4744-8FFD-BE6C26504592}"/>
            </c:ext>
          </c:extLst>
        </c:ser>
        <c:ser>
          <c:idx val="1"/>
          <c:order val="1"/>
          <c:tx>
            <c:strRef>
              <c:f>grafikoni!$D$52</c:f>
              <c:strCache>
                <c:ptCount val="1"/>
                <c:pt idx="0">
                  <c:v>public debt – alternative scenario</c:v>
                </c:pt>
              </c:strCache>
            </c:strRef>
          </c:tx>
          <c:spPr>
            <a:solidFill>
              <a:srgbClr val="FF4747"/>
            </a:solidFill>
            <a:ln w="9525" cap="flat" cmpd="sng" algn="ctr">
              <a:solidFill>
                <a:schemeClr val="accent6">
                  <a:shade val="50000"/>
                  <a:shade val="95000"/>
                  <a:satMod val="105000"/>
                </a:schemeClr>
              </a:solidFill>
              <a:prstDash val="solid"/>
              <a:round/>
            </a:ln>
            <a:effectLst/>
          </c:spPr>
          <c:invertIfNegative val="0"/>
          <c:dLbls>
            <c:dLbl>
              <c:idx val="0"/>
              <c:tx>
                <c:rich>
                  <a:bodyPr/>
                  <a:lstStyle/>
                  <a:p>
                    <a:r>
                      <a:rPr lang="en-US"/>
                      <a:t>45.0</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BE-4744-8FFD-BE6C26504592}"/>
                </c:ext>
              </c:extLst>
            </c:dLbl>
            <c:dLbl>
              <c:idx val="1"/>
              <c:tx>
                <c:rich>
                  <a:bodyPr/>
                  <a:lstStyle/>
                  <a:p>
                    <a:r>
                      <a:rPr lang="en-US"/>
                      <a:t>45.2</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BE-4744-8FFD-BE6C26504592}"/>
                </c:ext>
              </c:extLst>
            </c:dLbl>
            <c:dLbl>
              <c:idx val="2"/>
              <c:tx>
                <c:rich>
                  <a:bodyPr/>
                  <a:lstStyle/>
                  <a:p>
                    <a:r>
                      <a:rPr lang="en-US"/>
                      <a:t>46.5</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BE-4744-8FFD-BE6C26504592}"/>
                </c:ext>
              </c:extLst>
            </c:dLbl>
            <c:dLbl>
              <c:idx val="3"/>
              <c:tx>
                <c:rich>
                  <a:bodyPr/>
                  <a:lstStyle/>
                  <a:p>
                    <a:r>
                      <a:rPr lang="en-US"/>
                      <a:t>47.1</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BE-4744-8FFD-BE6C265045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2025</c:v>
                </c:pt>
                <c:pt idx="1">
                  <c:v>2026</c:v>
                </c:pt>
                <c:pt idx="2">
                  <c:v>2027</c:v>
                </c:pt>
                <c:pt idx="3">
                  <c:v>2028</c:v>
                </c:pt>
              </c:numCache>
            </c:numRef>
          </c:cat>
          <c:val>
            <c:numRef>
              <c:f>grafikoni!$F$52:$I$52</c:f>
              <c:numCache>
                <c:formatCode>#,##0.0</c:formatCode>
                <c:ptCount val="4"/>
                <c:pt idx="0">
                  <c:v>45</c:v>
                </c:pt>
                <c:pt idx="1">
                  <c:v>45.217039813754681</c:v>
                </c:pt>
                <c:pt idx="2">
                  <c:v>46.458846927449457</c:v>
                </c:pt>
                <c:pt idx="3">
                  <c:v>47.141272201122455</c:v>
                </c:pt>
              </c:numCache>
            </c:numRef>
          </c:val>
          <c:extLst>
            <c:ext xmlns:c16="http://schemas.microsoft.com/office/drawing/2014/chart" uri="{C3380CC4-5D6E-409C-BE32-E72D297353CC}">
              <c16:uniqueId val="{00000009-DBBE-4744-8FFD-BE6C26504592}"/>
            </c:ext>
          </c:extLst>
        </c:ser>
        <c:dLbls>
          <c:showLegendKey val="0"/>
          <c:showVal val="0"/>
          <c:showCatName val="0"/>
          <c:showSerName val="0"/>
          <c:showPercent val="0"/>
          <c:showBubbleSize val="0"/>
        </c:dLbls>
        <c:gapWidth val="150"/>
        <c:axId val="221799760"/>
        <c:axId val="221800152"/>
      </c:barChart>
      <c:lineChart>
        <c:grouping val="standard"/>
        <c:varyColors val="0"/>
        <c:ser>
          <c:idx val="2"/>
          <c:order val="2"/>
          <c:tx>
            <c:strRef>
              <c:f>grafikoni!$D$49</c:f>
              <c:strCache>
                <c:ptCount val="1"/>
                <c:pt idx="0">
                  <c:v>deficit (RHS) – baseline scenario</c:v>
                </c:pt>
              </c:strCache>
            </c:strRef>
          </c:tx>
          <c:spPr>
            <a:ln w="47625" cap="rnd" cmpd="sng" algn="ctr">
              <a:solidFill>
                <a:schemeClr val="tx1"/>
              </a:solidFill>
              <a:prstDash val="solid"/>
              <a:round/>
            </a:ln>
            <a:effectLst/>
          </c:spPr>
          <c:marker>
            <c:spPr>
              <a:solidFill>
                <a:schemeClr val="tx1"/>
              </a:solidFill>
              <a:ln w="9525" cap="flat" cmpd="sng" algn="ctr">
                <a:solidFill>
                  <a:schemeClr val="tx1"/>
                </a:solidFill>
                <a:prstDash val="solid"/>
                <a:round/>
              </a:ln>
              <a:effectLst/>
            </c:spPr>
          </c:marker>
          <c:dPt>
            <c:idx val="1"/>
            <c:bubble3D val="0"/>
            <c:extLst>
              <c:ext xmlns:c16="http://schemas.microsoft.com/office/drawing/2014/chart" uri="{C3380CC4-5D6E-409C-BE32-E72D297353CC}">
                <c16:uniqueId val="{0000000A-DBBE-4744-8FFD-BE6C26504592}"/>
              </c:ext>
            </c:extLst>
          </c:dPt>
          <c:dLbls>
            <c:dLbl>
              <c:idx val="0"/>
              <c:delete val="1"/>
              <c:extLst>
                <c:ext xmlns:c15="http://schemas.microsoft.com/office/drawing/2012/chart" uri="{CE6537A1-D6FC-4f65-9D91-7224C49458BB}"/>
                <c:ext xmlns:c16="http://schemas.microsoft.com/office/drawing/2014/chart" uri="{C3380CC4-5D6E-409C-BE32-E72D297353CC}">
                  <c16:uniqueId val="{0000000B-DBBE-4744-8FFD-BE6C26504592}"/>
                </c:ext>
              </c:extLst>
            </c:dLbl>
            <c:dLbl>
              <c:idx val="1"/>
              <c:layout>
                <c:manualLayout>
                  <c:x val="-1.7729577404247006E-3"/>
                  <c:y val="-4.8360778985002871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BE-4744-8FFD-BE6C26504592}"/>
                </c:ext>
              </c:extLst>
            </c:dLbl>
            <c:dLbl>
              <c:idx val="2"/>
              <c:layout>
                <c:manualLayout>
                  <c:x val="7.358924893024216E-17"/>
                  <c:y val="-3.9375638159524377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BE-4744-8FFD-BE6C26504592}"/>
                </c:ext>
              </c:extLst>
            </c:dLbl>
            <c:dLbl>
              <c:idx val="3"/>
              <c:layout>
                <c:manualLayout>
                  <c:x val="-4.014005402155932E-3"/>
                  <c:y val="-3.6900360069064692E-2"/>
                </c:manualLayout>
              </c:layout>
              <c:tx>
                <c:rich>
                  <a:bodyPr/>
                  <a:lstStyle/>
                  <a:p>
                    <a:r>
                      <a:rPr lang="en-US"/>
                      <a:t>-2.5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BE-4744-8FFD-BE6C265045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prstDash val="solid"/>
                      <a:round/>
                    </a:ln>
                    <a:effectLst/>
                  </c:spPr>
                </c15:leaderLines>
              </c:ext>
            </c:extLst>
          </c:dLbls>
          <c:cat>
            <c:numRef>
              <c:f>grafikoni!$F$48:$I$48</c:f>
              <c:numCache>
                <c:formatCode>General</c:formatCode>
                <c:ptCount val="4"/>
                <c:pt idx="0">
                  <c:v>2025</c:v>
                </c:pt>
                <c:pt idx="1">
                  <c:v>2026</c:v>
                </c:pt>
                <c:pt idx="2">
                  <c:v>2027</c:v>
                </c:pt>
                <c:pt idx="3">
                  <c:v>2028</c:v>
                </c:pt>
              </c:numCache>
            </c:numRef>
          </c:cat>
          <c:val>
            <c:numRef>
              <c:f>grafikoni!$F$49:$I$49</c:f>
              <c:numCache>
                <c:formatCode>#,##0.0</c:formatCode>
                <c:ptCount val="4"/>
                <c:pt idx="0">
                  <c:v>-3</c:v>
                </c:pt>
                <c:pt idx="1">
                  <c:v>-3</c:v>
                </c:pt>
                <c:pt idx="2">
                  <c:v>-3</c:v>
                </c:pt>
                <c:pt idx="3">
                  <c:v>-2.5</c:v>
                </c:pt>
              </c:numCache>
            </c:numRef>
          </c:val>
          <c:smooth val="0"/>
          <c:extLst>
            <c:ext xmlns:c16="http://schemas.microsoft.com/office/drawing/2014/chart" uri="{C3380CC4-5D6E-409C-BE32-E72D297353CC}">
              <c16:uniqueId val="{0000000E-DBBE-4744-8FFD-BE6C26504592}"/>
            </c:ext>
          </c:extLst>
        </c:ser>
        <c:ser>
          <c:idx val="3"/>
          <c:order val="3"/>
          <c:tx>
            <c:strRef>
              <c:f>grafikoni!$D$51</c:f>
              <c:strCache>
                <c:ptCount val="1"/>
                <c:pt idx="0">
                  <c:v>deficit (RHS) – alternative scenario</c:v>
                </c:pt>
              </c:strCache>
            </c:strRef>
          </c:tx>
          <c:spPr>
            <a:ln w="47625" cap="rnd" cmpd="sng" algn="ctr">
              <a:solidFill>
                <a:schemeClr val="accent1">
                  <a:lumMod val="40000"/>
                  <a:lumOff val="60000"/>
                </a:schemeClr>
              </a:solidFill>
              <a:prstDash val="solid"/>
              <a:round/>
            </a:ln>
            <a:effectLst/>
          </c:spPr>
          <c:marker>
            <c:symbol val="diamond"/>
            <c:size val="9"/>
            <c:spPr>
              <a:solidFill>
                <a:schemeClr val="accent1">
                  <a:lumMod val="40000"/>
                  <a:lumOff val="60000"/>
                </a:schemeClr>
              </a:solidFill>
              <a:ln w="9525" cap="flat" cmpd="sng" algn="ctr">
                <a:solidFill>
                  <a:schemeClr val="accent1">
                    <a:lumMod val="40000"/>
                    <a:lumOff val="60000"/>
                  </a:schemeClr>
                </a:solidFill>
                <a:prstDash val="solid"/>
                <a:round/>
              </a:ln>
              <a:effectLst/>
            </c:spPr>
          </c:marker>
          <c:dLbls>
            <c:dLbl>
              <c:idx val="0"/>
              <c:layout>
                <c:manualLayout>
                  <c:x val="2.5217119764646538E-3"/>
                  <c:y val="-4.4805366338978289E-2"/>
                </c:manualLayout>
              </c:layout>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BBE-4744-8FFD-BE6C26504592}"/>
                </c:ext>
              </c:extLst>
            </c:dLbl>
            <c:dLbl>
              <c:idx val="1"/>
              <c:layout>
                <c:manualLayout>
                  <c:x val="-5.6309858460480379E-3"/>
                  <c:y val="5.8785372832860498E-2"/>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BBE-4744-8FFD-BE6C26504592}"/>
                </c:ext>
              </c:extLst>
            </c:dLbl>
            <c:dLbl>
              <c:idx val="2"/>
              <c:layout>
                <c:manualLayout>
                  <c:x val="-1.1581453403043436E-2"/>
                  <c:y val="2.5439941153126568E-2"/>
                </c:manualLayout>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BBE-4744-8FFD-BE6C26504592}"/>
                </c:ext>
              </c:extLst>
            </c:dLbl>
            <c:dLbl>
              <c:idx val="3"/>
              <c:layout>
                <c:manualLayout>
                  <c:x val="-2.922164326427769E-3"/>
                  <c:y val="7.7093665656103655E-3"/>
                </c:manualLayout>
              </c:layout>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BBE-4744-8FFD-BE6C26504592}"/>
                </c:ext>
              </c:extLst>
            </c:dLbl>
            <c:dLbl>
              <c:idx val="4"/>
              <c:layout>
                <c:manualLayout>
                  <c:x val="-3.7342767295597629E-2"/>
                  <c:y val="-6.6401062416998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BBE-4744-8FFD-BE6C2650459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grafikoni!$F$48:$I$48</c:f>
              <c:numCache>
                <c:formatCode>General</c:formatCode>
                <c:ptCount val="4"/>
                <c:pt idx="0">
                  <c:v>2025</c:v>
                </c:pt>
                <c:pt idx="1">
                  <c:v>2026</c:v>
                </c:pt>
                <c:pt idx="2">
                  <c:v>2027</c:v>
                </c:pt>
                <c:pt idx="3">
                  <c:v>2028</c:v>
                </c:pt>
              </c:numCache>
            </c:numRef>
          </c:cat>
          <c:val>
            <c:numRef>
              <c:f>grafikoni!$F$51:$I$51</c:f>
              <c:numCache>
                <c:formatCode>#,##0.0</c:formatCode>
                <c:ptCount val="4"/>
                <c:pt idx="0">
                  <c:v>-3</c:v>
                </c:pt>
                <c:pt idx="1">
                  <c:v>-3.421424493617057</c:v>
                </c:pt>
                <c:pt idx="2">
                  <c:v>-4.167474651555005</c:v>
                </c:pt>
                <c:pt idx="3">
                  <c:v>-4.114018285593497</c:v>
                </c:pt>
              </c:numCache>
            </c:numRef>
          </c:val>
          <c:smooth val="0"/>
          <c:extLst>
            <c:ext xmlns:c16="http://schemas.microsoft.com/office/drawing/2014/chart" uri="{C3380CC4-5D6E-409C-BE32-E72D297353CC}">
              <c16:uniqueId val="{00000014-DBBE-4744-8FFD-BE6C26504592}"/>
            </c:ext>
          </c:extLst>
        </c:ser>
        <c:dLbls>
          <c:showLegendKey val="0"/>
          <c:showVal val="0"/>
          <c:showCatName val="0"/>
          <c:showSerName val="0"/>
          <c:showPercent val="0"/>
          <c:showBubbleSize val="0"/>
        </c:dLbls>
        <c:marker val="1"/>
        <c:smooth val="0"/>
        <c:axId val="221800936"/>
        <c:axId val="221800544"/>
      </c:lineChart>
      <c:catAx>
        <c:axId val="221799760"/>
        <c:scaling>
          <c:orientation val="minMax"/>
        </c:scaling>
        <c:delete val="0"/>
        <c:axPos val="b"/>
        <c:numFmt formatCode="General" sourceLinked="1"/>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800152"/>
        <c:crosses val="autoZero"/>
        <c:auto val="1"/>
        <c:lblAlgn val="ctr"/>
        <c:lblOffset val="100"/>
        <c:noMultiLvlLbl val="0"/>
      </c:catAx>
      <c:valAx>
        <c:axId val="221800152"/>
        <c:scaling>
          <c:orientation val="minMax"/>
          <c:max val="60"/>
        </c:scaling>
        <c:delete val="0"/>
        <c:axPos val="l"/>
        <c:majorGridlines>
          <c:spPr>
            <a:ln w="9525" cap="flat" cmpd="sng" algn="ctr">
              <a:noFill/>
              <a:prstDash val="solid"/>
              <a:round/>
            </a:ln>
            <a:effectLst/>
          </c:spPr>
        </c:majorGridlines>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799760"/>
        <c:crosses val="autoZero"/>
        <c:crossBetween val="between"/>
      </c:valAx>
      <c:valAx>
        <c:axId val="221800544"/>
        <c:scaling>
          <c:orientation val="minMax"/>
          <c:min val="-5"/>
        </c:scaling>
        <c:delete val="0"/>
        <c:axPos val="r"/>
        <c:numFmt formatCode="#,##0" sourceLinked="0"/>
        <c:majorTickMark val="out"/>
        <c:minorTickMark val="none"/>
        <c:tickLblPos val="nextTo"/>
        <c:spPr>
          <a:noFill/>
          <a:ln w="9525" cap="flat" cmpd="sng" algn="ctr">
            <a:solidFill>
              <a:schemeClr val="dk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21800936"/>
        <c:crosses val="max"/>
        <c:crossBetween val="between"/>
      </c:valAx>
      <c:catAx>
        <c:axId val="221800936"/>
        <c:scaling>
          <c:orientation val="minMax"/>
        </c:scaling>
        <c:delete val="1"/>
        <c:axPos val="b"/>
        <c:numFmt formatCode="General" sourceLinked="1"/>
        <c:majorTickMark val="out"/>
        <c:minorTickMark val="none"/>
        <c:tickLblPos val="nextTo"/>
        <c:crossAx val="221800544"/>
        <c:crosses val="autoZero"/>
        <c:auto val="1"/>
        <c:lblAlgn val="ctr"/>
        <c:lblOffset val="100"/>
        <c:noMultiLvlLbl val="0"/>
      </c:catAx>
      <c:spPr>
        <a:solidFill>
          <a:sysClr val="window" lastClr="FFFFFF"/>
        </a:solidFill>
        <a:ln>
          <a:noFill/>
        </a:ln>
        <a:effectLst/>
      </c:spPr>
    </c:plotArea>
    <c:legend>
      <c:legendPos val="b"/>
      <c:layout>
        <c:manualLayout>
          <c:xMode val="edge"/>
          <c:yMode val="edge"/>
          <c:x val="2.9179586934220056E-2"/>
          <c:y val="0.84926228444984275"/>
          <c:w val="0.93825420315954267"/>
          <c:h val="0.13081746560176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prstDash val="solid"/>
      <a:round/>
    </a:ln>
    <a:effectLst/>
  </c:spPr>
  <c:txPr>
    <a:bodyPr/>
    <a:lstStyle/>
    <a:p>
      <a:pPr>
        <a:defRPr sz="900" baseline="0">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0735713250568"/>
          <c:y val="0.16442333069411452"/>
          <c:w val="0.73003518348549989"/>
          <c:h val="0.60770028449531699"/>
        </c:manualLayout>
      </c:layout>
      <c:lineChart>
        <c:grouping val="standard"/>
        <c:varyColors val="0"/>
        <c:ser>
          <c:idx val="0"/>
          <c:order val="0"/>
          <c:tx>
            <c:strRef>
              <c:f>'Sheet 1'!$A$33</c:f>
              <c:strCache>
                <c:ptCount val="1"/>
                <c:pt idx="0">
                  <c:v>Reform scenario</c:v>
                </c:pt>
              </c:strCache>
            </c:strRef>
          </c:tx>
          <c:spPr>
            <a:ln w="28575" cap="rnd">
              <a:solidFill>
                <a:schemeClr val="accent1"/>
              </a:solidFill>
              <a:round/>
            </a:ln>
            <a:effectLst/>
          </c:spPr>
          <c:marker>
            <c:symbol val="none"/>
          </c:marker>
          <c:dLbls>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09-42E6-904B-5C18DFE0CA99}"/>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09-42E6-904B-5C18DFE0CA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1'!$C$32:$J$32</c:f>
              <c:numCache>
                <c:formatCode>General</c:formatCode>
                <c:ptCount val="8"/>
                <c:pt idx="0">
                  <c:v>2019</c:v>
                </c:pt>
                <c:pt idx="1">
                  <c:v>2020</c:v>
                </c:pt>
                <c:pt idx="2">
                  <c:v>2021</c:v>
                </c:pt>
                <c:pt idx="3">
                  <c:v>2022</c:v>
                </c:pt>
                <c:pt idx="4">
                  <c:v>2023</c:v>
                </c:pt>
                <c:pt idx="5">
                  <c:v>2024</c:v>
                </c:pt>
                <c:pt idx="6">
                  <c:v>2025</c:v>
                </c:pt>
                <c:pt idx="7">
                  <c:v>2026</c:v>
                </c:pt>
              </c:numCache>
            </c:numRef>
          </c:cat>
          <c:val>
            <c:numRef>
              <c:f>'Sheet 1'!$C$33:$J$33</c:f>
              <c:numCache>
                <c:formatCode>0.0%</c:formatCode>
                <c:ptCount val="8"/>
                <c:pt idx="0">
                  <c:v>0.39530910592454122</c:v>
                </c:pt>
                <c:pt idx="1">
                  <c:v>0.39000827570179963</c:v>
                </c:pt>
                <c:pt idx="2">
                  <c:v>0.45160124890438819</c:v>
                </c:pt>
                <c:pt idx="3">
                  <c:v>0.43729272386267604</c:v>
                </c:pt>
                <c:pt idx="4">
                  <c:v>0.44621456350243199</c:v>
                </c:pt>
                <c:pt idx="5">
                  <c:v>0.45365377651569405</c:v>
                </c:pt>
                <c:pt idx="6">
                  <c:v>0.49773122678536585</c:v>
                </c:pt>
                <c:pt idx="7">
                  <c:v>0.50026295750222194</c:v>
                </c:pt>
              </c:numCache>
            </c:numRef>
          </c:val>
          <c:smooth val="0"/>
          <c:extLst>
            <c:ext xmlns:c16="http://schemas.microsoft.com/office/drawing/2014/chart" uri="{C3380CC4-5D6E-409C-BE32-E72D297353CC}">
              <c16:uniqueId val="{00000002-B609-42E6-904B-5C18DFE0CA99}"/>
            </c:ext>
          </c:extLst>
        </c:ser>
        <c:ser>
          <c:idx val="1"/>
          <c:order val="1"/>
          <c:tx>
            <c:strRef>
              <c:f>'Sheet 1'!$A$34</c:f>
              <c:strCache>
                <c:ptCount val="1"/>
                <c:pt idx="0">
                  <c:v>Baseline scenario</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1'!$C$32:$J$32</c:f>
              <c:numCache>
                <c:formatCode>General</c:formatCode>
                <c:ptCount val="8"/>
                <c:pt idx="0">
                  <c:v>2019</c:v>
                </c:pt>
                <c:pt idx="1">
                  <c:v>2020</c:v>
                </c:pt>
                <c:pt idx="2">
                  <c:v>2021</c:v>
                </c:pt>
                <c:pt idx="3">
                  <c:v>2022</c:v>
                </c:pt>
                <c:pt idx="4">
                  <c:v>2023</c:v>
                </c:pt>
                <c:pt idx="5">
                  <c:v>2024</c:v>
                </c:pt>
                <c:pt idx="6">
                  <c:v>2025</c:v>
                </c:pt>
                <c:pt idx="7">
                  <c:v>2026</c:v>
                </c:pt>
              </c:numCache>
            </c:numRef>
          </c:cat>
          <c:val>
            <c:numRef>
              <c:f>'Sheet 1'!$C$34:$J$34</c:f>
              <c:numCache>
                <c:formatCode>0.0%</c:formatCode>
                <c:ptCount val="8"/>
                <c:pt idx="0">
                  <c:v>0.39530910592454122</c:v>
                </c:pt>
                <c:pt idx="1">
                  <c:v>0.39000827570179963</c:v>
                </c:pt>
                <c:pt idx="2">
                  <c:v>0.45160124890438819</c:v>
                </c:pt>
                <c:pt idx="3">
                  <c:v>0.43729272386267604</c:v>
                </c:pt>
                <c:pt idx="4">
                  <c:v>0.44621456350243199</c:v>
                </c:pt>
                <c:pt idx="5">
                  <c:v>0.45365377651569405</c:v>
                </c:pt>
                <c:pt idx="6">
                  <c:v>0.45995158409459447</c:v>
                </c:pt>
                <c:pt idx="7">
                  <c:v>0.46535196003538187</c:v>
                </c:pt>
              </c:numCache>
            </c:numRef>
          </c:val>
          <c:smooth val="0"/>
          <c:extLst>
            <c:ext xmlns:c16="http://schemas.microsoft.com/office/drawing/2014/chart" uri="{C3380CC4-5D6E-409C-BE32-E72D297353CC}">
              <c16:uniqueId val="{00000003-B609-42E6-904B-5C18DFE0CA99}"/>
            </c:ext>
          </c:extLst>
        </c:ser>
        <c:dLbls>
          <c:showLegendKey val="0"/>
          <c:showVal val="0"/>
          <c:showCatName val="0"/>
          <c:showSerName val="0"/>
          <c:showPercent val="0"/>
          <c:showBubbleSize val="0"/>
        </c:dLbls>
        <c:marker val="1"/>
        <c:smooth val="0"/>
        <c:axId val="1167201088"/>
        <c:axId val="1167198592"/>
      </c:lineChart>
      <c:scatterChart>
        <c:scatterStyle val="lineMarker"/>
        <c:varyColors val="0"/>
        <c:ser>
          <c:idx val="2"/>
          <c:order val="2"/>
          <c:tx>
            <c:strRef>
              <c:f>'Sheet 1'!$A$35</c:f>
              <c:strCache>
                <c:ptCount val="1"/>
                <c:pt idx="0">
                  <c:v>Lower limit of impact on GDP</c:v>
                </c:pt>
              </c:strCache>
            </c:strRef>
          </c:tx>
          <c:spPr>
            <a:ln w="25400" cap="rnd">
              <a:noFill/>
              <a:round/>
            </a:ln>
            <a:effectLst/>
          </c:spPr>
          <c:marker>
            <c:symbol val="circle"/>
            <c:size val="8"/>
            <c:spPr>
              <a:solidFill>
                <a:srgbClr val="FF0000"/>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'Sheet 1'!$C$35:$J$35</c:f>
              <c:numCache>
                <c:formatCode>General</c:formatCode>
                <c:ptCount val="8"/>
                <c:pt idx="7">
                  <c:v>6.7000000000000004E-2</c:v>
                </c:pt>
              </c:numCache>
            </c:numRef>
          </c:yVal>
          <c:smooth val="0"/>
          <c:extLst>
            <c:ext xmlns:c16="http://schemas.microsoft.com/office/drawing/2014/chart" uri="{C3380CC4-5D6E-409C-BE32-E72D297353CC}">
              <c16:uniqueId val="{00000004-B609-42E6-904B-5C18DFE0CA99}"/>
            </c:ext>
          </c:extLst>
        </c:ser>
        <c:ser>
          <c:idx val="3"/>
          <c:order val="3"/>
          <c:tx>
            <c:strRef>
              <c:f>'Sheet 1'!$A$36</c:f>
              <c:strCache>
                <c:ptCount val="1"/>
                <c:pt idx="0">
                  <c:v>Upper limit of impact on GDP</c:v>
                </c:pt>
              </c:strCache>
            </c:strRef>
          </c:tx>
          <c:spPr>
            <a:ln w="25400" cap="rnd">
              <a:noFill/>
              <a:round/>
            </a:ln>
            <a:effectLst/>
          </c:spPr>
          <c:marker>
            <c:symbol val="circle"/>
            <c:size val="8"/>
            <c:spPr>
              <a:solidFill>
                <a:schemeClr val="accent6"/>
              </a:solidFill>
              <a:ln w="9525">
                <a:solidFill>
                  <a:schemeClr val="accent4"/>
                </a:solidFill>
              </a:ln>
              <a:effectLst/>
            </c:spPr>
          </c:marker>
          <c:dLbls>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609-42E6-904B-5C18DFE0CA9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yVal>
            <c:numRef>
              <c:f>'Sheet 1'!$C$36:$J$36</c:f>
              <c:numCache>
                <c:formatCode>General</c:formatCode>
                <c:ptCount val="8"/>
                <c:pt idx="7">
                  <c:v>0.13700000000000001</c:v>
                </c:pt>
              </c:numCache>
            </c:numRef>
          </c:yVal>
          <c:smooth val="0"/>
          <c:extLst>
            <c:ext xmlns:c16="http://schemas.microsoft.com/office/drawing/2014/chart" uri="{C3380CC4-5D6E-409C-BE32-E72D297353CC}">
              <c16:uniqueId val="{00000006-B609-42E6-904B-5C18DFE0CA99}"/>
            </c:ext>
          </c:extLst>
        </c:ser>
        <c:dLbls>
          <c:showLegendKey val="0"/>
          <c:showVal val="0"/>
          <c:showCatName val="0"/>
          <c:showSerName val="0"/>
          <c:showPercent val="0"/>
          <c:showBubbleSize val="0"/>
        </c:dLbls>
        <c:axId val="1167194016"/>
        <c:axId val="1167187360"/>
      </c:scatterChart>
      <c:catAx>
        <c:axId val="11672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7198592"/>
        <c:crosses val="autoZero"/>
        <c:auto val="1"/>
        <c:lblAlgn val="ctr"/>
        <c:lblOffset val="100"/>
        <c:noMultiLvlLbl val="0"/>
      </c:catAx>
      <c:valAx>
        <c:axId val="1167198592"/>
        <c:scaling>
          <c:orientation val="minMax"/>
          <c:max val="0.55000000000000004"/>
          <c:min val="0.3500000000000000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Private sector share in GDP (in %)</a:t>
                </a:r>
              </a:p>
            </c:rich>
          </c:tx>
          <c:layout>
            <c:manualLayout>
              <c:xMode val="edge"/>
              <c:yMode val="edge"/>
              <c:x val="1.0369410945335106E-2"/>
              <c:y val="0.228341207349081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7201088"/>
        <c:crosses val="autoZero"/>
        <c:crossBetween val="between"/>
        <c:majorUnit val="5.000000000000001E-2"/>
      </c:valAx>
      <c:valAx>
        <c:axId val="1167187360"/>
        <c:scaling>
          <c:orientation val="minMax"/>
        </c:scaling>
        <c:delete val="0"/>
        <c:axPos val="r"/>
        <c:title>
          <c:tx>
            <c:rich>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t>Impact of reforms on GDP growth (in</a:t>
                </a:r>
                <a:r>
                  <a:rPr lang="en-US" sz="900" baseline="0"/>
                  <a:t> </a:t>
                </a:r>
                <a:r>
                  <a:rPr lang="en-US" sz="900"/>
                  <a:t>pp)</a:t>
                </a:r>
              </a:p>
            </c:rich>
          </c:tx>
          <c:layout>
            <c:manualLayout>
              <c:xMode val="edge"/>
              <c:yMode val="edge"/>
              <c:x val="0.93877551020408168"/>
              <c:y val="0.12263736263736263"/>
            </c:manualLayout>
          </c:layout>
          <c:overlay val="0"/>
          <c:spPr>
            <a:noFill/>
            <a:ln>
              <a:noFill/>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7194016"/>
        <c:crosses val="max"/>
        <c:crossBetween val="midCat"/>
      </c:valAx>
      <c:valAx>
        <c:axId val="1167194016"/>
        <c:scaling>
          <c:orientation val="minMax"/>
        </c:scaling>
        <c:delete val="1"/>
        <c:axPos val="b"/>
        <c:majorTickMark val="out"/>
        <c:minorTickMark val="none"/>
        <c:tickLblPos val="nextTo"/>
        <c:crossAx val="1167187360"/>
        <c:crosses val="autoZero"/>
        <c:crossBetween val="midCat"/>
      </c:valAx>
      <c:spPr>
        <a:noFill/>
        <a:ln>
          <a:noFill/>
        </a:ln>
        <a:effectLst/>
      </c:spPr>
    </c:plotArea>
    <c:legend>
      <c:legendPos val="b"/>
      <c:layout>
        <c:manualLayout>
          <c:xMode val="edge"/>
          <c:yMode val="edge"/>
          <c:x val="1.3648913281781262E-2"/>
          <c:y val="0.87283038551297476"/>
          <c:w val="0.93258891246428077"/>
          <c:h val="9.54989889921717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935185185188E-2"/>
          <c:y val="4.6197089947089945E-2"/>
          <c:w val="0.90740810185185183"/>
          <c:h val="0.5366604909680408"/>
        </c:manualLayout>
      </c:layout>
      <c:barChart>
        <c:barDir val="col"/>
        <c:grouping val="stacked"/>
        <c:varyColors val="0"/>
        <c:ser>
          <c:idx val="2"/>
          <c:order val="0"/>
          <c:tx>
            <c:strRef>
              <c:f>BDP_doprinosi!$Q$8</c:f>
              <c:strCache>
                <c:ptCount val="1"/>
                <c:pt idx="0">
                  <c:v>Private consumption</c:v>
                </c:pt>
              </c:strCache>
            </c:strRef>
          </c:tx>
          <c:spPr>
            <a:solidFill>
              <a:srgbClr val="10103C"/>
            </a:solidFill>
            <a:ln>
              <a:noFill/>
            </a:ln>
            <a:effectLst/>
          </c:spPr>
          <c:invertIfNegative val="0"/>
          <c:cat>
            <c:numRef>
              <c:f>BDP_doprinosi!$AE$6:$AM$6</c:f>
              <c:numCache>
                <c:formatCode>General</c:formatCode>
                <c:ptCount val="7"/>
                <c:pt idx="0">
                  <c:v>2022</c:v>
                </c:pt>
                <c:pt idx="1">
                  <c:v>2023</c:v>
                </c:pt>
                <c:pt idx="2">
                  <c:v>2024</c:v>
                </c:pt>
                <c:pt idx="3">
                  <c:v>2025</c:v>
                </c:pt>
                <c:pt idx="4">
                  <c:v>2026</c:v>
                </c:pt>
                <c:pt idx="5">
                  <c:v>2027</c:v>
                </c:pt>
                <c:pt idx="6">
                  <c:v>2028</c:v>
                </c:pt>
              </c:numCache>
              <c:extLst/>
            </c:numRef>
          </c:cat>
          <c:val>
            <c:numRef>
              <c:f>BDP_doprinosi!$AE$8:$AM$8</c:f>
              <c:numCache>
                <c:formatCode>0.0</c:formatCode>
                <c:ptCount val="7"/>
                <c:pt idx="0">
                  <c:v>2.2221902045863948</c:v>
                </c:pt>
                <c:pt idx="1">
                  <c:v>0.31833848973833495</c:v>
                </c:pt>
                <c:pt idx="2">
                  <c:v>3.2370016461031832</c:v>
                </c:pt>
                <c:pt idx="3">
                  <c:v>1.7682994404567565</c:v>
                </c:pt>
                <c:pt idx="4">
                  <c:v>2.9460869252614255</c:v>
                </c:pt>
                <c:pt idx="5">
                  <c:v>2.2262599233272224</c:v>
                </c:pt>
                <c:pt idx="6">
                  <c:v>2.1866219171354873</c:v>
                </c:pt>
              </c:numCache>
              <c:extLst/>
            </c:numRef>
          </c:val>
          <c:extLst>
            <c:ext xmlns:c16="http://schemas.microsoft.com/office/drawing/2014/chart" uri="{C3380CC4-5D6E-409C-BE32-E72D297353CC}">
              <c16:uniqueId val="{00000000-CE15-42F2-A8A8-0747B7CF1BFC}"/>
            </c:ext>
          </c:extLst>
        </c:ser>
        <c:ser>
          <c:idx val="3"/>
          <c:order val="1"/>
          <c:tx>
            <c:strRef>
              <c:f>BDP_doprinosi!$Q$9</c:f>
              <c:strCache>
                <c:ptCount val="1"/>
                <c:pt idx="0">
                  <c:v>Government consumption</c:v>
                </c:pt>
              </c:strCache>
            </c:strRef>
          </c:tx>
          <c:spPr>
            <a:solidFill>
              <a:srgbClr val="29489A"/>
            </a:solidFill>
            <a:ln>
              <a:noFill/>
            </a:ln>
            <a:effectLst/>
          </c:spPr>
          <c:invertIfNegative val="0"/>
          <c:cat>
            <c:numRef>
              <c:f>BDP_doprinosi!$AE$6:$AM$6</c:f>
              <c:numCache>
                <c:formatCode>General</c:formatCode>
                <c:ptCount val="7"/>
                <c:pt idx="0">
                  <c:v>2022</c:v>
                </c:pt>
                <c:pt idx="1">
                  <c:v>2023</c:v>
                </c:pt>
                <c:pt idx="2">
                  <c:v>2024</c:v>
                </c:pt>
                <c:pt idx="3">
                  <c:v>2025</c:v>
                </c:pt>
                <c:pt idx="4">
                  <c:v>2026</c:v>
                </c:pt>
                <c:pt idx="5">
                  <c:v>2027</c:v>
                </c:pt>
                <c:pt idx="6">
                  <c:v>2028</c:v>
                </c:pt>
              </c:numCache>
              <c:extLst/>
            </c:numRef>
          </c:cat>
          <c:val>
            <c:numRef>
              <c:f>BDP_doprinosi!$AE$9:$AM$9</c:f>
              <c:numCache>
                <c:formatCode>0.0</c:formatCode>
                <c:ptCount val="7"/>
                <c:pt idx="0">
                  <c:v>0.24535717484313002</c:v>
                </c:pt>
                <c:pt idx="1">
                  <c:v>-0.44585232480102971</c:v>
                </c:pt>
                <c:pt idx="2">
                  <c:v>0.69087163634389692</c:v>
                </c:pt>
                <c:pt idx="3">
                  <c:v>0.45973980719210117</c:v>
                </c:pt>
                <c:pt idx="4">
                  <c:v>0.51393576276943054</c:v>
                </c:pt>
                <c:pt idx="5">
                  <c:v>0.34080954583774697</c:v>
                </c:pt>
                <c:pt idx="6">
                  <c:v>0.41398268951704387</c:v>
                </c:pt>
              </c:numCache>
              <c:extLst/>
            </c:numRef>
          </c:val>
          <c:extLst>
            <c:ext xmlns:c16="http://schemas.microsoft.com/office/drawing/2014/chart" uri="{C3380CC4-5D6E-409C-BE32-E72D297353CC}">
              <c16:uniqueId val="{00000001-CE15-42F2-A8A8-0747B7CF1BFC}"/>
            </c:ext>
          </c:extLst>
        </c:ser>
        <c:ser>
          <c:idx val="1"/>
          <c:order val="2"/>
          <c:tx>
            <c:strRef>
              <c:f>BDP_doprinosi!$Q$10</c:f>
              <c:strCache>
                <c:ptCount val="1"/>
                <c:pt idx="0">
                  <c:v>Gross fixed capital formation</c:v>
                </c:pt>
              </c:strCache>
            </c:strRef>
          </c:tx>
          <c:spPr>
            <a:solidFill>
              <a:srgbClr val="2183C4"/>
            </a:solidFill>
            <a:ln>
              <a:noFill/>
            </a:ln>
            <a:effectLst/>
          </c:spPr>
          <c:invertIfNegative val="0"/>
          <c:cat>
            <c:numRef>
              <c:f>BDP_doprinosi!$AE$6:$AM$6</c:f>
              <c:numCache>
                <c:formatCode>General</c:formatCode>
                <c:ptCount val="7"/>
                <c:pt idx="0">
                  <c:v>2022</c:v>
                </c:pt>
                <c:pt idx="1">
                  <c:v>2023</c:v>
                </c:pt>
                <c:pt idx="2">
                  <c:v>2024</c:v>
                </c:pt>
                <c:pt idx="3">
                  <c:v>2025</c:v>
                </c:pt>
                <c:pt idx="4">
                  <c:v>2026</c:v>
                </c:pt>
                <c:pt idx="5">
                  <c:v>2027</c:v>
                </c:pt>
                <c:pt idx="6">
                  <c:v>2028</c:v>
                </c:pt>
              </c:numCache>
              <c:extLst/>
            </c:numRef>
          </c:cat>
          <c:val>
            <c:numRef>
              <c:f>BDP_doprinosi!$AE$10:$AM$10</c:f>
              <c:numCache>
                <c:formatCode>0.0</c:formatCode>
                <c:ptCount val="7"/>
                <c:pt idx="0">
                  <c:v>0.50227686987182918</c:v>
                </c:pt>
                <c:pt idx="1">
                  <c:v>2.2266722518818769</c:v>
                </c:pt>
                <c:pt idx="2">
                  <c:v>1.8669989562268212</c:v>
                </c:pt>
                <c:pt idx="3">
                  <c:v>0.40201371600266272</c:v>
                </c:pt>
                <c:pt idx="4">
                  <c:v>1.7975615741458877</c:v>
                </c:pt>
                <c:pt idx="5">
                  <c:v>1.533661595139143</c:v>
                </c:pt>
                <c:pt idx="6">
                  <c:v>1.190028410537735</c:v>
                </c:pt>
              </c:numCache>
              <c:extLst/>
            </c:numRef>
          </c:val>
          <c:extLst>
            <c:ext xmlns:c16="http://schemas.microsoft.com/office/drawing/2014/chart" uri="{C3380CC4-5D6E-409C-BE32-E72D297353CC}">
              <c16:uniqueId val="{00000002-CE15-42F2-A8A8-0747B7CF1BFC}"/>
            </c:ext>
          </c:extLst>
        </c:ser>
        <c:ser>
          <c:idx val="0"/>
          <c:order val="3"/>
          <c:tx>
            <c:strRef>
              <c:f>BDP_doprinosi!$Q$11</c:f>
              <c:strCache>
                <c:ptCount val="1"/>
                <c:pt idx="0">
                  <c:v>Net exports</c:v>
                </c:pt>
              </c:strCache>
            </c:strRef>
          </c:tx>
          <c:spPr>
            <a:solidFill>
              <a:srgbClr val="51BBE7"/>
            </a:solidFill>
            <a:ln>
              <a:noFill/>
            </a:ln>
            <a:effectLst/>
          </c:spPr>
          <c:invertIfNegative val="0"/>
          <c:cat>
            <c:numRef>
              <c:f>BDP_doprinosi!$AE$6:$AM$6</c:f>
              <c:numCache>
                <c:formatCode>General</c:formatCode>
                <c:ptCount val="7"/>
                <c:pt idx="0">
                  <c:v>2022</c:v>
                </c:pt>
                <c:pt idx="1">
                  <c:v>2023</c:v>
                </c:pt>
                <c:pt idx="2">
                  <c:v>2024</c:v>
                </c:pt>
                <c:pt idx="3">
                  <c:v>2025</c:v>
                </c:pt>
                <c:pt idx="4">
                  <c:v>2026</c:v>
                </c:pt>
                <c:pt idx="5">
                  <c:v>2027</c:v>
                </c:pt>
                <c:pt idx="6">
                  <c:v>2028</c:v>
                </c:pt>
              </c:numCache>
              <c:extLst/>
            </c:numRef>
          </c:cat>
          <c:val>
            <c:numRef>
              <c:f>BDP_doprinosi!$AE$11:$AM$11</c:f>
              <c:numCache>
                <c:formatCode>0.0</c:formatCode>
                <c:ptCount val="7"/>
                <c:pt idx="0">
                  <c:v>-0.72017071190694426</c:v>
                </c:pt>
                <c:pt idx="1">
                  <c:v>2.5793220166551953</c:v>
                </c:pt>
                <c:pt idx="2">
                  <c:v>-2.087662236799805</c:v>
                </c:pt>
                <c:pt idx="3">
                  <c:v>-1.1249696836646341</c:v>
                </c:pt>
                <c:pt idx="4">
                  <c:v>-2.0284287787882986</c:v>
                </c:pt>
                <c:pt idx="5">
                  <c:v>0.95030787889770862</c:v>
                </c:pt>
                <c:pt idx="6">
                  <c:v>-0.38689606756467126</c:v>
                </c:pt>
              </c:numCache>
              <c:extLst/>
            </c:numRef>
          </c:val>
          <c:extLst>
            <c:ext xmlns:c16="http://schemas.microsoft.com/office/drawing/2014/chart" uri="{C3380CC4-5D6E-409C-BE32-E72D297353CC}">
              <c16:uniqueId val="{00000003-CE15-42F2-A8A8-0747B7CF1BFC}"/>
            </c:ext>
          </c:extLst>
        </c:ser>
        <c:ser>
          <c:idx val="4"/>
          <c:order val="4"/>
          <c:tx>
            <c:strRef>
              <c:f>BDP_doprinosi!$Q$12</c:f>
              <c:strCache>
                <c:ptCount val="1"/>
                <c:pt idx="0">
                  <c:v>Change in inventories</c:v>
                </c:pt>
              </c:strCache>
            </c:strRef>
          </c:tx>
          <c:spPr>
            <a:solidFill>
              <a:srgbClr val="9ED1E6"/>
            </a:solidFill>
            <a:ln>
              <a:noFill/>
            </a:ln>
            <a:effectLst/>
          </c:spPr>
          <c:invertIfNegative val="0"/>
          <c:cat>
            <c:numRef>
              <c:f>BDP_doprinosi!$AE$6:$AM$6</c:f>
              <c:numCache>
                <c:formatCode>General</c:formatCode>
                <c:ptCount val="7"/>
                <c:pt idx="0">
                  <c:v>2022</c:v>
                </c:pt>
                <c:pt idx="1">
                  <c:v>2023</c:v>
                </c:pt>
                <c:pt idx="2">
                  <c:v>2024</c:v>
                </c:pt>
                <c:pt idx="3">
                  <c:v>2025</c:v>
                </c:pt>
                <c:pt idx="4">
                  <c:v>2026</c:v>
                </c:pt>
                <c:pt idx="5">
                  <c:v>2027</c:v>
                </c:pt>
                <c:pt idx="6">
                  <c:v>2028</c:v>
                </c:pt>
              </c:numCache>
              <c:extLst/>
            </c:numRef>
          </c:cat>
          <c:val>
            <c:numRef>
              <c:f>BDP_doprinosi!$AE$12:$AM$12</c:f>
              <c:numCache>
                <c:formatCode>0.0</c:formatCode>
                <c:ptCount val="7"/>
                <c:pt idx="0">
                  <c:v>0.45382313751105896</c:v>
                </c:pt>
                <c:pt idx="1">
                  <c:v>-0.93054733787088606</c:v>
                </c:pt>
                <c:pt idx="2">
                  <c:v>0.24271600932706799</c:v>
                </c:pt>
                <c:pt idx="3">
                  <c:v>0.74491672001311426</c:v>
                </c:pt>
                <c:pt idx="4">
                  <c:v>-0.26915548338844314</c:v>
                </c:pt>
                <c:pt idx="5">
                  <c:v>-3.1038943201813694E-2</c:v>
                </c:pt>
                <c:pt idx="6">
                  <c:v>4.7263050374417526E-2</c:v>
                </c:pt>
              </c:numCache>
              <c:extLst/>
            </c:numRef>
          </c:val>
          <c:extLst>
            <c:ext xmlns:c16="http://schemas.microsoft.com/office/drawing/2014/chart" uri="{C3380CC4-5D6E-409C-BE32-E72D297353CC}">
              <c16:uniqueId val="{00000004-CE15-42F2-A8A8-0747B7CF1BFC}"/>
            </c:ext>
          </c:extLst>
        </c:ser>
        <c:dLbls>
          <c:showLegendKey val="0"/>
          <c:showVal val="0"/>
          <c:showCatName val="0"/>
          <c:showSerName val="0"/>
          <c:showPercent val="0"/>
          <c:showBubbleSize val="0"/>
        </c:dLbls>
        <c:gapWidth val="60"/>
        <c:overlap val="100"/>
        <c:axId val="1768846368"/>
        <c:axId val="1768847456"/>
      </c:barChart>
      <c:lineChart>
        <c:grouping val="standard"/>
        <c:varyColors val="0"/>
        <c:ser>
          <c:idx val="5"/>
          <c:order val="5"/>
          <c:tx>
            <c:strRef>
              <c:f>BDP_doprinosi!$Q$13</c:f>
              <c:strCache>
                <c:ptCount val="1"/>
                <c:pt idx="0">
                  <c:v>Real GDP growth</c:v>
                </c:pt>
              </c:strCache>
            </c:strRef>
          </c:tx>
          <c:spPr>
            <a:ln w="25400" cap="rnd">
              <a:solidFill>
                <a:srgbClr val="FF0000"/>
              </a:solidFill>
              <a:round/>
            </a:ln>
            <a:effectLst/>
          </c:spPr>
          <c:marker>
            <c:symbol val="none"/>
          </c:marker>
          <c:dLbls>
            <c:spPr>
              <a:noFill/>
              <a:ln>
                <a:noFill/>
              </a:ln>
              <a:effectLst/>
            </c:spPr>
            <c:txPr>
              <a:bodyPr rot="0" spcFirstLastPara="1" vertOverflow="ellipsis" vert="horz" wrap="square" anchor="ctr" anchorCtr="1"/>
              <a:lstStyle/>
              <a:p>
                <a:pPr>
                  <a:defRPr sz="750" b="1" i="0" u="none" strike="noStrike" kern="1200" baseline="0">
                    <a:solidFill>
                      <a:srgbClr val="FF0000"/>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BDP_doprinosi!$AE$6:$AM$6</c:f>
              <c:numCache>
                <c:formatCode>General</c:formatCode>
                <c:ptCount val="7"/>
                <c:pt idx="0">
                  <c:v>2022</c:v>
                </c:pt>
                <c:pt idx="1">
                  <c:v>2023</c:v>
                </c:pt>
                <c:pt idx="2">
                  <c:v>2024</c:v>
                </c:pt>
                <c:pt idx="3">
                  <c:v>2025</c:v>
                </c:pt>
                <c:pt idx="4">
                  <c:v>2026</c:v>
                </c:pt>
                <c:pt idx="5">
                  <c:v>2027</c:v>
                </c:pt>
                <c:pt idx="6">
                  <c:v>2028</c:v>
                </c:pt>
              </c:numCache>
              <c:extLst/>
            </c:numRef>
          </c:cat>
          <c:val>
            <c:numRef>
              <c:f>BDP_doprinosi!$AE$13:$AM$13</c:f>
              <c:numCache>
                <c:formatCode>0.0</c:formatCode>
                <c:ptCount val="7"/>
                <c:pt idx="0">
                  <c:v>2.7034766749054739</c:v>
                </c:pt>
                <c:pt idx="1">
                  <c:v>3.7479330956034858</c:v>
                </c:pt>
                <c:pt idx="2">
                  <c:v>3.9499260112011711</c:v>
                </c:pt>
                <c:pt idx="3">
                  <c:v>2.25</c:v>
                </c:pt>
                <c:pt idx="4">
                  <c:v>2.96</c:v>
                </c:pt>
                <c:pt idx="5">
                  <c:v>5.0199999999999996</c:v>
                </c:pt>
                <c:pt idx="6">
                  <c:v>3.4510000000000001</c:v>
                </c:pt>
              </c:numCache>
              <c:extLst/>
            </c:numRef>
          </c:val>
          <c:smooth val="0"/>
          <c:extLst>
            <c:ext xmlns:c16="http://schemas.microsoft.com/office/drawing/2014/chart" uri="{C3380CC4-5D6E-409C-BE32-E72D297353CC}">
              <c16:uniqueId val="{00000005-CE15-42F2-A8A8-0747B7CF1BFC}"/>
            </c:ext>
          </c:extLst>
        </c:ser>
        <c:dLbls>
          <c:showLegendKey val="0"/>
          <c:showVal val="0"/>
          <c:showCatName val="0"/>
          <c:showSerName val="0"/>
          <c:showPercent val="0"/>
          <c:showBubbleSize val="0"/>
        </c:dLbls>
        <c:marker val="1"/>
        <c:smooth val="0"/>
        <c:axId val="1768846368"/>
        <c:axId val="1768847456"/>
      </c:lineChart>
      <c:catAx>
        <c:axId val="1768846368"/>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768847456"/>
        <c:crosses val="autoZero"/>
        <c:auto val="1"/>
        <c:lblAlgn val="ctr"/>
        <c:lblOffset val="100"/>
        <c:noMultiLvlLbl val="0"/>
      </c:catAx>
      <c:valAx>
        <c:axId val="1768847456"/>
        <c:scaling>
          <c:orientation val="minMax"/>
          <c:max val="10"/>
          <c:min val="-2"/>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crossAx val="1768846368"/>
        <c:crosses val="autoZero"/>
        <c:crossBetween val="between"/>
        <c:majorUnit val="2"/>
      </c:valAx>
      <c:spPr>
        <a:noFill/>
        <a:ln>
          <a:noFill/>
        </a:ln>
        <a:effectLst/>
      </c:spPr>
    </c:plotArea>
    <c:legend>
      <c:legendPos val="b"/>
      <c:layout>
        <c:manualLayout>
          <c:xMode val="edge"/>
          <c:yMode val="edge"/>
          <c:x val="0"/>
          <c:y val="0.68092842430991496"/>
          <c:w val="1"/>
          <c:h val="0.31487193637716443"/>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mn-lt"/>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a:solidFill>
            <a:schemeClr val="tx2"/>
          </a:solidFill>
          <a:latin typeface="+mn-lt"/>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53890798861412E-2"/>
          <c:y val="0.12259765625000001"/>
          <c:w val="0.90740810185185183"/>
          <c:h val="0.56714843749999999"/>
        </c:manualLayout>
      </c:layout>
      <c:barChart>
        <c:barDir val="col"/>
        <c:grouping val="stacked"/>
        <c:varyColors val="0"/>
        <c:ser>
          <c:idx val="2"/>
          <c:order val="1"/>
          <c:tx>
            <c:strRef>
              <c:f>'потенцијални BDP'!$D$4</c:f>
              <c:strCache>
                <c:ptCount val="1"/>
                <c:pt idx="0">
                  <c:v>Contribution of labour factor, pp</c:v>
                </c:pt>
              </c:strCache>
            </c:strRef>
          </c:tx>
          <c:spPr>
            <a:solidFill>
              <a:srgbClr val="10103C"/>
            </a:solidFill>
            <a:ln>
              <a:noFill/>
            </a:ln>
            <a:effectLst/>
          </c:spPr>
          <c:invertIfNegative val="0"/>
          <c:cat>
            <c:numRef>
              <c:f>'потенцијални BDP'!$B$13:$B$19</c:f>
              <c:numCache>
                <c:formatCode>General</c:formatCode>
                <c:ptCount val="7"/>
                <c:pt idx="0">
                  <c:v>2022</c:v>
                </c:pt>
                <c:pt idx="1">
                  <c:v>2023</c:v>
                </c:pt>
                <c:pt idx="2">
                  <c:v>2024</c:v>
                </c:pt>
                <c:pt idx="3">
                  <c:v>2025</c:v>
                </c:pt>
                <c:pt idx="4">
                  <c:v>2026</c:v>
                </c:pt>
                <c:pt idx="5">
                  <c:v>2027</c:v>
                </c:pt>
                <c:pt idx="6">
                  <c:v>2028</c:v>
                </c:pt>
              </c:numCache>
            </c:numRef>
          </c:cat>
          <c:val>
            <c:numRef>
              <c:f>'потенцијални BDP'!$D$13:$D$19</c:f>
              <c:numCache>
                <c:formatCode>0.0</c:formatCode>
                <c:ptCount val="7"/>
                <c:pt idx="0">
                  <c:v>0.76564961926302022</c:v>
                </c:pt>
                <c:pt idx="1">
                  <c:v>0.94230647245415866</c:v>
                </c:pt>
                <c:pt idx="2">
                  <c:v>0.83182831889549014</c:v>
                </c:pt>
                <c:pt idx="3">
                  <c:v>0.61439733071099734</c:v>
                </c:pt>
                <c:pt idx="4">
                  <c:v>0.37530272515173713</c:v>
                </c:pt>
                <c:pt idx="5">
                  <c:v>0.21414887064558963</c:v>
                </c:pt>
                <c:pt idx="6">
                  <c:v>0.30792650735404603</c:v>
                </c:pt>
              </c:numCache>
            </c:numRef>
          </c:val>
          <c:extLst>
            <c:ext xmlns:c16="http://schemas.microsoft.com/office/drawing/2014/chart" uri="{C3380CC4-5D6E-409C-BE32-E72D297353CC}">
              <c16:uniqueId val="{00000000-D554-48F8-AFD1-A7656FE6C79A}"/>
            </c:ext>
          </c:extLst>
        </c:ser>
        <c:ser>
          <c:idx val="1"/>
          <c:order val="2"/>
          <c:tx>
            <c:strRef>
              <c:f>'потенцијални BDP'!$E$4</c:f>
              <c:strCache>
                <c:ptCount val="1"/>
                <c:pt idx="0">
                  <c:v>Capital contribution, pp</c:v>
                </c:pt>
              </c:strCache>
            </c:strRef>
          </c:tx>
          <c:spPr>
            <a:solidFill>
              <a:srgbClr val="29489A"/>
            </a:solidFill>
            <a:ln>
              <a:noFill/>
            </a:ln>
            <a:effectLst/>
          </c:spPr>
          <c:invertIfNegative val="0"/>
          <c:cat>
            <c:numRef>
              <c:f>'потенцијални BDP'!$B$13:$B$19</c:f>
              <c:numCache>
                <c:formatCode>General</c:formatCode>
                <c:ptCount val="7"/>
                <c:pt idx="0">
                  <c:v>2022</c:v>
                </c:pt>
                <c:pt idx="1">
                  <c:v>2023</c:v>
                </c:pt>
                <c:pt idx="2">
                  <c:v>2024</c:v>
                </c:pt>
                <c:pt idx="3">
                  <c:v>2025</c:v>
                </c:pt>
                <c:pt idx="4">
                  <c:v>2026</c:v>
                </c:pt>
                <c:pt idx="5">
                  <c:v>2027</c:v>
                </c:pt>
                <c:pt idx="6">
                  <c:v>2028</c:v>
                </c:pt>
              </c:numCache>
            </c:numRef>
          </c:cat>
          <c:val>
            <c:numRef>
              <c:f>'потенцијални BDP'!$E$13:$E$19</c:f>
              <c:numCache>
                <c:formatCode>0.0</c:formatCode>
                <c:ptCount val="7"/>
                <c:pt idx="0">
                  <c:v>1.6841914599443151</c:v>
                </c:pt>
                <c:pt idx="1">
                  <c:v>1.8524329672844595</c:v>
                </c:pt>
                <c:pt idx="2">
                  <c:v>1.9386537218612263</c:v>
                </c:pt>
                <c:pt idx="3">
                  <c:v>1.7946859646012434</c:v>
                </c:pt>
                <c:pt idx="4">
                  <c:v>1.8890799113004328</c:v>
                </c:pt>
                <c:pt idx="5">
                  <c:v>1.9253028687541172</c:v>
                </c:pt>
                <c:pt idx="6">
                  <c:v>1.8888354540890016</c:v>
                </c:pt>
              </c:numCache>
            </c:numRef>
          </c:val>
          <c:extLst>
            <c:ext xmlns:c16="http://schemas.microsoft.com/office/drawing/2014/chart" uri="{C3380CC4-5D6E-409C-BE32-E72D297353CC}">
              <c16:uniqueId val="{00000001-D554-48F8-AFD1-A7656FE6C79A}"/>
            </c:ext>
          </c:extLst>
        </c:ser>
        <c:ser>
          <c:idx val="3"/>
          <c:order val="3"/>
          <c:tx>
            <c:strRef>
              <c:f>'потенцијални BDP'!$F$4</c:f>
              <c:strCache>
                <c:ptCount val="1"/>
                <c:pt idx="0">
                  <c:v>TFP, pp</c:v>
                </c:pt>
              </c:strCache>
            </c:strRef>
          </c:tx>
          <c:spPr>
            <a:solidFill>
              <a:srgbClr val="51BBE7"/>
            </a:solidFill>
            <a:ln>
              <a:noFill/>
            </a:ln>
            <a:effectLst/>
          </c:spPr>
          <c:invertIfNegative val="0"/>
          <c:cat>
            <c:numRef>
              <c:f>'потенцијални BDP'!$B$13:$B$19</c:f>
              <c:numCache>
                <c:formatCode>General</c:formatCode>
                <c:ptCount val="7"/>
                <c:pt idx="0">
                  <c:v>2022</c:v>
                </c:pt>
                <c:pt idx="1">
                  <c:v>2023</c:v>
                </c:pt>
                <c:pt idx="2">
                  <c:v>2024</c:v>
                </c:pt>
                <c:pt idx="3">
                  <c:v>2025</c:v>
                </c:pt>
                <c:pt idx="4">
                  <c:v>2026</c:v>
                </c:pt>
                <c:pt idx="5">
                  <c:v>2027</c:v>
                </c:pt>
                <c:pt idx="6">
                  <c:v>2028</c:v>
                </c:pt>
              </c:numCache>
            </c:numRef>
          </c:cat>
          <c:val>
            <c:numRef>
              <c:f>'потенцијални BDP'!$F$13:$F$19</c:f>
              <c:numCache>
                <c:formatCode>0.0</c:formatCode>
                <c:ptCount val="7"/>
                <c:pt idx="0">
                  <c:v>1.3007879848533823</c:v>
                </c:pt>
                <c:pt idx="1">
                  <c:v>1.1342265948927355</c:v>
                </c:pt>
                <c:pt idx="2">
                  <c:v>1.1614489813771112</c:v>
                </c:pt>
                <c:pt idx="3">
                  <c:v>1.4727295048873723</c:v>
                </c:pt>
                <c:pt idx="4">
                  <c:v>1.4415119874271431</c:v>
                </c:pt>
                <c:pt idx="5">
                  <c:v>1.6471798245670179</c:v>
                </c:pt>
                <c:pt idx="6">
                  <c:v>1.66693101831793</c:v>
                </c:pt>
              </c:numCache>
            </c:numRef>
          </c:val>
          <c:extLst>
            <c:ext xmlns:c16="http://schemas.microsoft.com/office/drawing/2014/chart" uri="{C3380CC4-5D6E-409C-BE32-E72D297353CC}">
              <c16:uniqueId val="{00000002-D554-48F8-AFD1-A7656FE6C79A}"/>
            </c:ext>
          </c:extLst>
        </c:ser>
        <c:dLbls>
          <c:showLegendKey val="0"/>
          <c:showVal val="0"/>
          <c:showCatName val="0"/>
          <c:showSerName val="0"/>
          <c:showPercent val="0"/>
          <c:showBubbleSize val="0"/>
        </c:dLbls>
        <c:gapWidth val="60"/>
        <c:overlap val="100"/>
        <c:axId val="1961427600"/>
        <c:axId val="1961420528"/>
      </c:barChart>
      <c:lineChart>
        <c:grouping val="standard"/>
        <c:varyColors val="0"/>
        <c:ser>
          <c:idx val="0"/>
          <c:order val="0"/>
          <c:tx>
            <c:strRef>
              <c:f>'потенцијални BDP'!$C$4</c:f>
              <c:strCache>
                <c:ptCount val="1"/>
                <c:pt idx="0">
                  <c:v>Potential GDP growth, %</c:v>
                </c:pt>
              </c:strCache>
            </c:strRef>
          </c:tx>
          <c:spPr>
            <a:ln w="28575" cap="rnd">
              <a:solidFill>
                <a:srgbClr val="FF0000"/>
              </a:solidFill>
              <a:round/>
            </a:ln>
            <a:effectLst/>
          </c:spPr>
          <c:marker>
            <c:symbol val="none"/>
          </c:marker>
          <c:cat>
            <c:numRef>
              <c:f>'потенцијални BDP'!$B$13:$B$19</c:f>
              <c:numCache>
                <c:formatCode>General</c:formatCode>
                <c:ptCount val="7"/>
                <c:pt idx="0">
                  <c:v>2022</c:v>
                </c:pt>
                <c:pt idx="1">
                  <c:v>2023</c:v>
                </c:pt>
                <c:pt idx="2">
                  <c:v>2024</c:v>
                </c:pt>
                <c:pt idx="3">
                  <c:v>2025</c:v>
                </c:pt>
                <c:pt idx="4">
                  <c:v>2026</c:v>
                </c:pt>
                <c:pt idx="5">
                  <c:v>2027</c:v>
                </c:pt>
                <c:pt idx="6">
                  <c:v>2028</c:v>
                </c:pt>
              </c:numCache>
            </c:numRef>
          </c:cat>
          <c:val>
            <c:numRef>
              <c:f>'потенцијални BDP'!$C$13:$C$19</c:f>
              <c:numCache>
                <c:formatCode>0.0</c:formatCode>
                <c:ptCount val="7"/>
                <c:pt idx="0">
                  <c:v>3.7506290640607176</c:v>
                </c:pt>
                <c:pt idx="1">
                  <c:v>3.9289660346313537</c:v>
                </c:pt>
                <c:pt idx="2">
                  <c:v>3.9319310221338277</c:v>
                </c:pt>
                <c:pt idx="3">
                  <c:v>3.8818128001996133</c:v>
                </c:pt>
                <c:pt idx="4">
                  <c:v>3.7058946238793133</c:v>
                </c:pt>
                <c:pt idx="5">
                  <c:v>3.7866315639667247</c:v>
                </c:pt>
                <c:pt idx="6">
                  <c:v>3.86</c:v>
                </c:pt>
              </c:numCache>
            </c:numRef>
          </c:val>
          <c:smooth val="0"/>
          <c:extLst>
            <c:ext xmlns:c16="http://schemas.microsoft.com/office/drawing/2014/chart" uri="{C3380CC4-5D6E-409C-BE32-E72D297353CC}">
              <c16:uniqueId val="{00000003-D554-48F8-AFD1-A7656FE6C79A}"/>
            </c:ext>
          </c:extLst>
        </c:ser>
        <c:dLbls>
          <c:showLegendKey val="0"/>
          <c:showVal val="0"/>
          <c:showCatName val="0"/>
          <c:showSerName val="0"/>
          <c:showPercent val="0"/>
          <c:showBubbleSize val="0"/>
        </c:dLbls>
        <c:marker val="1"/>
        <c:smooth val="0"/>
        <c:axId val="1961427600"/>
        <c:axId val="1961420528"/>
      </c:lineChart>
      <c:catAx>
        <c:axId val="1961427600"/>
        <c:scaling>
          <c:orientation val="minMax"/>
        </c:scaling>
        <c:delete val="0"/>
        <c:axPos val="b"/>
        <c:numFmt formatCode="General" sourceLinked="1"/>
        <c:majorTickMark val="none"/>
        <c:minorTickMark val="none"/>
        <c:tickLblPos val="low"/>
        <c:spPr>
          <a:noFill/>
          <a:ln w="6350" cap="flat" cmpd="sng" algn="ctr">
            <a:solidFill>
              <a:srgbClr val="898989"/>
            </a:solidFill>
            <a:round/>
          </a:ln>
          <a:effectLst/>
        </c:spPr>
        <c:txPr>
          <a:bodyPr rot="-6000000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crossAx val="1961420528"/>
        <c:crosses val="autoZero"/>
        <c:auto val="1"/>
        <c:lblAlgn val="ctr"/>
        <c:lblOffset val="100"/>
        <c:noMultiLvlLbl val="0"/>
      </c:catAx>
      <c:valAx>
        <c:axId val="1961420528"/>
        <c:scaling>
          <c:orientation val="minMax"/>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crossAx val="1961427600"/>
        <c:crosses val="autoZero"/>
        <c:crossBetween val="between"/>
        <c:majorUnit val="1"/>
      </c:valAx>
      <c:spPr>
        <a:noFill/>
        <a:ln>
          <a:noFill/>
        </a:ln>
        <a:effectLst/>
      </c:spPr>
    </c:plotArea>
    <c:legend>
      <c:legendPos val="b"/>
      <c:layout>
        <c:manualLayout>
          <c:xMode val="edge"/>
          <c:yMode val="edge"/>
          <c:x val="1.4346234889652889E-3"/>
          <c:y val="0.77393596070013926"/>
          <c:w val="0.99827437063324831"/>
          <c:h val="0.21260959040516919"/>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2"/>
              </a:solidFill>
              <a:latin typeface="Times New Roman" panose="02020603050405020304" pitchFamily="18" charset="0"/>
              <a:ea typeface="+mn-ea"/>
              <a:cs typeface="Arial" panose="020B0604020202020204" pitchFamily="34" charset="0"/>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750" baseline="0">
          <a:solidFill>
            <a:schemeClr val="tx2"/>
          </a:solidFill>
          <a:latin typeface="Times New Roman" panose="02020603050405020304" pitchFamily="18" charset="0"/>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99511519393409"/>
          <c:y val="7.7030812324929976E-2"/>
          <c:w val="0.84707895888013995"/>
          <c:h val="0.74824268289993168"/>
        </c:manualLayout>
      </c:layout>
      <c:areaChart>
        <c:grouping val="stacked"/>
        <c:varyColors val="0"/>
        <c:ser>
          <c:idx val="0"/>
          <c:order val="0"/>
          <c:tx>
            <c:strRef>
              <c:f>Fan_chart!$A$19</c:f>
              <c:strCache>
                <c:ptCount val="1"/>
                <c:pt idx="0">
                  <c:v>90% Lower Bound:</c:v>
                </c:pt>
              </c:strCache>
            </c:strRef>
          </c:tx>
          <c:spPr>
            <a:noFill/>
            <a:ln>
              <a:noFill/>
            </a:ln>
            <a:effectLst/>
          </c:spPr>
          <c:cat>
            <c:strLit>
              <c:ptCount val="9"/>
              <c:pt idx="0">
                <c:v>2020</c:v>
              </c:pt>
              <c:pt idx="1">
                <c:v>2021</c:v>
              </c:pt>
              <c:pt idx="2">
                <c:v>2022</c:v>
              </c:pt>
              <c:pt idx="3">
                <c:v>2023</c:v>
              </c:pt>
              <c:pt idx="4">
                <c:v>2024</c:v>
              </c:pt>
              <c:pt idx="5">
                <c:v>2025</c:v>
              </c:pt>
              <c:pt idx="6">
                <c:v>2026</c:v>
              </c:pt>
              <c:pt idx="7">
                <c:v>2027</c:v>
              </c:pt>
              <c:pt idx="8">
                <c:v>2028</c:v>
              </c:pt>
              <c:extLst>
                <c:ext xmlns:c15="http://schemas.microsoft.com/office/drawing/2012/chart" uri="{02D57815-91ED-43cb-92C2-25804820EDAC}">
                  <c15:autoCat val="1"/>
                </c:ext>
              </c:extLst>
            </c:strLit>
          </c:cat>
          <c:val>
            <c:numRef>
              <c:f>Fan_chart!$B$19:$Q$19</c:f>
              <c:numCache>
                <c:formatCode>General</c:formatCode>
                <c:ptCount val="9"/>
                <c:pt idx="4" formatCode="0.0">
                  <c:v>3.9</c:v>
                </c:pt>
                <c:pt idx="5" formatCode="0.0">
                  <c:v>1.7845456152317392</c:v>
                </c:pt>
                <c:pt idx="6" formatCode="0.0">
                  <c:v>1.2186113740274211</c:v>
                </c:pt>
                <c:pt idx="7" formatCode="0.0">
                  <c:v>1.6290413843083642</c:v>
                </c:pt>
                <c:pt idx="8" formatCode="0.0">
                  <c:v>-2.4716812399997234E-2</c:v>
                </c:pt>
              </c:numCache>
              <c:extLst/>
            </c:numRef>
          </c:val>
          <c:extLst>
            <c:ext xmlns:c16="http://schemas.microsoft.com/office/drawing/2014/chart" uri="{C3380CC4-5D6E-409C-BE32-E72D297353CC}">
              <c16:uniqueId val="{00000000-455A-4A4B-90D3-9D5DB916EC71}"/>
            </c:ext>
          </c:extLst>
        </c:ser>
        <c:ser>
          <c:idx val="1"/>
          <c:order val="1"/>
          <c:tx>
            <c:strRef>
              <c:f>Fan_chart!$A$20</c:f>
              <c:strCache>
                <c:ptCount val="1"/>
                <c:pt idx="0">
                  <c:v>75% Lower Bound: (aditional 15%)</c:v>
                </c:pt>
              </c:strCache>
            </c:strRef>
          </c:tx>
          <c:spPr>
            <a:solidFill>
              <a:srgbClr val="C00000">
                <a:alpha val="25000"/>
              </a:srgbClr>
            </a:solidFill>
            <a:ln>
              <a:noFill/>
            </a:ln>
            <a:effectLst/>
          </c:spPr>
          <c:cat>
            <c:strLit>
              <c:ptCount val="9"/>
              <c:pt idx="0">
                <c:v>2020</c:v>
              </c:pt>
              <c:pt idx="1">
                <c:v>2021</c:v>
              </c:pt>
              <c:pt idx="2">
                <c:v>2022</c:v>
              </c:pt>
              <c:pt idx="3">
                <c:v>2023</c:v>
              </c:pt>
              <c:pt idx="4">
                <c:v>2024</c:v>
              </c:pt>
              <c:pt idx="5">
                <c:v>2025</c:v>
              </c:pt>
              <c:pt idx="6">
                <c:v>2026</c:v>
              </c:pt>
              <c:pt idx="7">
                <c:v>2027</c:v>
              </c:pt>
              <c:pt idx="8">
                <c:v>2028</c:v>
              </c:pt>
              <c:extLst>
                <c:ext xmlns:c15="http://schemas.microsoft.com/office/drawing/2012/chart" uri="{02D57815-91ED-43cb-92C2-25804820EDAC}">
                  <c15:autoCat val="1"/>
                </c:ext>
              </c:extLst>
            </c:strLit>
          </c:cat>
          <c:val>
            <c:numRef>
              <c:f>Fan_chart!$B$20:$Q$20</c:f>
              <c:numCache>
                <c:formatCode>General</c:formatCode>
                <c:ptCount val="9"/>
                <c:pt idx="5" formatCode="0.0">
                  <c:v>0.13906868813198048</c:v>
                </c:pt>
                <c:pt idx="6" formatCode="0.0">
                  <c:v>0.52029294312595353</c:v>
                </c:pt>
                <c:pt idx="7" formatCode="0.0">
                  <c:v>1.013152269322501</c:v>
                </c:pt>
                <c:pt idx="8" formatCode="0.0">
                  <c:v>1.0384763646804869</c:v>
                </c:pt>
              </c:numCache>
              <c:extLst/>
            </c:numRef>
          </c:val>
          <c:extLst>
            <c:ext xmlns:c16="http://schemas.microsoft.com/office/drawing/2014/chart" uri="{C3380CC4-5D6E-409C-BE32-E72D297353CC}">
              <c16:uniqueId val="{00000001-455A-4A4B-90D3-9D5DB916EC71}"/>
            </c:ext>
          </c:extLst>
        </c:ser>
        <c:ser>
          <c:idx val="2"/>
          <c:order val="2"/>
          <c:tx>
            <c:strRef>
              <c:f>Fan_chart!$A$21</c:f>
              <c:strCache>
                <c:ptCount val="1"/>
                <c:pt idx="0">
                  <c:v>50% Lower Bound: (aditional 25%)</c:v>
                </c:pt>
              </c:strCache>
            </c:strRef>
          </c:tx>
          <c:spPr>
            <a:solidFill>
              <a:srgbClr val="C00000">
                <a:alpha val="50000"/>
              </a:srgbClr>
            </a:solidFill>
            <a:ln>
              <a:noFill/>
            </a:ln>
            <a:effectLst/>
          </c:spPr>
          <c:cat>
            <c:strLit>
              <c:ptCount val="9"/>
              <c:pt idx="0">
                <c:v>2020</c:v>
              </c:pt>
              <c:pt idx="1">
                <c:v>2021</c:v>
              </c:pt>
              <c:pt idx="2">
                <c:v>2022</c:v>
              </c:pt>
              <c:pt idx="3">
                <c:v>2023</c:v>
              </c:pt>
              <c:pt idx="4">
                <c:v>2024</c:v>
              </c:pt>
              <c:pt idx="5">
                <c:v>2025</c:v>
              </c:pt>
              <c:pt idx="6">
                <c:v>2026</c:v>
              </c:pt>
              <c:pt idx="7">
                <c:v>2027</c:v>
              </c:pt>
              <c:pt idx="8">
                <c:v>2028</c:v>
              </c:pt>
              <c:extLst>
                <c:ext xmlns:c15="http://schemas.microsoft.com/office/drawing/2012/chart" uri="{02D57815-91ED-43cb-92C2-25804820EDAC}">
                  <c15:autoCat val="1"/>
                </c:ext>
              </c:extLst>
            </c:strLit>
          </c:cat>
          <c:val>
            <c:numRef>
              <c:f>Fan_chart!$B$21:$Q$21</c:f>
              <c:numCache>
                <c:formatCode>General</c:formatCode>
                <c:ptCount val="9"/>
                <c:pt idx="5" formatCode="0.0">
                  <c:v>0.13623055163949083</c:v>
                </c:pt>
                <c:pt idx="6" formatCode="0.0">
                  <c:v>0.50967471979685208</c:v>
                </c:pt>
                <c:pt idx="7" formatCode="0.0">
                  <c:v>0.99247569239755151</c:v>
                </c:pt>
                <c:pt idx="8" formatCode="0.0">
                  <c:v>1.0172829694829262</c:v>
                </c:pt>
              </c:numCache>
              <c:extLst/>
            </c:numRef>
          </c:val>
          <c:extLst>
            <c:ext xmlns:c16="http://schemas.microsoft.com/office/drawing/2014/chart" uri="{C3380CC4-5D6E-409C-BE32-E72D297353CC}">
              <c16:uniqueId val="{00000002-455A-4A4B-90D3-9D5DB916EC71}"/>
            </c:ext>
          </c:extLst>
        </c:ser>
        <c:ser>
          <c:idx val="3"/>
          <c:order val="3"/>
          <c:tx>
            <c:strRef>
              <c:f>Fan_chart!$A$22</c:f>
              <c:strCache>
                <c:ptCount val="1"/>
                <c:pt idx="0">
                  <c:v>50% Upper Bound: (aditional 50%)</c:v>
                </c:pt>
              </c:strCache>
            </c:strRef>
          </c:tx>
          <c:spPr>
            <a:solidFill>
              <a:srgbClr val="C00000">
                <a:alpha val="75000"/>
              </a:srgbClr>
            </a:solidFill>
            <a:ln>
              <a:noFill/>
            </a:ln>
            <a:effectLst/>
          </c:spPr>
          <c:cat>
            <c:strLit>
              <c:ptCount val="9"/>
              <c:pt idx="0">
                <c:v>2020</c:v>
              </c:pt>
              <c:pt idx="1">
                <c:v>2021</c:v>
              </c:pt>
              <c:pt idx="2">
                <c:v>2022</c:v>
              </c:pt>
              <c:pt idx="3">
                <c:v>2023</c:v>
              </c:pt>
              <c:pt idx="4">
                <c:v>2024</c:v>
              </c:pt>
              <c:pt idx="5">
                <c:v>2025</c:v>
              </c:pt>
              <c:pt idx="6">
                <c:v>2026</c:v>
              </c:pt>
              <c:pt idx="7">
                <c:v>2027</c:v>
              </c:pt>
              <c:pt idx="8">
                <c:v>2028</c:v>
              </c:pt>
              <c:extLst>
                <c:ext xmlns:c15="http://schemas.microsoft.com/office/drawing/2012/chart" uri="{02D57815-91ED-43cb-92C2-25804820EDAC}">
                  <c15:autoCat val="1"/>
                </c:ext>
              </c:extLst>
            </c:strLit>
          </c:cat>
          <c:val>
            <c:numRef>
              <c:f>Fan_chart!$B$22:$Q$22</c:f>
              <c:numCache>
                <c:formatCode>General</c:formatCode>
                <c:ptCount val="9"/>
                <c:pt idx="5" formatCode="0.0">
                  <c:v>0.38031028999357908</c:v>
                </c:pt>
                <c:pt idx="6" formatCode="0.0">
                  <c:v>1.4228419260995464</c:v>
                </c:pt>
                <c:pt idx="7" formatCode="0.0">
                  <c:v>2.7706613079431652</c:v>
                </c:pt>
                <c:pt idx="8" formatCode="0.0">
                  <c:v>2.8399149564731685</c:v>
                </c:pt>
              </c:numCache>
              <c:extLst/>
            </c:numRef>
          </c:val>
          <c:extLst>
            <c:ext xmlns:c16="http://schemas.microsoft.com/office/drawing/2014/chart" uri="{C3380CC4-5D6E-409C-BE32-E72D297353CC}">
              <c16:uniqueId val="{00000003-455A-4A4B-90D3-9D5DB916EC71}"/>
            </c:ext>
          </c:extLst>
        </c:ser>
        <c:ser>
          <c:idx val="4"/>
          <c:order val="4"/>
          <c:tx>
            <c:strRef>
              <c:f>Fan_chart!$A$23</c:f>
              <c:strCache>
                <c:ptCount val="1"/>
                <c:pt idx="0">
                  <c:v>75% Upper Bound: (aditional 25%)</c:v>
                </c:pt>
              </c:strCache>
            </c:strRef>
          </c:tx>
          <c:spPr>
            <a:solidFill>
              <a:srgbClr val="C00000">
                <a:alpha val="50000"/>
              </a:srgbClr>
            </a:solidFill>
            <a:ln>
              <a:noFill/>
            </a:ln>
            <a:effectLst/>
          </c:spPr>
          <c:cat>
            <c:strLit>
              <c:ptCount val="9"/>
              <c:pt idx="0">
                <c:v>2020</c:v>
              </c:pt>
              <c:pt idx="1">
                <c:v>2021</c:v>
              </c:pt>
              <c:pt idx="2">
                <c:v>2022</c:v>
              </c:pt>
              <c:pt idx="3">
                <c:v>2023</c:v>
              </c:pt>
              <c:pt idx="4">
                <c:v>2024</c:v>
              </c:pt>
              <c:pt idx="5">
                <c:v>2025</c:v>
              </c:pt>
              <c:pt idx="6">
                <c:v>2026</c:v>
              </c:pt>
              <c:pt idx="7">
                <c:v>2027</c:v>
              </c:pt>
              <c:pt idx="8">
                <c:v>2028</c:v>
              </c:pt>
              <c:extLst>
                <c:ext xmlns:c15="http://schemas.microsoft.com/office/drawing/2012/chart" uri="{02D57815-91ED-43cb-92C2-25804820EDAC}">
                  <c15:autoCat val="1"/>
                </c:ext>
              </c:extLst>
            </c:strLit>
          </c:cat>
          <c:val>
            <c:numRef>
              <c:f>Fan_chart!$B$23:$Q$23</c:f>
              <c:numCache>
                <c:formatCode>General</c:formatCode>
                <c:ptCount val="9"/>
                <c:pt idx="5" formatCode="0.0">
                  <c:v>0.13623055163949083</c:v>
                </c:pt>
                <c:pt idx="6" formatCode="0.0">
                  <c:v>0.5096747197968523</c:v>
                </c:pt>
                <c:pt idx="7" formatCode="0.0">
                  <c:v>0.99247569239755151</c:v>
                </c:pt>
                <c:pt idx="8" formatCode="0.0">
                  <c:v>1.0172829694829266</c:v>
                </c:pt>
              </c:numCache>
              <c:extLst/>
            </c:numRef>
          </c:val>
          <c:extLst>
            <c:ext xmlns:c16="http://schemas.microsoft.com/office/drawing/2014/chart" uri="{C3380CC4-5D6E-409C-BE32-E72D297353CC}">
              <c16:uniqueId val="{00000004-455A-4A4B-90D3-9D5DB916EC71}"/>
            </c:ext>
          </c:extLst>
        </c:ser>
        <c:ser>
          <c:idx val="5"/>
          <c:order val="5"/>
          <c:tx>
            <c:strRef>
              <c:f>Fan_chart!$A$24</c:f>
              <c:strCache>
                <c:ptCount val="1"/>
                <c:pt idx="0">
                  <c:v>90% Upper Bound: (aditional 15%)</c:v>
                </c:pt>
              </c:strCache>
            </c:strRef>
          </c:tx>
          <c:spPr>
            <a:solidFill>
              <a:srgbClr val="C00000">
                <a:alpha val="25000"/>
              </a:srgbClr>
            </a:solidFill>
            <a:ln>
              <a:noFill/>
            </a:ln>
            <a:effectLst/>
          </c:spPr>
          <c:cat>
            <c:strLit>
              <c:ptCount val="9"/>
              <c:pt idx="0">
                <c:v>2020</c:v>
              </c:pt>
              <c:pt idx="1">
                <c:v>2021</c:v>
              </c:pt>
              <c:pt idx="2">
                <c:v>2022</c:v>
              </c:pt>
              <c:pt idx="3">
                <c:v>2023</c:v>
              </c:pt>
              <c:pt idx="4">
                <c:v>2024</c:v>
              </c:pt>
              <c:pt idx="5">
                <c:v>2025</c:v>
              </c:pt>
              <c:pt idx="6">
                <c:v>2026</c:v>
              </c:pt>
              <c:pt idx="7">
                <c:v>2027</c:v>
              </c:pt>
              <c:pt idx="8">
                <c:v>2028</c:v>
              </c:pt>
              <c:extLst>
                <c:ext xmlns:c15="http://schemas.microsoft.com/office/drawing/2012/chart" uri="{02D57815-91ED-43cb-92C2-25804820EDAC}">
                  <c15:autoCat val="1"/>
                </c:ext>
              </c:extLst>
            </c:strLit>
          </c:cat>
          <c:val>
            <c:numRef>
              <c:f>Fan_chart!$B$24:$Q$24</c:f>
              <c:numCache>
                <c:formatCode>General</c:formatCode>
                <c:ptCount val="9"/>
                <c:pt idx="5" formatCode="0.0">
                  <c:v>0.13906868813198026</c:v>
                </c:pt>
                <c:pt idx="6" formatCode="0.0">
                  <c:v>0.52029294312595287</c:v>
                </c:pt>
                <c:pt idx="7" formatCode="0.0">
                  <c:v>1.0131522693225019</c:v>
                </c:pt>
                <c:pt idx="8" formatCode="0.0">
                  <c:v>1.038476364680486</c:v>
                </c:pt>
              </c:numCache>
              <c:extLst/>
            </c:numRef>
          </c:val>
          <c:extLst>
            <c:ext xmlns:c16="http://schemas.microsoft.com/office/drawing/2014/chart" uri="{C3380CC4-5D6E-409C-BE32-E72D297353CC}">
              <c16:uniqueId val="{00000005-455A-4A4B-90D3-9D5DB916EC71}"/>
            </c:ext>
          </c:extLst>
        </c:ser>
        <c:dLbls>
          <c:showLegendKey val="0"/>
          <c:showVal val="0"/>
          <c:showCatName val="0"/>
          <c:showSerName val="0"/>
          <c:showPercent val="0"/>
          <c:showBubbleSize val="0"/>
        </c:dLbls>
        <c:axId val="1853986224"/>
        <c:axId val="1853987472"/>
      </c:areaChart>
      <c:lineChart>
        <c:grouping val="standard"/>
        <c:varyColors val="0"/>
        <c:ser>
          <c:idx val="6"/>
          <c:order val="6"/>
          <c:tx>
            <c:strRef>
              <c:f>Fan_chart!$A$12</c:f>
              <c:strCache>
                <c:ptCount val="1"/>
                <c:pt idx="0">
                  <c:v>Central Forecast</c:v>
                </c:pt>
              </c:strCache>
            </c:strRef>
          </c:tx>
          <c:spPr>
            <a:ln w="28575" cap="rnd">
              <a:solidFill>
                <a:sysClr val="windowText" lastClr="000000"/>
              </a:solidFill>
              <a:round/>
            </a:ln>
            <a:effectLst/>
          </c:spPr>
          <c:marker>
            <c:symbol val="circle"/>
            <c:size val="5"/>
            <c:spPr>
              <a:noFill/>
              <a:ln w="9525">
                <a:noFill/>
              </a:ln>
              <a:effectLst/>
            </c:spPr>
          </c:marker>
          <c:dPt>
            <c:idx val="4"/>
            <c:marker>
              <c:symbol val="circle"/>
              <c:size val="5"/>
              <c:spPr>
                <a:noFill/>
                <a:ln w="9525">
                  <a:noFill/>
                </a:ln>
                <a:effectLst/>
              </c:spPr>
            </c:marker>
            <c:bubble3D val="0"/>
            <c:spPr>
              <a:ln w="28575" cap="rnd">
                <a:solidFill>
                  <a:sysClr val="windowText" lastClr="000000"/>
                </a:solidFill>
                <a:prstDash val="solid"/>
                <a:round/>
              </a:ln>
              <a:effectLst/>
            </c:spPr>
            <c:extLst>
              <c:ext xmlns:c16="http://schemas.microsoft.com/office/drawing/2014/chart" uri="{C3380CC4-5D6E-409C-BE32-E72D297353CC}">
                <c16:uniqueId val="{00000007-455A-4A4B-90D3-9D5DB916EC71}"/>
              </c:ext>
            </c:extLst>
          </c:dPt>
          <c:dPt>
            <c:idx val="5"/>
            <c:marker>
              <c:symbol val="circle"/>
              <c:size val="5"/>
              <c:spPr>
                <a:noFill/>
                <a:ln w="9525">
                  <a:noFill/>
                </a:ln>
                <a:effectLst/>
              </c:spPr>
            </c:marker>
            <c:bubble3D val="0"/>
            <c:spPr>
              <a:ln w="28575" cap="rnd">
                <a:solidFill>
                  <a:sysClr val="windowText" lastClr="000000"/>
                </a:solidFill>
                <a:prstDash val="sysDash"/>
                <a:round/>
              </a:ln>
              <a:effectLst/>
            </c:spPr>
            <c:extLst>
              <c:ext xmlns:c16="http://schemas.microsoft.com/office/drawing/2014/chart" uri="{C3380CC4-5D6E-409C-BE32-E72D297353CC}">
                <c16:uniqueId val="{00000009-455A-4A4B-90D3-9D5DB916EC71}"/>
              </c:ext>
            </c:extLst>
          </c:dPt>
          <c:dPt>
            <c:idx val="6"/>
            <c:marker>
              <c:symbol val="circle"/>
              <c:size val="5"/>
              <c:spPr>
                <a:noFill/>
                <a:ln w="9525">
                  <a:noFill/>
                </a:ln>
                <a:effectLst/>
              </c:spPr>
            </c:marker>
            <c:bubble3D val="0"/>
            <c:spPr>
              <a:ln w="28575" cap="rnd">
                <a:solidFill>
                  <a:sysClr val="windowText" lastClr="000000"/>
                </a:solidFill>
                <a:prstDash val="sysDash"/>
                <a:round/>
              </a:ln>
              <a:effectLst/>
            </c:spPr>
            <c:extLst>
              <c:ext xmlns:c16="http://schemas.microsoft.com/office/drawing/2014/chart" uri="{C3380CC4-5D6E-409C-BE32-E72D297353CC}">
                <c16:uniqueId val="{0000000B-455A-4A4B-90D3-9D5DB916EC71}"/>
              </c:ext>
            </c:extLst>
          </c:dPt>
          <c:dPt>
            <c:idx val="7"/>
            <c:marker>
              <c:symbol val="circle"/>
              <c:size val="5"/>
              <c:spPr>
                <a:noFill/>
                <a:ln w="9525">
                  <a:noFill/>
                </a:ln>
                <a:effectLst/>
              </c:spPr>
            </c:marker>
            <c:bubble3D val="0"/>
            <c:spPr>
              <a:ln w="28575" cap="rnd">
                <a:solidFill>
                  <a:sysClr val="windowText" lastClr="000000"/>
                </a:solidFill>
                <a:prstDash val="sysDash"/>
                <a:round/>
              </a:ln>
              <a:effectLst/>
            </c:spPr>
            <c:extLst>
              <c:ext xmlns:c16="http://schemas.microsoft.com/office/drawing/2014/chart" uri="{C3380CC4-5D6E-409C-BE32-E72D297353CC}">
                <c16:uniqueId val="{0000000D-455A-4A4B-90D3-9D5DB916EC71}"/>
              </c:ext>
            </c:extLst>
          </c:dPt>
          <c:dPt>
            <c:idx val="8"/>
            <c:marker>
              <c:symbol val="circle"/>
              <c:size val="5"/>
              <c:spPr>
                <a:noFill/>
                <a:ln w="9525">
                  <a:noFill/>
                </a:ln>
                <a:effectLst/>
              </c:spPr>
            </c:marker>
            <c:bubble3D val="0"/>
            <c:spPr>
              <a:ln w="28575" cap="rnd">
                <a:solidFill>
                  <a:sysClr val="windowText" lastClr="000000"/>
                </a:solidFill>
                <a:prstDash val="sysDash"/>
                <a:round/>
              </a:ln>
              <a:effectLst/>
            </c:spPr>
            <c:extLst>
              <c:ext xmlns:c16="http://schemas.microsoft.com/office/drawing/2014/chart" uri="{C3380CC4-5D6E-409C-BE32-E72D297353CC}">
                <c16:uniqueId val="{0000000F-455A-4A4B-90D3-9D5DB916EC71}"/>
              </c:ext>
            </c:extLst>
          </c:dPt>
          <c:dLbls>
            <c:dLbl>
              <c:idx val="2"/>
              <c:layout>
                <c:manualLayout>
                  <c:x val="-4.0927796679018615E-2"/>
                  <c:y val="1.8046940273944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5A-4A4B-90D3-9D5DB916EC71}"/>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Fan_chart!$B$11:$Q$11</c:f>
              <c:numCache>
                <c:formatCode>General</c:formatCode>
                <c:ptCount val="9"/>
                <c:pt idx="0">
                  <c:v>2020</c:v>
                </c:pt>
                <c:pt idx="1">
                  <c:v>2021</c:v>
                </c:pt>
                <c:pt idx="2">
                  <c:v>2022</c:v>
                </c:pt>
                <c:pt idx="3">
                  <c:v>2023</c:v>
                </c:pt>
                <c:pt idx="4">
                  <c:v>2024</c:v>
                </c:pt>
                <c:pt idx="5">
                  <c:v>2025</c:v>
                </c:pt>
                <c:pt idx="6">
                  <c:v>2026</c:v>
                </c:pt>
                <c:pt idx="7">
                  <c:v>2027</c:v>
                </c:pt>
                <c:pt idx="8">
                  <c:v>2028</c:v>
                </c:pt>
              </c:numCache>
              <c:extLst/>
            </c:numRef>
          </c:cat>
          <c:val>
            <c:numRef>
              <c:f>Fan_chart!$B$12:$Q$12</c:f>
              <c:numCache>
                <c:formatCode>0.0</c:formatCode>
                <c:ptCount val="9"/>
                <c:pt idx="0">
                  <c:v>-0.95002358986207014</c:v>
                </c:pt>
                <c:pt idx="1">
                  <c:v>7.9490568037111018</c:v>
                </c:pt>
                <c:pt idx="2">
                  <c:v>2.6309864215221199</c:v>
                </c:pt>
                <c:pt idx="3">
                  <c:v>3.8474719538126299</c:v>
                </c:pt>
                <c:pt idx="4">
                  <c:v>3.9</c:v>
                </c:pt>
                <c:pt idx="5">
                  <c:v>2.25</c:v>
                </c:pt>
                <c:pt idx="6">
                  <c:v>2.96</c:v>
                </c:pt>
                <c:pt idx="7">
                  <c:v>5.0199999999999996</c:v>
                </c:pt>
                <c:pt idx="8">
                  <c:v>3.4510000000000001</c:v>
                </c:pt>
              </c:numCache>
              <c:extLst/>
            </c:numRef>
          </c:val>
          <c:smooth val="0"/>
          <c:extLst>
            <c:ext xmlns:c16="http://schemas.microsoft.com/office/drawing/2014/chart" uri="{C3380CC4-5D6E-409C-BE32-E72D297353CC}">
              <c16:uniqueId val="{00000011-455A-4A4B-90D3-9D5DB916EC71}"/>
            </c:ext>
          </c:extLst>
        </c:ser>
        <c:dLbls>
          <c:showLegendKey val="0"/>
          <c:showVal val="0"/>
          <c:showCatName val="0"/>
          <c:showSerName val="0"/>
          <c:showPercent val="0"/>
          <c:showBubbleSize val="0"/>
        </c:dLbls>
        <c:marker val="1"/>
        <c:smooth val="0"/>
        <c:axId val="1853986224"/>
        <c:axId val="1853987472"/>
      </c:lineChart>
      <c:catAx>
        <c:axId val="1853986224"/>
        <c:scaling>
          <c:orientation val="minMax"/>
        </c:scaling>
        <c:delete val="0"/>
        <c:axPos val="b"/>
        <c:numFmt formatCode="General" sourceLinked="0"/>
        <c:majorTickMark val="out"/>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853987472"/>
        <c:crosses val="autoZero"/>
        <c:auto val="1"/>
        <c:lblAlgn val="ctr"/>
        <c:lblOffset val="100"/>
        <c:noMultiLvlLbl val="0"/>
      </c:catAx>
      <c:valAx>
        <c:axId val="1853987472"/>
        <c:scaling>
          <c:orientation val="minMax"/>
          <c:max val="1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crossAx val="1853986224"/>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baseline="0">
          <a:latin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078156897054534"/>
          <c:y val="6.842047204008643E-2"/>
          <c:w val="0.86098607465733445"/>
          <c:h val="0.89994549266247381"/>
        </c:manualLayout>
      </c:layout>
      <c:barChart>
        <c:barDir val="col"/>
        <c:grouping val="clustered"/>
        <c:varyColors val="0"/>
        <c:ser>
          <c:idx val="0"/>
          <c:order val="0"/>
          <c:tx>
            <c:v>Фискални резултат</c:v>
          </c:tx>
          <c:spPr>
            <a:solidFill>
              <a:schemeClr val="accent1">
                <a:shade val="76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Yearly'!$CU$7:$DB$8,'Quaterly, Yearly'!$DC$7:$DC$8,'Quaterly, Yearly'!$DD$7:$DD$8,'Quaterly, Yearly'!$DE$7:$DE$8)</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('Quaterly, Yearly'!$CU$78:$DA$78,'Quaterly, Yearly'!$DB$78,'Quaterly, Yearly'!$DC$78,'Quaterly, Yearly'!$DD$78,'Quaterly, Yearly'!$DE$78)</c:f>
              <c:numCache>
                <c:formatCode>#,##0.00</c:formatCode>
                <c:ptCount val="11"/>
                <c:pt idx="0">
                  <c:v>-3.3187939284991961</c:v>
                </c:pt>
                <c:pt idx="1">
                  <c:v>-1.149397976075984</c:v>
                </c:pt>
                <c:pt idx="2">
                  <c:v>1.0557686096933128</c:v>
                </c:pt>
                <c:pt idx="3">
                  <c:v>0.60940162463875103</c:v>
                </c:pt>
                <c:pt idx="4">
                  <c:v>-0.196032233371843</c:v>
                </c:pt>
                <c:pt idx="5">
                  <c:v>-7.6817157912618725</c:v>
                </c:pt>
                <c:pt idx="6">
                  <c:v>-3.944488655583605</c:v>
                </c:pt>
                <c:pt idx="7">
                  <c:v>-3.013953130357899</c:v>
                </c:pt>
                <c:pt idx="8">
                  <c:v>-2.0537122321791341</c:v>
                </c:pt>
                <c:pt idx="9">
                  <c:v>-1.9681419656425732</c:v>
                </c:pt>
                <c:pt idx="10">
                  <c:v>-3</c:v>
                </c:pt>
              </c:numCache>
            </c:numRef>
          </c:val>
          <c:extLst>
            <c:ext xmlns:c16="http://schemas.microsoft.com/office/drawing/2014/chart" uri="{C3380CC4-5D6E-409C-BE32-E72D297353CC}">
              <c16:uniqueId val="{00000000-52C1-48D9-BE40-D2C3E970AA7D}"/>
            </c:ext>
          </c:extLst>
        </c:ser>
        <c:ser>
          <c:idx val="1"/>
          <c:order val="1"/>
          <c:tx>
            <c:v>Примарни фискални резултат</c:v>
          </c:tx>
          <c:spPr>
            <a:solidFill>
              <a:schemeClr val="accent1">
                <a:tint val="77000"/>
              </a:schemeClr>
            </a:solidFill>
            <a:ln>
              <a:noFill/>
            </a:ln>
            <a:effectLst/>
          </c:spPr>
          <c:invertIfNegative val="0"/>
          <c:dLbls>
            <c:dLbl>
              <c:idx val="0"/>
              <c:layout>
                <c:manualLayout>
                  <c:x val="1.132097084431951E-2"/>
                  <c:y val="-2.72338077899149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C1-48D9-BE40-D2C3E970AA7D}"/>
                </c:ext>
              </c:extLst>
            </c:dLbl>
            <c:dLbl>
              <c:idx val="1"/>
              <c:layout>
                <c:manualLayout>
                  <c:x val="-3.2073297015369011E-3"/>
                  <c:y val="-1.414249788072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C1-48D9-BE40-D2C3E970AA7D}"/>
                </c:ext>
              </c:extLst>
            </c:dLbl>
            <c:dLbl>
              <c:idx val="2"/>
              <c:layout>
                <c:manualLayout>
                  <c:x val="-2.4176209155354405E-3"/>
                  <c:y val="-6.6515202784357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C1-48D9-BE40-D2C3E970AA7D}"/>
                </c:ext>
              </c:extLst>
            </c:dLbl>
            <c:dLbl>
              <c:idx val="3"/>
              <c:layout>
                <c:manualLayout>
                  <c:x val="2.6858041798127055E-3"/>
                  <c:y val="3.62947391256674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C1-48D9-BE40-D2C3E970AA7D}"/>
                </c:ext>
              </c:extLst>
            </c:dLbl>
            <c:dLbl>
              <c:idx val="4"/>
              <c:layout>
                <c:manualLayout>
                  <c:x val="-3.9217883120591336E-3"/>
                  <c:y val="-1.089808964508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C1-48D9-BE40-D2C3E970AA7D}"/>
                </c:ext>
              </c:extLst>
            </c:dLbl>
            <c:dLbl>
              <c:idx val="5"/>
              <c:layout>
                <c:manualLayout>
                  <c:x val="1.8183368791494724E-3"/>
                  <c:y val="-1.3434844974070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C1-48D9-BE40-D2C3E970AA7D}"/>
                </c:ext>
              </c:extLst>
            </c:dLbl>
            <c:dLbl>
              <c:idx val="6"/>
              <c:layout>
                <c:manualLayout>
                  <c:x val="1.3735038279346209E-2"/>
                  <c:y val="-1.3118834822906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C1-48D9-BE40-D2C3E970AA7D}"/>
                </c:ext>
              </c:extLst>
            </c:dLbl>
            <c:dLbl>
              <c:idx val="7"/>
              <c:layout>
                <c:manualLayout>
                  <c:x val="1.9834639029877463E-2"/>
                  <c:y val="-8.4701362465218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C1-48D9-BE40-D2C3E970AA7D}"/>
                </c:ext>
              </c:extLst>
            </c:dLbl>
            <c:dLbl>
              <c:idx val="8"/>
              <c:layout>
                <c:manualLayout>
                  <c:x val="5.4635722476333764E-3"/>
                  <c:y val="8.77652046118210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C1-48D9-BE40-D2C3E970AA7D}"/>
                </c:ext>
              </c:extLst>
            </c:dLbl>
            <c:dLbl>
              <c:idx val="9"/>
              <c:layout>
                <c:manualLayout>
                  <c:x val="4.366405527357735E-3"/>
                  <c:y val="6.30301398829895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C1-48D9-BE40-D2C3E970AA7D}"/>
                </c:ext>
              </c:extLst>
            </c:dLbl>
            <c:dLbl>
              <c:idx val="10"/>
              <c:layout>
                <c:manualLayout>
                  <c:x val="1.0966025080198309E-2"/>
                  <c:y val="2.0060197144853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C1-48D9-BE40-D2C3E970AA7D}"/>
                </c:ext>
              </c:extLst>
            </c:dLbl>
            <c:dLbl>
              <c:idx val="11"/>
              <c:layout>
                <c:manualLayout>
                  <c:x val="-4.746385337205393E-2"/>
                  <c:y val="-2.5096770776766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C1-48D9-BE40-D2C3E970AA7D}"/>
                </c:ext>
              </c:extLst>
            </c:dLbl>
            <c:numFmt formatCode="#,##0.0" sourceLinked="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('Quaterly, Yearly'!$CU$7:$DB$8,'Quaterly, Yearly'!$DC$7:$DC$8,'Quaterly, Yearly'!$DD$7:$DD$8,'Quaterly, Yearly'!$DE$7:$DE$8)</c:f>
              <c:strCache>
                <c:ptCount val="11"/>
                <c:pt idx="0">
                  <c:v>2015</c:v>
                </c:pt>
                <c:pt idx="1">
                  <c:v>2016</c:v>
                </c:pt>
                <c:pt idx="2">
                  <c:v>2017</c:v>
                </c:pt>
                <c:pt idx="3">
                  <c:v>2018</c:v>
                </c:pt>
                <c:pt idx="4">
                  <c:v>2019</c:v>
                </c:pt>
                <c:pt idx="5">
                  <c:v>2020</c:v>
                </c:pt>
                <c:pt idx="6">
                  <c:v>2021</c:v>
                </c:pt>
                <c:pt idx="7">
                  <c:v>2022</c:v>
                </c:pt>
                <c:pt idx="8">
                  <c:v>2023</c:v>
                </c:pt>
                <c:pt idx="9">
                  <c:v>2024</c:v>
                </c:pt>
                <c:pt idx="10">
                  <c:v>2025</c:v>
                </c:pt>
              </c:strCache>
            </c:strRef>
          </c:cat>
          <c:val>
            <c:numRef>
              <c:f>('Quaterly, Yearly'!$CU$79:$DA$79,'Quaterly, Yearly'!$DB$79,'Quaterly, Yearly'!$DC$79,'Quaterly, Yearly'!$DD$79,'Quaterly, Yearly'!$DE$79)</c:f>
              <c:numCache>
                <c:formatCode>#,##0.00</c:formatCode>
                <c:ptCount val="11"/>
                <c:pt idx="0">
                  <c:v>-0.4519075558326654</c:v>
                </c:pt>
                <c:pt idx="1">
                  <c:v>1.6426873720543391</c:v>
                </c:pt>
                <c:pt idx="2">
                  <c:v>3.4929502757705762</c:v>
                </c:pt>
                <c:pt idx="3">
                  <c:v>2.6358109426223959</c:v>
                </c:pt>
                <c:pt idx="4">
                  <c:v>1.7134410602148162</c:v>
                </c:pt>
                <c:pt idx="5">
                  <c:v>-5.7757245286308958</c:v>
                </c:pt>
                <c:pt idx="6">
                  <c:v>-2.297416110879996</c:v>
                </c:pt>
                <c:pt idx="7">
                  <c:v>-1.5931271448800142</c:v>
                </c:pt>
                <c:pt idx="8">
                  <c:v>-0.49872563756731275</c:v>
                </c:pt>
                <c:pt idx="9">
                  <c:v>-0.25996869226310537</c:v>
                </c:pt>
                <c:pt idx="10">
                  <c:v>-1.2</c:v>
                </c:pt>
              </c:numCache>
            </c:numRef>
          </c:val>
          <c:extLst>
            <c:ext xmlns:c16="http://schemas.microsoft.com/office/drawing/2014/chart" uri="{C3380CC4-5D6E-409C-BE32-E72D297353CC}">
              <c16:uniqueId val="{0000000D-52C1-48D9-BE40-D2C3E970AA7D}"/>
            </c:ext>
          </c:extLst>
        </c:ser>
        <c:dLbls>
          <c:showLegendKey val="0"/>
          <c:showVal val="0"/>
          <c:showCatName val="0"/>
          <c:showSerName val="0"/>
          <c:showPercent val="0"/>
          <c:showBubbleSize val="0"/>
        </c:dLbls>
        <c:gapWidth val="150"/>
        <c:axId val="522006368"/>
        <c:axId val="522006928"/>
      </c:barChart>
      <c:catAx>
        <c:axId val="522006368"/>
        <c:scaling>
          <c:orientation val="minMax"/>
        </c:scaling>
        <c:delete val="0"/>
        <c:axPos val="b"/>
        <c:numFmt formatCode="General" sourceLinked="1"/>
        <c:majorTickMark val="out"/>
        <c:minorTickMark val="none"/>
        <c:tickLblPos val="high"/>
        <c:spPr>
          <a:noFill/>
          <a:ln w="12700" cap="flat" cmpd="sng" algn="ctr">
            <a:solidFill>
              <a:schemeClr val="tx1">
                <a:lumMod val="50000"/>
                <a:lumOff val="50000"/>
              </a:schemeClr>
            </a:solidFill>
            <a:prstDash val="sysDash"/>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522006928"/>
        <c:crosses val="autoZero"/>
        <c:auto val="1"/>
        <c:lblAlgn val="ctr"/>
        <c:lblOffset val="100"/>
        <c:noMultiLvlLbl val="0"/>
      </c:catAx>
      <c:valAx>
        <c:axId val="522006928"/>
        <c:scaling>
          <c:orientation val="minMax"/>
          <c:max val="5"/>
          <c:min val="-1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latin typeface="+mn-lt"/>
                  </a:rPr>
                  <a:t>% </a:t>
                </a:r>
                <a:r>
                  <a:rPr lang="sr-Latn-RS" sz="800">
                    <a:latin typeface="+mn-lt"/>
                  </a:rPr>
                  <a:t>GDP</a:t>
                </a:r>
                <a:endParaRPr lang="en-US" sz="800">
                  <a:latin typeface="+mn-lt"/>
                </a:endParaRPr>
              </a:p>
            </c:rich>
          </c:tx>
          <c:layout>
            <c:manualLayout>
              <c:xMode val="edge"/>
              <c:yMode val="edge"/>
              <c:x val="1.4466593066470506E-2"/>
              <c:y val="0.483710511188935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220063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en-US"/>
          </a:p>
        </c:txPr>
      </c:legendEntry>
      <c:layout>
        <c:manualLayout>
          <c:xMode val="edge"/>
          <c:yMode val="edge"/>
          <c:x val="9.7233814947361621E-2"/>
          <c:y val="0.87644528463017846"/>
          <c:w val="0.51810891150797223"/>
          <c:h val="0.115220536125148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latin typeface="Georgia" panose="02040502050405020303"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365624101421595E-2"/>
          <c:y val="4.2394333542179731E-2"/>
          <c:w val="0.93324009183142764"/>
          <c:h val="0.8718835976133309"/>
        </c:manualLayout>
      </c:layout>
      <c:barChart>
        <c:barDir val="bar"/>
        <c:grouping val="clustered"/>
        <c:varyColors val="0"/>
        <c:ser>
          <c:idx val="0"/>
          <c:order val="0"/>
          <c:spPr>
            <a:solidFill>
              <a:schemeClr val="accent1"/>
            </a:solidFill>
            <a:ln>
              <a:solidFill>
                <a:srgbClr val="FF0000"/>
              </a:solidFill>
            </a:ln>
            <a:effectLst/>
          </c:spPr>
          <c:invertIfNegative val="0"/>
          <c:dPt>
            <c:idx val="0"/>
            <c:invertIfNegative val="0"/>
            <c:bubble3D val="0"/>
            <c:spPr>
              <a:noFill/>
              <a:ln>
                <a:solidFill>
                  <a:srgbClr val="FF0000"/>
                </a:solidFill>
              </a:ln>
              <a:effectLst/>
            </c:spPr>
            <c:extLst>
              <c:ext xmlns:c16="http://schemas.microsoft.com/office/drawing/2014/chart" uri="{C3380CC4-5D6E-409C-BE32-E72D297353CC}">
                <c16:uniqueId val="{00000001-B197-478F-8101-B0E622292094}"/>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B197-478F-8101-B0E622292094}"/>
              </c:ext>
            </c:extLst>
          </c:dPt>
          <c:dPt>
            <c:idx val="2"/>
            <c:invertIfNegative val="0"/>
            <c:bubble3D val="0"/>
            <c:spPr>
              <a:noFill/>
              <a:ln>
                <a:solidFill>
                  <a:srgbClr val="FF0000"/>
                </a:solidFill>
              </a:ln>
              <a:effectLst/>
            </c:spPr>
            <c:extLst>
              <c:ext xmlns:c16="http://schemas.microsoft.com/office/drawing/2014/chart" uri="{C3380CC4-5D6E-409C-BE32-E72D297353CC}">
                <c16:uniqueId val="{00000005-B197-478F-8101-B0E622292094}"/>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7-B197-478F-8101-B0E622292094}"/>
              </c:ext>
            </c:extLst>
          </c:dPt>
          <c:dPt>
            <c:idx val="6"/>
            <c:invertIfNegative val="0"/>
            <c:bubble3D val="0"/>
            <c:spPr>
              <a:noFill/>
              <a:ln>
                <a:solidFill>
                  <a:srgbClr val="FF0000"/>
                </a:solidFill>
              </a:ln>
              <a:effectLst/>
            </c:spPr>
            <c:extLst>
              <c:ext xmlns:c16="http://schemas.microsoft.com/office/drawing/2014/chart" uri="{C3380CC4-5D6E-409C-BE32-E72D297353CC}">
                <c16:uniqueId val="{00000009-B197-478F-8101-B0E622292094}"/>
              </c:ext>
            </c:extLst>
          </c:dPt>
          <c:dPt>
            <c:idx val="8"/>
            <c:invertIfNegative val="0"/>
            <c:bubble3D val="0"/>
            <c:spPr>
              <a:noFill/>
              <a:ln>
                <a:solidFill>
                  <a:srgbClr val="FF0000"/>
                </a:solidFill>
              </a:ln>
              <a:effectLst/>
            </c:spPr>
            <c:extLst>
              <c:ext xmlns:c16="http://schemas.microsoft.com/office/drawing/2014/chart" uri="{C3380CC4-5D6E-409C-BE32-E72D297353CC}">
                <c16:uniqueId val="{0000000B-B197-478F-8101-B0E622292094}"/>
              </c:ext>
            </c:extLst>
          </c:dPt>
          <c:dPt>
            <c:idx val="9"/>
            <c:invertIfNegative val="0"/>
            <c:bubble3D val="0"/>
            <c:spPr>
              <a:noFill/>
              <a:ln>
                <a:solidFill>
                  <a:srgbClr val="FF0000"/>
                </a:solidFill>
              </a:ln>
              <a:effectLst/>
            </c:spPr>
            <c:extLst>
              <c:ext xmlns:c16="http://schemas.microsoft.com/office/drawing/2014/chart" uri="{C3380CC4-5D6E-409C-BE32-E72D297353CC}">
                <c16:uniqueId val="{0000000D-B197-478F-8101-B0E622292094}"/>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0F-B197-478F-8101-B0E622292094}"/>
              </c:ext>
            </c:extLst>
          </c:dPt>
          <c:dPt>
            <c:idx val="11"/>
            <c:invertIfNegative val="0"/>
            <c:bubble3D val="0"/>
            <c:spPr>
              <a:noFill/>
              <a:ln>
                <a:solidFill>
                  <a:srgbClr val="FF0000"/>
                </a:solidFill>
              </a:ln>
              <a:effectLst/>
            </c:spPr>
            <c:extLst>
              <c:ext xmlns:c16="http://schemas.microsoft.com/office/drawing/2014/chart" uri="{C3380CC4-5D6E-409C-BE32-E72D297353CC}">
                <c16:uniqueId val="{00000011-B197-478F-8101-B0E622292094}"/>
              </c:ext>
            </c:extLst>
          </c:dPt>
          <c:dPt>
            <c:idx val="12"/>
            <c:invertIfNegative val="0"/>
            <c:bubble3D val="0"/>
            <c:spPr>
              <a:noFill/>
              <a:ln>
                <a:solidFill>
                  <a:srgbClr val="FF0000"/>
                </a:solidFill>
              </a:ln>
              <a:effectLst/>
            </c:spPr>
            <c:extLst>
              <c:ext xmlns:c16="http://schemas.microsoft.com/office/drawing/2014/chart" uri="{C3380CC4-5D6E-409C-BE32-E72D297353CC}">
                <c16:uniqueId val="{00000013-B197-478F-8101-B0E622292094}"/>
              </c:ext>
            </c:extLst>
          </c:dPt>
          <c:dLbls>
            <c:dLbl>
              <c:idx val="0"/>
              <c:layout>
                <c:manualLayout>
                  <c:x val="4.5637510342522421E-3"/>
                  <c:y val="-2.2276016809258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97-478F-8101-B0E622292094}"/>
                </c:ext>
              </c:extLst>
            </c:dLbl>
            <c:dLbl>
              <c:idx val="2"/>
              <c:layout>
                <c:manualLayout>
                  <c:x val="0.20300101595708683"/>
                  <c:y val="-2.55617980194035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97-478F-8101-B0E622292094}"/>
                </c:ext>
              </c:extLst>
            </c:dLbl>
            <c:dLbl>
              <c:idx val="6"/>
              <c:layout>
                <c:manualLayout>
                  <c:x val="0.16144745998608212"/>
                  <c:y val="-6.406132890333890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97-478F-8101-B0E622292094}"/>
                </c:ext>
              </c:extLst>
            </c:dLbl>
            <c:dLbl>
              <c:idx val="8"/>
              <c:layout>
                <c:manualLayout>
                  <c:x val="4.5292960509372655E-2"/>
                  <c:y val="6.049710965520789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97-478F-8101-B0E622292094}"/>
                </c:ext>
              </c:extLst>
            </c:dLbl>
            <c:dLbl>
              <c:idx val="9"/>
              <c:layout>
                <c:manualLayout>
                  <c:x val="0.18083695810873965"/>
                  <c:y val="-3.49429466974237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197-478F-8101-B0E622292094}"/>
                </c:ext>
              </c:extLst>
            </c:dLbl>
            <c:dLbl>
              <c:idx val="10"/>
              <c:layout>
                <c:manualLayout>
                  <c:x val="-6.50195343536129E-3"/>
                  <c:y val="2.7686965499860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197-478F-8101-B0E622292094}"/>
                </c:ext>
              </c:extLst>
            </c:dLbl>
            <c:dLbl>
              <c:idx val="11"/>
              <c:layout>
                <c:manualLayout>
                  <c:x val="9.1858037578288101E-2"/>
                  <c:y val="-1.2689712594793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97-478F-8101-B0E622292094}"/>
                </c:ext>
              </c:extLst>
            </c:dLbl>
            <c:dLbl>
              <c:idx val="12"/>
              <c:layout>
                <c:manualLayout>
                  <c:x val="-3.6988695828470293E-3"/>
                  <c:y val="2.3049943797640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97-478F-8101-B0E62229209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Sheet1!$D$31:$D$43</c:f>
              <c:strCache>
                <c:ptCount val="13"/>
                <c:pt idx="0">
                  <c:v>Planned fiscal result for 2025</c:v>
                </c:pt>
                <c:pt idx="1">
                  <c:v>Base effect on revenues</c:v>
                </c:pt>
                <c:pt idx="2">
                  <c:v>Personal consumption trends</c:v>
                </c:pt>
                <c:pt idx="3">
                  <c:v>Excise goods consumption</c:v>
                </c:pt>
                <c:pt idx="4">
                  <c:v>Labour market trends</c:v>
                </c:pt>
                <c:pt idx="5">
                  <c:v>One-off revenue</c:v>
                </c:pt>
                <c:pt idx="6">
                  <c:v>Other reveneus</c:v>
                </c:pt>
                <c:pt idx="7">
                  <c:v>Base effect on expenditures</c:v>
                </c:pt>
                <c:pt idx="8">
                  <c:v>Wages</c:v>
                </c:pt>
                <c:pt idx="9">
                  <c:v>Social benfits policy</c:v>
                </c:pt>
                <c:pt idx="10">
                  <c:v>Capital expenditures</c:v>
                </c:pt>
                <c:pt idx="11">
                  <c:v>Other exp.</c:v>
                </c:pt>
                <c:pt idx="12">
                  <c:v>Projected fiscal result for 2025</c:v>
                </c:pt>
              </c:strCache>
            </c:strRef>
          </c:cat>
          <c:val>
            <c:numRef>
              <c:f>Sheet1!$F$31:$F$43</c:f>
              <c:numCache>
                <c:formatCode>0.000</c:formatCode>
                <c:ptCount val="13"/>
                <c:pt idx="0" formatCode="0.00">
                  <c:v>-3.0255082642679727</c:v>
                </c:pt>
                <c:pt idx="1">
                  <c:v>9.3911412166054864E-2</c:v>
                </c:pt>
                <c:pt idx="2">
                  <c:v>-0.47454303010743515</c:v>
                </c:pt>
                <c:pt idx="3">
                  <c:v>6.9707439958308887E-2</c:v>
                </c:pt>
                <c:pt idx="4">
                  <c:v>0.12891008004558763</c:v>
                </c:pt>
                <c:pt idx="5">
                  <c:v>0.19847257210351804</c:v>
                </c:pt>
                <c:pt idx="6">
                  <c:v>8.75587663651793E-2</c:v>
                </c:pt>
                <c:pt idx="7">
                  <c:v>9.6815888830984395E-2</c:v>
                </c:pt>
                <c:pt idx="8">
                  <c:v>-0.23235813319436258</c:v>
                </c:pt>
                <c:pt idx="9">
                  <c:v>-0.19363177766196879</c:v>
                </c:pt>
                <c:pt idx="10">
                  <c:v>0.17717307656070147</c:v>
                </c:pt>
                <c:pt idx="11">
                  <c:v>-0.1925311285173304</c:v>
                </c:pt>
                <c:pt idx="12" formatCode="0.00">
                  <c:v>-3.0253588708767136</c:v>
                </c:pt>
              </c:numCache>
            </c:numRef>
          </c:val>
          <c:extLst>
            <c:ext xmlns:c16="http://schemas.microsoft.com/office/drawing/2014/chart" uri="{C3380CC4-5D6E-409C-BE32-E72D297353CC}">
              <c16:uniqueId val="{00000014-B197-478F-8101-B0E622292094}"/>
            </c:ext>
          </c:extLst>
        </c:ser>
        <c:dLbls>
          <c:showLegendKey val="0"/>
          <c:showVal val="0"/>
          <c:showCatName val="0"/>
          <c:showSerName val="0"/>
          <c:showPercent val="0"/>
          <c:showBubbleSize val="0"/>
        </c:dLbls>
        <c:gapWidth val="80"/>
        <c:axId val="1145657328"/>
        <c:axId val="1145632752"/>
      </c:barChart>
      <c:catAx>
        <c:axId val="1145657328"/>
        <c:scaling>
          <c:orientation val="minMax"/>
        </c:scaling>
        <c:delete val="0"/>
        <c:axPos val="l"/>
        <c:numFmt formatCode="General" sourceLinked="1"/>
        <c:majorTickMark val="none"/>
        <c:minorTickMark val="none"/>
        <c:tickLblPos val="nextTo"/>
        <c:spPr>
          <a:noFill/>
          <a:ln w="9525" cap="flat" cmpd="sng" algn="ctr">
            <a:solidFill>
              <a:srgbClr val="FF0000"/>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5632752"/>
        <c:crosses val="autoZero"/>
        <c:auto val="1"/>
        <c:lblAlgn val="ctr"/>
        <c:lblOffset val="100"/>
        <c:noMultiLvlLbl val="0"/>
      </c:catAx>
      <c:valAx>
        <c:axId val="1145632752"/>
        <c:scaling>
          <c:orientation val="minMax"/>
          <c:min val="-3.5"/>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565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4447596224385"/>
          <c:y val="8.2473495136371477E-2"/>
          <c:w val="0.82637941996380893"/>
          <c:h val="0.81333285058353966"/>
        </c:manualLayout>
      </c:layout>
      <c:scatterChart>
        <c:scatterStyle val="smoothMarker"/>
        <c:varyColors val="0"/>
        <c:ser>
          <c:idx val="1"/>
          <c:order val="1"/>
          <c:tx>
            <c:v>Prag fiskalnog podindeksa</c:v>
          </c:tx>
          <c:spPr>
            <a:ln w="12700" cap="rnd">
              <a:solidFill>
                <a:srgbClr val="7030A0"/>
              </a:solidFill>
              <a:round/>
            </a:ln>
            <a:effectLst/>
          </c:spPr>
          <c:marker>
            <c:symbol val="none"/>
          </c:marker>
          <c:xVal>
            <c:numRef>
              <c:f>'2024'!$F$4:$F$31</c:f>
              <c:numCache>
                <c:formatCode>0.00</c:formatCode>
                <c:ptCount val="28"/>
                <c:pt idx="0">
                  <c:v>0.36</c:v>
                </c:pt>
                <c:pt idx="1">
                  <c:v>0.36</c:v>
                </c:pt>
                <c:pt idx="2">
                  <c:v>0.36</c:v>
                </c:pt>
                <c:pt idx="3">
                  <c:v>0.36</c:v>
                </c:pt>
                <c:pt idx="4">
                  <c:v>0.36</c:v>
                </c:pt>
                <c:pt idx="5">
                  <c:v>0.36</c:v>
                </c:pt>
                <c:pt idx="6">
                  <c:v>0.36</c:v>
                </c:pt>
                <c:pt idx="7">
                  <c:v>0.36</c:v>
                </c:pt>
                <c:pt idx="8">
                  <c:v>0.36</c:v>
                </c:pt>
                <c:pt idx="9">
                  <c:v>0.36</c:v>
                </c:pt>
                <c:pt idx="10">
                  <c:v>0.36</c:v>
                </c:pt>
                <c:pt idx="11">
                  <c:v>0.36</c:v>
                </c:pt>
                <c:pt idx="12">
                  <c:v>0.36</c:v>
                </c:pt>
                <c:pt idx="13">
                  <c:v>0.36</c:v>
                </c:pt>
                <c:pt idx="14">
                  <c:v>0.36</c:v>
                </c:pt>
                <c:pt idx="15">
                  <c:v>0.36</c:v>
                </c:pt>
                <c:pt idx="16">
                  <c:v>0.36</c:v>
                </c:pt>
                <c:pt idx="17">
                  <c:v>0.36</c:v>
                </c:pt>
                <c:pt idx="18">
                  <c:v>0.36</c:v>
                </c:pt>
                <c:pt idx="19">
                  <c:v>0.36</c:v>
                </c:pt>
                <c:pt idx="20">
                  <c:v>0.36</c:v>
                </c:pt>
                <c:pt idx="21">
                  <c:v>0.36</c:v>
                </c:pt>
                <c:pt idx="22">
                  <c:v>0.36</c:v>
                </c:pt>
                <c:pt idx="23">
                  <c:v>0.36</c:v>
                </c:pt>
                <c:pt idx="24">
                  <c:v>0.36</c:v>
                </c:pt>
                <c:pt idx="25">
                  <c:v>0.36</c:v>
                </c:pt>
                <c:pt idx="26">
                  <c:v>0.36</c:v>
                </c:pt>
                <c:pt idx="27">
                  <c:v>0.36</c:v>
                </c:pt>
              </c:numCache>
            </c:numRef>
          </c:xVal>
          <c:yVal>
            <c:numRef>
              <c:f>'2024'!$G$4:$G$31</c:f>
              <c:numCache>
                <c:formatCode>0.00</c:formatCode>
                <c:ptCount val="28"/>
                <c:pt idx="0">
                  <c:v>0</c:v>
                </c:pt>
                <c:pt idx="1">
                  <c:v>2.2222222222222223E-2</c:v>
                </c:pt>
                <c:pt idx="2">
                  <c:v>4.4444444444444446E-2</c:v>
                </c:pt>
                <c:pt idx="3">
                  <c:v>6.6666666666666666E-2</c:v>
                </c:pt>
                <c:pt idx="4">
                  <c:v>8.8888888888888892E-2</c:v>
                </c:pt>
                <c:pt idx="5">
                  <c:v>0.11111111111111112</c:v>
                </c:pt>
                <c:pt idx="6">
                  <c:v>0.13333333333333333</c:v>
                </c:pt>
                <c:pt idx="7">
                  <c:v>0.15555555555555556</c:v>
                </c:pt>
                <c:pt idx="8">
                  <c:v>0.17777777777777778</c:v>
                </c:pt>
                <c:pt idx="9">
                  <c:v>0.2</c:v>
                </c:pt>
                <c:pt idx="10">
                  <c:v>0.22222222222222224</c:v>
                </c:pt>
                <c:pt idx="11">
                  <c:v>0.24444444444444446</c:v>
                </c:pt>
                <c:pt idx="12">
                  <c:v>0.26666666666666666</c:v>
                </c:pt>
                <c:pt idx="13">
                  <c:v>0.28888888888888886</c:v>
                </c:pt>
                <c:pt idx="14">
                  <c:v>0.31111111111111106</c:v>
                </c:pt>
                <c:pt idx="15">
                  <c:v>0.33333333333333326</c:v>
                </c:pt>
                <c:pt idx="16">
                  <c:v>0.35555555555555546</c:v>
                </c:pt>
                <c:pt idx="17">
                  <c:v>0.37777777777777766</c:v>
                </c:pt>
                <c:pt idx="18">
                  <c:v>0.39999999999999986</c:v>
                </c:pt>
                <c:pt idx="19">
                  <c:v>0.42222222222222205</c:v>
                </c:pt>
                <c:pt idx="20">
                  <c:v>0.44444444444444425</c:v>
                </c:pt>
                <c:pt idx="21">
                  <c:v>0.46666666666666645</c:v>
                </c:pt>
                <c:pt idx="22">
                  <c:v>0.48888888888888865</c:v>
                </c:pt>
                <c:pt idx="23">
                  <c:v>0.51111111111111085</c:v>
                </c:pt>
                <c:pt idx="24">
                  <c:v>0.5333333333333331</c:v>
                </c:pt>
                <c:pt idx="25">
                  <c:v>0.55555555555555536</c:v>
                </c:pt>
                <c:pt idx="26">
                  <c:v>0.57777777777777761</c:v>
                </c:pt>
                <c:pt idx="27">
                  <c:v>0.59999999999999987</c:v>
                </c:pt>
              </c:numCache>
            </c:numRef>
          </c:yVal>
          <c:smooth val="1"/>
          <c:extLst>
            <c:ext xmlns:c16="http://schemas.microsoft.com/office/drawing/2014/chart" uri="{C3380CC4-5D6E-409C-BE32-E72D297353CC}">
              <c16:uniqueId val="{00000000-60A1-4EF7-9846-4EAAE5714F56}"/>
            </c:ext>
          </c:extLst>
        </c:ser>
        <c:ser>
          <c:idx val="2"/>
          <c:order val="2"/>
          <c:tx>
            <c:v>Prag finansijskog podindeksa</c:v>
          </c:tx>
          <c:spPr>
            <a:ln w="12700" cap="rnd">
              <a:solidFill>
                <a:srgbClr val="7030A0"/>
              </a:solidFill>
              <a:round/>
            </a:ln>
            <a:effectLst/>
          </c:spPr>
          <c:marker>
            <c:symbol val="none"/>
          </c:marker>
          <c:xVal>
            <c:numRef>
              <c:f>'2024'!$H$4:$H$31</c:f>
              <c:numCache>
                <c:formatCode>0.00</c:formatCode>
                <c:ptCount val="28"/>
                <c:pt idx="0">
                  <c:v>0</c:v>
                </c:pt>
                <c:pt idx="1">
                  <c:v>2.9629629629629631E-2</c:v>
                </c:pt>
                <c:pt idx="2">
                  <c:v>5.9259259259259262E-2</c:v>
                </c:pt>
                <c:pt idx="3">
                  <c:v>8.8888888888888892E-2</c:v>
                </c:pt>
                <c:pt idx="4">
                  <c:v>0.11851851851851852</c:v>
                </c:pt>
                <c:pt idx="5">
                  <c:v>0.14814814814814814</c:v>
                </c:pt>
                <c:pt idx="6">
                  <c:v>0.17777777777777776</c:v>
                </c:pt>
                <c:pt idx="7">
                  <c:v>0.20740740740740737</c:v>
                </c:pt>
                <c:pt idx="8">
                  <c:v>0.23703703703703699</c:v>
                </c:pt>
                <c:pt idx="9">
                  <c:v>0.26666666666666661</c:v>
                </c:pt>
                <c:pt idx="10">
                  <c:v>0.29629629629629622</c:v>
                </c:pt>
                <c:pt idx="11">
                  <c:v>0.32592592592592584</c:v>
                </c:pt>
                <c:pt idx="12">
                  <c:v>0.35555555555555546</c:v>
                </c:pt>
                <c:pt idx="13">
                  <c:v>0.38518518518518507</c:v>
                </c:pt>
                <c:pt idx="14">
                  <c:v>0.41481481481481469</c:v>
                </c:pt>
                <c:pt idx="15">
                  <c:v>0.44444444444444431</c:v>
                </c:pt>
                <c:pt idx="16">
                  <c:v>0.47407407407407393</c:v>
                </c:pt>
                <c:pt idx="17">
                  <c:v>0.50370370370370354</c:v>
                </c:pt>
                <c:pt idx="18">
                  <c:v>0.53333333333333321</c:v>
                </c:pt>
                <c:pt idx="19">
                  <c:v>0.56296296296296289</c:v>
                </c:pt>
                <c:pt idx="20">
                  <c:v>0.59259259259259256</c:v>
                </c:pt>
                <c:pt idx="21">
                  <c:v>0.62222222222222223</c:v>
                </c:pt>
                <c:pt idx="22">
                  <c:v>0.6518518518518519</c:v>
                </c:pt>
                <c:pt idx="23">
                  <c:v>0.68148148148148158</c:v>
                </c:pt>
                <c:pt idx="24">
                  <c:v>0.71111111111111125</c:v>
                </c:pt>
                <c:pt idx="25">
                  <c:v>0.74074074074074092</c:v>
                </c:pt>
                <c:pt idx="26">
                  <c:v>0.77037037037037059</c:v>
                </c:pt>
                <c:pt idx="27">
                  <c:v>0.80000000000000027</c:v>
                </c:pt>
              </c:numCache>
            </c:numRef>
          </c:xVal>
          <c:yVal>
            <c:numRef>
              <c:f>'2024'!$I$4:$I$31</c:f>
              <c:numCache>
                <c:formatCode>0.00</c:formatCode>
                <c:ptCount val="28"/>
                <c:pt idx="0">
                  <c:v>0.49</c:v>
                </c:pt>
                <c:pt idx="1">
                  <c:v>0.49</c:v>
                </c:pt>
                <c:pt idx="2">
                  <c:v>0.49</c:v>
                </c:pt>
                <c:pt idx="3">
                  <c:v>0.49</c:v>
                </c:pt>
                <c:pt idx="4">
                  <c:v>0.49</c:v>
                </c:pt>
                <c:pt idx="5">
                  <c:v>0.49</c:v>
                </c:pt>
                <c:pt idx="6">
                  <c:v>0.49</c:v>
                </c:pt>
                <c:pt idx="7">
                  <c:v>0.49</c:v>
                </c:pt>
                <c:pt idx="8">
                  <c:v>0.49</c:v>
                </c:pt>
                <c:pt idx="9">
                  <c:v>0.49</c:v>
                </c:pt>
                <c:pt idx="10">
                  <c:v>0.49</c:v>
                </c:pt>
                <c:pt idx="11">
                  <c:v>0.49</c:v>
                </c:pt>
                <c:pt idx="12">
                  <c:v>0.49</c:v>
                </c:pt>
                <c:pt idx="13">
                  <c:v>0.49</c:v>
                </c:pt>
                <c:pt idx="14">
                  <c:v>0.49</c:v>
                </c:pt>
                <c:pt idx="15">
                  <c:v>0.49</c:v>
                </c:pt>
                <c:pt idx="16">
                  <c:v>0.49</c:v>
                </c:pt>
                <c:pt idx="17">
                  <c:v>0.49</c:v>
                </c:pt>
                <c:pt idx="18">
                  <c:v>0.49</c:v>
                </c:pt>
                <c:pt idx="19">
                  <c:v>0.49</c:v>
                </c:pt>
                <c:pt idx="20">
                  <c:v>0.49</c:v>
                </c:pt>
                <c:pt idx="21">
                  <c:v>0.49</c:v>
                </c:pt>
                <c:pt idx="22">
                  <c:v>0.49</c:v>
                </c:pt>
                <c:pt idx="23">
                  <c:v>0.49</c:v>
                </c:pt>
                <c:pt idx="24">
                  <c:v>0.49</c:v>
                </c:pt>
                <c:pt idx="25">
                  <c:v>0.49</c:v>
                </c:pt>
                <c:pt idx="26">
                  <c:v>0.49</c:v>
                </c:pt>
                <c:pt idx="27">
                  <c:v>0.49</c:v>
                </c:pt>
              </c:numCache>
            </c:numRef>
          </c:yVal>
          <c:smooth val="1"/>
          <c:extLst>
            <c:ext xmlns:c16="http://schemas.microsoft.com/office/drawing/2014/chart" uri="{C3380CC4-5D6E-409C-BE32-E72D297353CC}">
              <c16:uniqueId val="{00000001-60A1-4EF7-9846-4EAAE5714F56}"/>
            </c:ext>
          </c:extLst>
        </c:ser>
        <c:dLbls>
          <c:showLegendKey val="0"/>
          <c:showVal val="0"/>
          <c:showCatName val="0"/>
          <c:showSerName val="0"/>
          <c:showPercent val="0"/>
          <c:showBubbleSize val="0"/>
        </c:dLbls>
        <c:axId val="-262788736"/>
        <c:axId val="-262793088"/>
      </c:scatterChart>
      <c:scatterChart>
        <c:scatterStyle val="lineMarker"/>
        <c:varyColors val="0"/>
        <c:ser>
          <c:idx val="0"/>
          <c:order val="0"/>
          <c:spPr>
            <a:ln w="25400" cap="rnd">
              <a:noFill/>
              <a:round/>
            </a:ln>
            <a:effectLst/>
          </c:spPr>
          <c:marker>
            <c:symbol val="circle"/>
            <c:size val="5"/>
            <c:spPr>
              <a:solidFill>
                <a:srgbClr val="5297AC"/>
              </a:solidFill>
              <a:ln w="9525">
                <a:noFill/>
              </a:ln>
              <a:effectLst/>
            </c:spPr>
          </c:marker>
          <c:dLbls>
            <c:dLbl>
              <c:idx val="0"/>
              <c:layout>
                <c:manualLayout>
                  <c:x val="-3.5948417288263687E-2"/>
                  <c:y val="3.2900160952131545E-2"/>
                </c:manualLayout>
              </c:layout>
              <c:tx>
                <c:rich>
                  <a:bodyPr/>
                  <a:lstStyle/>
                  <a:p>
                    <a:r>
                      <a:rPr lang="en-US"/>
                      <a:t>Austria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A1-4EF7-9846-4EAAE5714F56}"/>
                </c:ext>
              </c:extLst>
            </c:dLbl>
            <c:dLbl>
              <c:idx val="1"/>
              <c:layout>
                <c:manualLayout>
                  <c:x val="3.5938394891456365E-3"/>
                  <c:y val="3.0580750586474564E-2"/>
                </c:manualLayout>
              </c:layout>
              <c:tx>
                <c:rich>
                  <a:bodyPr/>
                  <a:lstStyle/>
                  <a:p>
                    <a:r>
                      <a:rPr lang="en-US"/>
                      <a:t>Belgium</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A1-4EF7-9846-4EAAE5714F56}"/>
                </c:ext>
              </c:extLst>
            </c:dLbl>
            <c:dLbl>
              <c:idx val="2"/>
              <c:layout>
                <c:manualLayout>
                  <c:x val="-5.5443178298364877E-2"/>
                  <c:y val="3.1048912237992679E-2"/>
                </c:manualLayout>
              </c:layout>
              <c:tx>
                <c:rich>
                  <a:bodyPr/>
                  <a:lstStyle/>
                  <a:p>
                    <a:r>
                      <a:rPr lang="en-US"/>
                      <a:t>Bulgaria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A1-4EF7-9846-4EAAE5714F56}"/>
                </c:ext>
              </c:extLst>
            </c:dLbl>
            <c:dLbl>
              <c:idx val="3"/>
              <c:layout>
                <c:manualLayout>
                  <c:x val="6.3333549712019637E-3"/>
                  <c:y val="1.2874617493600062E-2"/>
                </c:manualLayout>
              </c:layout>
              <c:tx>
                <c:rich>
                  <a:bodyPr/>
                  <a:lstStyle/>
                  <a:p>
                    <a:r>
                      <a:rPr lang="en-US"/>
                      <a:t>Czechia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A1-4EF7-9846-4EAAE5714F56}"/>
                </c:ext>
              </c:extLst>
            </c:dLbl>
            <c:dLbl>
              <c:idx val="4"/>
              <c:layout>
                <c:manualLayout>
                  <c:x val="-0.10213005982947787"/>
                  <c:y val="-1.5757281441141444E-2"/>
                </c:manualLayout>
              </c:layout>
              <c:tx>
                <c:rich>
                  <a:bodyPr/>
                  <a:lstStyle/>
                  <a:p>
                    <a:r>
                      <a:rPr lang="en-US"/>
                      <a:t>Croatia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A1-4EF7-9846-4EAAE5714F56}"/>
                </c:ext>
              </c:extLst>
            </c:dLbl>
            <c:dLbl>
              <c:idx val="5"/>
              <c:layout>
                <c:manualLayout>
                  <c:x val="5.4451824356610617E-3"/>
                  <c:y val="-4.5827264302856024E-2"/>
                </c:manualLayout>
              </c:layout>
              <c:tx>
                <c:rich>
                  <a:bodyPr/>
                  <a:lstStyle/>
                  <a:p>
                    <a:r>
                      <a:rPr lang="en-US"/>
                      <a:t>Denmark</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A1-4EF7-9846-4EAAE5714F56}"/>
                </c:ext>
              </c:extLst>
            </c:dLbl>
            <c:dLbl>
              <c:idx val="6"/>
              <c:layout>
                <c:manualLayout>
                  <c:x val="-6.256464321120353E-2"/>
                  <c:y val="3.5897483649366055E-2"/>
                </c:manualLayout>
              </c:layout>
              <c:tx>
                <c:rich>
                  <a:bodyPr/>
                  <a:lstStyle/>
                  <a:p>
                    <a:r>
                      <a:rPr lang="en-US"/>
                      <a:t>Estonia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A1-4EF7-9846-4EAAE5714F56}"/>
                </c:ext>
              </c:extLst>
            </c:dLbl>
            <c:dLbl>
              <c:idx val="7"/>
              <c:layout>
                <c:manualLayout>
                  <c:x val="-9.2011868081707179E-2"/>
                  <c:y val="2.5956817472305348E-2"/>
                </c:manualLayout>
              </c:layout>
              <c:tx>
                <c:rich>
                  <a:bodyPr/>
                  <a:lstStyle/>
                  <a:p>
                    <a:r>
                      <a:rPr lang="en-US"/>
                      <a:t>Finland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A1-4EF7-9846-4EAAE5714F56}"/>
                </c:ext>
              </c:extLst>
            </c:dLbl>
            <c:dLbl>
              <c:idx val="8"/>
              <c:layout>
                <c:manualLayout>
                  <c:x val="1.2825027306369313E-2"/>
                  <c:y val="4.5339446706126095E-3"/>
                </c:manualLayout>
              </c:layout>
              <c:tx>
                <c:rich>
                  <a:bodyPr/>
                  <a:lstStyle/>
                  <a:p>
                    <a:r>
                      <a:rPr lang="en-US"/>
                      <a:t>France</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A1-4EF7-9846-4EAAE5714F56}"/>
                </c:ext>
              </c:extLst>
            </c:dLbl>
            <c:dLbl>
              <c:idx val="9"/>
              <c:layout>
                <c:manualLayout>
                  <c:x val="1.995639888890369E-2"/>
                  <c:y val="1.2672324895787668E-2"/>
                </c:manualLayout>
              </c:layout>
              <c:tx>
                <c:rich>
                  <a:bodyPr/>
                  <a:lstStyle/>
                  <a:p>
                    <a:r>
                      <a:rPr lang="en-US"/>
                      <a:t>Hungary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A1-4EF7-9846-4EAAE5714F56}"/>
                </c:ext>
              </c:extLst>
            </c:dLbl>
            <c:dLbl>
              <c:idx val="10"/>
              <c:layout>
                <c:manualLayout>
                  <c:x val="-5.4975684173499408E-4"/>
                  <c:y val="7.6139518196170208E-2"/>
                </c:manualLayout>
              </c:layout>
              <c:tx>
                <c:rich>
                  <a:bodyPr/>
                  <a:lstStyle/>
                  <a:p>
                    <a:r>
                      <a:rPr lang="en-US"/>
                      <a:t>Ireland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A1-4EF7-9846-4EAAE5714F56}"/>
                </c:ext>
              </c:extLst>
            </c:dLbl>
            <c:dLbl>
              <c:idx val="11"/>
              <c:layout>
                <c:manualLayout>
                  <c:x val="2.4016558870739307E-3"/>
                  <c:y val="3.6893194836719295E-2"/>
                </c:manualLayout>
              </c:layout>
              <c:tx>
                <c:rich>
                  <a:bodyPr/>
                  <a:lstStyle/>
                  <a:p>
                    <a:r>
                      <a:rPr lang="en-US"/>
                      <a:t>Italy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0A1-4EF7-9846-4EAAE5714F56}"/>
                </c:ext>
              </c:extLst>
            </c:dLbl>
            <c:dLbl>
              <c:idx val="12"/>
              <c:layout>
                <c:manualLayout>
                  <c:x val="-5.2233905544415642E-2"/>
                  <c:y val="1.7694093804954372E-2"/>
                </c:manualLayout>
              </c:layout>
              <c:tx>
                <c:rich>
                  <a:bodyPr/>
                  <a:lstStyle/>
                  <a:p>
                    <a:r>
                      <a:rPr lang="en-US"/>
                      <a:t>Latvia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0A1-4EF7-9846-4EAAE5714F56}"/>
                </c:ext>
              </c:extLst>
            </c:dLbl>
            <c:dLbl>
              <c:idx val="13"/>
              <c:layout>
                <c:manualLayout>
                  <c:x val="-5.5722925938605519E-2"/>
                  <c:y val="5.4271319809493179E-2"/>
                </c:manualLayout>
              </c:layout>
              <c:tx>
                <c:rich>
                  <a:bodyPr/>
                  <a:lstStyle/>
                  <a:p>
                    <a:r>
                      <a:rPr lang="en-US"/>
                      <a:t>Germany</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0A1-4EF7-9846-4EAAE5714F56}"/>
                </c:ext>
              </c:extLst>
            </c:dLbl>
            <c:dLbl>
              <c:idx val="14"/>
              <c:layout>
                <c:manualLayout>
                  <c:x val="-4.3728338305537857E-2"/>
                  <c:y val="-2.7524683163102762E-2"/>
                </c:manualLayout>
              </c:layout>
              <c:tx>
                <c:rich>
                  <a:bodyPr/>
                  <a:lstStyle/>
                  <a:p>
                    <a:r>
                      <a:rPr lang="en-US"/>
                      <a:t>Lithuania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0A1-4EF7-9846-4EAAE5714F56}"/>
                </c:ext>
              </c:extLst>
            </c:dLbl>
            <c:dLbl>
              <c:idx val="15"/>
              <c:layout>
                <c:manualLayout>
                  <c:x val="-4.3539231509104839E-2"/>
                  <c:y val="1.732199374157125E-2"/>
                </c:manualLayout>
              </c:layout>
              <c:tx>
                <c:rich>
                  <a:bodyPr/>
                  <a:lstStyle/>
                  <a:p>
                    <a:r>
                      <a:rPr lang="en-US"/>
                      <a:t>Luxembourg</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0A1-4EF7-9846-4EAAE5714F56}"/>
                </c:ext>
              </c:extLst>
            </c:dLbl>
            <c:dLbl>
              <c:idx val="16"/>
              <c:layout>
                <c:manualLayout>
                  <c:x val="-2.6519293783929181E-2"/>
                  <c:y val="-1.0229808578693381E-2"/>
                </c:manualLayout>
              </c:layout>
              <c:tx>
                <c:rich>
                  <a:bodyPr/>
                  <a:lstStyle/>
                  <a:p>
                    <a:r>
                      <a:rPr lang="en-US"/>
                      <a:t>Malta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0A1-4EF7-9846-4EAAE5714F56}"/>
                </c:ext>
              </c:extLst>
            </c:dLbl>
            <c:dLbl>
              <c:idx val="17"/>
              <c:layout>
                <c:manualLayout>
                  <c:x val="-1.4894442542508273E-2"/>
                  <c:y val="3.7191716674182244E-2"/>
                </c:manualLayout>
              </c:layout>
              <c:tx>
                <c:rich>
                  <a:bodyPr/>
                  <a:lstStyle/>
                  <a:p>
                    <a:r>
                      <a:rPr lang="en-US"/>
                      <a:t>Netherlands</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0A1-4EF7-9846-4EAAE5714F56}"/>
                </c:ext>
              </c:extLst>
            </c:dLbl>
            <c:dLbl>
              <c:idx val="18"/>
              <c:layout>
                <c:manualLayout>
                  <c:x val="-3.4070660879404011E-2"/>
                  <c:y val="-3.139376035675949E-2"/>
                </c:manualLayout>
              </c:layout>
              <c:tx>
                <c:rich>
                  <a:bodyPr/>
                  <a:lstStyle/>
                  <a:p>
                    <a:r>
                      <a:rPr lang="en-US"/>
                      <a:t>Poland</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0A1-4EF7-9846-4EAAE5714F56}"/>
                </c:ext>
              </c:extLst>
            </c:dLbl>
            <c:dLbl>
              <c:idx val="19"/>
              <c:layout>
                <c:manualLayout>
                  <c:x val="2.6365399977176764E-2"/>
                  <c:y val="3.8523918991503715E-3"/>
                </c:manualLayout>
              </c:layout>
              <c:tx>
                <c:rich>
                  <a:bodyPr/>
                  <a:lstStyle/>
                  <a:p>
                    <a:r>
                      <a:rPr lang="en-US"/>
                      <a:t>Romania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0A1-4EF7-9846-4EAAE5714F56}"/>
                </c:ext>
              </c:extLst>
            </c:dLbl>
            <c:dLbl>
              <c:idx val="20"/>
              <c:layout>
                <c:manualLayout>
                  <c:x val="1.758140756302521E-2"/>
                  <c:y val="6.2059072984831237E-3"/>
                </c:manualLayout>
              </c:layout>
              <c:tx>
                <c:rich>
                  <a:bodyPr/>
                  <a:lstStyle/>
                  <a:p>
                    <a:r>
                      <a:rPr lang="en-US"/>
                      <a:t>Slovakia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0A1-4EF7-9846-4EAAE5714F56}"/>
                </c:ext>
              </c:extLst>
            </c:dLbl>
            <c:dLbl>
              <c:idx val="21"/>
              <c:layout>
                <c:manualLayout>
                  <c:x val="-4.5538664904163979E-2"/>
                  <c:y val="-3.5392385611100745E-2"/>
                </c:manualLayout>
              </c:layout>
              <c:tx>
                <c:rich>
                  <a:bodyPr/>
                  <a:lstStyle/>
                  <a:p>
                    <a:r>
                      <a:rPr lang="en-US"/>
                      <a:t>Slovenia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0A1-4EF7-9846-4EAAE5714F56}"/>
                </c:ext>
              </c:extLst>
            </c:dLbl>
            <c:dLbl>
              <c:idx val="22"/>
              <c:layout>
                <c:manualLayout>
                  <c:x val="-7.1600397776364913E-2"/>
                  <c:y val="-2.3395633815696947E-2"/>
                </c:manualLayout>
              </c:layout>
              <c:tx>
                <c:rich>
                  <a:bodyPr/>
                  <a:lstStyle/>
                  <a:p>
                    <a:r>
                      <a:rPr lang="en-US">
                        <a:solidFill>
                          <a:schemeClr val="tx1">
                            <a:lumMod val="50000"/>
                            <a:lumOff val="50000"/>
                          </a:schemeClr>
                        </a:solidFill>
                      </a:rPr>
                      <a:t>Spain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0A1-4EF7-9846-4EAAE5714F56}"/>
                </c:ext>
              </c:extLst>
            </c:dLbl>
            <c:dLbl>
              <c:idx val="23"/>
              <c:layout>
                <c:manualLayout>
                  <c:x val="-1.0724311634958711E-2"/>
                  <c:y val="-4.1862518486751078E-2"/>
                </c:manualLayout>
              </c:layout>
              <c:tx>
                <c:rich>
                  <a:bodyPr/>
                  <a:lstStyle/>
                  <a:p>
                    <a:r>
                      <a:rPr lang="en-US">
                        <a:solidFill>
                          <a:schemeClr val="tx1">
                            <a:lumMod val="50000"/>
                            <a:lumOff val="50000"/>
                          </a:schemeClr>
                        </a:solidFill>
                      </a:rPr>
                      <a:t>Sweden</a:t>
                    </a:r>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0A1-4EF7-9846-4EAAE5714F56}"/>
                </c:ext>
              </c:extLst>
            </c:dLbl>
            <c:dLbl>
              <c:idx val="24"/>
              <c:layout>
                <c:manualLayout>
                  <c:x val="-2.3251088821911785E-2"/>
                  <c:y val="-3.2920403308564204E-3"/>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sz="800">
                        <a:solidFill>
                          <a:schemeClr val="tx1">
                            <a:lumMod val="50000"/>
                            <a:lumOff val="50000"/>
                          </a:schemeClr>
                        </a:solidFill>
                        <a:latin typeface="Times New Roman" panose="02020603050405020304" pitchFamily="18" charset="0"/>
                        <a:cs typeface="Times New Roman" panose="02020603050405020304" pitchFamily="18" charset="0"/>
                      </a:rPr>
                      <a:t>Cyprus</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layout>
                    <c:manualLayout>
                      <c:w val="0.13100275293998009"/>
                      <c:h val="3.706857368218909E-2"/>
                    </c:manualLayout>
                  </c15:layout>
                </c:ext>
                <c:ext xmlns:c16="http://schemas.microsoft.com/office/drawing/2014/chart" uri="{C3380CC4-5D6E-409C-BE32-E72D297353CC}">
                  <c16:uniqueId val="{0000001A-60A1-4EF7-9846-4EAAE5714F56}"/>
                </c:ext>
              </c:extLst>
            </c:dLbl>
            <c:dLbl>
              <c:idx val="25"/>
              <c:layout>
                <c:manualLayout>
                  <c:x val="-5.4336818997261824E-2"/>
                  <c:y val="2.7688775146707936E-2"/>
                </c:manualLayout>
              </c:layout>
              <c:tx>
                <c:rich>
                  <a:bodyPr/>
                  <a:lstStyle/>
                  <a:p>
                    <a:r>
                      <a:rPr lang="en-US"/>
                      <a:t>Greece</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0A1-4EF7-9846-4EAAE5714F56}"/>
                </c:ext>
              </c:extLst>
            </c:dLbl>
            <c:dLbl>
              <c:idx val="26"/>
              <c:layout>
                <c:manualLayout>
                  <c:x val="-7.1712231623221004E-2"/>
                  <c:y val="2.6158634455835144E-2"/>
                </c:manualLayout>
              </c:layout>
              <c:tx>
                <c:rich>
                  <a:bodyPr/>
                  <a:lstStyle/>
                  <a:p>
                    <a:r>
                      <a:rPr lang="en-US" baseline="0"/>
                      <a:t>Portugal</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0A1-4EF7-9846-4EAAE5714F56}"/>
                </c:ext>
              </c:extLst>
            </c:dLbl>
            <c:dLbl>
              <c:idx val="27"/>
              <c:layout>
                <c:manualLayout>
                  <c:x val="-4.1407867494824393E-3"/>
                  <c:y val="-2.6677682510351983E-3"/>
                </c:manualLayout>
              </c:layout>
              <c:tx>
                <c:rich>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r>
                      <a:rPr lang="en-US">
                        <a:solidFill>
                          <a:srgbClr val="FF0000"/>
                        </a:solidFill>
                        <a:latin typeface="Times New Roman" panose="02020603050405020304" pitchFamily="18" charset="0"/>
                        <a:cs typeface="Times New Roman" panose="02020603050405020304" pitchFamily="18" charset="0"/>
                      </a:rPr>
                      <a:t>Serbia</a:t>
                    </a:r>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0A1-4EF7-9846-4EAAE5714F56}"/>
                </c:ext>
              </c:extLst>
            </c:dLbl>
            <c:dLbl>
              <c:idx val="2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0A1-4EF7-9846-4EAAE5714F56}"/>
                </c:ext>
              </c:extLst>
            </c:dLbl>
            <c:dLbl>
              <c:idx val="29"/>
              <c:layout>
                <c:manualLayout>
                  <c:x val="0.27121180204981443"/>
                  <c:y val="-0.10981647825182873"/>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layout>
                    <c:manualLayout>
                      <c:w val="6.4583536111454121E-2"/>
                      <c:h val="3.6566409796610792E-2"/>
                    </c:manualLayout>
                  </c15:layout>
                </c:ext>
                <c:ext xmlns:c16="http://schemas.microsoft.com/office/drawing/2014/chart" uri="{C3380CC4-5D6E-409C-BE32-E72D297353CC}">
                  <c16:uniqueId val="{0000001F-60A1-4EF7-9846-4EAAE5714F5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'2024'!$D$4:$D$31</c:f>
              <c:numCache>
                <c:formatCode>0.00</c:formatCode>
                <c:ptCount val="28"/>
                <c:pt idx="0">
                  <c:v>0.56999999999999995</c:v>
                </c:pt>
                <c:pt idx="1">
                  <c:v>0.56999999999999995</c:v>
                </c:pt>
                <c:pt idx="2">
                  <c:v>0.26</c:v>
                </c:pt>
                <c:pt idx="3">
                  <c:v>0.12</c:v>
                </c:pt>
                <c:pt idx="4">
                  <c:v>0.26</c:v>
                </c:pt>
                <c:pt idx="5">
                  <c:v>0.04</c:v>
                </c:pt>
                <c:pt idx="6">
                  <c:v>0.12</c:v>
                </c:pt>
                <c:pt idx="7">
                  <c:v>0.31</c:v>
                </c:pt>
                <c:pt idx="8">
                  <c:v>0.56999999999999995</c:v>
                </c:pt>
                <c:pt idx="9">
                  <c:v>0.41</c:v>
                </c:pt>
                <c:pt idx="10">
                  <c:v>0</c:v>
                </c:pt>
                <c:pt idx="11">
                  <c:v>0.69</c:v>
                </c:pt>
                <c:pt idx="12">
                  <c:v>0.32</c:v>
                </c:pt>
                <c:pt idx="13">
                  <c:v>0.08</c:v>
                </c:pt>
                <c:pt idx="14">
                  <c:v>0.18</c:v>
                </c:pt>
                <c:pt idx="15">
                  <c:v>0.08</c:v>
                </c:pt>
                <c:pt idx="16">
                  <c:v>0.26</c:v>
                </c:pt>
                <c:pt idx="17">
                  <c:v>0</c:v>
                </c:pt>
                <c:pt idx="18">
                  <c:v>0.32</c:v>
                </c:pt>
                <c:pt idx="19">
                  <c:v>0.32</c:v>
                </c:pt>
                <c:pt idx="20">
                  <c:v>0.22</c:v>
                </c:pt>
                <c:pt idx="21">
                  <c:v>0.26</c:v>
                </c:pt>
                <c:pt idx="22">
                  <c:v>0.41</c:v>
                </c:pt>
                <c:pt idx="23">
                  <c:v>0.08</c:v>
                </c:pt>
                <c:pt idx="24">
                  <c:v>0</c:v>
                </c:pt>
                <c:pt idx="25">
                  <c:v>0.08</c:v>
                </c:pt>
                <c:pt idx="26">
                  <c:v>0.31</c:v>
                </c:pt>
                <c:pt idx="27">
                  <c:v>0.11976047904191615</c:v>
                </c:pt>
              </c:numCache>
            </c:numRef>
          </c:xVal>
          <c:yVal>
            <c:numRef>
              <c:f>'2024'!$E$4:$E$31</c:f>
              <c:numCache>
                <c:formatCode>0.00</c:formatCode>
                <c:ptCount val="28"/>
                <c:pt idx="0">
                  <c:v>0.18</c:v>
                </c:pt>
                <c:pt idx="1">
                  <c:v>0.24</c:v>
                </c:pt>
                <c:pt idx="2">
                  <c:v>0.17</c:v>
                </c:pt>
                <c:pt idx="3">
                  <c:v>0.25</c:v>
                </c:pt>
                <c:pt idx="4">
                  <c:v>0.45</c:v>
                </c:pt>
                <c:pt idx="5">
                  <c:v>0.41</c:v>
                </c:pt>
                <c:pt idx="6">
                  <c:v>0.59</c:v>
                </c:pt>
                <c:pt idx="7">
                  <c:v>0.35</c:v>
                </c:pt>
                <c:pt idx="8">
                  <c:v>0.33</c:v>
                </c:pt>
                <c:pt idx="9">
                  <c:v>0.45</c:v>
                </c:pt>
                <c:pt idx="10">
                  <c:v>0.33</c:v>
                </c:pt>
                <c:pt idx="11">
                  <c:v>0.3</c:v>
                </c:pt>
                <c:pt idx="12">
                  <c:v>0.56000000000000005</c:v>
                </c:pt>
                <c:pt idx="13">
                  <c:v>0.24</c:v>
                </c:pt>
                <c:pt idx="14">
                  <c:v>0.35</c:v>
                </c:pt>
                <c:pt idx="15">
                  <c:v>0.3</c:v>
                </c:pt>
                <c:pt idx="16">
                  <c:v>0.18</c:v>
                </c:pt>
                <c:pt idx="17">
                  <c:v>0.37</c:v>
                </c:pt>
                <c:pt idx="18">
                  <c:v>0.38</c:v>
                </c:pt>
                <c:pt idx="19">
                  <c:v>0.57999999999999996</c:v>
                </c:pt>
                <c:pt idx="20">
                  <c:v>0.63</c:v>
                </c:pt>
                <c:pt idx="21">
                  <c:v>0.25</c:v>
                </c:pt>
                <c:pt idx="22">
                  <c:v>0.34</c:v>
                </c:pt>
                <c:pt idx="23">
                  <c:v>0.37</c:v>
                </c:pt>
                <c:pt idx="24">
                  <c:v>0.38</c:v>
                </c:pt>
                <c:pt idx="25">
                  <c:v>0.53</c:v>
                </c:pt>
                <c:pt idx="26">
                  <c:v>0.45</c:v>
                </c:pt>
                <c:pt idx="27">
                  <c:v>0.30769230769230771</c:v>
                </c:pt>
              </c:numCache>
            </c:numRef>
          </c:yVal>
          <c:smooth val="0"/>
          <c:extLst>
            <c:ext xmlns:c16="http://schemas.microsoft.com/office/drawing/2014/chart" uri="{C3380CC4-5D6E-409C-BE32-E72D297353CC}">
              <c16:uniqueId val="{00000020-60A1-4EF7-9846-4EAAE5714F56}"/>
            </c:ext>
          </c:extLst>
        </c:ser>
        <c:dLbls>
          <c:showLegendKey val="0"/>
          <c:showVal val="0"/>
          <c:showCatName val="0"/>
          <c:showSerName val="0"/>
          <c:showPercent val="0"/>
          <c:showBubbleSize val="0"/>
        </c:dLbls>
        <c:axId val="2099147520"/>
        <c:axId val="2099146272"/>
      </c:scatterChart>
      <c:valAx>
        <c:axId val="-262788736"/>
        <c:scaling>
          <c:orientation val="minMax"/>
          <c:max val="0.8"/>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sr-Latn-RS" sz="800">
                    <a:latin typeface="Times New Roman" panose="02020603050405020304" pitchFamily="18" charset="0"/>
                    <a:cs typeface="Times New Roman" panose="02020603050405020304" pitchFamily="18" charset="0"/>
                  </a:rPr>
                  <a:t>Fiscal sub-index</a:t>
                </a:r>
                <a:endParaRPr lang="en-US" sz="800">
                  <a:latin typeface="Times New Roman" panose="02020603050405020304" pitchFamily="18" charset="0"/>
                  <a:cs typeface="Times New Roman" panose="02020603050405020304" pitchFamily="18" charset="0"/>
                </a:endParaRPr>
              </a:p>
            </c:rich>
          </c:tx>
          <c:layout>
            <c:manualLayout>
              <c:xMode val="edge"/>
              <c:yMode val="edge"/>
              <c:x val="0.32836641954038248"/>
              <c:y val="0.9471674575118627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262793088"/>
        <c:crosses val="autoZero"/>
        <c:crossBetween val="midCat"/>
      </c:valAx>
      <c:valAx>
        <c:axId val="-262793088"/>
        <c:scaling>
          <c:orientation val="minMax"/>
          <c:max val="0.65000000000000013"/>
          <c:min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r>
                  <a:rPr lang="sr-Latn-RS" sz="800" baseline="0">
                    <a:latin typeface="Times New Roman" panose="02020603050405020304" pitchFamily="18" charset="0"/>
                  </a:rPr>
                  <a:t>Financial competitivness sub-index</a:t>
                </a:r>
                <a:endParaRPr lang="en-US" sz="800" baseline="0">
                  <a:latin typeface="Times New Roman" panose="02020603050405020304" pitchFamily="18" charset="0"/>
                </a:endParaRPr>
              </a:p>
            </c:rich>
          </c:tx>
          <c:layout>
            <c:manualLayout>
              <c:xMode val="edge"/>
              <c:yMode val="edge"/>
              <c:x val="3.3585958005249348E-3"/>
              <c:y val="0.3098256145939772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title>
        <c:numFmt formatCode="0.0" sourceLinked="0"/>
        <c:majorTickMark val="none"/>
        <c:minorTickMark val="none"/>
        <c:tickLblPos val="nextTo"/>
        <c:spPr>
          <a:noFill/>
          <a:ln w="6350" cap="flat" cmpd="sng" algn="ctr">
            <a:solidFill>
              <a:schemeClr val="tx1">
                <a:lumMod val="25000"/>
                <a:lumOff val="7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262788736"/>
        <c:crosses val="autoZero"/>
        <c:crossBetween val="midCat"/>
      </c:valAx>
      <c:valAx>
        <c:axId val="2099146272"/>
        <c:scaling>
          <c:orientation val="minMax"/>
        </c:scaling>
        <c:delete val="1"/>
        <c:axPos val="r"/>
        <c:numFmt formatCode="0.00" sourceLinked="1"/>
        <c:majorTickMark val="out"/>
        <c:minorTickMark val="none"/>
        <c:tickLblPos val="nextTo"/>
        <c:crossAx val="2099147520"/>
        <c:crosses val="max"/>
        <c:crossBetween val="midCat"/>
      </c:valAx>
      <c:valAx>
        <c:axId val="2099147520"/>
        <c:scaling>
          <c:orientation val="minMax"/>
        </c:scaling>
        <c:delete val="1"/>
        <c:axPos val="t"/>
        <c:numFmt formatCode="0.00" sourceLinked="1"/>
        <c:majorTickMark val="out"/>
        <c:minorTickMark val="none"/>
        <c:tickLblPos val="nextTo"/>
        <c:crossAx val="2099146272"/>
        <c:crosses val="max"/>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140553174856415E-2"/>
          <c:y val="0.13775301764159703"/>
          <c:w val="0.89795062064282105"/>
          <c:h val="0.4716665570007092"/>
        </c:manualLayout>
      </c:layout>
      <c:barChart>
        <c:barDir val="col"/>
        <c:grouping val="clustered"/>
        <c:varyColors val="0"/>
        <c:ser>
          <c:idx val="13"/>
          <c:order val="5"/>
          <c:tx>
            <c:strRef>
              <c:f>'S0 EU Serbia'!$AG$2</c:f>
              <c:strCache>
                <c:ptCount val="1"/>
                <c:pt idx="0">
                  <c:v>S0 2023</c:v>
                </c:pt>
              </c:strCache>
            </c:strRef>
          </c:tx>
          <c:spPr>
            <a:solidFill>
              <a:srgbClr val="7030A0"/>
            </a:solidFill>
            <a:ln>
              <a:noFill/>
            </a:ln>
            <a:effectLst/>
          </c:spPr>
          <c:invertIfNegative val="0"/>
          <c:cat>
            <c:strRef>
              <c:f>'S0 EU Serbia'!$B$3:$B$30</c:f>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f>'S0 EU Serbia'!$AG$3:$AG$30</c:f>
              <c:numCache>
                <c:formatCode>0.00</c:formatCode>
                <c:ptCount val="28"/>
                <c:pt idx="0">
                  <c:v>0.09</c:v>
                </c:pt>
                <c:pt idx="1">
                  <c:v>0.27</c:v>
                </c:pt>
                <c:pt idx="2">
                  <c:v>0.21</c:v>
                </c:pt>
                <c:pt idx="3">
                  <c:v>0.24</c:v>
                </c:pt>
                <c:pt idx="4">
                  <c:v>0.21</c:v>
                </c:pt>
                <c:pt idx="5">
                  <c:v>0.32</c:v>
                </c:pt>
                <c:pt idx="6">
                  <c:v>0.27</c:v>
                </c:pt>
                <c:pt idx="7">
                  <c:v>0.3</c:v>
                </c:pt>
                <c:pt idx="8">
                  <c:v>0.2</c:v>
                </c:pt>
                <c:pt idx="9">
                  <c:v>0.38</c:v>
                </c:pt>
                <c:pt idx="10">
                  <c:v>0.31</c:v>
                </c:pt>
                <c:pt idx="11">
                  <c:v>0.16</c:v>
                </c:pt>
                <c:pt idx="12">
                  <c:v>0.46</c:v>
                </c:pt>
                <c:pt idx="13">
                  <c:v>0.13</c:v>
                </c:pt>
                <c:pt idx="14">
                  <c:v>0.35</c:v>
                </c:pt>
                <c:pt idx="15">
                  <c:v>0.31</c:v>
                </c:pt>
                <c:pt idx="16">
                  <c:v>0.27</c:v>
                </c:pt>
                <c:pt idx="17">
                  <c:v>0.19</c:v>
                </c:pt>
                <c:pt idx="18">
                  <c:v>0.17</c:v>
                </c:pt>
                <c:pt idx="19">
                  <c:v>0.12</c:v>
                </c:pt>
                <c:pt idx="20">
                  <c:v>0.39</c:v>
                </c:pt>
                <c:pt idx="21">
                  <c:v>0.32</c:v>
                </c:pt>
                <c:pt idx="22">
                  <c:v>0.31</c:v>
                </c:pt>
                <c:pt idx="23">
                  <c:v>0.20459290187891443</c:v>
                </c:pt>
                <c:pt idx="24">
                  <c:v>0.38</c:v>
                </c:pt>
                <c:pt idx="25">
                  <c:v>0.2</c:v>
                </c:pt>
                <c:pt idx="26">
                  <c:v>0.41</c:v>
                </c:pt>
                <c:pt idx="27">
                  <c:v>0.12</c:v>
                </c:pt>
              </c:numCache>
            </c:numRef>
          </c:val>
          <c:extLst xmlns:c15="http://schemas.microsoft.com/office/drawing/2012/chart">
            <c:ext xmlns:c16="http://schemas.microsoft.com/office/drawing/2014/chart" uri="{C3380CC4-5D6E-409C-BE32-E72D297353CC}">
              <c16:uniqueId val="{00000000-78EF-45A3-B28B-21B0E00CC723}"/>
            </c:ext>
          </c:extLst>
        </c:ser>
        <c:ser>
          <c:idx val="16"/>
          <c:order val="8"/>
          <c:tx>
            <c:strRef>
              <c:f>'S0 EU Serbia'!$AJ$2</c:f>
              <c:strCache>
                <c:ptCount val="1"/>
                <c:pt idx="0">
                  <c:v>S0 2024</c:v>
                </c:pt>
              </c:strCache>
            </c:strRef>
          </c:tx>
          <c:spPr>
            <a:solidFill>
              <a:srgbClr val="00B0F0"/>
            </a:solidFill>
            <a:ln>
              <a:noFill/>
            </a:ln>
            <a:effectLst/>
          </c:spPr>
          <c:invertIfNegative val="0"/>
          <c:cat>
            <c:strRef>
              <c:f>'S0 EU Serbia'!$B$3:$B$30</c:f>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f>'S0 EU Serbia'!$AJ$3:$AJ$30</c:f>
              <c:numCache>
                <c:formatCode>0.00</c:formatCode>
                <c:ptCount val="28"/>
                <c:pt idx="0">
                  <c:v>0.31</c:v>
                </c:pt>
                <c:pt idx="1">
                  <c:v>0.35</c:v>
                </c:pt>
                <c:pt idx="2">
                  <c:v>0.2</c:v>
                </c:pt>
                <c:pt idx="3">
                  <c:v>0.2</c:v>
                </c:pt>
                <c:pt idx="4">
                  <c:v>0.41</c:v>
                </c:pt>
                <c:pt idx="5">
                  <c:v>0.25</c:v>
                </c:pt>
                <c:pt idx="6">
                  <c:v>0.28000000000000003</c:v>
                </c:pt>
                <c:pt idx="7">
                  <c:v>0.43</c:v>
                </c:pt>
                <c:pt idx="8">
                  <c:v>0.34</c:v>
                </c:pt>
                <c:pt idx="9">
                  <c:v>0.38</c:v>
                </c:pt>
                <c:pt idx="10">
                  <c:v>0.39</c:v>
                </c:pt>
                <c:pt idx="11">
                  <c:v>0.18</c:v>
                </c:pt>
                <c:pt idx="12">
                  <c:v>0.44</c:v>
                </c:pt>
                <c:pt idx="13">
                  <c:v>0.22</c:v>
                </c:pt>
                <c:pt idx="14">
                  <c:v>0.43</c:v>
                </c:pt>
                <c:pt idx="15">
                  <c:v>0.48</c:v>
                </c:pt>
                <c:pt idx="16">
                  <c:v>0.28999999999999998</c:v>
                </c:pt>
                <c:pt idx="17">
                  <c:v>0.22</c:v>
                </c:pt>
                <c:pt idx="18">
                  <c:v>0.21</c:v>
                </c:pt>
                <c:pt idx="19">
                  <c:v>0.24</c:v>
                </c:pt>
                <c:pt idx="20">
                  <c:v>0.36</c:v>
                </c:pt>
                <c:pt idx="21">
                  <c:v>0.4</c:v>
                </c:pt>
                <c:pt idx="22">
                  <c:v>0.49</c:v>
                </c:pt>
                <c:pt idx="23">
                  <c:v>0.24217118997912318</c:v>
                </c:pt>
                <c:pt idx="24">
                  <c:v>0.48</c:v>
                </c:pt>
                <c:pt idx="25">
                  <c:v>0.25</c:v>
                </c:pt>
                <c:pt idx="26">
                  <c:v>0.37</c:v>
                </c:pt>
                <c:pt idx="27">
                  <c:v>0.27</c:v>
                </c:pt>
              </c:numCache>
            </c:numRef>
          </c:val>
          <c:extLst>
            <c:ext xmlns:c16="http://schemas.microsoft.com/office/drawing/2014/chart" uri="{C3380CC4-5D6E-409C-BE32-E72D297353CC}">
              <c16:uniqueId val="{00000001-78EF-45A3-B28B-21B0E00CC723}"/>
            </c:ext>
          </c:extLst>
        </c:ser>
        <c:dLbls>
          <c:showLegendKey val="0"/>
          <c:showVal val="0"/>
          <c:showCatName val="0"/>
          <c:showSerName val="0"/>
          <c:showPercent val="0"/>
          <c:showBubbleSize val="0"/>
        </c:dLbls>
        <c:gapWidth val="150"/>
        <c:axId val="-262794176"/>
        <c:axId val="-262791456"/>
        <c:extLst>
          <c:ext xmlns:c15="http://schemas.microsoft.com/office/drawing/2012/chart" uri="{02D57815-91ED-43cb-92C2-25804820EDAC}">
            <c15:filteredBarSeries>
              <c15:ser>
                <c:idx val="7"/>
                <c:order val="0"/>
                <c:tx>
                  <c:strRef>
                    <c:extLst>
                      <c:ext uri="{02D57815-91ED-43cb-92C2-25804820EDAC}">
                        <c15:formulaRef>
                          <c15:sqref>'S0 EU Serbia'!$U$2</c15:sqref>
                        </c15:formulaRef>
                      </c:ext>
                    </c:extLst>
                    <c:strCache>
                      <c:ptCount val="1"/>
                      <c:pt idx="0">
                        <c:v>S0 2019</c:v>
                      </c:pt>
                    </c:strCache>
                  </c:strRef>
                </c:tx>
                <c:spPr>
                  <a:solidFill>
                    <a:schemeClr val="accent2">
                      <a:lumMod val="60000"/>
                    </a:schemeClr>
                  </a:solidFill>
                  <a:ln>
                    <a:noFill/>
                  </a:ln>
                  <a:effectLst/>
                </c:spPr>
                <c:invertIfNegative val="0"/>
                <c:cat>
                  <c:strRef>
                    <c:extLst>
                      <c:ex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c:ext uri="{02D57815-91ED-43cb-92C2-25804820EDAC}">
                        <c15:formulaRef>
                          <c15:sqref>'S0 EU Serbia'!$X$3:$X$30</c15:sqref>
                        </c15:formulaRef>
                      </c:ext>
                    </c:extLst>
                    <c:numCache>
                      <c:formatCode>0.00</c:formatCode>
                      <c:ptCount val="28"/>
                      <c:pt idx="0">
                        <c:v>0.4</c:v>
                      </c:pt>
                      <c:pt idx="1">
                        <c:v>0.48</c:v>
                      </c:pt>
                      <c:pt idx="2">
                        <c:v>0.35</c:v>
                      </c:pt>
                      <c:pt idx="3">
                        <c:v>0.37</c:v>
                      </c:pt>
                      <c:pt idx="4">
                        <c:v>0.61</c:v>
                      </c:pt>
                      <c:pt idx="5">
                        <c:v>0.64</c:v>
                      </c:pt>
                      <c:pt idx="6">
                        <c:v>0.41</c:v>
                      </c:pt>
                      <c:pt idx="7">
                        <c:v>0.33</c:v>
                      </c:pt>
                      <c:pt idx="8">
                        <c:v>0.49</c:v>
                      </c:pt>
                      <c:pt idx="9">
                        <c:v>0.55000000000000004</c:v>
                      </c:pt>
                      <c:pt idx="11">
                        <c:v>0.37</c:v>
                      </c:pt>
                      <c:pt idx="12">
                        <c:v>0.46</c:v>
                      </c:pt>
                      <c:pt idx="13">
                        <c:v>0.42</c:v>
                      </c:pt>
                      <c:pt idx="14">
                        <c:v>0.48</c:v>
                      </c:pt>
                      <c:pt idx="15">
                        <c:v>0.48</c:v>
                      </c:pt>
                      <c:pt idx="16">
                        <c:v>0.37</c:v>
                      </c:pt>
                      <c:pt idx="17">
                        <c:v>0.3</c:v>
                      </c:pt>
                      <c:pt idx="18">
                        <c:v>0.28999999999999998</c:v>
                      </c:pt>
                      <c:pt idx="19">
                        <c:v>0.39</c:v>
                      </c:pt>
                      <c:pt idx="20">
                        <c:v>0.45</c:v>
                      </c:pt>
                      <c:pt idx="21">
                        <c:v>0.61</c:v>
                      </c:pt>
                      <c:pt idx="22">
                        <c:v>0.49</c:v>
                      </c:pt>
                      <c:pt idx="23">
                        <c:v>0.4425887265135699</c:v>
                      </c:pt>
                      <c:pt idx="24">
                        <c:v>0.54</c:v>
                      </c:pt>
                      <c:pt idx="25">
                        <c:v>0.43</c:v>
                      </c:pt>
                      <c:pt idx="26">
                        <c:v>0.5</c:v>
                      </c:pt>
                      <c:pt idx="27">
                        <c:v>0.32</c:v>
                      </c:pt>
                    </c:numCache>
                  </c:numRef>
                </c:val>
                <c:extLst>
                  <c:ext xmlns:c16="http://schemas.microsoft.com/office/drawing/2014/chart" uri="{C3380CC4-5D6E-409C-BE32-E72D297353CC}">
                    <c16:uniqueId val="{00000004-78EF-45A3-B28B-21B0E00CC723}"/>
                  </c:ext>
                </c:extLst>
              </c15:ser>
            </c15:filteredBarSeries>
            <c15:filteredBarSeries>
              <c15:ser>
                <c:idx val="8"/>
                <c:order val="1"/>
                <c:tx>
                  <c:strRef>
                    <c:extLst xmlns:c15="http://schemas.microsoft.com/office/drawing/2012/chart">
                      <c:ext xmlns:c15="http://schemas.microsoft.com/office/drawing/2012/char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Serbia'!$I$3:$I$32</c15:sqref>
                        </c15:formulaRef>
                      </c:ext>
                    </c:extLst>
                    <c:numCache>
                      <c:formatCode>0.00</c:formatCode>
                      <c:ptCount val="30"/>
                      <c:pt idx="0">
                        <c:v>7.0000000000000007E-2</c:v>
                      </c:pt>
                      <c:pt idx="1">
                        <c:v>0.1</c:v>
                      </c:pt>
                      <c:pt idx="2">
                        <c:v>0.21</c:v>
                      </c:pt>
                      <c:pt idx="3">
                        <c:v>0.11</c:v>
                      </c:pt>
                      <c:pt idx="4">
                        <c:v>0.26</c:v>
                      </c:pt>
                      <c:pt idx="6">
                        <c:v>0.25</c:v>
                      </c:pt>
                      <c:pt idx="7">
                        <c:v>0.19</c:v>
                      </c:pt>
                      <c:pt idx="8">
                        <c:v>0.22</c:v>
                      </c:pt>
                      <c:pt idx="9">
                        <c:v>0.17</c:v>
                      </c:pt>
                      <c:pt idx="11">
                        <c:v>0.02</c:v>
                      </c:pt>
                      <c:pt idx="12">
                        <c:v>0.16</c:v>
                      </c:pt>
                      <c:pt idx="13">
                        <c:v>0.38</c:v>
                      </c:pt>
                      <c:pt idx="14">
                        <c:v>0.21</c:v>
                      </c:pt>
                      <c:pt idx="15">
                        <c:v>0.34</c:v>
                      </c:pt>
                      <c:pt idx="16">
                        <c:v>0.18</c:v>
                      </c:pt>
                      <c:pt idx="17">
                        <c:v>0.09</c:v>
                      </c:pt>
                      <c:pt idx="18">
                        <c:v>0.13</c:v>
                      </c:pt>
                      <c:pt idx="19">
                        <c:v>0.19</c:v>
                      </c:pt>
                      <c:pt idx="20">
                        <c:v>0.27</c:v>
                      </c:pt>
                      <c:pt idx="21">
                        <c:v>0.24</c:v>
                      </c:pt>
                      <c:pt idx="22">
                        <c:v>0.14000000000000001</c:v>
                      </c:pt>
                      <c:pt idx="23">
                        <c:v>0.36</c:v>
                      </c:pt>
                      <c:pt idx="24">
                        <c:v>0.21</c:v>
                      </c:pt>
                      <c:pt idx="25">
                        <c:v>0.08</c:v>
                      </c:pt>
                      <c:pt idx="26">
                        <c:v>0.21</c:v>
                      </c:pt>
                      <c:pt idx="27">
                        <c:v>0.15</c:v>
                      </c:pt>
                    </c:numCache>
                  </c:numRef>
                </c:val>
                <c:extLst xmlns:c15="http://schemas.microsoft.com/office/drawing/2012/chart">
                  <c:ext xmlns:c16="http://schemas.microsoft.com/office/drawing/2014/chart" uri="{C3380CC4-5D6E-409C-BE32-E72D297353CC}">
                    <c16:uniqueId val="{00000005-78EF-45A3-B28B-21B0E00CC723}"/>
                  </c:ext>
                </c:extLst>
              </c15:ser>
            </c15:filteredBarSeries>
            <c15:filteredBarSeries>
              <c15:ser>
                <c:idx val="10"/>
                <c:order val="2"/>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07-78EF-45A3-B28B-21B0E00CC723}"/>
                    </c:ext>
                  </c:extLst>
                </c:dPt>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Serbia'!$L$3:$L$32</c15:sqref>
                        </c15:formulaRef>
                      </c:ext>
                    </c:extLst>
                    <c:numCache>
                      <c:formatCode>0.00</c:formatCode>
                      <c:ptCount val="30"/>
                      <c:pt idx="0">
                        <c:v>0.15</c:v>
                      </c:pt>
                      <c:pt idx="1">
                        <c:v>0.42</c:v>
                      </c:pt>
                      <c:pt idx="2">
                        <c:v>0.28000000000000003</c:v>
                      </c:pt>
                      <c:pt idx="3">
                        <c:v>0.19</c:v>
                      </c:pt>
                      <c:pt idx="4">
                        <c:v>0.18</c:v>
                      </c:pt>
                      <c:pt idx="5">
                        <c:v>0.41</c:v>
                      </c:pt>
                      <c:pt idx="6">
                        <c:v>0.19</c:v>
                      </c:pt>
                      <c:pt idx="7">
                        <c:v>0.25</c:v>
                      </c:pt>
                      <c:pt idx="8">
                        <c:v>0.22</c:v>
                      </c:pt>
                      <c:pt idx="9">
                        <c:v>0.31</c:v>
                      </c:pt>
                      <c:pt idx="11">
                        <c:v>0.08</c:v>
                      </c:pt>
                      <c:pt idx="12">
                        <c:v>0.31</c:v>
                      </c:pt>
                      <c:pt idx="13">
                        <c:v>0.28000000000000003</c:v>
                      </c:pt>
                      <c:pt idx="14">
                        <c:v>0.42</c:v>
                      </c:pt>
                      <c:pt idx="15">
                        <c:v>0.28999999999999998</c:v>
                      </c:pt>
                      <c:pt idx="16">
                        <c:v>0.21</c:v>
                      </c:pt>
                      <c:pt idx="17">
                        <c:v>0.28999999999999998</c:v>
                      </c:pt>
                      <c:pt idx="18">
                        <c:v>0.15</c:v>
                      </c:pt>
                      <c:pt idx="19">
                        <c:v>0.2</c:v>
                      </c:pt>
                      <c:pt idx="20">
                        <c:v>0.28999999999999998</c:v>
                      </c:pt>
                      <c:pt idx="21">
                        <c:v>0.41</c:v>
                      </c:pt>
                      <c:pt idx="22">
                        <c:v>0.26</c:v>
                      </c:pt>
                      <c:pt idx="23">
                        <c:v>0.19161676646706588</c:v>
                      </c:pt>
                      <c:pt idx="24">
                        <c:v>0.34</c:v>
                      </c:pt>
                      <c:pt idx="25">
                        <c:v>0.14000000000000001</c:v>
                      </c:pt>
                      <c:pt idx="26">
                        <c:v>0.37</c:v>
                      </c:pt>
                      <c:pt idx="27">
                        <c:v>0.12</c:v>
                      </c:pt>
                    </c:numCache>
                  </c:numRef>
                </c:val>
                <c:extLst xmlns:c15="http://schemas.microsoft.com/office/drawing/2012/chart">
                  <c:ext xmlns:c16="http://schemas.microsoft.com/office/drawing/2014/chart" uri="{C3380CC4-5D6E-409C-BE32-E72D297353CC}">
                    <c16:uniqueId val="{00000008-78EF-45A3-B28B-21B0E00CC723}"/>
                  </c:ext>
                </c:extLst>
              </c15:ser>
            </c15:filteredBarSeries>
            <c15:filteredBarSeries>
              <c15:ser>
                <c:idx val="11"/>
                <c:order val="3"/>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6">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Serbia'!$O$3:$O$31</c15:sqref>
                        </c15:formulaRef>
                      </c:ext>
                    </c:extLst>
                    <c:numCache>
                      <c:formatCode>0.00</c:formatCode>
                      <c:ptCount val="29"/>
                      <c:pt idx="0">
                        <c:v>7.0000000000000007E-2</c:v>
                      </c:pt>
                      <c:pt idx="1">
                        <c:v>0.35</c:v>
                      </c:pt>
                      <c:pt idx="2">
                        <c:v>0.25</c:v>
                      </c:pt>
                      <c:pt idx="3">
                        <c:v>0.19</c:v>
                      </c:pt>
                      <c:pt idx="4">
                        <c:v>0.2</c:v>
                      </c:pt>
                      <c:pt idx="5">
                        <c:v>0.44</c:v>
                      </c:pt>
                      <c:pt idx="6">
                        <c:v>0.3</c:v>
                      </c:pt>
                      <c:pt idx="7">
                        <c:v>0.2</c:v>
                      </c:pt>
                      <c:pt idx="8">
                        <c:v>0.1</c:v>
                      </c:pt>
                      <c:pt idx="9">
                        <c:v>0.24</c:v>
                      </c:pt>
                      <c:pt idx="11">
                        <c:v>0.08</c:v>
                      </c:pt>
                      <c:pt idx="12">
                        <c:v>0.39</c:v>
                      </c:pt>
                      <c:pt idx="13">
                        <c:v>0.28000000000000003</c:v>
                      </c:pt>
                      <c:pt idx="14">
                        <c:v>0.36</c:v>
                      </c:pt>
                      <c:pt idx="15">
                        <c:v>0.24</c:v>
                      </c:pt>
                      <c:pt idx="16">
                        <c:v>0.21</c:v>
                      </c:pt>
                      <c:pt idx="17">
                        <c:v>0.12</c:v>
                      </c:pt>
                      <c:pt idx="18">
                        <c:v>0.05</c:v>
                      </c:pt>
                      <c:pt idx="19">
                        <c:v>0.2</c:v>
                      </c:pt>
                      <c:pt idx="20">
                        <c:v>0.25</c:v>
                      </c:pt>
                      <c:pt idx="21">
                        <c:v>0.36</c:v>
                      </c:pt>
                      <c:pt idx="22">
                        <c:v>0.2</c:v>
                      </c:pt>
                      <c:pt idx="23">
                        <c:v>0.17745302713987476</c:v>
                      </c:pt>
                      <c:pt idx="24">
                        <c:v>0.3</c:v>
                      </c:pt>
                      <c:pt idx="25">
                        <c:v>0.13</c:v>
                      </c:pt>
                      <c:pt idx="26">
                        <c:v>0.37</c:v>
                      </c:pt>
                      <c:pt idx="27">
                        <c:v>0.12</c:v>
                      </c:pt>
                    </c:numCache>
                  </c:numRef>
                </c:val>
                <c:extLst xmlns:c15="http://schemas.microsoft.com/office/drawing/2012/chart">
                  <c:ext xmlns:c16="http://schemas.microsoft.com/office/drawing/2014/chart" uri="{C3380CC4-5D6E-409C-BE32-E72D297353CC}">
                    <c16:uniqueId val="{00000009-78EF-45A3-B28B-21B0E00CC723}"/>
                  </c:ext>
                </c:extLst>
              </c15:ser>
            </c15:filteredBarSeries>
            <c15:filteredBarSeries>
              <c15:ser>
                <c:idx val="12"/>
                <c:order val="4"/>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Serbia'!$R$3:$R$31</c15:sqref>
                        </c15:formulaRef>
                      </c:ext>
                    </c:extLst>
                    <c:numCache>
                      <c:formatCode>0.00</c:formatCode>
                      <c:ptCount val="29"/>
                      <c:pt idx="0">
                        <c:v>0.03</c:v>
                      </c:pt>
                      <c:pt idx="1">
                        <c:v>0.22</c:v>
                      </c:pt>
                      <c:pt idx="2">
                        <c:v>0.19</c:v>
                      </c:pt>
                      <c:pt idx="3">
                        <c:v>0.18</c:v>
                      </c:pt>
                      <c:pt idx="4">
                        <c:v>0.24</c:v>
                      </c:pt>
                      <c:pt idx="5">
                        <c:v>0.46</c:v>
                      </c:pt>
                      <c:pt idx="6">
                        <c:v>0.12</c:v>
                      </c:pt>
                      <c:pt idx="7">
                        <c:v>0.17</c:v>
                      </c:pt>
                      <c:pt idx="8">
                        <c:v>0.14000000000000001</c:v>
                      </c:pt>
                      <c:pt idx="9">
                        <c:v>0.28999999999999998</c:v>
                      </c:pt>
                      <c:pt idx="11">
                        <c:v>0</c:v>
                      </c:pt>
                      <c:pt idx="12">
                        <c:v>0.34</c:v>
                      </c:pt>
                      <c:pt idx="13">
                        <c:v>0.21</c:v>
                      </c:pt>
                      <c:pt idx="14">
                        <c:v>0.36</c:v>
                      </c:pt>
                      <c:pt idx="15">
                        <c:v>0.24</c:v>
                      </c:pt>
                      <c:pt idx="16">
                        <c:v>0.21</c:v>
                      </c:pt>
                      <c:pt idx="17">
                        <c:v>0.12</c:v>
                      </c:pt>
                      <c:pt idx="18">
                        <c:v>0.06</c:v>
                      </c:pt>
                      <c:pt idx="19">
                        <c:v>0.08</c:v>
                      </c:pt>
                      <c:pt idx="20">
                        <c:v>0.18</c:v>
                      </c:pt>
                      <c:pt idx="21">
                        <c:v>0.33</c:v>
                      </c:pt>
                      <c:pt idx="22">
                        <c:v>0.3</c:v>
                      </c:pt>
                      <c:pt idx="23">
                        <c:v>0.17745302713987476</c:v>
                      </c:pt>
                      <c:pt idx="24">
                        <c:v>0.27</c:v>
                      </c:pt>
                      <c:pt idx="25">
                        <c:v>0.13</c:v>
                      </c:pt>
                      <c:pt idx="26">
                        <c:v>0.37</c:v>
                      </c:pt>
                      <c:pt idx="27">
                        <c:v>0.2</c:v>
                      </c:pt>
                    </c:numCache>
                  </c:numRef>
                </c:val>
                <c:extLst xmlns:c15="http://schemas.microsoft.com/office/drawing/2012/chart">
                  <c:ext xmlns:c16="http://schemas.microsoft.com/office/drawing/2014/chart" uri="{C3380CC4-5D6E-409C-BE32-E72D297353CC}">
                    <c16:uniqueId val="{0000000A-78EF-45A3-B28B-21B0E00CC723}"/>
                  </c:ext>
                </c:extLst>
              </c15:ser>
            </c15:filteredBarSeries>
            <c15:filteredBarSeries>
              <c15:ser>
                <c:idx val="14"/>
                <c:order val="6"/>
                <c:tx>
                  <c:strRef>
                    <c:extLst xmlns:c15="http://schemas.microsoft.com/office/drawing/2012/chart">
                      <c:ext xmlns:c15="http://schemas.microsoft.com/office/drawing/2012/chart" uri="{02D57815-91ED-43cb-92C2-25804820EDAC}">
                        <c15:formulaRef>
                          <c15:sqref>'S0 EU Serbia'!$F$2</c15:sqref>
                        </c15:formulaRef>
                      </c:ext>
                    </c:extLst>
                    <c:strCache>
                      <c:ptCount val="1"/>
                      <c:pt idx="0">
                        <c:v>S0
2014</c:v>
                      </c:pt>
                    </c:strCache>
                  </c:strRef>
                </c:tx>
                <c:spPr>
                  <a:solidFill>
                    <a:schemeClr val="tx1"/>
                  </a:solidFill>
                  <a:ln w="6350">
                    <a:solidFill>
                      <a:schemeClr val="tx1"/>
                    </a:solid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Serbia'!$F$3:$F$32</c15:sqref>
                        </c15:formulaRef>
                      </c:ext>
                    </c:extLst>
                  </c:numRef>
                </c:val>
                <c:extLst xmlns:c15="http://schemas.microsoft.com/office/drawing/2012/chart">
                  <c:ext xmlns:c16="http://schemas.microsoft.com/office/drawing/2014/chart" uri="{C3380CC4-5D6E-409C-BE32-E72D297353CC}">
                    <c16:uniqueId val="{0000000B-78EF-45A3-B28B-21B0E00CC723}"/>
                  </c:ext>
                </c:extLst>
              </c15:ser>
            </c15:filteredBarSeries>
            <c15:filteredBarSeries>
              <c15:ser>
                <c:idx val="15"/>
                <c:order val="7"/>
                <c:tx>
                  <c:strRef>
                    <c:extLst xmlns:c15="http://schemas.microsoft.com/office/drawing/2012/chart">
                      <c:ext xmlns:c15="http://schemas.microsoft.com/office/drawing/2012/chart" uri="{02D57815-91ED-43cb-92C2-25804820EDAC}">
                        <c15:formulaRef>
                          <c15:sqref>'S0 EU Serbia'!$E$2</c15:sqref>
                        </c15:formulaRef>
                      </c:ext>
                    </c:extLst>
                    <c:strCache>
                      <c:ptCount val="1"/>
                      <c:pt idx="0">
                        <c:v>Тreshold</c:v>
                      </c:pt>
                    </c:strCache>
                  </c:strRef>
                </c:tx>
                <c:spPr>
                  <a:solidFill>
                    <a:schemeClr val="accent4">
                      <a:lumMod val="80000"/>
                      <a:lumOff val="20000"/>
                    </a:schemeClr>
                  </a:solidFill>
                  <a:ln w="22225">
                    <a:solidFill>
                      <a:schemeClr val="tx1"/>
                    </a:solidFill>
                    <a:prstDash val="dash"/>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Serbia'!$E$3:$E$30</c15:sqref>
                        </c15:formulaRef>
                      </c:ext>
                    </c:extLst>
                    <c:numCache>
                      <c:formatCode>0.00</c:formatCode>
                      <c:ptCount val="28"/>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pt idx="27">
                        <c:v>0.46</c:v>
                      </c:pt>
                    </c:numCache>
                  </c:numRef>
                </c:val>
                <c:extLst xmlns:c15="http://schemas.microsoft.com/office/drawing/2012/chart">
                  <c:ext xmlns:c16="http://schemas.microsoft.com/office/drawing/2014/chart" uri="{C3380CC4-5D6E-409C-BE32-E72D297353CC}">
                    <c16:uniqueId val="{0000000C-78EF-45A3-B28B-21B0E00CC723}"/>
                  </c:ext>
                </c:extLst>
              </c15:ser>
            </c15:filteredBarSeries>
            <c15:filteredBarSeries>
              <c15:ser>
                <c:idx val="4"/>
                <c:order val="9"/>
                <c:tx>
                  <c:strRef>
                    <c:extLst xmlns:c15="http://schemas.microsoft.com/office/drawing/2012/chart">
                      <c:ext xmlns:c15="http://schemas.microsoft.com/office/drawing/2012/chart" uri="{02D57815-91ED-43cb-92C2-25804820EDAC}">
                        <c15:formulaRef>
                          <c15:sqref>'S0 EU Serbia'!$U$2</c15:sqref>
                        </c15:formulaRef>
                      </c:ext>
                    </c:extLst>
                    <c:strCache>
                      <c:ptCount val="1"/>
                      <c:pt idx="0">
                        <c:v>S0 2019</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Serbia'!$U$3:$U$30</c15:sqref>
                        </c15:formulaRef>
                      </c:ext>
                    </c:extLst>
                    <c:numCache>
                      <c:formatCode>0.00</c:formatCode>
                      <c:ptCount val="28"/>
                      <c:pt idx="0">
                        <c:v>0.1</c:v>
                      </c:pt>
                      <c:pt idx="1">
                        <c:v>0.17</c:v>
                      </c:pt>
                      <c:pt idx="2">
                        <c:v>0.21</c:v>
                      </c:pt>
                      <c:pt idx="3">
                        <c:v>0.22</c:v>
                      </c:pt>
                      <c:pt idx="4">
                        <c:v>0.24</c:v>
                      </c:pt>
                      <c:pt idx="5">
                        <c:v>0.45</c:v>
                      </c:pt>
                      <c:pt idx="6">
                        <c:v>0.2</c:v>
                      </c:pt>
                      <c:pt idx="7">
                        <c:v>0.2</c:v>
                      </c:pt>
                      <c:pt idx="8">
                        <c:v>0.26</c:v>
                      </c:pt>
                      <c:pt idx="9">
                        <c:v>0.36</c:v>
                      </c:pt>
                      <c:pt idx="11">
                        <c:v>0.08</c:v>
                      </c:pt>
                      <c:pt idx="12">
                        <c:v>0.28999999999999998</c:v>
                      </c:pt>
                      <c:pt idx="13">
                        <c:v>0.14000000000000001</c:v>
                      </c:pt>
                      <c:pt idx="14">
                        <c:v>0.33</c:v>
                      </c:pt>
                      <c:pt idx="15">
                        <c:v>0.24</c:v>
                      </c:pt>
                      <c:pt idx="16">
                        <c:v>0.21</c:v>
                      </c:pt>
                      <c:pt idx="17">
                        <c:v>0.19</c:v>
                      </c:pt>
                      <c:pt idx="18">
                        <c:v>0.06</c:v>
                      </c:pt>
                      <c:pt idx="19">
                        <c:v>0.16</c:v>
                      </c:pt>
                      <c:pt idx="20">
                        <c:v>0.26</c:v>
                      </c:pt>
                      <c:pt idx="21">
                        <c:v>0.33</c:v>
                      </c:pt>
                      <c:pt idx="22">
                        <c:v>0.37</c:v>
                      </c:pt>
                      <c:pt idx="23">
                        <c:v>0.17745302713987476</c:v>
                      </c:pt>
                      <c:pt idx="24">
                        <c:v>0.27</c:v>
                      </c:pt>
                      <c:pt idx="25">
                        <c:v>0.05</c:v>
                      </c:pt>
                      <c:pt idx="26">
                        <c:v>0.37</c:v>
                      </c:pt>
                      <c:pt idx="27">
                        <c:v>0.24</c:v>
                      </c:pt>
                    </c:numCache>
                  </c:numRef>
                </c:val>
                <c:extLst xmlns:c15="http://schemas.microsoft.com/office/drawing/2012/chart">
                  <c:ext xmlns:c16="http://schemas.microsoft.com/office/drawing/2014/chart" uri="{C3380CC4-5D6E-409C-BE32-E72D297353CC}">
                    <c16:uniqueId val="{0000000D-78EF-45A3-B28B-21B0E00CC723}"/>
                  </c:ext>
                </c:extLst>
              </c15:ser>
            </c15:filteredBarSeries>
            <c15:filteredBarSeries>
              <c15:ser>
                <c:idx val="6"/>
                <c:order val="11"/>
                <c:tx>
                  <c:strRef>
                    <c:extLst xmlns:c15="http://schemas.microsoft.com/office/drawing/2012/chart">
                      <c:ext xmlns:c15="http://schemas.microsoft.com/office/drawing/2012/chart" uri="{02D57815-91ED-43cb-92C2-25804820EDAC}">
                        <c15:formulaRef>
                          <c15:sqref>'S0 EU Serbia'!$I$2</c15:sqref>
                        </c15:formulaRef>
                      </c:ext>
                    </c:extLst>
                    <c:strCache>
                      <c:ptCount val="1"/>
                      <c:pt idx="0">
                        <c:v>S0
2015</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Serbia'!$I$3:$I$32</c15:sqref>
                        </c15:formulaRef>
                      </c:ext>
                    </c:extLst>
                    <c:numCache>
                      <c:formatCode>0.00</c:formatCode>
                      <c:ptCount val="30"/>
                      <c:pt idx="0">
                        <c:v>7.0000000000000007E-2</c:v>
                      </c:pt>
                      <c:pt idx="1">
                        <c:v>0.1</c:v>
                      </c:pt>
                      <c:pt idx="2">
                        <c:v>0.21</c:v>
                      </c:pt>
                      <c:pt idx="3">
                        <c:v>0.11</c:v>
                      </c:pt>
                      <c:pt idx="4">
                        <c:v>0.26</c:v>
                      </c:pt>
                      <c:pt idx="6">
                        <c:v>0.25</c:v>
                      </c:pt>
                      <c:pt idx="7">
                        <c:v>0.19</c:v>
                      </c:pt>
                      <c:pt idx="8">
                        <c:v>0.22</c:v>
                      </c:pt>
                      <c:pt idx="9">
                        <c:v>0.17</c:v>
                      </c:pt>
                      <c:pt idx="11">
                        <c:v>0.02</c:v>
                      </c:pt>
                      <c:pt idx="12">
                        <c:v>0.16</c:v>
                      </c:pt>
                      <c:pt idx="13">
                        <c:v>0.38</c:v>
                      </c:pt>
                      <c:pt idx="14">
                        <c:v>0.21</c:v>
                      </c:pt>
                      <c:pt idx="15">
                        <c:v>0.34</c:v>
                      </c:pt>
                      <c:pt idx="16">
                        <c:v>0.18</c:v>
                      </c:pt>
                      <c:pt idx="17">
                        <c:v>0.09</c:v>
                      </c:pt>
                      <c:pt idx="18">
                        <c:v>0.13</c:v>
                      </c:pt>
                      <c:pt idx="19">
                        <c:v>0.19</c:v>
                      </c:pt>
                      <c:pt idx="20">
                        <c:v>0.27</c:v>
                      </c:pt>
                      <c:pt idx="21">
                        <c:v>0.24</c:v>
                      </c:pt>
                      <c:pt idx="22">
                        <c:v>0.14000000000000001</c:v>
                      </c:pt>
                      <c:pt idx="23">
                        <c:v>0.36</c:v>
                      </c:pt>
                      <c:pt idx="24">
                        <c:v>0.21</c:v>
                      </c:pt>
                      <c:pt idx="25">
                        <c:v>0.08</c:v>
                      </c:pt>
                      <c:pt idx="26">
                        <c:v>0.21</c:v>
                      </c:pt>
                      <c:pt idx="27">
                        <c:v>0.15</c:v>
                      </c:pt>
                    </c:numCache>
                  </c:numRef>
                </c:val>
                <c:extLst xmlns:c15="http://schemas.microsoft.com/office/drawing/2012/chart">
                  <c:ext xmlns:c16="http://schemas.microsoft.com/office/drawing/2014/chart" uri="{C3380CC4-5D6E-409C-BE32-E72D297353CC}">
                    <c16:uniqueId val="{0000000E-78EF-45A3-B28B-21B0E00CC723}"/>
                  </c:ext>
                </c:extLst>
              </c15:ser>
            </c15:filteredBarSeries>
            <c15:filteredBarSeries>
              <c15:ser>
                <c:idx val="9"/>
                <c:order val="12"/>
                <c:tx>
                  <c:strRef>
                    <c:extLst xmlns:c15="http://schemas.microsoft.com/office/drawing/2012/chart">
                      <c:ext xmlns:c15="http://schemas.microsoft.com/office/drawing/2012/chart" uri="{02D57815-91ED-43cb-92C2-25804820EDAC}">
                        <c15:formulaRef>
                          <c15:sqref>'S0 EU Serbia'!$L$2</c15:sqref>
                        </c15:formulaRef>
                      </c:ext>
                    </c:extLst>
                    <c:strCache>
                      <c:ptCount val="1"/>
                      <c:pt idx="0">
                        <c:v>S0
 2016</c:v>
                      </c:pt>
                    </c:strCache>
                  </c:strRef>
                </c:tx>
                <c:spPr>
                  <a:solidFill>
                    <a:srgbClr val="7030A0"/>
                  </a:solidFill>
                  <a:ln>
                    <a:noFill/>
                  </a:ln>
                  <a:effectLst/>
                </c:spPr>
                <c:invertIfNegative val="0"/>
                <c:dPt>
                  <c:idx val="16"/>
                  <c:invertIfNegative val="0"/>
                  <c:bubble3D val="0"/>
                  <c:spPr>
                    <a:solidFill>
                      <a:srgbClr val="7F7F7F"/>
                    </a:solidFill>
                    <a:ln>
                      <a:noFill/>
                    </a:ln>
                    <a:effectLst/>
                  </c:spPr>
                  <c:extLst xmlns:c15="http://schemas.microsoft.com/office/drawing/2012/chart">
                    <c:ext xmlns:c16="http://schemas.microsoft.com/office/drawing/2014/chart" uri="{C3380CC4-5D6E-409C-BE32-E72D297353CC}">
                      <c16:uniqueId val="{00000010-78EF-45A3-B28B-21B0E00CC723}"/>
                    </c:ext>
                  </c:extLst>
                </c:dPt>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Serbia'!$L$3:$L$32</c15:sqref>
                        </c15:formulaRef>
                      </c:ext>
                    </c:extLst>
                    <c:numCache>
                      <c:formatCode>0.00</c:formatCode>
                      <c:ptCount val="30"/>
                      <c:pt idx="0">
                        <c:v>0.15</c:v>
                      </c:pt>
                      <c:pt idx="1">
                        <c:v>0.42</c:v>
                      </c:pt>
                      <c:pt idx="2">
                        <c:v>0.28000000000000003</c:v>
                      </c:pt>
                      <c:pt idx="3">
                        <c:v>0.19</c:v>
                      </c:pt>
                      <c:pt idx="4">
                        <c:v>0.18</c:v>
                      </c:pt>
                      <c:pt idx="5">
                        <c:v>0.41</c:v>
                      </c:pt>
                      <c:pt idx="6">
                        <c:v>0.19</c:v>
                      </c:pt>
                      <c:pt idx="7">
                        <c:v>0.25</c:v>
                      </c:pt>
                      <c:pt idx="8">
                        <c:v>0.22</c:v>
                      </c:pt>
                      <c:pt idx="9">
                        <c:v>0.31</c:v>
                      </c:pt>
                      <c:pt idx="11">
                        <c:v>0.08</c:v>
                      </c:pt>
                      <c:pt idx="12">
                        <c:v>0.31</c:v>
                      </c:pt>
                      <c:pt idx="13">
                        <c:v>0.28000000000000003</c:v>
                      </c:pt>
                      <c:pt idx="14">
                        <c:v>0.42</c:v>
                      </c:pt>
                      <c:pt idx="15">
                        <c:v>0.28999999999999998</c:v>
                      </c:pt>
                      <c:pt idx="16">
                        <c:v>0.21</c:v>
                      </c:pt>
                      <c:pt idx="17">
                        <c:v>0.28999999999999998</c:v>
                      </c:pt>
                      <c:pt idx="18">
                        <c:v>0.15</c:v>
                      </c:pt>
                      <c:pt idx="19">
                        <c:v>0.2</c:v>
                      </c:pt>
                      <c:pt idx="20">
                        <c:v>0.28999999999999998</c:v>
                      </c:pt>
                      <c:pt idx="21">
                        <c:v>0.41</c:v>
                      </c:pt>
                      <c:pt idx="22">
                        <c:v>0.26</c:v>
                      </c:pt>
                      <c:pt idx="23">
                        <c:v>0.19161676646706588</c:v>
                      </c:pt>
                      <c:pt idx="24">
                        <c:v>0.34</c:v>
                      </c:pt>
                      <c:pt idx="25">
                        <c:v>0.14000000000000001</c:v>
                      </c:pt>
                      <c:pt idx="26">
                        <c:v>0.37</c:v>
                      </c:pt>
                      <c:pt idx="27">
                        <c:v>0.12</c:v>
                      </c:pt>
                    </c:numCache>
                  </c:numRef>
                </c:val>
                <c:extLst xmlns:c15="http://schemas.microsoft.com/office/drawing/2012/chart">
                  <c:ext xmlns:c16="http://schemas.microsoft.com/office/drawing/2014/chart" uri="{C3380CC4-5D6E-409C-BE32-E72D297353CC}">
                    <c16:uniqueId val="{00000011-78EF-45A3-B28B-21B0E00CC723}"/>
                  </c:ext>
                </c:extLst>
              </c15:ser>
            </c15:filteredBarSeries>
            <c15:filteredBarSeries>
              <c15:ser>
                <c:idx val="0"/>
                <c:order val="13"/>
                <c:tx>
                  <c:strRef>
                    <c:extLst xmlns:c15="http://schemas.microsoft.com/office/drawing/2012/chart">
                      <c:ext xmlns:c15="http://schemas.microsoft.com/office/drawing/2012/chart" uri="{02D57815-91ED-43cb-92C2-25804820EDAC}">
                        <c15:formulaRef>
                          <c15:sqref>'S0 EU Serbia'!$O$2</c15:sqref>
                        </c15:formulaRef>
                      </c:ext>
                    </c:extLst>
                    <c:strCache>
                      <c:ptCount val="1"/>
                      <c:pt idx="0">
                        <c:v>S0 2017</c:v>
                      </c:pt>
                    </c:strCache>
                  </c:strRef>
                </c:tx>
                <c:spPr>
                  <a:solidFill>
                    <a:schemeClr val="accent1"/>
                  </a:solidFill>
                  <a:ln>
                    <a:no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Serbia'!$O$3:$O$31</c15:sqref>
                        </c15:formulaRef>
                      </c:ext>
                    </c:extLst>
                    <c:numCache>
                      <c:formatCode>0.00</c:formatCode>
                      <c:ptCount val="29"/>
                      <c:pt idx="0">
                        <c:v>7.0000000000000007E-2</c:v>
                      </c:pt>
                      <c:pt idx="1">
                        <c:v>0.35</c:v>
                      </c:pt>
                      <c:pt idx="2">
                        <c:v>0.25</c:v>
                      </c:pt>
                      <c:pt idx="3">
                        <c:v>0.19</c:v>
                      </c:pt>
                      <c:pt idx="4">
                        <c:v>0.2</c:v>
                      </c:pt>
                      <c:pt idx="5">
                        <c:v>0.44</c:v>
                      </c:pt>
                      <c:pt idx="6">
                        <c:v>0.3</c:v>
                      </c:pt>
                      <c:pt idx="7">
                        <c:v>0.2</c:v>
                      </c:pt>
                      <c:pt idx="8">
                        <c:v>0.1</c:v>
                      </c:pt>
                      <c:pt idx="9">
                        <c:v>0.24</c:v>
                      </c:pt>
                      <c:pt idx="11">
                        <c:v>0.08</c:v>
                      </c:pt>
                      <c:pt idx="12">
                        <c:v>0.39</c:v>
                      </c:pt>
                      <c:pt idx="13">
                        <c:v>0.28000000000000003</c:v>
                      </c:pt>
                      <c:pt idx="14">
                        <c:v>0.36</c:v>
                      </c:pt>
                      <c:pt idx="15">
                        <c:v>0.24</c:v>
                      </c:pt>
                      <c:pt idx="16">
                        <c:v>0.21</c:v>
                      </c:pt>
                      <c:pt idx="17">
                        <c:v>0.12</c:v>
                      </c:pt>
                      <c:pt idx="18">
                        <c:v>0.05</c:v>
                      </c:pt>
                      <c:pt idx="19">
                        <c:v>0.2</c:v>
                      </c:pt>
                      <c:pt idx="20">
                        <c:v>0.25</c:v>
                      </c:pt>
                      <c:pt idx="21">
                        <c:v>0.36</c:v>
                      </c:pt>
                      <c:pt idx="22">
                        <c:v>0.2</c:v>
                      </c:pt>
                      <c:pt idx="23">
                        <c:v>0.17745302713987476</c:v>
                      </c:pt>
                      <c:pt idx="24">
                        <c:v>0.3</c:v>
                      </c:pt>
                      <c:pt idx="25">
                        <c:v>0.13</c:v>
                      </c:pt>
                      <c:pt idx="26">
                        <c:v>0.37</c:v>
                      </c:pt>
                      <c:pt idx="27">
                        <c:v>0.12</c:v>
                      </c:pt>
                    </c:numCache>
                  </c:numRef>
                </c:val>
                <c:extLst xmlns:c15="http://schemas.microsoft.com/office/drawing/2012/chart">
                  <c:ext xmlns:c16="http://schemas.microsoft.com/office/drawing/2014/chart" uri="{C3380CC4-5D6E-409C-BE32-E72D297353CC}">
                    <c16:uniqueId val="{00000012-78EF-45A3-B28B-21B0E00CC723}"/>
                  </c:ext>
                </c:extLst>
              </c15:ser>
            </c15:filteredBarSeries>
            <c15:filteredBarSeries>
              <c15:ser>
                <c:idx val="1"/>
                <c:order val="14"/>
                <c:tx>
                  <c:strRef>
                    <c:extLst xmlns:c15="http://schemas.microsoft.com/office/drawing/2012/chart">
                      <c:ext xmlns:c15="http://schemas.microsoft.com/office/drawing/2012/chart" uri="{02D57815-91ED-43cb-92C2-25804820EDAC}">
                        <c15:formulaRef>
                          <c15:sqref>'S0 EU Serbia'!$R$2</c15:sqref>
                        </c15:formulaRef>
                      </c:ext>
                    </c:extLst>
                    <c:strCache>
                      <c:ptCount val="1"/>
                      <c:pt idx="0">
                        <c:v>S0 2018</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Serbia'!$R$3:$R$31</c15:sqref>
                        </c15:formulaRef>
                      </c:ext>
                    </c:extLst>
                    <c:numCache>
                      <c:formatCode>0.00</c:formatCode>
                      <c:ptCount val="29"/>
                      <c:pt idx="0">
                        <c:v>0.03</c:v>
                      </c:pt>
                      <c:pt idx="1">
                        <c:v>0.22</c:v>
                      </c:pt>
                      <c:pt idx="2">
                        <c:v>0.19</c:v>
                      </c:pt>
                      <c:pt idx="3">
                        <c:v>0.18</c:v>
                      </c:pt>
                      <c:pt idx="4">
                        <c:v>0.24</c:v>
                      </c:pt>
                      <c:pt idx="5">
                        <c:v>0.46</c:v>
                      </c:pt>
                      <c:pt idx="6">
                        <c:v>0.12</c:v>
                      </c:pt>
                      <c:pt idx="7">
                        <c:v>0.17</c:v>
                      </c:pt>
                      <c:pt idx="8">
                        <c:v>0.14000000000000001</c:v>
                      </c:pt>
                      <c:pt idx="9">
                        <c:v>0.28999999999999998</c:v>
                      </c:pt>
                      <c:pt idx="11">
                        <c:v>0</c:v>
                      </c:pt>
                      <c:pt idx="12">
                        <c:v>0.34</c:v>
                      </c:pt>
                      <c:pt idx="13">
                        <c:v>0.21</c:v>
                      </c:pt>
                      <c:pt idx="14">
                        <c:v>0.36</c:v>
                      </c:pt>
                      <c:pt idx="15">
                        <c:v>0.24</c:v>
                      </c:pt>
                      <c:pt idx="16">
                        <c:v>0.21</c:v>
                      </c:pt>
                      <c:pt idx="17">
                        <c:v>0.12</c:v>
                      </c:pt>
                      <c:pt idx="18">
                        <c:v>0.06</c:v>
                      </c:pt>
                      <c:pt idx="19">
                        <c:v>0.08</c:v>
                      </c:pt>
                      <c:pt idx="20">
                        <c:v>0.18</c:v>
                      </c:pt>
                      <c:pt idx="21">
                        <c:v>0.33</c:v>
                      </c:pt>
                      <c:pt idx="22">
                        <c:v>0.3</c:v>
                      </c:pt>
                      <c:pt idx="23">
                        <c:v>0.17745302713987476</c:v>
                      </c:pt>
                      <c:pt idx="24">
                        <c:v>0.27</c:v>
                      </c:pt>
                      <c:pt idx="25">
                        <c:v>0.13</c:v>
                      </c:pt>
                      <c:pt idx="26">
                        <c:v>0.37</c:v>
                      </c:pt>
                      <c:pt idx="27">
                        <c:v>0.2</c:v>
                      </c:pt>
                    </c:numCache>
                  </c:numRef>
                </c:val>
                <c:extLst xmlns:c15="http://schemas.microsoft.com/office/drawing/2012/chart">
                  <c:ext xmlns:c16="http://schemas.microsoft.com/office/drawing/2014/chart" uri="{C3380CC4-5D6E-409C-BE32-E72D297353CC}">
                    <c16:uniqueId val="{00000013-78EF-45A3-B28B-21B0E00CC723}"/>
                  </c:ext>
                </c:extLst>
              </c15:ser>
            </c15:filteredBarSeries>
            <c15:filteredBarSeries>
              <c15:ser>
                <c:idx val="5"/>
                <c:order val="15"/>
                <c:tx>
                  <c:strRef>
                    <c:extLst xmlns:c15="http://schemas.microsoft.com/office/drawing/2012/chart">
                      <c:ext xmlns:c15="http://schemas.microsoft.com/office/drawing/2012/chart" uri="{02D57815-91ED-43cb-92C2-25804820EDAC}">
                        <c15:formulaRef>
                          <c15:sqref>'S0 EU Serbia'!$X$2</c15:sqref>
                        </c15:formulaRef>
                      </c:ext>
                    </c:extLst>
                    <c:strCache>
                      <c:ptCount val="1"/>
                      <c:pt idx="0">
                        <c:v>S0 2020</c:v>
                      </c:pt>
                    </c:strCache>
                  </c:strRef>
                </c:tx>
                <c:spPr>
                  <a:solidFill>
                    <a:srgbClr val="7030A0"/>
                  </a:solidFill>
                  <a:ln>
                    <a:noFill/>
                  </a:ln>
                  <a:effectLst/>
                </c:spPr>
                <c:invertIfNegative val="0"/>
                <c:cat>
                  <c:strRef>
                    <c:extLst xmlns:c15="http://schemas.microsoft.com/office/drawing/2012/chart">
                      <c:ext xmlns:c15="http://schemas.microsoft.com/office/drawing/2012/chart" uri="{02D57815-91ED-43cb-92C2-25804820EDAC}">
                        <c15:formulaRef>
                          <c15:sqref>'S0 EU Serbia'!$B$3:$B$30</c15:sqref>
                        </c15:formulaRef>
                      </c:ext>
                    </c:extLst>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extLst xmlns:c15="http://schemas.microsoft.com/office/drawing/2012/chart">
                      <c:ext xmlns:c15="http://schemas.microsoft.com/office/drawing/2012/chart" uri="{02D57815-91ED-43cb-92C2-25804820EDAC}">
                        <c15:formulaRef>
                          <c15:sqref>'S0 EU Serbia'!$X$3:$X$30</c15:sqref>
                        </c15:formulaRef>
                      </c:ext>
                    </c:extLst>
                    <c:numCache>
                      <c:formatCode>0.00</c:formatCode>
                      <c:ptCount val="28"/>
                      <c:pt idx="0">
                        <c:v>0.4</c:v>
                      </c:pt>
                      <c:pt idx="1">
                        <c:v>0.48</c:v>
                      </c:pt>
                      <c:pt idx="2">
                        <c:v>0.35</c:v>
                      </c:pt>
                      <c:pt idx="3">
                        <c:v>0.37</c:v>
                      </c:pt>
                      <c:pt idx="4">
                        <c:v>0.61</c:v>
                      </c:pt>
                      <c:pt idx="5">
                        <c:v>0.64</c:v>
                      </c:pt>
                      <c:pt idx="6">
                        <c:v>0.41</c:v>
                      </c:pt>
                      <c:pt idx="7">
                        <c:v>0.33</c:v>
                      </c:pt>
                      <c:pt idx="8">
                        <c:v>0.49</c:v>
                      </c:pt>
                      <c:pt idx="9">
                        <c:v>0.55000000000000004</c:v>
                      </c:pt>
                      <c:pt idx="11">
                        <c:v>0.37</c:v>
                      </c:pt>
                      <c:pt idx="12">
                        <c:v>0.46</c:v>
                      </c:pt>
                      <c:pt idx="13">
                        <c:v>0.42</c:v>
                      </c:pt>
                      <c:pt idx="14">
                        <c:v>0.48</c:v>
                      </c:pt>
                      <c:pt idx="15">
                        <c:v>0.48</c:v>
                      </c:pt>
                      <c:pt idx="16">
                        <c:v>0.37</c:v>
                      </c:pt>
                      <c:pt idx="17">
                        <c:v>0.3</c:v>
                      </c:pt>
                      <c:pt idx="18">
                        <c:v>0.28999999999999998</c:v>
                      </c:pt>
                      <c:pt idx="19">
                        <c:v>0.39</c:v>
                      </c:pt>
                      <c:pt idx="20">
                        <c:v>0.45</c:v>
                      </c:pt>
                      <c:pt idx="21">
                        <c:v>0.61</c:v>
                      </c:pt>
                      <c:pt idx="22">
                        <c:v>0.49</c:v>
                      </c:pt>
                      <c:pt idx="23">
                        <c:v>0.4425887265135699</c:v>
                      </c:pt>
                      <c:pt idx="24">
                        <c:v>0.54</c:v>
                      </c:pt>
                      <c:pt idx="25">
                        <c:v>0.43</c:v>
                      </c:pt>
                      <c:pt idx="26">
                        <c:v>0.5</c:v>
                      </c:pt>
                      <c:pt idx="27">
                        <c:v>0.32</c:v>
                      </c:pt>
                    </c:numCache>
                  </c:numRef>
                </c:val>
                <c:extLst xmlns:c15="http://schemas.microsoft.com/office/drawing/2012/chart">
                  <c:ext xmlns:c16="http://schemas.microsoft.com/office/drawing/2014/chart" uri="{C3380CC4-5D6E-409C-BE32-E72D297353CC}">
                    <c16:uniqueId val="{00000014-78EF-45A3-B28B-21B0E00CC723}"/>
                  </c:ext>
                </c:extLst>
              </c15:ser>
            </c15:filteredBarSeries>
          </c:ext>
        </c:extLst>
      </c:barChart>
      <c:lineChart>
        <c:grouping val="standard"/>
        <c:varyColors val="0"/>
        <c:ser>
          <c:idx val="2"/>
          <c:order val="10"/>
          <c:tx>
            <c:strRef>
              <c:f>'S0 EU Serbia'!$E$2</c:f>
              <c:strCache>
                <c:ptCount val="1"/>
                <c:pt idx="0">
                  <c:v>Тreshold</c:v>
                </c:pt>
              </c:strCache>
            </c:strRef>
          </c:tx>
          <c:spPr>
            <a:ln w="22225" cap="rnd">
              <a:solidFill>
                <a:schemeClr val="tx1"/>
              </a:solidFill>
              <a:prstDash val="dash"/>
              <a:round/>
            </a:ln>
            <a:effectLst/>
          </c:spPr>
          <c:marker>
            <c:symbol val="none"/>
          </c:marker>
          <c:dLbls>
            <c:dLbl>
              <c:idx val="15"/>
              <c:layout>
                <c:manualLayout>
                  <c:x val="-2.5343339842620423E-3"/>
                  <c:y val="-9.656453110492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EF-45A3-B28B-21B0E00CC723}"/>
                </c:ext>
              </c:extLst>
            </c:dLbl>
            <c:spPr>
              <a:noFill/>
              <a:ln>
                <a:noFill/>
              </a:ln>
              <a:effectLst/>
            </c:spPr>
            <c:txPr>
              <a:bodyPr rot="0" spcFirstLastPara="1" vertOverflow="ellipsis" vert="horz" wrap="square" anchor="ctr" anchorCtr="1"/>
              <a:lstStyle/>
              <a:p>
                <a:pPr>
                  <a:defRPr sz="900" b="0" i="0" u="none" strike="noStrike" kern="1200" baseline="0">
                    <a:solidFill>
                      <a:srgbClr val="44546A"/>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'S0 EU Serbia'!$B$3:$B$31</c:f>
              <c:strCache>
                <c:ptCount val="28"/>
                <c:pt idx="0">
                  <c:v>Austria </c:v>
                </c:pt>
                <c:pt idx="1">
                  <c:v>Belgium</c:v>
                </c:pt>
                <c:pt idx="2">
                  <c:v>Bulgaria </c:v>
                </c:pt>
                <c:pt idx="3">
                  <c:v>Chech republic</c:v>
                </c:pt>
                <c:pt idx="4">
                  <c:v>Croatia</c:v>
                </c:pt>
                <c:pt idx="5">
                  <c:v>Cyprus</c:v>
                </c:pt>
                <c:pt idx="6">
                  <c:v>Denmark </c:v>
                </c:pt>
                <c:pt idx="7">
                  <c:v>Estonia </c:v>
                </c:pt>
                <c:pt idx="8">
                  <c:v>Finland </c:v>
                </c:pt>
                <c:pt idx="9">
                  <c:v>France</c:v>
                </c:pt>
                <c:pt idx="10">
                  <c:v>Greece</c:v>
                </c:pt>
                <c:pt idx="11">
                  <c:v>Germany</c:v>
                </c:pt>
                <c:pt idx="12">
                  <c:v>Hungary </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Serbia</c:v>
                </c:pt>
                <c:pt idx="24">
                  <c:v>Slovakia</c:v>
                </c:pt>
                <c:pt idx="25">
                  <c:v>Slovenia</c:v>
                </c:pt>
                <c:pt idx="26">
                  <c:v>Spain</c:v>
                </c:pt>
                <c:pt idx="27">
                  <c:v>Sweden</c:v>
                </c:pt>
              </c:strCache>
            </c:strRef>
          </c:cat>
          <c:val>
            <c:numRef>
              <c:f>'S0 EU Serbia'!$E$3:$E$30</c:f>
              <c:numCache>
                <c:formatCode>0.00</c:formatCode>
                <c:ptCount val="28"/>
                <c:pt idx="0">
                  <c:v>0.46</c:v>
                </c:pt>
                <c:pt idx="1">
                  <c:v>0.46</c:v>
                </c:pt>
                <c:pt idx="2">
                  <c:v>0.46</c:v>
                </c:pt>
                <c:pt idx="3">
                  <c:v>0.46</c:v>
                </c:pt>
                <c:pt idx="4">
                  <c:v>0.46</c:v>
                </c:pt>
                <c:pt idx="5">
                  <c:v>0.46</c:v>
                </c:pt>
                <c:pt idx="6">
                  <c:v>0.46</c:v>
                </c:pt>
                <c:pt idx="7">
                  <c:v>0.46</c:v>
                </c:pt>
                <c:pt idx="8">
                  <c:v>0.46</c:v>
                </c:pt>
                <c:pt idx="9">
                  <c:v>0.46</c:v>
                </c:pt>
                <c:pt idx="10">
                  <c:v>0.46</c:v>
                </c:pt>
                <c:pt idx="11">
                  <c:v>0.46</c:v>
                </c:pt>
                <c:pt idx="12">
                  <c:v>0.46</c:v>
                </c:pt>
                <c:pt idx="13">
                  <c:v>0.46</c:v>
                </c:pt>
                <c:pt idx="14">
                  <c:v>0.46</c:v>
                </c:pt>
                <c:pt idx="15">
                  <c:v>0.46</c:v>
                </c:pt>
                <c:pt idx="16">
                  <c:v>0.46</c:v>
                </c:pt>
                <c:pt idx="17">
                  <c:v>0.46</c:v>
                </c:pt>
                <c:pt idx="18">
                  <c:v>0.46</c:v>
                </c:pt>
                <c:pt idx="19">
                  <c:v>0.46</c:v>
                </c:pt>
                <c:pt idx="20">
                  <c:v>0.46</c:v>
                </c:pt>
                <c:pt idx="21">
                  <c:v>0.46</c:v>
                </c:pt>
                <c:pt idx="22">
                  <c:v>0.46</c:v>
                </c:pt>
                <c:pt idx="23">
                  <c:v>0.46</c:v>
                </c:pt>
                <c:pt idx="24">
                  <c:v>0.46</c:v>
                </c:pt>
                <c:pt idx="25">
                  <c:v>0.46</c:v>
                </c:pt>
                <c:pt idx="26">
                  <c:v>0.46</c:v>
                </c:pt>
                <c:pt idx="27">
                  <c:v>0.46</c:v>
                </c:pt>
              </c:numCache>
            </c:numRef>
          </c:val>
          <c:smooth val="0"/>
          <c:extLst>
            <c:ext xmlns:c16="http://schemas.microsoft.com/office/drawing/2014/chart" uri="{C3380CC4-5D6E-409C-BE32-E72D297353CC}">
              <c16:uniqueId val="{00000003-78EF-45A3-B28B-21B0E00CC723}"/>
            </c:ext>
          </c:extLst>
        </c:ser>
        <c:dLbls>
          <c:showLegendKey val="0"/>
          <c:showVal val="0"/>
          <c:showCatName val="0"/>
          <c:showSerName val="0"/>
          <c:showPercent val="0"/>
          <c:showBubbleSize val="0"/>
        </c:dLbls>
        <c:marker val="1"/>
        <c:smooth val="0"/>
        <c:axId val="-262794176"/>
        <c:axId val="-262791456"/>
      </c:lineChart>
      <c:catAx>
        <c:axId val="-26279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crossAx val="-262791456"/>
        <c:crosses val="autoZero"/>
        <c:auto val="1"/>
        <c:lblAlgn val="ctr"/>
        <c:lblOffset val="100"/>
        <c:noMultiLvlLbl val="0"/>
      </c:catAx>
      <c:valAx>
        <c:axId val="-262791456"/>
        <c:scaling>
          <c:orientation val="minMax"/>
          <c:max val="0.9"/>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crossAx val="-2627941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legendEntry>
      <c:layout>
        <c:manualLayout>
          <c:xMode val="edge"/>
          <c:yMode val="edge"/>
          <c:x val="0.33077831175205624"/>
          <c:y val="0.86906118629321749"/>
          <c:w val="0.44578212614800672"/>
          <c:h val="9.751262986277133E-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latin typeface="+mn-lt"/>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0844386366404E-2"/>
          <c:y val="0.15259895088221268"/>
          <c:w val="0.86641860561776107"/>
          <c:h val="0.6230697948470727"/>
        </c:manualLayout>
      </c:layout>
      <c:barChart>
        <c:barDir val="col"/>
        <c:grouping val="clustered"/>
        <c:varyColors val="0"/>
        <c:ser>
          <c:idx val="0"/>
          <c:order val="0"/>
          <c:tx>
            <c:strRef>
              <c:f>'S0 EU Serbia'!$AM$41</c:f>
              <c:strCache>
                <c:ptCount val="1"/>
                <c:pt idx="0">
                  <c:v>Fiscal sub-index  values</c:v>
                </c:pt>
              </c:strCache>
            </c:strRef>
          </c:tx>
          <c:spPr>
            <a:solidFill>
              <a:srgbClr val="7030A0"/>
            </a:solidFill>
            <a:ln w="9525">
              <a:noFill/>
            </a:ln>
            <a:effectLst/>
          </c:spPr>
          <c:invertIfNegative val="0"/>
          <c:cat>
            <c:numRef>
              <c:f>'S0 EU Serbia'!$AL$42:$AL$53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'S0 EU Serbia'!$AM$42:$AM$53</c:f>
              <c:numCache>
                <c:formatCode>0.00</c:formatCode>
                <c:ptCount val="10"/>
                <c:pt idx="0">
                  <c:v>0.40718562874251496</c:v>
                </c:pt>
                <c:pt idx="1">
                  <c:v>0.19161676646706588</c:v>
                </c:pt>
                <c:pt idx="2">
                  <c:v>0</c:v>
                </c:pt>
                <c:pt idx="3">
                  <c:v>0</c:v>
                </c:pt>
                <c:pt idx="4">
                  <c:v>0</c:v>
                </c:pt>
                <c:pt idx="5">
                  <c:v>0.47904191616766456</c:v>
                </c:pt>
                <c:pt idx="6">
                  <c:v>0.21560000000000001</c:v>
                </c:pt>
                <c:pt idx="7">
                  <c:v>0.21556886227544908</c:v>
                </c:pt>
                <c:pt idx="8">
                  <c:v>7.7844311377245498E-2</c:v>
                </c:pt>
                <c:pt idx="9">
                  <c:v>0.11976047904191615</c:v>
                </c:pt>
              </c:numCache>
              <c:extLst/>
            </c:numRef>
          </c:val>
          <c:extLst>
            <c:ext xmlns:c16="http://schemas.microsoft.com/office/drawing/2014/chart" uri="{C3380CC4-5D6E-409C-BE32-E72D297353CC}">
              <c16:uniqueId val="{00000000-C836-41D7-A0BD-F913B862F3D1}"/>
            </c:ext>
          </c:extLst>
        </c:ser>
        <c:ser>
          <c:idx val="1"/>
          <c:order val="1"/>
          <c:tx>
            <c:strRef>
              <c:f>'S0 EU Serbia'!$AN$41</c:f>
              <c:strCache>
                <c:ptCount val="1"/>
                <c:pt idx="0">
                  <c:v>Macro-financial competitiveness sub-index values</c:v>
                </c:pt>
              </c:strCache>
            </c:strRef>
          </c:tx>
          <c:spPr>
            <a:solidFill>
              <a:srgbClr val="5297AC"/>
            </a:solidFill>
            <a:ln w="9525">
              <a:noFill/>
            </a:ln>
            <a:effectLst/>
          </c:spPr>
          <c:invertIfNegative val="0"/>
          <c:cat>
            <c:numRef>
              <c:f>'S0 EU Serbia'!$AL$42:$AL$53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'S0 EU Serbia'!$AN$42:$AN$53</c:f>
              <c:numCache>
                <c:formatCode>0.00</c:formatCode>
                <c:ptCount val="10"/>
                <c:pt idx="0">
                  <c:v>0.27243589743589747</c:v>
                </c:pt>
                <c:pt idx="1">
                  <c:v>0.27243589743589747</c:v>
                </c:pt>
                <c:pt idx="2">
                  <c:v>0.27243589743589747</c:v>
                </c:pt>
                <c:pt idx="3">
                  <c:v>0.27243589743589747</c:v>
                </c:pt>
                <c:pt idx="4">
                  <c:v>0.27243589743589747</c:v>
                </c:pt>
                <c:pt idx="5">
                  <c:v>0.42307692307692302</c:v>
                </c:pt>
                <c:pt idx="6">
                  <c:v>0.27239999999999998</c:v>
                </c:pt>
                <c:pt idx="7">
                  <c:v>0.27243589743589747</c:v>
                </c:pt>
                <c:pt idx="8">
                  <c:v>0.27243589743589747</c:v>
                </c:pt>
                <c:pt idx="9">
                  <c:v>0.30769230769230771</c:v>
                </c:pt>
              </c:numCache>
              <c:extLst/>
            </c:numRef>
          </c:val>
          <c:extLst>
            <c:ext xmlns:c16="http://schemas.microsoft.com/office/drawing/2014/chart" uri="{C3380CC4-5D6E-409C-BE32-E72D297353CC}">
              <c16:uniqueId val="{00000001-C836-41D7-A0BD-F913B862F3D1}"/>
            </c:ext>
          </c:extLst>
        </c:ser>
        <c:dLbls>
          <c:showLegendKey val="0"/>
          <c:showVal val="0"/>
          <c:showCatName val="0"/>
          <c:showSerName val="0"/>
          <c:showPercent val="0"/>
          <c:showBubbleSize val="0"/>
        </c:dLbls>
        <c:gapWidth val="150"/>
        <c:axId val="-486950640"/>
        <c:axId val="-486941936"/>
      </c:barChart>
      <c:lineChart>
        <c:grouping val="standard"/>
        <c:varyColors val="0"/>
        <c:ser>
          <c:idx val="2"/>
          <c:order val="2"/>
          <c:tx>
            <c:strRef>
              <c:f>'S0 EU Serbia'!$AO$41</c:f>
              <c:strCache>
                <c:ptCount val="1"/>
                <c:pt idx="0">
                  <c:v>S0 indicator</c:v>
                </c:pt>
              </c:strCache>
            </c:strRef>
          </c:tx>
          <c:spPr>
            <a:ln w="22225" cap="rnd">
              <a:noFill/>
              <a:prstDash val="solid"/>
              <a:round/>
            </a:ln>
            <a:effectLst/>
          </c:spPr>
          <c:marker>
            <c:symbol val="triangle"/>
            <c:size val="16"/>
            <c:spPr>
              <a:solidFill>
                <a:schemeClr val="tx1"/>
              </a:solidFill>
              <a:ln w="9525">
                <a:noFill/>
              </a:ln>
              <a:effectLst/>
            </c:spPr>
          </c:marker>
          <c:dPt>
            <c:idx val="0"/>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3-C836-41D7-A0BD-F913B862F3D1}"/>
              </c:ext>
            </c:extLst>
          </c:dPt>
          <c:dPt>
            <c:idx val="1"/>
            <c:marker>
              <c:symbol val="triangle"/>
              <c:size val="16"/>
              <c:spPr>
                <a:solidFill>
                  <a:schemeClr val="tx1"/>
                </a:solidFill>
                <a:ln w="9525">
                  <a:noFill/>
                </a:ln>
                <a:effectLst/>
              </c:spPr>
            </c:marker>
            <c:bubble3D val="0"/>
            <c:spPr>
              <a:ln w="12700" cap="rnd">
                <a:noFill/>
                <a:prstDash val="solid"/>
                <a:round/>
              </a:ln>
              <a:effectLst/>
            </c:spPr>
            <c:extLst>
              <c:ext xmlns:c16="http://schemas.microsoft.com/office/drawing/2014/chart" uri="{C3380CC4-5D6E-409C-BE32-E72D297353CC}">
                <c16:uniqueId val="{00000005-C836-41D7-A0BD-F913B862F3D1}"/>
              </c:ext>
            </c:extLst>
          </c:dPt>
          <c:cat>
            <c:numRef>
              <c:f>'S0 EU Serbia'!$AL$42:$AL$53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'S0 EU Serbia'!$AO$42:$AO$53</c:f>
              <c:numCache>
                <c:formatCode>0.00</c:formatCode>
                <c:ptCount val="10"/>
                <c:pt idx="0">
                  <c:v>0.31941544885177453</c:v>
                </c:pt>
                <c:pt idx="1">
                  <c:v>0.24425887265135704</c:v>
                </c:pt>
                <c:pt idx="2">
                  <c:v>0.17745302713987476</c:v>
                </c:pt>
                <c:pt idx="3">
                  <c:v>0.17745302713987476</c:v>
                </c:pt>
                <c:pt idx="4">
                  <c:v>0.17745302713987476</c:v>
                </c:pt>
                <c:pt idx="5">
                  <c:v>0.4425887265135699</c:v>
                </c:pt>
                <c:pt idx="6">
                  <c:v>0.25259999999999999</c:v>
                </c:pt>
                <c:pt idx="7">
                  <c:v>0.25260960334029231</c:v>
                </c:pt>
                <c:pt idx="8">
                  <c:v>0.20459290187891443</c:v>
                </c:pt>
                <c:pt idx="9">
                  <c:v>0.24217118997912318</c:v>
                </c:pt>
              </c:numCache>
              <c:extLst/>
            </c:numRef>
          </c:val>
          <c:smooth val="0"/>
          <c:extLst>
            <c:ext xmlns:c16="http://schemas.microsoft.com/office/drawing/2014/chart" uri="{C3380CC4-5D6E-409C-BE32-E72D297353CC}">
              <c16:uniqueId val="{00000006-C836-41D7-A0BD-F913B862F3D1}"/>
            </c:ext>
          </c:extLst>
        </c:ser>
        <c:ser>
          <c:idx val="3"/>
          <c:order val="3"/>
          <c:tx>
            <c:strRef>
              <c:f>'S0 EU Serbia'!$AP$41</c:f>
              <c:strCache>
                <c:ptCount val="1"/>
                <c:pt idx="0">
                  <c:v>Fiscal sub-index treshold</c:v>
                </c:pt>
              </c:strCache>
            </c:strRef>
          </c:tx>
          <c:spPr>
            <a:ln w="22225" cap="rnd">
              <a:solidFill>
                <a:srgbClr val="7030A0"/>
              </a:solidFill>
              <a:prstDash val="dash"/>
              <a:round/>
            </a:ln>
            <a:effectLst/>
          </c:spPr>
          <c:marker>
            <c:symbol val="none"/>
          </c:marker>
          <c:cat>
            <c:numRef>
              <c:f>'S0 EU Serbia'!$AL$42:$AL$53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'S0 EU Serbia'!$AP$42:$AP$53</c:f>
              <c:numCache>
                <c:formatCode>General</c:formatCode>
                <c:ptCount val="10"/>
                <c:pt idx="0">
                  <c:v>0.36</c:v>
                </c:pt>
                <c:pt idx="1">
                  <c:v>0.36</c:v>
                </c:pt>
                <c:pt idx="2">
                  <c:v>0.36</c:v>
                </c:pt>
                <c:pt idx="3">
                  <c:v>0.36</c:v>
                </c:pt>
                <c:pt idx="4">
                  <c:v>0.36</c:v>
                </c:pt>
                <c:pt idx="5">
                  <c:v>0.36</c:v>
                </c:pt>
                <c:pt idx="6">
                  <c:v>0.36</c:v>
                </c:pt>
                <c:pt idx="7">
                  <c:v>0.36</c:v>
                </c:pt>
                <c:pt idx="8">
                  <c:v>0.36</c:v>
                </c:pt>
                <c:pt idx="9">
                  <c:v>0.36</c:v>
                </c:pt>
              </c:numCache>
              <c:extLst/>
            </c:numRef>
          </c:val>
          <c:smooth val="0"/>
          <c:extLst>
            <c:ext xmlns:c16="http://schemas.microsoft.com/office/drawing/2014/chart" uri="{C3380CC4-5D6E-409C-BE32-E72D297353CC}">
              <c16:uniqueId val="{00000007-C836-41D7-A0BD-F913B862F3D1}"/>
            </c:ext>
          </c:extLst>
        </c:ser>
        <c:ser>
          <c:idx val="4"/>
          <c:order val="4"/>
          <c:tx>
            <c:strRef>
              <c:f>'S0 EU Serbia'!$AQ$41</c:f>
              <c:strCache>
                <c:ptCount val="1"/>
                <c:pt idx="0">
                  <c:v>Financial sub-index treshold</c:v>
                </c:pt>
              </c:strCache>
            </c:strRef>
          </c:tx>
          <c:spPr>
            <a:ln w="22225" cap="rnd">
              <a:solidFill>
                <a:srgbClr val="5297AC"/>
              </a:solidFill>
              <a:prstDash val="dash"/>
              <a:round/>
            </a:ln>
            <a:effectLst/>
          </c:spPr>
          <c:marker>
            <c:symbol val="none"/>
          </c:marker>
          <c:cat>
            <c:numRef>
              <c:f>'S0 EU Serbia'!$AL$42:$AL$53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'S0 EU Serbia'!$AQ$42:$AQ$53</c:f>
              <c:numCache>
                <c:formatCode>General</c:formatCode>
                <c:ptCount val="10"/>
                <c:pt idx="0">
                  <c:v>0.49</c:v>
                </c:pt>
                <c:pt idx="1">
                  <c:v>0.49</c:v>
                </c:pt>
                <c:pt idx="2">
                  <c:v>0.49</c:v>
                </c:pt>
                <c:pt idx="3">
                  <c:v>0.49</c:v>
                </c:pt>
                <c:pt idx="4">
                  <c:v>0.49</c:v>
                </c:pt>
                <c:pt idx="5">
                  <c:v>0.49</c:v>
                </c:pt>
                <c:pt idx="6">
                  <c:v>0.49</c:v>
                </c:pt>
                <c:pt idx="7">
                  <c:v>0.49</c:v>
                </c:pt>
                <c:pt idx="8">
                  <c:v>0.49</c:v>
                </c:pt>
                <c:pt idx="9">
                  <c:v>0.49</c:v>
                </c:pt>
              </c:numCache>
              <c:extLst/>
            </c:numRef>
          </c:val>
          <c:smooth val="0"/>
          <c:extLst>
            <c:ext xmlns:c16="http://schemas.microsoft.com/office/drawing/2014/chart" uri="{C3380CC4-5D6E-409C-BE32-E72D297353CC}">
              <c16:uniqueId val="{00000008-C836-41D7-A0BD-F913B862F3D1}"/>
            </c:ext>
          </c:extLst>
        </c:ser>
        <c:ser>
          <c:idx val="5"/>
          <c:order val="5"/>
          <c:tx>
            <c:strRef>
              <c:f>'S0 EU Serbia'!$AR$41</c:f>
              <c:strCache>
                <c:ptCount val="1"/>
                <c:pt idx="0">
                  <c:v>S0 treshold</c:v>
                </c:pt>
              </c:strCache>
            </c:strRef>
          </c:tx>
          <c:spPr>
            <a:ln w="22225" cap="rnd">
              <a:solidFill>
                <a:schemeClr val="tx1"/>
              </a:solidFill>
              <a:prstDash val="dash"/>
              <a:round/>
            </a:ln>
            <a:effectLst/>
          </c:spPr>
          <c:marker>
            <c:symbol val="none"/>
          </c:marker>
          <c:cat>
            <c:numRef>
              <c:f>'S0 EU Serbia'!$AL$42:$AL$53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extLst/>
            </c:numRef>
          </c:cat>
          <c:val>
            <c:numRef>
              <c:f>'S0 EU Serbia'!$AR$42:$AR$53</c:f>
              <c:numCache>
                <c:formatCode>General</c:formatCode>
                <c:ptCount val="10"/>
                <c:pt idx="0">
                  <c:v>0.46</c:v>
                </c:pt>
                <c:pt idx="1">
                  <c:v>0.46</c:v>
                </c:pt>
                <c:pt idx="2">
                  <c:v>0.46</c:v>
                </c:pt>
                <c:pt idx="3">
                  <c:v>0.46</c:v>
                </c:pt>
                <c:pt idx="4">
                  <c:v>0.46</c:v>
                </c:pt>
                <c:pt idx="5">
                  <c:v>0.46</c:v>
                </c:pt>
                <c:pt idx="6">
                  <c:v>0.46</c:v>
                </c:pt>
                <c:pt idx="7">
                  <c:v>0.46</c:v>
                </c:pt>
                <c:pt idx="8">
                  <c:v>0.46</c:v>
                </c:pt>
                <c:pt idx="9">
                  <c:v>0.46</c:v>
                </c:pt>
              </c:numCache>
              <c:extLst/>
            </c:numRef>
          </c:val>
          <c:smooth val="0"/>
          <c:extLst>
            <c:ext xmlns:c16="http://schemas.microsoft.com/office/drawing/2014/chart" uri="{C3380CC4-5D6E-409C-BE32-E72D297353CC}">
              <c16:uniqueId val="{00000009-C836-41D7-A0BD-F913B862F3D1}"/>
            </c:ext>
          </c:extLst>
        </c:ser>
        <c:dLbls>
          <c:showLegendKey val="0"/>
          <c:showVal val="0"/>
          <c:showCatName val="0"/>
          <c:showSerName val="0"/>
          <c:showPercent val="0"/>
          <c:showBubbleSize val="0"/>
        </c:dLbls>
        <c:marker val="1"/>
        <c:smooth val="0"/>
        <c:axId val="-486950640"/>
        <c:axId val="-486941936"/>
      </c:lineChart>
      <c:catAx>
        <c:axId val="-48695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crossAx val="-486941936"/>
        <c:crosses val="autoZero"/>
        <c:auto val="1"/>
        <c:lblAlgn val="ctr"/>
        <c:lblOffset val="100"/>
        <c:noMultiLvlLbl val="0"/>
      </c:catAx>
      <c:valAx>
        <c:axId val="-486941936"/>
        <c:scaling>
          <c:orientation val="minMax"/>
          <c:max val="0.70000000000000007"/>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crossAx val="-486950640"/>
        <c:crosses val="autoZero"/>
        <c:crossBetween val="between"/>
      </c:valAx>
      <c:spPr>
        <a:noFill/>
        <a:ln>
          <a:noFill/>
        </a:ln>
        <a:effectLst/>
      </c:spPr>
    </c:plotArea>
    <c:legend>
      <c:legendPos val="b"/>
      <c:layout>
        <c:manualLayout>
          <c:xMode val="edge"/>
          <c:yMode val="edge"/>
          <c:x val="4.5648903112064845E-3"/>
          <c:y val="0.87086855214526748"/>
          <c:w val="0.97889544009348761"/>
          <c:h val="0.12664283036049065"/>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44546A"/>
              </a:solidFill>
              <a:latin typeface="Times New Roman" panose="02020603050405020304" pitchFamily="18"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900">
          <a:latin typeface="+mn-l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1.xml><?xml version="1.0" encoding="utf-8"?>
<cs:chartStyle xmlns:cs="http://schemas.microsoft.com/office/drawing/2012/chartStyle" xmlns:a="http://schemas.openxmlformats.org/drawingml/2006/main" id="136">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2.xml><?xml version="1.0" encoding="utf-8"?>
<cs:chartStyle xmlns:cs="http://schemas.microsoft.com/office/drawing/2012/chartStyle" xmlns:a="http://schemas.openxmlformats.org/drawingml/2006/main" id="105">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35">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mods="ignoreCSTransforms">
      <cs:styleClr val="0">
        <a:shade val="50000"/>
      </cs:styleClr>
    </cs:lnRef>
    <cs:fillRef idx="1">
      <cs:styleClr val="auto"/>
    </cs:fillRef>
    <cs:effectRef idx="0"/>
    <cs:fontRef idx="minor">
      <a:schemeClr val="dk1"/>
    </cs:fontRef>
    <cs:spPr>
      <a:ln>
        <a:round/>
      </a:ln>
    </cs:spPr>
  </cs:dataPoint>
  <cs:dataPoint3D>
    <cs:lnRef idx="1" mods="ignoreCSTransforms">
      <cs:styleClr val="0">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mods="ignoreCSTransforms">
      <cs:styleClr val="0">
        <a:shade val="25000"/>
      </cs:styleClr>
    </cs:lnRef>
    <cs:fillRef idx="1" mods="ignoreCSTransforms">
      <cs:styleClr val="0">
        <a:shade val="25000"/>
      </cs:styl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mods="ignoreCSTransforms">
      <cs:styleClr val="0">
        <a:tint val="20000"/>
      </cs:styl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mods="ignoreCSTransforms">
      <cs:styleClr val="0">
        <a:tint val="20000"/>
      </cs:styl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mods="ignoreCSTransforms">
      <cs:styleClr val="0">
        <a:shade val="25000"/>
      </cs:styleClr>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mods="ignoreCSTransforms">
      <cs:styleClr val="0">
        <a:tint val="20000"/>
      </cs:styleClr>
    </cs:fillRef>
    <cs:effectRef idx="0"/>
    <cs:fontRef idx="minor">
      <a:schemeClr val="dk1"/>
    </cs:fontRef>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0.59028</cdr:x>
      <cdr:y>0</cdr:y>
    </cdr:from>
    <cdr:to>
      <cdr:x>0.98015</cdr:x>
      <cdr:y>0.73863</cdr:y>
    </cdr:to>
    <cdr:sp macro="" textlink="">
      <cdr:nvSpPr>
        <cdr:cNvPr id="3" name="TextBox 2"/>
        <cdr:cNvSpPr txBox="1"/>
      </cdr:nvSpPr>
      <cdr:spPr>
        <a:xfrm xmlns:a="http://schemas.openxmlformats.org/drawingml/2006/main">
          <a:off x="1619250" y="0"/>
          <a:ext cx="1069497" cy="1560873"/>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en-GB" sz="750" b="1">
              <a:solidFill>
                <a:schemeClr val="tx2"/>
              </a:solidFill>
              <a:latin typeface="+mn-lt"/>
              <a:cs typeface="Arial" panose="020B0604020202020204" pitchFamily="34" charset="0"/>
            </a:rPr>
            <a:t>PROJECTION</a:t>
          </a:r>
        </a:p>
      </cdr:txBody>
    </cdr:sp>
  </cdr:relSizeAnchor>
</c:userShapes>
</file>

<file path=word/drawings/drawing10.xml><?xml version="1.0" encoding="utf-8"?>
<c:userShapes xmlns:c="http://schemas.openxmlformats.org/drawingml/2006/chart">
  <cdr:relSizeAnchor xmlns:cdr="http://schemas.openxmlformats.org/drawingml/2006/chartDrawing">
    <cdr:from>
      <cdr:x>0.04375</cdr:x>
      <cdr:y>0.88368</cdr:y>
    </cdr:from>
    <cdr:to>
      <cdr:x>0.16667</cdr:x>
      <cdr:y>0.93576</cdr:y>
    </cdr:to>
    <cdr:sp macro="" textlink="">
      <cdr:nvSpPr>
        <cdr:cNvPr id="2"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0.04792</cdr:x>
      <cdr:y>0.73785</cdr:y>
    </cdr:from>
    <cdr:to>
      <cdr:x>0.24167</cdr:x>
      <cdr:y>0.86979</cdr:y>
    </cdr:to>
    <cdr:sp macro="" textlink="">
      <cdr:nvSpPr>
        <cdr:cNvPr id="3" name="TextBox 2"/>
        <cdr:cNvSpPr txBox="1"/>
      </cdr:nvSpPr>
      <cdr:spPr>
        <a:xfrm xmlns:a="http://schemas.openxmlformats.org/drawingml/2006/main">
          <a:off x="228061" y="2482144"/>
          <a:ext cx="922095" cy="443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800">
            <a:latin typeface="+mj-lt"/>
          </a:endParaRPr>
        </a:p>
      </cdr:txBody>
    </cdr:sp>
  </cdr:relSizeAnchor>
  <cdr:relSizeAnchor xmlns:cdr="http://schemas.openxmlformats.org/drawingml/2006/chartDrawing">
    <cdr:from>
      <cdr:x>0.66875</cdr:x>
      <cdr:y>0.74826</cdr:y>
    </cdr:from>
    <cdr:to>
      <cdr:x>0.9125</cdr:x>
      <cdr:y>0.84549</cdr:y>
    </cdr:to>
    <cdr:sp macro="" textlink="">
      <cdr:nvSpPr>
        <cdr:cNvPr id="4"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0.76703</cdr:x>
      <cdr:y>0.16819</cdr:y>
    </cdr:from>
    <cdr:to>
      <cdr:x>0.98856</cdr:x>
      <cdr:y>0.2903</cdr:y>
    </cdr:to>
    <cdr:sp macro="" textlink="">
      <cdr:nvSpPr>
        <cdr:cNvPr id="5" name="TextBox 1"/>
        <cdr:cNvSpPr txBox="1"/>
      </cdr:nvSpPr>
      <cdr:spPr>
        <a:xfrm xmlns:a="http://schemas.openxmlformats.org/drawingml/2006/main">
          <a:off x="3650440" y="565780"/>
          <a:ext cx="1054306"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0.73125</cdr:x>
      <cdr:y>0.8206</cdr:y>
    </cdr:from>
    <cdr:to>
      <cdr:x>0.95417</cdr:x>
      <cdr:y>0.94271</cdr:y>
    </cdr:to>
    <cdr:sp macro="" textlink="">
      <cdr:nvSpPr>
        <cdr:cNvPr id="6" name="TextBox 1"/>
        <cdr:cNvSpPr txBox="1"/>
      </cdr:nvSpPr>
      <cdr:spPr>
        <a:xfrm xmlns:a="http://schemas.openxmlformats.org/drawingml/2006/main">
          <a:off x="3480164" y="2760516"/>
          <a:ext cx="1060921" cy="410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mj-lt"/>
          </a:endParaRPr>
        </a:p>
      </cdr:txBody>
    </cdr:sp>
  </cdr:relSizeAnchor>
  <cdr:relSizeAnchor xmlns:cdr="http://schemas.openxmlformats.org/drawingml/2006/chartDrawing">
    <cdr:from>
      <cdr:x>0.04928</cdr:x>
      <cdr:y>0.22036</cdr:y>
    </cdr:from>
    <cdr:to>
      <cdr:x>0.27219</cdr:x>
      <cdr:y>0.34247</cdr:y>
    </cdr:to>
    <cdr:sp macro="" textlink="">
      <cdr:nvSpPr>
        <cdr:cNvPr id="7" name="TextBox 1"/>
        <cdr:cNvSpPr txBox="1"/>
      </cdr:nvSpPr>
      <cdr:spPr>
        <a:xfrm xmlns:a="http://schemas.openxmlformats.org/drawingml/2006/main">
          <a:off x="234530" y="741312"/>
          <a:ext cx="1060873" cy="4107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sr-Cyrl-CS" sz="800">
            <a:latin typeface="Cambria" panose="02040503050406030204" pitchFamily="18" charset="0"/>
          </a:endParaRPr>
        </a:p>
      </cdr:txBody>
    </cdr:sp>
  </cdr:relSizeAnchor>
  <cdr:relSizeAnchor xmlns:cdr="http://schemas.openxmlformats.org/drawingml/2006/chartDrawing">
    <cdr:from>
      <cdr:x>0.04375</cdr:x>
      <cdr:y>0.88368</cdr:y>
    </cdr:from>
    <cdr:to>
      <cdr:x>0.16667</cdr:x>
      <cdr:y>0.93576</cdr:y>
    </cdr:to>
    <cdr:sp macro="" textlink="">
      <cdr:nvSpPr>
        <cdr:cNvPr id="14" name="TextBox 1"/>
        <cdr:cNvSpPr txBox="1"/>
      </cdr:nvSpPr>
      <cdr:spPr>
        <a:xfrm xmlns:a="http://schemas.openxmlformats.org/drawingml/2006/main">
          <a:off x="200025" y="2424113"/>
          <a:ext cx="5619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cdr:x>
      <cdr:y>0.73208</cdr:y>
    </cdr:from>
    <cdr:to>
      <cdr:x>0.29836</cdr:x>
      <cdr:y>0.99033</cdr:y>
    </cdr:to>
    <cdr:sp macro="" textlink="">
      <cdr:nvSpPr>
        <cdr:cNvPr id="15" name="TextBox 2"/>
        <cdr:cNvSpPr txBox="1"/>
      </cdr:nvSpPr>
      <cdr:spPr>
        <a:xfrm xmlns:a="http://schemas.openxmlformats.org/drawingml/2006/main">
          <a:off x="0" y="1184031"/>
          <a:ext cx="805389" cy="4176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b="1">
              <a:solidFill>
                <a:srgbClr val="44546A"/>
              </a:solidFill>
              <a:latin typeface="Times New Roman" panose="02020603050405020304" pitchFamily="18" charset="0"/>
              <a:ea typeface="Calibri" panose="020F0502020204030204" pitchFamily="34" charset="0"/>
              <a:cs typeface="Times New Roman" panose="02020603050405020304" pitchFamily="18" charset="0"/>
            </a:rPr>
            <a:t>procyclical</a:t>
          </a:r>
          <a:r>
            <a:rPr lang="sr-Cyrl-CS" sz="700" b="1" baseline="0">
              <a:solidFill>
                <a:srgbClr val="44546A"/>
              </a:solidFill>
              <a:latin typeface="Times New Roman" panose="02020603050405020304" pitchFamily="18" charset="0"/>
              <a:ea typeface="Calibri" panose="020F0502020204030204" pitchFamily="34" charset="0"/>
              <a:cs typeface="Times New Roman" panose="02020603050405020304" pitchFamily="18" charset="0"/>
            </a:rPr>
            <a:t> - </a:t>
          </a:r>
          <a:r>
            <a:rPr lang="en-US" sz="700" b="1" baseline="0">
              <a:solidFill>
                <a:srgbClr val="44546A"/>
              </a:solidFill>
              <a:latin typeface="Times New Roman" panose="02020603050405020304" pitchFamily="18" charset="0"/>
              <a:ea typeface="Calibri" panose="020F0502020204030204" pitchFamily="34" charset="0"/>
              <a:cs typeface="Times New Roman" panose="02020603050405020304" pitchFamily="18" charset="0"/>
            </a:rPr>
            <a:t>restrictive</a:t>
          </a:r>
          <a:endParaRPr lang="sr-Cyrl-CS" sz="700" b="1">
            <a:solidFill>
              <a:srgbClr val="44546A"/>
            </a:solidFill>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0.66875</cdr:x>
      <cdr:y>0.74826</cdr:y>
    </cdr:from>
    <cdr:to>
      <cdr:x>0.9125</cdr:x>
      <cdr:y>0.84549</cdr:y>
    </cdr:to>
    <cdr:sp macro="" textlink="">
      <cdr:nvSpPr>
        <cdr:cNvPr id="16" name="TextBox 3"/>
        <cdr:cNvSpPr txBox="1"/>
      </cdr:nvSpPr>
      <cdr:spPr>
        <a:xfrm xmlns:a="http://schemas.openxmlformats.org/drawingml/2006/main">
          <a:off x="3057525" y="2052638"/>
          <a:ext cx="11144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sr-Cyrl-CS" sz="1100"/>
        </a:p>
      </cdr:txBody>
    </cdr:sp>
  </cdr:relSizeAnchor>
  <cdr:relSizeAnchor xmlns:cdr="http://schemas.openxmlformats.org/drawingml/2006/chartDrawing">
    <cdr:from>
      <cdr:x>0.68864</cdr:x>
      <cdr:y>0.00227</cdr:y>
    </cdr:from>
    <cdr:to>
      <cdr:x>1</cdr:x>
      <cdr:y>0.20648</cdr:y>
    </cdr:to>
    <cdr:sp macro="" textlink="">
      <cdr:nvSpPr>
        <cdr:cNvPr id="17" name="TextBox 1"/>
        <cdr:cNvSpPr txBox="1"/>
      </cdr:nvSpPr>
      <cdr:spPr>
        <a:xfrm xmlns:a="http://schemas.openxmlformats.org/drawingml/2006/main">
          <a:off x="1858904" y="3670"/>
          <a:ext cx="840481" cy="3302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solidFill>
                <a:srgbClr val="44546A"/>
              </a:solidFill>
              <a:latin typeface="Times New Roman" panose="02020603050405020304" pitchFamily="18" charset="0"/>
              <a:cs typeface="Times New Roman" panose="02020603050405020304" pitchFamily="18" charset="0"/>
            </a:rPr>
            <a:t>procyclical - expansive</a:t>
          </a:r>
        </a:p>
      </cdr:txBody>
    </cdr:sp>
  </cdr:relSizeAnchor>
  <cdr:relSizeAnchor xmlns:cdr="http://schemas.openxmlformats.org/drawingml/2006/chartDrawing">
    <cdr:from>
      <cdr:x>0.66663</cdr:x>
      <cdr:y>0.75785</cdr:y>
    </cdr:from>
    <cdr:to>
      <cdr:x>0.99362</cdr:x>
      <cdr:y>0.98254</cdr:y>
    </cdr:to>
    <cdr:sp macro="" textlink="">
      <cdr:nvSpPr>
        <cdr:cNvPr id="18" name="TextBox 1"/>
        <cdr:cNvSpPr txBox="1"/>
      </cdr:nvSpPr>
      <cdr:spPr>
        <a:xfrm xmlns:a="http://schemas.openxmlformats.org/drawingml/2006/main">
          <a:off x="1799492" y="1301261"/>
          <a:ext cx="882671" cy="3857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solidFill>
                <a:srgbClr val="44546A"/>
              </a:solidFill>
              <a:latin typeface="Times New Roman" panose="02020603050405020304" pitchFamily="18" charset="0"/>
              <a:ea typeface="Calibri" panose="020F0502020204030204" pitchFamily="34" charset="0"/>
              <a:cs typeface="Times New Roman" panose="02020603050405020304" pitchFamily="18" charset="0"/>
            </a:rPr>
            <a:t>countercyclical</a:t>
          </a:r>
          <a:r>
            <a:rPr lang="sr-Cyrl-CS" sz="700" b="1" baseline="0">
              <a:solidFill>
                <a:srgbClr val="44546A"/>
              </a:solidFill>
              <a:latin typeface="Times New Roman" panose="02020603050405020304" pitchFamily="18" charset="0"/>
              <a:ea typeface="Calibri" panose="020F0502020204030204" pitchFamily="34" charset="0"/>
              <a:cs typeface="Times New Roman" panose="02020603050405020304" pitchFamily="18" charset="0"/>
            </a:rPr>
            <a:t> - </a:t>
          </a:r>
          <a:r>
            <a:rPr lang="en-US" sz="700" b="1" baseline="0">
              <a:solidFill>
                <a:srgbClr val="44546A"/>
              </a:solidFill>
              <a:latin typeface="Times New Roman" panose="02020603050405020304" pitchFamily="18" charset="0"/>
              <a:ea typeface="Calibri" panose="020F0502020204030204" pitchFamily="34" charset="0"/>
              <a:cs typeface="Times New Roman" panose="02020603050405020304" pitchFamily="18" charset="0"/>
            </a:rPr>
            <a:t>restrictive</a:t>
          </a:r>
        </a:p>
      </cdr:txBody>
    </cdr:sp>
  </cdr:relSizeAnchor>
  <cdr:relSizeAnchor xmlns:cdr="http://schemas.openxmlformats.org/drawingml/2006/chartDrawing">
    <cdr:from>
      <cdr:x>0</cdr:x>
      <cdr:y>0</cdr:y>
    </cdr:from>
    <cdr:to>
      <cdr:x>0.33874</cdr:x>
      <cdr:y>0.16224</cdr:y>
    </cdr:to>
    <cdr:sp macro="" textlink="">
      <cdr:nvSpPr>
        <cdr:cNvPr id="19" name="TextBox 1"/>
        <cdr:cNvSpPr txBox="1"/>
      </cdr:nvSpPr>
      <cdr:spPr>
        <a:xfrm xmlns:a="http://schemas.openxmlformats.org/drawingml/2006/main">
          <a:off x="0" y="0"/>
          <a:ext cx="914400" cy="2623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b="1">
              <a:solidFill>
                <a:srgbClr val="44546A"/>
              </a:solidFill>
              <a:latin typeface="Times New Roman" panose="02020603050405020304" pitchFamily="18" charset="0"/>
              <a:ea typeface="Calibri" panose="020F0502020204030204" pitchFamily="34" charset="0"/>
              <a:cs typeface="Times New Roman" panose="02020603050405020304" pitchFamily="18" charset="0"/>
            </a:rPr>
            <a:t>countercyclical</a:t>
          </a:r>
          <a:r>
            <a:rPr lang="sr-Cyrl-CS" sz="700" b="1" baseline="0">
              <a:solidFill>
                <a:srgbClr val="44546A"/>
              </a:solidFill>
              <a:latin typeface="Times New Roman" panose="02020603050405020304" pitchFamily="18" charset="0"/>
              <a:ea typeface="Calibri" panose="020F0502020204030204" pitchFamily="34" charset="0"/>
              <a:cs typeface="Times New Roman" panose="02020603050405020304" pitchFamily="18" charset="0"/>
            </a:rPr>
            <a:t>- </a:t>
          </a:r>
          <a:r>
            <a:rPr lang="en-US" sz="700" b="1" baseline="0">
              <a:solidFill>
                <a:srgbClr val="44546A"/>
              </a:solidFill>
              <a:latin typeface="Times New Roman" panose="02020603050405020304" pitchFamily="18" charset="0"/>
              <a:ea typeface="Calibri" panose="020F0502020204030204" pitchFamily="34" charset="0"/>
              <a:cs typeface="Times New Roman" panose="02020603050405020304" pitchFamily="18" charset="0"/>
            </a:rPr>
            <a:t>expansive</a:t>
          </a:r>
          <a:endParaRPr lang="sr-Cyrl-CS" sz="700" b="1">
            <a:solidFill>
              <a:srgbClr val="44546A"/>
            </a:solidFill>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0.86333</cdr:x>
      <cdr:y>0.04452</cdr:y>
    </cdr:from>
    <cdr:to>
      <cdr:x>1</cdr:x>
      <cdr:y>0.23529</cdr:y>
    </cdr:to>
    <cdr:sp macro="" textlink="">
      <cdr:nvSpPr>
        <cdr:cNvPr id="2" name="TextBox 1"/>
        <cdr:cNvSpPr txBox="1"/>
      </cdr:nvSpPr>
      <cdr:spPr>
        <a:xfrm xmlns:a="http://schemas.openxmlformats.org/drawingml/2006/main">
          <a:off x="6065520" y="21336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0.59722</cdr:x>
      <cdr:y>0</cdr:y>
    </cdr:from>
    <cdr:to>
      <cdr:x>0.98494</cdr:x>
      <cdr:y>0.6562</cdr:y>
    </cdr:to>
    <cdr:sp macro="" textlink="">
      <cdr:nvSpPr>
        <cdr:cNvPr id="3" name="TextBox 2"/>
        <cdr:cNvSpPr txBox="1"/>
      </cdr:nvSpPr>
      <cdr:spPr>
        <a:xfrm xmlns:a="http://schemas.openxmlformats.org/drawingml/2006/main">
          <a:off x="1638300" y="0"/>
          <a:ext cx="1063587" cy="1653624"/>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sr-Latn-RS" sz="750" b="1">
              <a:solidFill>
                <a:schemeClr val="tx2"/>
              </a:solidFill>
              <a:latin typeface="+mn-lt"/>
              <a:cs typeface="Arial" panose="020B0604020202020204" pitchFamily="34" charset="0"/>
            </a:rPr>
            <a:t>PROJECTION</a:t>
          </a:r>
          <a:endParaRPr lang="en-GB" sz="750" b="1">
            <a:solidFill>
              <a:schemeClr val="tx2"/>
            </a:solidFill>
            <a:latin typeface="+mn-lt"/>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0.5102</cdr:x>
      <cdr:y>0.00315</cdr:y>
    </cdr:from>
    <cdr:to>
      <cdr:x>0.97222</cdr:x>
      <cdr:y>0.78135</cdr:y>
    </cdr:to>
    <cdr:sp macro="" textlink="">
      <cdr:nvSpPr>
        <cdr:cNvPr id="3" name="TextBox 2"/>
        <cdr:cNvSpPr txBox="1"/>
      </cdr:nvSpPr>
      <cdr:spPr>
        <a:xfrm xmlns:a="http://schemas.openxmlformats.org/drawingml/2006/main">
          <a:off x="2286000" y="7689"/>
          <a:ext cx="2070090" cy="1899539"/>
        </a:xfrm>
        <a:prstGeom xmlns:a="http://schemas.openxmlformats.org/drawingml/2006/main" prst="rect">
          <a:avLst/>
        </a:prstGeom>
        <a:solidFill xmlns:a="http://schemas.openxmlformats.org/drawingml/2006/main">
          <a:schemeClr val="accent5">
            <a:alpha val="10000"/>
          </a:schemeClr>
        </a:solidFill>
      </cdr:spPr>
      <cdr:txBody>
        <a:bodyPr xmlns:a="http://schemas.openxmlformats.org/drawingml/2006/main" vertOverflow="clip" wrap="square" rtlCol="0" anchor="t"/>
        <a:lstStyle xmlns:a="http://schemas.openxmlformats.org/drawingml/2006/main"/>
        <a:p xmlns:a="http://schemas.openxmlformats.org/drawingml/2006/main">
          <a:pPr algn="ctr"/>
          <a:r>
            <a:rPr lang="en-GB" sz="750" b="1" baseline="0">
              <a:solidFill>
                <a:schemeClr val="tx2"/>
              </a:solidFill>
              <a:latin typeface="Times New Roman" panose="02020603050405020304" pitchFamily="18" charset="0"/>
              <a:cs typeface="Arial" panose="020B0604020202020204" pitchFamily="34" charset="0"/>
            </a:rPr>
            <a:t>PROJECTION</a:t>
          </a:r>
        </a:p>
      </cdr:txBody>
    </cdr:sp>
  </cdr:relSizeAnchor>
</c:userShapes>
</file>

<file path=word/drawings/drawing4.xml><?xml version="1.0" encoding="utf-8"?>
<c:userShapes xmlns:c="http://schemas.openxmlformats.org/drawingml/2006/chart">
  <cdr:relSizeAnchor xmlns:cdr="http://schemas.openxmlformats.org/drawingml/2006/chartDrawing">
    <cdr:from>
      <cdr:x>0.11927</cdr:x>
      <cdr:y>0.54755</cdr:y>
    </cdr:from>
    <cdr:to>
      <cdr:x>0.99582</cdr:x>
      <cdr:y>0.54919</cdr:y>
    </cdr:to>
    <cdr:cxnSp macro="">
      <cdr:nvCxnSpPr>
        <cdr:cNvPr id="3" name="Straight Connector 2">
          <a:extLst xmlns:a="http://schemas.openxmlformats.org/drawingml/2006/main">
            <a:ext uri="{FF2B5EF4-FFF2-40B4-BE49-F238E27FC236}">
              <a16:creationId xmlns:a16="http://schemas.microsoft.com/office/drawing/2014/main" id="{AF97C602-EDF0-713A-5812-4788E2BCD26B}"/>
            </a:ext>
          </a:extLst>
        </cdr:cNvPr>
        <cdr:cNvCxnSpPr/>
      </cdr:nvCxnSpPr>
      <cdr:spPr>
        <a:xfrm xmlns:a="http://schemas.openxmlformats.org/drawingml/2006/main" flipV="1">
          <a:off x="544187" y="2511589"/>
          <a:ext cx="3999238" cy="7522"/>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0.70172</cdr:x>
      <cdr:y>0.09339</cdr:y>
    </cdr:from>
    <cdr:to>
      <cdr:x>0.97572</cdr:x>
      <cdr:y>0.13405</cdr:y>
    </cdr:to>
    <cdr:sp macro="" textlink="">
      <cdr:nvSpPr>
        <cdr:cNvPr id="4" name="Text Box 94"/>
        <cdr:cNvSpPr txBox="1"/>
      </cdr:nvSpPr>
      <cdr:spPr>
        <a:xfrm xmlns:a="http://schemas.openxmlformats.org/drawingml/2006/main">
          <a:off x="2152206" y="444247"/>
          <a:ext cx="840375" cy="19341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l">
            <a:lnSpc>
              <a:spcPct val="107000"/>
            </a:lnSpc>
            <a:spcAft>
              <a:spcPts val="800"/>
            </a:spcAft>
          </a:pPr>
          <a:r>
            <a:rPr lang="sr-Latn-RS" sz="700" b="1">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Fiscal</a:t>
          </a:r>
          <a:r>
            <a:rPr lang="sr-Latn-RS" sz="700" b="1" baseline="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 </a:t>
          </a:r>
          <a:r>
            <a:rPr lang="sr-Latn-RS" sz="700" b="1">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sub-index</a:t>
          </a:r>
          <a:r>
            <a:rPr lang="sr-Latn-RS" sz="700" b="1" baseline="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 treshold (0.36)</a:t>
          </a:r>
          <a:endParaRPr lang="en-GB" sz="100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0.511</cdr:x>
      <cdr:y>0.11032</cdr:y>
    </cdr:from>
    <cdr:to>
      <cdr:x>0.53947</cdr:x>
      <cdr:y>0.12696</cdr:y>
    </cdr:to>
    <cdr:cxnSp macro="">
      <cdr:nvCxnSpPr>
        <cdr:cNvPr id="5" name="Straight Arrow Connector 4"/>
        <cdr:cNvCxnSpPr/>
      </cdr:nvCxnSpPr>
      <cdr:spPr>
        <a:xfrm xmlns:a="http://schemas.openxmlformats.org/drawingml/2006/main" flipV="1">
          <a:off x="3419886" y="568624"/>
          <a:ext cx="190500" cy="85725"/>
        </a:xfrm>
        <a:prstGeom xmlns:a="http://schemas.openxmlformats.org/drawingml/2006/main" prst="straightConnector1">
          <a:avLst/>
        </a:prstGeom>
        <a:ln xmlns:a="http://schemas.openxmlformats.org/drawingml/2006/main">
          <a:solidFill>
            <a:schemeClr val="tx1">
              <a:lumMod val="75000"/>
              <a:lumOff val="25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0.7044</cdr:x>
      <cdr:y>0.27833</cdr:y>
    </cdr:from>
    <cdr:to>
      <cdr:x>0.96343</cdr:x>
      <cdr:y>0.31899</cdr:y>
    </cdr:to>
    <cdr:sp macro="" textlink="">
      <cdr:nvSpPr>
        <cdr:cNvPr id="6" name="Text Box 96"/>
        <cdr:cNvSpPr txBox="1"/>
      </cdr:nvSpPr>
      <cdr:spPr>
        <a:xfrm xmlns:a="http://schemas.openxmlformats.org/drawingml/2006/main">
          <a:off x="2160418" y="1323934"/>
          <a:ext cx="794458" cy="19341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07000"/>
            </a:lnSpc>
            <a:spcAft>
              <a:spcPts val="800"/>
            </a:spcAft>
          </a:pPr>
          <a:r>
            <a:rPr lang="sr-Latn-RS" sz="700" b="1">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Financial sub-index trashold</a:t>
          </a:r>
          <a:r>
            <a:rPr lang="sr-Latn-RS" sz="700" b="1" baseline="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 </a:t>
          </a:r>
          <a:r>
            <a:rPr lang="sr-Cyrl-RS" sz="700" b="1">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rPr>
            <a:t>(0,49)</a:t>
          </a:r>
          <a:endParaRPr lang="en-GB" sz="1000">
            <a:solidFill>
              <a:srgbClr val="44546A"/>
            </a:solidFill>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0.91728</cdr:x>
      <cdr:y>0.24173</cdr:y>
    </cdr:from>
    <cdr:to>
      <cdr:x>0.94693</cdr:x>
      <cdr:y>0.26079</cdr:y>
    </cdr:to>
    <cdr:cxnSp macro="">
      <cdr:nvCxnSpPr>
        <cdr:cNvPr id="8" name="Straight Arrow Connector 7"/>
        <cdr:cNvCxnSpPr/>
      </cdr:nvCxnSpPr>
      <cdr:spPr>
        <a:xfrm xmlns:a="http://schemas.openxmlformats.org/drawingml/2006/main" flipH="1">
          <a:off x="6138919" y="1245908"/>
          <a:ext cx="198381" cy="98237"/>
        </a:xfrm>
        <a:prstGeom xmlns:a="http://schemas.openxmlformats.org/drawingml/2006/main" prst="straightConnector1">
          <a:avLst/>
        </a:prstGeom>
        <a:ln xmlns:a="http://schemas.openxmlformats.org/drawingml/2006/main">
          <a:solidFill>
            <a:schemeClr val="tx1">
              <a:lumMod val="75000"/>
              <a:lumOff val="25000"/>
            </a:schemeClr>
          </a:solidFill>
          <a:prstDash val="sysDash"/>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0.5994</cdr:x>
      <cdr:y>0.31197</cdr:y>
    </cdr:from>
    <cdr:to>
      <cdr:x>0.5994</cdr:x>
      <cdr:y>0.34818</cdr:y>
    </cdr:to>
    <cdr:cxnSp macro="">
      <cdr:nvCxnSpPr>
        <cdr:cNvPr id="3"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0.5994</cdr:x>
      <cdr:y>0.31197</cdr:y>
    </cdr:from>
    <cdr:to>
      <cdr:x>0.5994</cdr:x>
      <cdr:y>0.34818</cdr:y>
    </cdr:to>
    <cdr:cxnSp macro="">
      <cdr:nvCxnSpPr>
        <cdr:cNvPr id="2" name="Straight Arrow Connector 2"/>
        <cdr:cNvCxnSpPr/>
      </cdr:nvCxnSpPr>
      <cdr:spPr>
        <a:xfrm xmlns:a="http://schemas.openxmlformats.org/drawingml/2006/main" flipV="1">
          <a:off x="3927978" y="1066789"/>
          <a:ext cx="0" cy="123819"/>
        </a:xfrm>
        <a:prstGeom xmlns:a="http://schemas.openxmlformats.org/drawingml/2006/main" prst="straightConnector1">
          <a:avLst/>
        </a:prstGeom>
        <a:ln xmlns:a="http://schemas.openxmlformats.org/drawingml/2006/main">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0.83237</cdr:x>
      <cdr:y>0.04452</cdr:y>
    </cdr:from>
    <cdr:to>
      <cdr:x>0.96904</cdr:x>
      <cdr:y>0.10408</cdr:y>
    </cdr:to>
    <cdr:sp macro="" textlink="">
      <cdr:nvSpPr>
        <cdr:cNvPr id="2" name="TextBox 1"/>
        <cdr:cNvSpPr txBox="1"/>
      </cdr:nvSpPr>
      <cdr:spPr>
        <a:xfrm xmlns:a="http://schemas.openxmlformats.org/drawingml/2006/main">
          <a:off x="5378606" y="170300"/>
          <a:ext cx="883129" cy="2278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latin typeface="+mj-lt"/>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0.86818</cdr:x>
      <cdr:y>0.08972</cdr:y>
    </cdr:from>
    <cdr:to>
      <cdr:x>0.86944</cdr:x>
      <cdr:y>0.91432</cdr:y>
    </cdr:to>
    <cdr:cxnSp macro="">
      <cdr:nvCxnSpPr>
        <cdr:cNvPr id="3" name="Straight Connector 2"/>
        <cdr:cNvCxnSpPr/>
      </cdr:nvCxnSpPr>
      <cdr:spPr>
        <a:xfrm xmlns:a="http://schemas.openxmlformats.org/drawingml/2006/main">
          <a:off x="5654640" y="399551"/>
          <a:ext cx="8206" cy="3672244"/>
        </a:xfrm>
        <a:prstGeom xmlns:a="http://schemas.openxmlformats.org/drawingml/2006/main" prst="line">
          <a:avLst/>
        </a:prstGeom>
        <a:ln xmlns:a="http://schemas.openxmlformats.org/drawingml/2006/main">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0.11452</cdr:x>
      <cdr:y>0.17764</cdr:y>
    </cdr:from>
    <cdr:to>
      <cdr:x>0.35008</cdr:x>
      <cdr:y>0.61215</cdr:y>
    </cdr:to>
    <cdr:sp macro="" textlink="">
      <cdr:nvSpPr>
        <cdr:cNvPr id="11" name="Oval 10"/>
        <cdr:cNvSpPr/>
      </cdr:nvSpPr>
      <cdr:spPr>
        <a:xfrm xmlns:a="http://schemas.openxmlformats.org/drawingml/2006/main">
          <a:off x="803889" y="807111"/>
          <a:ext cx="1653561" cy="1974189"/>
        </a:xfrm>
        <a:prstGeom xmlns:a="http://schemas.openxmlformats.org/drawingml/2006/main" prst="ellipse">
          <a:avLst/>
        </a:prstGeom>
        <a:solidFill xmlns:a="http://schemas.openxmlformats.org/drawingml/2006/main">
          <a:srgbClr val="51BBE7">
            <a:alpha val="16000"/>
          </a:srgbClr>
        </a:solidFill>
        <a:ln xmlns:a="http://schemas.openxmlformats.org/drawingml/2006/main" w="22225">
          <a:solidFill>
            <a:srgbClr val="29489A">
              <a:alpha val="50000"/>
            </a:srgb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0.06701</cdr:x>
      <cdr:y>0.14263</cdr:y>
    </cdr:from>
    <cdr:to>
      <cdr:x>0.29697</cdr:x>
      <cdr:y>0.19135</cdr:y>
    </cdr:to>
    <cdr:sp macro="" textlink="">
      <cdr:nvSpPr>
        <cdr:cNvPr id="6" name="TextBox 5"/>
        <cdr:cNvSpPr txBox="1"/>
      </cdr:nvSpPr>
      <cdr:spPr>
        <a:xfrm xmlns:a="http://schemas.openxmlformats.org/drawingml/2006/main">
          <a:off x="184805" y="391179"/>
          <a:ext cx="634180" cy="1336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i="0" u="none" strike="noStrike" kern="1200" baseline="0">
              <a:solidFill>
                <a:srgbClr val="44546A"/>
              </a:solidFill>
              <a:effectLst/>
              <a:latin typeface="Times New Roman" panose="02020603050405020304" pitchFamily="18" charset="0"/>
              <a:ea typeface="+mn-ea"/>
              <a:cs typeface="Times New Roman" panose="02020603050405020304" pitchFamily="18" charset="0"/>
            </a:rPr>
            <a:t>Expansive</a:t>
          </a:r>
          <a:endParaRPr lang="en-US" sz="600" baseline="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0.44787</cdr:x>
      <cdr:y>0.70665</cdr:y>
    </cdr:from>
    <cdr:to>
      <cdr:x>0.68043</cdr:x>
      <cdr:y>0.76539</cdr:y>
    </cdr:to>
    <cdr:sp macro="" textlink="">
      <cdr:nvSpPr>
        <cdr:cNvPr id="7" name="TextBox 6"/>
        <cdr:cNvSpPr txBox="1"/>
      </cdr:nvSpPr>
      <cdr:spPr>
        <a:xfrm xmlns:a="http://schemas.openxmlformats.org/drawingml/2006/main">
          <a:off x="1235127" y="1938036"/>
          <a:ext cx="641380" cy="1611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mn-lt"/>
              <a:cs typeface="Times New Roman" pitchFamily="18" charset="0"/>
            </a:rPr>
            <a:t>Restr</a:t>
          </a:r>
          <a:r>
            <a:rPr lang="sr-Latn-RS" sz="600" b="1" baseline="0">
              <a:solidFill>
                <a:srgbClr val="44546A"/>
              </a:solidFill>
              <a:latin typeface="Times New Roman" panose="02020603050405020304" pitchFamily="18" charset="0"/>
              <a:cs typeface="Times New Roman" panose="02020603050405020304" pitchFamily="18" charset="0"/>
            </a:rPr>
            <a:t>ic</a:t>
          </a:r>
          <a:r>
            <a:rPr lang="en-US" sz="600" b="1" baseline="0">
              <a:solidFill>
                <a:srgbClr val="44546A"/>
              </a:solidFill>
              <a:latin typeface="+mn-lt"/>
              <a:cs typeface="Times New Roman" pitchFamily="18" charset="0"/>
            </a:rPr>
            <a:t>tive</a:t>
          </a:r>
        </a:p>
      </cdr:txBody>
    </cdr:sp>
  </cdr:relSizeAnchor>
  <cdr:relSizeAnchor xmlns:cdr="http://schemas.openxmlformats.org/drawingml/2006/chartDrawing">
    <cdr:from>
      <cdr:x>0.35352</cdr:x>
      <cdr:y>0.24444</cdr:y>
    </cdr:from>
    <cdr:to>
      <cdr:x>0.439</cdr:x>
      <cdr:y>0.66665</cdr:y>
    </cdr:to>
    <cdr:sp macro="" textlink="">
      <cdr:nvSpPr>
        <cdr:cNvPr id="12" name="Oval 11"/>
        <cdr:cNvSpPr/>
      </cdr:nvSpPr>
      <cdr:spPr>
        <a:xfrm xmlns:a="http://schemas.openxmlformats.org/drawingml/2006/main">
          <a:off x="2670156" y="1078687"/>
          <a:ext cx="645633" cy="1863167"/>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latin typeface="Cambria" pitchFamily="18" charset="0"/>
          </a:endParaRPr>
        </a:p>
      </cdr:txBody>
    </cdr:sp>
  </cdr:relSizeAnchor>
  <cdr:relSizeAnchor xmlns:cdr="http://schemas.openxmlformats.org/drawingml/2006/chartDrawing">
    <cdr:from>
      <cdr:x>0.56041</cdr:x>
      <cdr:y>0.13825</cdr:y>
    </cdr:from>
    <cdr:to>
      <cdr:x>0.72635</cdr:x>
      <cdr:y>0.19124</cdr:y>
    </cdr:to>
    <cdr:sp macro="" textlink="">
      <cdr:nvSpPr>
        <cdr:cNvPr id="17" name="TextBox 16"/>
        <cdr:cNvSpPr txBox="1"/>
      </cdr:nvSpPr>
      <cdr:spPr>
        <a:xfrm xmlns:a="http://schemas.openxmlformats.org/drawingml/2006/main">
          <a:off x="3667126" y="571500"/>
          <a:ext cx="10858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0.18568</cdr:x>
      <cdr:y>0.26038</cdr:y>
    </cdr:from>
    <cdr:to>
      <cdr:x>0.42381</cdr:x>
      <cdr:y>0.33071</cdr:y>
    </cdr:to>
    <cdr:sp macro="" textlink="">
      <cdr:nvSpPr>
        <cdr:cNvPr id="18" name="TextBox 17"/>
        <cdr:cNvSpPr txBox="1"/>
      </cdr:nvSpPr>
      <cdr:spPr>
        <a:xfrm xmlns:a="http://schemas.openxmlformats.org/drawingml/2006/main">
          <a:off x="1052679" y="666649"/>
          <a:ext cx="1350026" cy="1800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Times New Roman" panose="02020603050405020304" pitchFamily="18" charset="0"/>
              <a:cs typeface="Times New Roman" panose="02020603050405020304" pitchFamily="18" charset="0"/>
            </a:rPr>
            <a:t>Procyclical</a:t>
          </a:r>
        </a:p>
      </cdr:txBody>
    </cdr:sp>
  </cdr:relSizeAnchor>
  <cdr:relSizeAnchor xmlns:cdr="http://schemas.openxmlformats.org/drawingml/2006/chartDrawing">
    <cdr:from>
      <cdr:x>0.28175</cdr:x>
      <cdr:y>0.27518</cdr:y>
    </cdr:from>
    <cdr:to>
      <cdr:x>0.53916</cdr:x>
      <cdr:y>0.33129</cdr:y>
    </cdr:to>
    <cdr:sp macro="" textlink="">
      <cdr:nvSpPr>
        <cdr:cNvPr id="19" name="TextBox 18"/>
        <cdr:cNvSpPr txBox="1"/>
      </cdr:nvSpPr>
      <cdr:spPr>
        <a:xfrm xmlns:a="http://schemas.openxmlformats.org/drawingml/2006/main">
          <a:off x="1597318" y="704540"/>
          <a:ext cx="1459330" cy="143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Times New Roman" panose="02020603050405020304" pitchFamily="18" charset="0"/>
              <a:cs typeface="Times New Roman" pitchFamily="18" charset="0"/>
            </a:rPr>
            <a:t>Countercyclical</a:t>
          </a:r>
        </a:p>
      </cdr:txBody>
    </cdr:sp>
  </cdr:relSizeAnchor>
  <cdr:relSizeAnchor xmlns:cdr="http://schemas.openxmlformats.org/drawingml/2006/chartDrawing">
    <cdr:from>
      <cdr:x>0.44371</cdr:x>
      <cdr:y>0.1902</cdr:y>
    </cdr:from>
    <cdr:to>
      <cdr:x>0.63649</cdr:x>
      <cdr:y>0.71697</cdr:y>
    </cdr:to>
    <cdr:sp macro="" textlink="">
      <cdr:nvSpPr>
        <cdr:cNvPr id="10" name="Oval 9"/>
        <cdr:cNvSpPr/>
      </cdr:nvSpPr>
      <cdr:spPr>
        <a:xfrm xmlns:a="http://schemas.openxmlformats.org/drawingml/2006/main">
          <a:off x="3351360" y="839332"/>
          <a:ext cx="1456044" cy="2324578"/>
        </a:xfrm>
        <a:prstGeom xmlns:a="http://schemas.openxmlformats.org/drawingml/2006/main" prst="ellipse">
          <a:avLst/>
        </a:prstGeom>
        <a:solidFill xmlns:a="http://schemas.openxmlformats.org/drawingml/2006/main">
          <a:srgbClr val="51BBE7">
            <a:alpha val="15000"/>
          </a:srgbClr>
        </a:solidFill>
        <a:ln xmlns:a="http://schemas.openxmlformats.org/drawingml/2006/main" w="22225">
          <a:solidFill>
            <a:schemeClr val="accent1">
              <a:shade val="50000"/>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0.45416</cdr:x>
      <cdr:y>0.25575</cdr:y>
    </cdr:from>
    <cdr:to>
      <cdr:x>0.74098</cdr:x>
      <cdr:y>0.33051</cdr:y>
    </cdr:to>
    <cdr:sp macro="" textlink="">
      <cdr:nvSpPr>
        <cdr:cNvPr id="13" name="TextBox 12"/>
        <cdr:cNvSpPr txBox="1"/>
      </cdr:nvSpPr>
      <cdr:spPr>
        <a:xfrm xmlns:a="http://schemas.openxmlformats.org/drawingml/2006/main">
          <a:off x="1252492" y="701405"/>
          <a:ext cx="790993" cy="2050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600" b="1" baseline="0">
              <a:solidFill>
                <a:srgbClr val="44546A"/>
              </a:solidFill>
              <a:latin typeface="Times New Roman" panose="02020603050405020304" pitchFamily="18" charset="0"/>
              <a:cs typeface="Times New Roman" panose="02020603050405020304" pitchFamily="18" charset="0"/>
            </a:rPr>
            <a:t>Procyclical</a:t>
          </a:r>
        </a:p>
      </cdr:txBody>
    </cdr:sp>
  </cdr:relSizeAnchor>
  <cdr:relSizeAnchor xmlns:cdr="http://schemas.openxmlformats.org/drawingml/2006/chartDrawing">
    <cdr:from>
      <cdr:x>0.55359</cdr:x>
      <cdr:y>0.05191</cdr:y>
    </cdr:from>
    <cdr:to>
      <cdr:x>0.80153</cdr:x>
      <cdr:y>0.11887</cdr:y>
    </cdr:to>
    <cdr:sp macro="" textlink="">
      <cdr:nvSpPr>
        <cdr:cNvPr id="15" name="TextBox 1"/>
        <cdr:cNvSpPr txBox="1"/>
      </cdr:nvSpPr>
      <cdr:spPr>
        <a:xfrm xmlns:a="http://schemas.openxmlformats.org/drawingml/2006/main">
          <a:off x="1526695" y="142378"/>
          <a:ext cx="683768" cy="1836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b="1" i="0" u="none" strike="noStrike" kern="1200" baseline="0">
              <a:solidFill>
                <a:srgbClr val="44546A"/>
              </a:solidFill>
              <a:effectLst/>
              <a:latin typeface="Times New Roman" panose="02020603050405020304" pitchFamily="18" charset="0"/>
              <a:ea typeface="+mn-ea"/>
              <a:cs typeface="+mn-cs"/>
            </a:rPr>
            <a:t>Expansive</a:t>
          </a:r>
          <a:endParaRPr lang="en-US" sz="600" baseline="0">
            <a:latin typeface="Times New Roman" panose="02020603050405020304" pitchFamily="18" charset="0"/>
          </a:endParaRPr>
        </a:p>
      </cdr:txBody>
    </cdr:sp>
  </cdr:relSizeAnchor>
  <cdr:relSizeAnchor xmlns:cdr="http://schemas.openxmlformats.org/drawingml/2006/chartDrawing">
    <cdr:from>
      <cdr:x>0.63288</cdr:x>
      <cdr:y>0.06708</cdr:y>
    </cdr:from>
    <cdr:to>
      <cdr:x>0.86972</cdr:x>
      <cdr:y>0.74263</cdr:y>
    </cdr:to>
    <cdr:sp macro="" textlink="">
      <cdr:nvSpPr>
        <cdr:cNvPr id="16" name="Oval 15"/>
        <cdr:cNvSpPr/>
      </cdr:nvSpPr>
      <cdr:spPr>
        <a:xfrm xmlns:a="http://schemas.openxmlformats.org/drawingml/2006/main">
          <a:off x="3587974" y="171746"/>
          <a:ext cx="1342712" cy="1729624"/>
        </a:xfrm>
        <a:prstGeom xmlns:a="http://schemas.openxmlformats.org/drawingml/2006/main" prst="ellipse">
          <a:avLst/>
        </a:prstGeom>
        <a:solidFill xmlns:a="http://schemas.openxmlformats.org/drawingml/2006/main">
          <a:schemeClr val="accent3">
            <a:lumMod val="40000"/>
            <a:lumOff val="60000"/>
            <a:alpha val="15000"/>
          </a:schemeClr>
        </a:solidFill>
        <a:ln xmlns:a="http://schemas.openxmlformats.org/drawingml/2006/main" w="22225">
          <a:solidFill>
            <a:schemeClr val="accent3">
              <a:alpha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effectLst/>
          </a:endParaRPr>
        </a:p>
      </cdr:txBody>
    </cdr:sp>
  </cdr:relSizeAnchor>
  <cdr:relSizeAnchor xmlns:cdr="http://schemas.openxmlformats.org/drawingml/2006/chartDrawing">
    <cdr:from>
      <cdr:x>0.63315</cdr:x>
      <cdr:y>0.54996</cdr:y>
    </cdr:from>
    <cdr:to>
      <cdr:x>0.88226</cdr:x>
      <cdr:y>0.65812</cdr:y>
    </cdr:to>
    <cdr:sp macro="" textlink="">
      <cdr:nvSpPr>
        <cdr:cNvPr id="20" name="TextBox 1"/>
        <cdr:cNvSpPr txBox="1"/>
      </cdr:nvSpPr>
      <cdr:spPr>
        <a:xfrm xmlns:a="http://schemas.openxmlformats.org/drawingml/2006/main">
          <a:off x="1746114" y="1508295"/>
          <a:ext cx="686985" cy="2966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600" b="1" baseline="0">
              <a:solidFill>
                <a:srgbClr val="44546A"/>
              </a:solidFill>
              <a:latin typeface="Times New Roman" panose="02020603050405020304" pitchFamily="18" charset="0"/>
              <a:cs typeface="Times New Roman" panose="02020603050405020304" pitchFamily="18" charset="0"/>
            </a:rPr>
            <a:t>Countercyclical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BD923-2B21-4919-8FE2-F26FDBFA4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110</Pages>
  <Words>42539</Words>
  <Characters>242476</Characters>
  <Application>Microsoft Office Word</Application>
  <DocSecurity>0</DocSecurity>
  <Lines>2020</Lines>
  <Paragraphs>568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Domanović</dc:creator>
  <cp:keywords/>
  <dc:description/>
  <cp:lastModifiedBy>Ognjen Jančić</cp:lastModifiedBy>
  <cp:revision>103</cp:revision>
  <dcterms:created xsi:type="dcterms:W3CDTF">2025-12-01T14:15:00Z</dcterms:created>
  <dcterms:modified xsi:type="dcterms:W3CDTF">2026-02-04T13:17:00Z</dcterms:modified>
</cp:coreProperties>
</file>