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16"/>
        <w:tblW w:w="14485" w:type="dxa"/>
        <w:tblLayout w:type="fixed"/>
        <w:tblLook w:val="04A0" w:firstRow="1" w:lastRow="0" w:firstColumn="1" w:lastColumn="0" w:noHBand="0" w:noVBand="1"/>
      </w:tblPr>
      <w:tblGrid>
        <w:gridCol w:w="4405"/>
        <w:gridCol w:w="10080"/>
      </w:tblGrid>
      <w:tr w:rsidR="00070F1E" w:rsidTr="00714FF4">
        <w:trPr>
          <w:trHeight w:val="620"/>
        </w:trPr>
        <w:tc>
          <w:tcPr>
            <w:tcW w:w="14485" w:type="dxa"/>
            <w:gridSpan w:val="2"/>
            <w:shd w:val="clear" w:color="auto" w:fill="BDD6EE" w:themeFill="accent1" w:themeFillTint="66"/>
          </w:tcPr>
          <w:p w:rsidR="00070F1E" w:rsidRDefault="00070F1E" w:rsidP="00E76FB2">
            <w:pPr>
              <w:jc w:val="both"/>
            </w:pPr>
          </w:p>
        </w:tc>
      </w:tr>
      <w:tr w:rsidR="00070F1E" w:rsidRPr="00E76FB2" w:rsidTr="000A31E4">
        <w:trPr>
          <w:trHeight w:val="410"/>
        </w:trPr>
        <w:tc>
          <w:tcPr>
            <w:tcW w:w="14485" w:type="dxa"/>
            <w:gridSpan w:val="2"/>
            <w:shd w:val="clear" w:color="auto" w:fill="C5E0B3" w:themeFill="accent6" w:themeFillTint="66"/>
          </w:tcPr>
          <w:p w:rsidR="00E76FB2" w:rsidRPr="00FF6855" w:rsidRDefault="0025626A" w:rsidP="00E76FB2">
            <w:pPr>
              <w:rPr>
                <w:b/>
                <w:sz w:val="20"/>
                <w:szCs w:val="20"/>
                <w:lang w:val="sr-Cyrl-RS"/>
              </w:rPr>
            </w:pPr>
            <w:r w:rsidRPr="0025626A">
              <w:rPr>
                <w:b/>
                <w:bCs/>
                <w:sz w:val="20"/>
                <w:szCs w:val="20"/>
              </w:rPr>
              <w:t>Competent Ministry:</w:t>
            </w:r>
            <w:r w:rsidRPr="0025626A">
              <w:rPr>
                <w:b/>
                <w:sz w:val="20"/>
                <w:szCs w:val="20"/>
              </w:rPr>
              <w:t xml:space="preserve"> MINISTRY OF FINANCE</w:t>
            </w:r>
          </w:p>
        </w:tc>
      </w:tr>
      <w:tr w:rsidR="00070F1E" w:rsidRPr="00E76FB2" w:rsidTr="00E76FB2">
        <w:trPr>
          <w:trHeight w:val="341"/>
        </w:trPr>
        <w:tc>
          <w:tcPr>
            <w:tcW w:w="14485" w:type="dxa"/>
            <w:gridSpan w:val="2"/>
            <w:shd w:val="clear" w:color="auto" w:fill="D0CECE" w:themeFill="background2" w:themeFillShade="E6"/>
          </w:tcPr>
          <w:p w:rsidR="00070F1E" w:rsidRPr="00FF6855" w:rsidRDefault="0025626A" w:rsidP="003244D4">
            <w:pPr>
              <w:ind w:right="-248"/>
              <w:jc w:val="both"/>
              <w:rPr>
                <w:b/>
                <w:sz w:val="20"/>
                <w:szCs w:val="20"/>
                <w:lang w:val="sr-Cyrl-RS"/>
              </w:rPr>
            </w:pPr>
            <w:r w:rsidRPr="0025626A">
              <w:rPr>
                <w:b/>
                <w:bCs/>
                <w:sz w:val="20"/>
                <w:szCs w:val="20"/>
              </w:rPr>
              <w:t>NAME</w:t>
            </w:r>
            <w:r w:rsidR="00A13721">
              <w:rPr>
                <w:b/>
                <w:bCs/>
                <w:sz w:val="20"/>
                <w:szCs w:val="20"/>
              </w:rPr>
              <w:t xml:space="preserve"> OF THE PROJECT</w:t>
            </w:r>
            <w:r w:rsidRPr="0025626A">
              <w:rPr>
                <w:b/>
                <w:bCs/>
                <w:sz w:val="20"/>
                <w:szCs w:val="20"/>
              </w:rPr>
              <w:t>:</w:t>
            </w:r>
            <w:r w:rsidRPr="0025626A">
              <w:rPr>
                <w:b/>
                <w:sz w:val="20"/>
                <w:szCs w:val="20"/>
              </w:rPr>
              <w:t xml:space="preserve"> Construction of linear infrastructure for the development of a new area </w:t>
            </w:r>
            <w:r w:rsidR="003244D4">
              <w:rPr>
                <w:b/>
                <w:sz w:val="20"/>
                <w:szCs w:val="20"/>
              </w:rPr>
              <w:t>within the framework</w:t>
            </w:r>
            <w:r w:rsidRPr="0025626A">
              <w:rPr>
                <w:b/>
                <w:sz w:val="20"/>
                <w:szCs w:val="20"/>
              </w:rPr>
              <w:t xml:space="preserve"> of the construction of the National Football Stadium with accompanying facilities in the </w:t>
            </w:r>
            <w:proofErr w:type="spellStart"/>
            <w:r w:rsidRPr="0025626A">
              <w:rPr>
                <w:b/>
                <w:sz w:val="20"/>
                <w:szCs w:val="20"/>
              </w:rPr>
              <w:t>Surčin</w:t>
            </w:r>
            <w:proofErr w:type="spellEnd"/>
            <w:r w:rsidRPr="0025626A">
              <w:rPr>
                <w:b/>
                <w:sz w:val="20"/>
                <w:szCs w:val="20"/>
              </w:rPr>
              <w:t xml:space="preserve"> municipal territory in Belgrade</w:t>
            </w:r>
          </w:p>
        </w:tc>
      </w:tr>
      <w:tr w:rsidR="00E76FB2" w:rsidRPr="00E76FB2" w:rsidTr="00070F1E">
        <w:trPr>
          <w:trHeight w:val="465"/>
        </w:trPr>
        <w:tc>
          <w:tcPr>
            <w:tcW w:w="4405" w:type="dxa"/>
          </w:tcPr>
          <w:p w:rsidR="00E76FB2" w:rsidRPr="00E76FB2" w:rsidRDefault="0025626A" w:rsidP="0025626A">
            <w:pPr>
              <w:rPr>
                <w:b/>
                <w:sz w:val="20"/>
                <w:szCs w:val="20"/>
                <w:lang w:val="sr-Cyrl-RS"/>
              </w:rPr>
            </w:pPr>
            <w:r w:rsidRPr="0025626A">
              <w:rPr>
                <w:b/>
                <w:sz w:val="20"/>
                <w:szCs w:val="20"/>
                <w:lang w:val="sr-Cyrl-RS"/>
              </w:rPr>
              <w:t xml:space="preserve">Project Status (Completed or Ongoing): </w:t>
            </w:r>
          </w:p>
        </w:tc>
        <w:tc>
          <w:tcPr>
            <w:tcW w:w="10080" w:type="dxa"/>
          </w:tcPr>
          <w:p w:rsidR="00E76FB2" w:rsidRPr="0025626A" w:rsidRDefault="0025626A" w:rsidP="0025626A">
            <w:pPr>
              <w:rPr>
                <w:sz w:val="20"/>
                <w:szCs w:val="20"/>
                <w:lang w:val="sr-Cyrl-RS"/>
              </w:rPr>
            </w:pPr>
            <w:r w:rsidRPr="0025626A">
              <w:rPr>
                <w:sz w:val="20"/>
                <w:szCs w:val="20"/>
                <w:lang w:val="sr-Cyrl-RS"/>
              </w:rPr>
              <w:t xml:space="preserve">Ongoing </w:t>
            </w:r>
          </w:p>
        </w:tc>
      </w:tr>
      <w:tr w:rsidR="00070F1E" w:rsidRPr="00E76FB2" w:rsidTr="00070F1E">
        <w:trPr>
          <w:trHeight w:val="465"/>
        </w:trPr>
        <w:tc>
          <w:tcPr>
            <w:tcW w:w="4405" w:type="dxa"/>
          </w:tcPr>
          <w:p w:rsidR="00070F1E" w:rsidRPr="00E76FB2" w:rsidRDefault="0025626A" w:rsidP="00EC7C4A">
            <w:pPr>
              <w:rPr>
                <w:sz w:val="20"/>
                <w:szCs w:val="20"/>
              </w:rPr>
            </w:pPr>
            <w:r w:rsidRPr="0025626A">
              <w:rPr>
                <w:b/>
                <w:bCs/>
                <w:sz w:val="20"/>
                <w:szCs w:val="20"/>
              </w:rPr>
              <w:t>Basic Information on the Procurement Contract:</w:t>
            </w:r>
          </w:p>
        </w:tc>
        <w:tc>
          <w:tcPr>
            <w:tcW w:w="10080" w:type="dxa"/>
          </w:tcPr>
          <w:p w:rsidR="00070F1E" w:rsidRPr="00FF6855" w:rsidRDefault="0025626A" w:rsidP="00043512">
            <w:pPr>
              <w:jc w:val="both"/>
              <w:rPr>
                <w:sz w:val="20"/>
                <w:szCs w:val="20"/>
                <w:lang w:val="sr-Cyrl-RS"/>
              </w:rPr>
            </w:pPr>
            <w:r w:rsidRPr="0025626A">
              <w:rPr>
                <w:sz w:val="20"/>
                <w:szCs w:val="20"/>
                <w:lang w:val="sr-Cyrl-RS"/>
              </w:rPr>
              <w:t>Contractual agreement – construction of linear infrastructure for the development of a new area as part of the construction of the National Football Stadium with accompanying facilities in the Surčin municipal territory in Belgrade, registered with the Government of the Republic of Serbia on April 27, 2023</w:t>
            </w:r>
          </w:p>
        </w:tc>
      </w:tr>
      <w:tr w:rsidR="00070F1E" w:rsidRPr="00E76FB2" w:rsidTr="00070F1E">
        <w:trPr>
          <w:trHeight w:val="462"/>
        </w:trPr>
        <w:tc>
          <w:tcPr>
            <w:tcW w:w="4405" w:type="dxa"/>
          </w:tcPr>
          <w:p w:rsidR="00070F1E" w:rsidRPr="00A13721" w:rsidRDefault="00A13721" w:rsidP="00E76FB2">
            <w:pPr>
              <w:rPr>
                <w:sz w:val="20"/>
                <w:szCs w:val="20"/>
                <w:lang w:val="sr-Latn-RS"/>
              </w:rPr>
            </w:pPr>
            <w:r w:rsidRPr="00A13721">
              <w:rPr>
                <w:b/>
                <w:sz w:val="20"/>
                <w:szCs w:val="20"/>
                <w:lang w:val="sr-Latn-RS"/>
              </w:rPr>
              <w:t>Contracting Authority</w:t>
            </w:r>
            <w:r w:rsidRPr="00A13721">
              <w:rPr>
                <w:b/>
                <w:sz w:val="20"/>
                <w:szCs w:val="20"/>
                <w:lang w:val="sr-Cyrl-RS"/>
              </w:rPr>
              <w:t>:</w:t>
            </w:r>
            <w:r>
              <w:rPr>
                <w:b/>
                <w:sz w:val="20"/>
                <w:szCs w:val="20"/>
                <w:lang w:val="sr-Latn-RS"/>
              </w:rPr>
              <w:t xml:space="preserve"> </w:t>
            </w:r>
            <w:bookmarkStart w:id="0" w:name="_GoBack"/>
            <w:bookmarkEnd w:id="0"/>
          </w:p>
        </w:tc>
        <w:tc>
          <w:tcPr>
            <w:tcW w:w="10080" w:type="dxa"/>
          </w:tcPr>
          <w:p w:rsidR="00070F1E" w:rsidRPr="00FF6855" w:rsidRDefault="0025626A" w:rsidP="00043512">
            <w:pPr>
              <w:jc w:val="both"/>
              <w:rPr>
                <w:sz w:val="20"/>
                <w:szCs w:val="20"/>
                <w:lang w:val="sr-Cyrl-RS"/>
              </w:rPr>
            </w:pPr>
            <w:r w:rsidRPr="0025626A">
              <w:rPr>
                <w:sz w:val="20"/>
                <w:szCs w:val="20"/>
                <w:lang w:val="sr-Cyrl-RS"/>
              </w:rPr>
              <w:t>Republic of Serbia – Government of the Republic of Serbia (financier), with the Ministry of Finance of the Republic of Serbia acting on its behalf and managing investor rights</w:t>
            </w:r>
          </w:p>
        </w:tc>
      </w:tr>
      <w:tr w:rsidR="00070F1E" w:rsidRPr="00E76FB2" w:rsidTr="006660AB">
        <w:trPr>
          <w:trHeight w:val="302"/>
        </w:trPr>
        <w:tc>
          <w:tcPr>
            <w:tcW w:w="4405" w:type="dxa"/>
          </w:tcPr>
          <w:p w:rsidR="00070F1E" w:rsidRPr="00E76FB2" w:rsidRDefault="0025626A" w:rsidP="00E76FB2">
            <w:pPr>
              <w:rPr>
                <w:sz w:val="20"/>
                <w:szCs w:val="20"/>
              </w:rPr>
            </w:pPr>
            <w:r w:rsidRPr="0025626A">
              <w:rPr>
                <w:b/>
                <w:sz w:val="20"/>
                <w:szCs w:val="20"/>
              </w:rPr>
              <w:t>Main Contractor:</w:t>
            </w:r>
          </w:p>
        </w:tc>
        <w:tc>
          <w:tcPr>
            <w:tcW w:w="10080" w:type="dxa"/>
          </w:tcPr>
          <w:p w:rsidR="00AE61D6" w:rsidRPr="00E76FB2" w:rsidRDefault="00146288" w:rsidP="00043512">
            <w:pPr>
              <w:jc w:val="both"/>
              <w:rPr>
                <w:sz w:val="20"/>
                <w:szCs w:val="20"/>
              </w:rPr>
            </w:pPr>
            <w:r w:rsidRPr="00146288">
              <w:rPr>
                <w:sz w:val="20"/>
                <w:szCs w:val="20"/>
              </w:rPr>
              <w:t>Power China</w:t>
            </w:r>
          </w:p>
        </w:tc>
      </w:tr>
      <w:tr w:rsidR="00070F1E" w:rsidRPr="00E76FB2" w:rsidTr="00070F1E">
        <w:trPr>
          <w:trHeight w:val="462"/>
        </w:trPr>
        <w:tc>
          <w:tcPr>
            <w:tcW w:w="4405" w:type="dxa"/>
          </w:tcPr>
          <w:p w:rsidR="00070F1E" w:rsidRPr="00E76FB2" w:rsidRDefault="0025626A" w:rsidP="0025626A">
            <w:pPr>
              <w:rPr>
                <w:b/>
                <w:sz w:val="20"/>
                <w:szCs w:val="20"/>
                <w:lang w:val="sr-Cyrl-RS"/>
              </w:rPr>
            </w:pPr>
            <w:r w:rsidRPr="0025626A">
              <w:rPr>
                <w:b/>
                <w:sz w:val="20"/>
                <w:szCs w:val="20"/>
              </w:rPr>
              <w:t xml:space="preserve">Procurement Procedure: </w:t>
            </w:r>
          </w:p>
        </w:tc>
        <w:tc>
          <w:tcPr>
            <w:tcW w:w="10080" w:type="dxa"/>
          </w:tcPr>
          <w:p w:rsidR="00070F1E" w:rsidRPr="0025626A" w:rsidRDefault="0025626A" w:rsidP="0025626A">
            <w:pPr>
              <w:rPr>
                <w:sz w:val="20"/>
                <w:szCs w:val="20"/>
                <w:lang w:val="sr-Cyrl-RS"/>
              </w:rPr>
            </w:pPr>
            <w:r w:rsidRPr="0025626A">
              <w:rPr>
                <w:sz w:val="20"/>
                <w:szCs w:val="20"/>
              </w:rPr>
              <w:t>Direct contracting with the contractor</w:t>
            </w:r>
            <w:r w:rsidRPr="0025626A">
              <w:rPr>
                <w:sz w:val="20"/>
                <w:szCs w:val="20"/>
                <w:lang w:val="sr-Cyrl-RS"/>
              </w:rPr>
              <w:t xml:space="preserve"> </w:t>
            </w:r>
          </w:p>
        </w:tc>
      </w:tr>
      <w:tr w:rsidR="00070F1E" w:rsidRPr="00E76FB2" w:rsidTr="00E76FB2">
        <w:trPr>
          <w:trHeight w:val="359"/>
        </w:trPr>
        <w:tc>
          <w:tcPr>
            <w:tcW w:w="14485" w:type="dxa"/>
            <w:gridSpan w:val="2"/>
            <w:shd w:val="clear" w:color="auto" w:fill="D0CECE" w:themeFill="background2" w:themeFillShade="E6"/>
          </w:tcPr>
          <w:p w:rsidR="00070F1E" w:rsidRPr="00FF6855" w:rsidRDefault="0025626A" w:rsidP="0025626A">
            <w:pPr>
              <w:rPr>
                <w:sz w:val="20"/>
                <w:szCs w:val="20"/>
                <w:lang w:val="sr-Cyrl-RS"/>
              </w:rPr>
            </w:pPr>
            <w:r w:rsidRPr="0025626A">
              <w:rPr>
                <w:b/>
                <w:bCs/>
                <w:sz w:val="20"/>
                <w:szCs w:val="20"/>
              </w:rPr>
              <w:t>NAME</w:t>
            </w:r>
            <w:r w:rsidR="00A13721" w:rsidRPr="0025626A">
              <w:rPr>
                <w:b/>
                <w:bCs/>
                <w:sz w:val="20"/>
                <w:szCs w:val="20"/>
              </w:rPr>
              <w:t xml:space="preserve"> </w:t>
            </w:r>
            <w:r w:rsidR="00A13721">
              <w:rPr>
                <w:b/>
                <w:bCs/>
                <w:sz w:val="20"/>
                <w:szCs w:val="20"/>
              </w:rPr>
              <w:t xml:space="preserve">OF THE </w:t>
            </w:r>
            <w:r w:rsidR="00A13721" w:rsidRPr="0025626A">
              <w:rPr>
                <w:b/>
                <w:bCs/>
                <w:sz w:val="20"/>
                <w:szCs w:val="20"/>
              </w:rPr>
              <w:t>PROJECT</w:t>
            </w:r>
            <w:r w:rsidRPr="0025626A">
              <w:rPr>
                <w:b/>
                <w:bCs/>
                <w:sz w:val="20"/>
                <w:szCs w:val="20"/>
              </w:rPr>
              <w:t>:</w:t>
            </w:r>
            <w:r w:rsidRPr="0025626A">
              <w:rPr>
                <w:b/>
                <w:sz w:val="20"/>
                <w:szCs w:val="20"/>
              </w:rPr>
              <w:t xml:space="preserve"> Construction of the National Football Stadium with accompanying facilities in the </w:t>
            </w:r>
            <w:proofErr w:type="spellStart"/>
            <w:r w:rsidRPr="0025626A">
              <w:rPr>
                <w:b/>
                <w:sz w:val="20"/>
                <w:szCs w:val="20"/>
              </w:rPr>
              <w:t>Surčin</w:t>
            </w:r>
            <w:proofErr w:type="spellEnd"/>
            <w:r w:rsidRPr="0025626A">
              <w:rPr>
                <w:b/>
                <w:sz w:val="20"/>
                <w:szCs w:val="20"/>
              </w:rPr>
              <w:t xml:space="preserve"> municipal territory in Belgrade</w:t>
            </w:r>
          </w:p>
        </w:tc>
      </w:tr>
      <w:tr w:rsidR="0025626A" w:rsidRPr="00E76FB2" w:rsidTr="00070F1E">
        <w:trPr>
          <w:trHeight w:val="465"/>
        </w:trPr>
        <w:tc>
          <w:tcPr>
            <w:tcW w:w="4405" w:type="dxa"/>
          </w:tcPr>
          <w:p w:rsidR="0025626A" w:rsidRPr="00E76FB2" w:rsidRDefault="0025626A" w:rsidP="0025626A">
            <w:pPr>
              <w:rPr>
                <w:b/>
                <w:sz w:val="20"/>
                <w:szCs w:val="20"/>
                <w:lang w:val="sr-Cyrl-RS"/>
              </w:rPr>
            </w:pPr>
            <w:r w:rsidRPr="0025626A">
              <w:rPr>
                <w:b/>
                <w:sz w:val="20"/>
                <w:szCs w:val="20"/>
                <w:lang w:val="sr-Cyrl-RS"/>
              </w:rPr>
              <w:t xml:space="preserve">Project Status (Completed or Ongoing): </w:t>
            </w:r>
          </w:p>
        </w:tc>
        <w:tc>
          <w:tcPr>
            <w:tcW w:w="10080" w:type="dxa"/>
          </w:tcPr>
          <w:p w:rsidR="0025626A" w:rsidRPr="00FF6855" w:rsidRDefault="0025626A" w:rsidP="0025626A">
            <w:pPr>
              <w:rPr>
                <w:sz w:val="20"/>
                <w:szCs w:val="20"/>
                <w:lang w:val="sr-Cyrl-RS"/>
              </w:rPr>
            </w:pPr>
            <w:r w:rsidRPr="0025626A">
              <w:rPr>
                <w:sz w:val="20"/>
                <w:szCs w:val="20"/>
              </w:rPr>
              <w:t>Ongoing</w:t>
            </w:r>
          </w:p>
        </w:tc>
      </w:tr>
      <w:tr w:rsidR="0025626A" w:rsidRPr="00E76FB2" w:rsidTr="00070F1E">
        <w:trPr>
          <w:trHeight w:val="465"/>
        </w:trPr>
        <w:tc>
          <w:tcPr>
            <w:tcW w:w="4405" w:type="dxa"/>
          </w:tcPr>
          <w:p w:rsidR="0025626A" w:rsidRPr="00E76FB2" w:rsidRDefault="0025626A" w:rsidP="0025626A">
            <w:pPr>
              <w:rPr>
                <w:sz w:val="20"/>
                <w:szCs w:val="20"/>
              </w:rPr>
            </w:pPr>
            <w:r w:rsidRPr="0025626A">
              <w:rPr>
                <w:b/>
                <w:bCs/>
                <w:sz w:val="20"/>
                <w:szCs w:val="20"/>
              </w:rPr>
              <w:t>Basic Information on the Procurement Contract:</w:t>
            </w:r>
          </w:p>
        </w:tc>
        <w:tc>
          <w:tcPr>
            <w:tcW w:w="10080" w:type="dxa"/>
          </w:tcPr>
          <w:p w:rsidR="0025626A" w:rsidRPr="00FF6855" w:rsidRDefault="0025626A" w:rsidP="0025626A">
            <w:pPr>
              <w:jc w:val="both"/>
              <w:rPr>
                <w:sz w:val="20"/>
                <w:szCs w:val="20"/>
                <w:lang w:val="sr-Cyrl-RS"/>
              </w:rPr>
            </w:pPr>
            <w:r w:rsidRPr="0025626A">
              <w:rPr>
                <w:sz w:val="20"/>
                <w:szCs w:val="20"/>
              </w:rPr>
              <w:t xml:space="preserve">Contractual agreement – construction of the National Football Stadium with accompanying facilities in the </w:t>
            </w:r>
            <w:proofErr w:type="spellStart"/>
            <w:r w:rsidRPr="0025626A">
              <w:rPr>
                <w:sz w:val="20"/>
                <w:szCs w:val="20"/>
              </w:rPr>
              <w:t>Surčin</w:t>
            </w:r>
            <w:proofErr w:type="spellEnd"/>
            <w:r w:rsidRPr="0025626A">
              <w:rPr>
                <w:sz w:val="20"/>
                <w:szCs w:val="20"/>
              </w:rPr>
              <w:t xml:space="preserve"> municipal territory in Belgrade, registered with the Government of the Republic of Serbia on September 28, 2023</w:t>
            </w:r>
          </w:p>
        </w:tc>
      </w:tr>
      <w:tr w:rsidR="0025626A" w:rsidRPr="00E76FB2" w:rsidTr="00070F1E">
        <w:trPr>
          <w:trHeight w:val="462"/>
        </w:trPr>
        <w:tc>
          <w:tcPr>
            <w:tcW w:w="4405" w:type="dxa"/>
          </w:tcPr>
          <w:p w:rsidR="0025626A" w:rsidRPr="00E76FB2" w:rsidRDefault="00A13721" w:rsidP="0025626A">
            <w:pPr>
              <w:rPr>
                <w:sz w:val="20"/>
                <w:szCs w:val="20"/>
              </w:rPr>
            </w:pPr>
            <w:r w:rsidRPr="00A13721">
              <w:rPr>
                <w:b/>
                <w:sz w:val="20"/>
                <w:szCs w:val="20"/>
                <w:lang w:val="sr-Latn-RS"/>
              </w:rPr>
              <w:t>Contracting Authority</w:t>
            </w:r>
            <w:r w:rsidRPr="00A13721">
              <w:rPr>
                <w:b/>
                <w:sz w:val="20"/>
                <w:szCs w:val="20"/>
                <w:lang w:val="sr-Cyrl-RS"/>
              </w:rPr>
              <w:t>:</w:t>
            </w:r>
          </w:p>
        </w:tc>
        <w:tc>
          <w:tcPr>
            <w:tcW w:w="10080" w:type="dxa"/>
          </w:tcPr>
          <w:p w:rsidR="0025626A" w:rsidRPr="00FF6855" w:rsidRDefault="0025626A" w:rsidP="0025626A">
            <w:pPr>
              <w:jc w:val="both"/>
              <w:rPr>
                <w:sz w:val="20"/>
                <w:szCs w:val="20"/>
                <w:lang w:val="sr-Cyrl-RS"/>
              </w:rPr>
            </w:pPr>
            <w:r w:rsidRPr="0025626A">
              <w:rPr>
                <w:sz w:val="20"/>
                <w:szCs w:val="20"/>
              </w:rPr>
              <w:t>Republic of Serbia – Government of the Republic of Serbia (financier), with the Ministry of Finance of the Republic of Serbia acting on its behalf and managing investor rights</w:t>
            </w:r>
          </w:p>
        </w:tc>
      </w:tr>
      <w:tr w:rsidR="0025626A" w:rsidRPr="00E76FB2" w:rsidTr="00070F1E">
        <w:trPr>
          <w:trHeight w:val="462"/>
        </w:trPr>
        <w:tc>
          <w:tcPr>
            <w:tcW w:w="4405" w:type="dxa"/>
          </w:tcPr>
          <w:p w:rsidR="0025626A" w:rsidRPr="00E76FB2" w:rsidRDefault="0025626A" w:rsidP="0025626A">
            <w:pPr>
              <w:rPr>
                <w:sz w:val="20"/>
                <w:szCs w:val="20"/>
              </w:rPr>
            </w:pPr>
            <w:r w:rsidRPr="0025626A">
              <w:rPr>
                <w:b/>
                <w:sz w:val="20"/>
                <w:szCs w:val="20"/>
              </w:rPr>
              <w:t>Main Contractor:</w:t>
            </w:r>
          </w:p>
        </w:tc>
        <w:tc>
          <w:tcPr>
            <w:tcW w:w="10080" w:type="dxa"/>
          </w:tcPr>
          <w:p w:rsidR="0025626A" w:rsidRPr="00E76FB2" w:rsidRDefault="0025626A" w:rsidP="0025626A">
            <w:pPr>
              <w:jc w:val="both"/>
              <w:rPr>
                <w:sz w:val="20"/>
                <w:szCs w:val="20"/>
              </w:rPr>
            </w:pPr>
            <w:r w:rsidRPr="00146288">
              <w:rPr>
                <w:sz w:val="20"/>
                <w:szCs w:val="20"/>
              </w:rPr>
              <w:t>Power China</w:t>
            </w:r>
          </w:p>
        </w:tc>
      </w:tr>
      <w:tr w:rsidR="0025626A" w:rsidRPr="00E76FB2" w:rsidTr="00070F1E">
        <w:trPr>
          <w:trHeight w:val="462"/>
        </w:trPr>
        <w:tc>
          <w:tcPr>
            <w:tcW w:w="4405" w:type="dxa"/>
          </w:tcPr>
          <w:p w:rsidR="0025626A" w:rsidRPr="00E76FB2" w:rsidRDefault="0025626A" w:rsidP="0025626A">
            <w:pPr>
              <w:rPr>
                <w:b/>
                <w:sz w:val="20"/>
                <w:szCs w:val="20"/>
                <w:lang w:val="sr-Cyrl-RS"/>
              </w:rPr>
            </w:pPr>
            <w:r w:rsidRPr="0025626A">
              <w:rPr>
                <w:b/>
                <w:sz w:val="20"/>
                <w:szCs w:val="20"/>
              </w:rPr>
              <w:t xml:space="preserve">Procurement Procedure: </w:t>
            </w:r>
          </w:p>
        </w:tc>
        <w:tc>
          <w:tcPr>
            <w:tcW w:w="10080" w:type="dxa"/>
          </w:tcPr>
          <w:p w:rsidR="0025626A" w:rsidRPr="00E76FB2" w:rsidRDefault="0025626A" w:rsidP="0025626A">
            <w:pPr>
              <w:rPr>
                <w:sz w:val="20"/>
                <w:szCs w:val="20"/>
              </w:rPr>
            </w:pPr>
            <w:r w:rsidRPr="0025626A">
              <w:rPr>
                <w:sz w:val="20"/>
                <w:szCs w:val="20"/>
              </w:rPr>
              <w:t>Direct contracting with the contracto</w:t>
            </w:r>
            <w:r>
              <w:rPr>
                <w:sz w:val="20"/>
                <w:szCs w:val="20"/>
              </w:rPr>
              <w:t>r</w:t>
            </w:r>
          </w:p>
        </w:tc>
      </w:tr>
      <w:tr w:rsidR="007211E8" w:rsidRPr="00FF6855" w:rsidTr="0075522B">
        <w:trPr>
          <w:trHeight w:val="359"/>
        </w:trPr>
        <w:tc>
          <w:tcPr>
            <w:tcW w:w="14485" w:type="dxa"/>
            <w:gridSpan w:val="2"/>
            <w:shd w:val="clear" w:color="auto" w:fill="D0CECE" w:themeFill="background2" w:themeFillShade="E6"/>
          </w:tcPr>
          <w:p w:rsidR="007211E8" w:rsidRPr="00A52ECA" w:rsidRDefault="00A13721" w:rsidP="00714FF4">
            <w:pPr>
              <w:rPr>
                <w:color w:val="FF0000"/>
                <w:sz w:val="20"/>
                <w:szCs w:val="20"/>
                <w:lang w:val="sr-Cyrl-RS"/>
              </w:rPr>
            </w:pPr>
            <w:r w:rsidRPr="00A13721">
              <w:rPr>
                <w:b/>
                <w:bCs/>
                <w:sz w:val="20"/>
                <w:szCs w:val="20"/>
              </w:rPr>
              <w:t>NAME OF THE PROJECT</w:t>
            </w:r>
            <w:r w:rsidR="0025626A" w:rsidRPr="0025626A">
              <w:rPr>
                <w:b/>
                <w:bCs/>
                <w:sz w:val="20"/>
                <w:szCs w:val="20"/>
              </w:rPr>
              <w:t>:</w:t>
            </w:r>
            <w:r w:rsidR="0025626A" w:rsidRPr="0025626A">
              <w:rPr>
                <w:b/>
                <w:sz w:val="20"/>
                <w:szCs w:val="20"/>
              </w:rPr>
              <w:t xml:space="preserve"> EXPO Belgrade 2027 – Preparatory Works</w:t>
            </w:r>
          </w:p>
        </w:tc>
      </w:tr>
      <w:tr w:rsidR="0025626A" w:rsidRPr="00FF6855" w:rsidTr="0075522B">
        <w:trPr>
          <w:trHeight w:val="465"/>
        </w:trPr>
        <w:tc>
          <w:tcPr>
            <w:tcW w:w="4405" w:type="dxa"/>
          </w:tcPr>
          <w:p w:rsidR="0025626A" w:rsidRPr="00E76FB2" w:rsidRDefault="0025626A" w:rsidP="0025626A">
            <w:pPr>
              <w:rPr>
                <w:b/>
                <w:sz w:val="20"/>
                <w:szCs w:val="20"/>
                <w:lang w:val="sr-Cyrl-RS"/>
              </w:rPr>
            </w:pPr>
            <w:r w:rsidRPr="0025626A">
              <w:rPr>
                <w:b/>
                <w:sz w:val="20"/>
                <w:szCs w:val="20"/>
                <w:lang w:val="sr-Cyrl-RS"/>
              </w:rPr>
              <w:t xml:space="preserve">Project Status (Completed or Ongoing): </w:t>
            </w:r>
          </w:p>
        </w:tc>
        <w:tc>
          <w:tcPr>
            <w:tcW w:w="10080" w:type="dxa"/>
          </w:tcPr>
          <w:p w:rsidR="0025626A" w:rsidRPr="00FF6855" w:rsidRDefault="0025626A" w:rsidP="0025626A">
            <w:pPr>
              <w:rPr>
                <w:sz w:val="20"/>
                <w:szCs w:val="20"/>
                <w:lang w:val="sr-Cyrl-RS"/>
              </w:rPr>
            </w:pPr>
            <w:r w:rsidRPr="0025626A">
              <w:rPr>
                <w:sz w:val="20"/>
                <w:szCs w:val="20"/>
              </w:rPr>
              <w:t>Ongoing</w:t>
            </w:r>
          </w:p>
        </w:tc>
      </w:tr>
      <w:tr w:rsidR="0025626A" w:rsidRPr="00FF6855" w:rsidTr="0075522B">
        <w:trPr>
          <w:trHeight w:val="465"/>
        </w:trPr>
        <w:tc>
          <w:tcPr>
            <w:tcW w:w="4405" w:type="dxa"/>
          </w:tcPr>
          <w:p w:rsidR="0025626A" w:rsidRPr="00E76FB2" w:rsidRDefault="0025626A" w:rsidP="0025626A">
            <w:pPr>
              <w:rPr>
                <w:sz w:val="20"/>
                <w:szCs w:val="20"/>
              </w:rPr>
            </w:pPr>
            <w:r w:rsidRPr="0025626A">
              <w:rPr>
                <w:b/>
                <w:bCs/>
                <w:sz w:val="20"/>
                <w:szCs w:val="20"/>
              </w:rPr>
              <w:t>Basic Information on the Procurement Contract:</w:t>
            </w:r>
          </w:p>
        </w:tc>
        <w:tc>
          <w:tcPr>
            <w:tcW w:w="10080" w:type="dxa"/>
          </w:tcPr>
          <w:p w:rsidR="0025626A" w:rsidRPr="00FF6855" w:rsidRDefault="0025626A" w:rsidP="0025626A">
            <w:pPr>
              <w:jc w:val="both"/>
              <w:rPr>
                <w:sz w:val="20"/>
                <w:szCs w:val="20"/>
                <w:lang w:val="sr-Cyrl-RS"/>
              </w:rPr>
            </w:pPr>
            <w:r w:rsidRPr="0025626A">
              <w:rPr>
                <w:sz w:val="20"/>
                <w:szCs w:val="20"/>
              </w:rPr>
              <w:t>Agreement – preparatory works for the construction of facilities aimed at implementing the International Specialized Exhibition EXPO 2027 with accompanying facilities, registered with the Ministry of Finance on August 7, 2023</w:t>
            </w:r>
          </w:p>
        </w:tc>
      </w:tr>
      <w:tr w:rsidR="0025626A" w:rsidRPr="00FF6855" w:rsidTr="0075522B">
        <w:trPr>
          <w:trHeight w:val="462"/>
        </w:trPr>
        <w:tc>
          <w:tcPr>
            <w:tcW w:w="4405" w:type="dxa"/>
          </w:tcPr>
          <w:p w:rsidR="0025626A" w:rsidRPr="00E76FB2" w:rsidRDefault="00A13721" w:rsidP="0025626A">
            <w:pPr>
              <w:rPr>
                <w:sz w:val="20"/>
                <w:szCs w:val="20"/>
              </w:rPr>
            </w:pPr>
            <w:r w:rsidRPr="00A13721">
              <w:rPr>
                <w:b/>
                <w:sz w:val="20"/>
                <w:szCs w:val="20"/>
                <w:lang w:val="sr-Latn-RS"/>
              </w:rPr>
              <w:t>Contracting Authority</w:t>
            </w:r>
            <w:r w:rsidRPr="00A13721">
              <w:rPr>
                <w:b/>
                <w:sz w:val="20"/>
                <w:szCs w:val="20"/>
                <w:lang w:val="sr-Cyrl-RS"/>
              </w:rPr>
              <w:t>:</w:t>
            </w:r>
          </w:p>
        </w:tc>
        <w:tc>
          <w:tcPr>
            <w:tcW w:w="10080" w:type="dxa"/>
          </w:tcPr>
          <w:p w:rsidR="0025626A" w:rsidRPr="00FF6855" w:rsidRDefault="0025626A" w:rsidP="0025626A">
            <w:pPr>
              <w:jc w:val="both"/>
              <w:rPr>
                <w:sz w:val="20"/>
                <w:szCs w:val="20"/>
                <w:lang w:val="sr-Cyrl-RS"/>
              </w:rPr>
            </w:pPr>
            <w:r w:rsidRPr="0025626A">
              <w:rPr>
                <w:sz w:val="20"/>
                <w:szCs w:val="20"/>
              </w:rPr>
              <w:t>Republic of Serbia represented by the Ministry of Finance of the Republic of Serbia (investor/procurer)</w:t>
            </w:r>
          </w:p>
        </w:tc>
      </w:tr>
      <w:tr w:rsidR="0025626A" w:rsidRPr="00E76FB2" w:rsidTr="0075522B">
        <w:trPr>
          <w:trHeight w:val="462"/>
        </w:trPr>
        <w:tc>
          <w:tcPr>
            <w:tcW w:w="4405" w:type="dxa"/>
          </w:tcPr>
          <w:p w:rsidR="0025626A" w:rsidRPr="00E76FB2" w:rsidRDefault="0025626A" w:rsidP="0025626A">
            <w:pPr>
              <w:rPr>
                <w:sz w:val="20"/>
                <w:szCs w:val="20"/>
              </w:rPr>
            </w:pPr>
            <w:r w:rsidRPr="0025626A">
              <w:rPr>
                <w:b/>
                <w:sz w:val="20"/>
                <w:szCs w:val="20"/>
              </w:rPr>
              <w:t>Main Contractor:</w:t>
            </w:r>
          </w:p>
        </w:tc>
        <w:tc>
          <w:tcPr>
            <w:tcW w:w="10080" w:type="dxa"/>
          </w:tcPr>
          <w:p w:rsidR="0025626A" w:rsidRPr="00E76FB2" w:rsidRDefault="0025626A" w:rsidP="0025626A">
            <w:pPr>
              <w:rPr>
                <w:sz w:val="20"/>
                <w:szCs w:val="20"/>
              </w:rPr>
            </w:pPr>
            <w:r w:rsidRPr="00146288">
              <w:rPr>
                <w:sz w:val="20"/>
                <w:szCs w:val="20"/>
              </w:rPr>
              <w:t>Power China</w:t>
            </w:r>
          </w:p>
        </w:tc>
      </w:tr>
      <w:tr w:rsidR="0025626A" w:rsidRPr="00E76FB2" w:rsidTr="0075522B">
        <w:trPr>
          <w:trHeight w:val="462"/>
        </w:trPr>
        <w:tc>
          <w:tcPr>
            <w:tcW w:w="4405" w:type="dxa"/>
          </w:tcPr>
          <w:p w:rsidR="0025626A" w:rsidRPr="00E76FB2" w:rsidRDefault="0025626A" w:rsidP="0025626A">
            <w:pPr>
              <w:rPr>
                <w:b/>
                <w:sz w:val="20"/>
                <w:szCs w:val="20"/>
                <w:lang w:val="sr-Cyrl-RS"/>
              </w:rPr>
            </w:pPr>
            <w:r w:rsidRPr="0025626A">
              <w:rPr>
                <w:b/>
                <w:sz w:val="20"/>
                <w:szCs w:val="20"/>
              </w:rPr>
              <w:lastRenderedPageBreak/>
              <w:t xml:space="preserve">Procurement Procedure: </w:t>
            </w:r>
          </w:p>
        </w:tc>
        <w:tc>
          <w:tcPr>
            <w:tcW w:w="10080" w:type="dxa"/>
          </w:tcPr>
          <w:p w:rsidR="0025626A" w:rsidRPr="00E76FB2" w:rsidRDefault="0025626A" w:rsidP="0025626A">
            <w:pPr>
              <w:jc w:val="both"/>
              <w:rPr>
                <w:sz w:val="20"/>
                <w:szCs w:val="20"/>
              </w:rPr>
            </w:pPr>
            <w:r w:rsidRPr="0025626A">
              <w:rPr>
                <w:sz w:val="20"/>
                <w:szCs w:val="20"/>
              </w:rPr>
              <w:t>Direct contracting with the contracto</w:t>
            </w:r>
            <w:r>
              <w:rPr>
                <w:sz w:val="20"/>
                <w:szCs w:val="20"/>
              </w:rPr>
              <w:t>r</w:t>
            </w:r>
          </w:p>
        </w:tc>
      </w:tr>
      <w:tr w:rsidR="007211E8" w:rsidRPr="00FF6855" w:rsidTr="0075522B">
        <w:trPr>
          <w:trHeight w:val="359"/>
        </w:trPr>
        <w:tc>
          <w:tcPr>
            <w:tcW w:w="14485" w:type="dxa"/>
            <w:gridSpan w:val="2"/>
            <w:shd w:val="clear" w:color="auto" w:fill="D0CECE" w:themeFill="background2" w:themeFillShade="E6"/>
          </w:tcPr>
          <w:p w:rsidR="007211E8" w:rsidRPr="00A52ECA" w:rsidRDefault="00A13721" w:rsidP="00A52ECA">
            <w:pPr>
              <w:rPr>
                <w:color w:val="FF0000"/>
                <w:sz w:val="20"/>
                <w:szCs w:val="20"/>
                <w:lang w:val="sr-Cyrl-RS"/>
              </w:rPr>
            </w:pPr>
            <w:r w:rsidRPr="00A13721">
              <w:rPr>
                <w:b/>
                <w:bCs/>
                <w:sz w:val="20"/>
                <w:szCs w:val="20"/>
              </w:rPr>
              <w:t xml:space="preserve">NAME OF THE PROJECT: </w:t>
            </w:r>
            <w:r w:rsidR="0025626A" w:rsidRPr="0025626A">
              <w:rPr>
                <w:b/>
                <w:sz w:val="20"/>
                <w:szCs w:val="20"/>
              </w:rPr>
              <w:t>EXPO Belgrade 2027 – Construction of Facilities</w:t>
            </w:r>
          </w:p>
        </w:tc>
      </w:tr>
      <w:tr w:rsidR="0025626A" w:rsidRPr="00FF6855" w:rsidTr="0075522B">
        <w:trPr>
          <w:trHeight w:val="465"/>
        </w:trPr>
        <w:tc>
          <w:tcPr>
            <w:tcW w:w="4405" w:type="dxa"/>
          </w:tcPr>
          <w:p w:rsidR="0025626A" w:rsidRPr="00E76FB2" w:rsidRDefault="0025626A" w:rsidP="0025626A">
            <w:pPr>
              <w:rPr>
                <w:b/>
                <w:sz w:val="20"/>
                <w:szCs w:val="20"/>
                <w:lang w:val="sr-Cyrl-RS"/>
              </w:rPr>
            </w:pPr>
            <w:r w:rsidRPr="0025626A">
              <w:rPr>
                <w:b/>
                <w:sz w:val="20"/>
                <w:szCs w:val="20"/>
                <w:lang w:val="sr-Cyrl-RS"/>
              </w:rPr>
              <w:t xml:space="preserve">Project Status (Completed or Ongoing): </w:t>
            </w:r>
          </w:p>
        </w:tc>
        <w:tc>
          <w:tcPr>
            <w:tcW w:w="10080" w:type="dxa"/>
          </w:tcPr>
          <w:p w:rsidR="0025626A" w:rsidRPr="00FF6855" w:rsidRDefault="0025626A" w:rsidP="0025626A">
            <w:pPr>
              <w:rPr>
                <w:sz w:val="20"/>
                <w:szCs w:val="20"/>
                <w:lang w:val="sr-Cyrl-RS"/>
              </w:rPr>
            </w:pPr>
            <w:r w:rsidRPr="0025626A">
              <w:rPr>
                <w:sz w:val="20"/>
                <w:szCs w:val="20"/>
              </w:rPr>
              <w:t>Ongoing</w:t>
            </w:r>
          </w:p>
        </w:tc>
      </w:tr>
      <w:tr w:rsidR="0025626A" w:rsidRPr="00FF6855" w:rsidTr="0075522B">
        <w:trPr>
          <w:trHeight w:val="465"/>
        </w:trPr>
        <w:tc>
          <w:tcPr>
            <w:tcW w:w="4405" w:type="dxa"/>
          </w:tcPr>
          <w:p w:rsidR="0025626A" w:rsidRPr="00E76FB2" w:rsidRDefault="0025626A" w:rsidP="0025626A">
            <w:pPr>
              <w:rPr>
                <w:sz w:val="20"/>
                <w:szCs w:val="20"/>
              </w:rPr>
            </w:pPr>
            <w:r w:rsidRPr="0025626A">
              <w:rPr>
                <w:b/>
                <w:bCs/>
                <w:sz w:val="20"/>
                <w:szCs w:val="20"/>
              </w:rPr>
              <w:t>Basic Information on the Procurement Contract:</w:t>
            </w:r>
          </w:p>
        </w:tc>
        <w:tc>
          <w:tcPr>
            <w:tcW w:w="10080" w:type="dxa"/>
          </w:tcPr>
          <w:p w:rsidR="0025626A" w:rsidRPr="00FF6855" w:rsidRDefault="0025626A" w:rsidP="0025626A">
            <w:pPr>
              <w:jc w:val="both"/>
              <w:rPr>
                <w:sz w:val="20"/>
                <w:szCs w:val="20"/>
                <w:lang w:val="sr-Cyrl-RS"/>
              </w:rPr>
            </w:pPr>
            <w:r w:rsidRPr="0025626A">
              <w:rPr>
                <w:sz w:val="20"/>
                <w:szCs w:val="20"/>
              </w:rPr>
              <w:t xml:space="preserve">Contractual agreement – construction of facilities aimed at implementing the International Specialized Exhibition EXPO 2027 with accompanying facilities in the </w:t>
            </w:r>
            <w:proofErr w:type="spellStart"/>
            <w:r w:rsidRPr="0025626A">
              <w:rPr>
                <w:sz w:val="20"/>
                <w:szCs w:val="20"/>
              </w:rPr>
              <w:t>Surčin</w:t>
            </w:r>
            <w:proofErr w:type="spellEnd"/>
            <w:r w:rsidRPr="0025626A">
              <w:rPr>
                <w:sz w:val="20"/>
                <w:szCs w:val="20"/>
              </w:rPr>
              <w:t xml:space="preserve"> municipal territory in Belgrade, registered with the Government of the Republic of Serbia on March 27, 2024</w:t>
            </w:r>
          </w:p>
        </w:tc>
      </w:tr>
      <w:tr w:rsidR="0025626A" w:rsidRPr="00FF6855" w:rsidTr="0075522B">
        <w:trPr>
          <w:trHeight w:val="462"/>
        </w:trPr>
        <w:tc>
          <w:tcPr>
            <w:tcW w:w="4405" w:type="dxa"/>
          </w:tcPr>
          <w:p w:rsidR="0025626A" w:rsidRPr="00E76FB2" w:rsidRDefault="00A13721" w:rsidP="0025626A">
            <w:pPr>
              <w:rPr>
                <w:sz w:val="20"/>
                <w:szCs w:val="20"/>
              </w:rPr>
            </w:pPr>
            <w:r>
              <w:rPr>
                <w:b/>
                <w:sz w:val="20"/>
                <w:szCs w:val="20"/>
                <w:lang w:val="sr-Latn-RS"/>
              </w:rPr>
              <w:t>Contracting Authority</w:t>
            </w:r>
            <w:r w:rsidR="0025626A" w:rsidRPr="0025626A">
              <w:rPr>
                <w:b/>
                <w:sz w:val="20"/>
                <w:szCs w:val="20"/>
                <w:lang w:val="sr-Cyrl-RS"/>
              </w:rPr>
              <w:t>:</w:t>
            </w:r>
          </w:p>
        </w:tc>
        <w:tc>
          <w:tcPr>
            <w:tcW w:w="10080" w:type="dxa"/>
          </w:tcPr>
          <w:p w:rsidR="0025626A" w:rsidRPr="00FF6855" w:rsidRDefault="0025626A" w:rsidP="0025626A">
            <w:pPr>
              <w:jc w:val="both"/>
              <w:rPr>
                <w:sz w:val="20"/>
                <w:szCs w:val="20"/>
                <w:lang w:val="sr-Cyrl-RS"/>
              </w:rPr>
            </w:pPr>
            <w:r w:rsidRPr="0025626A">
              <w:rPr>
                <w:sz w:val="20"/>
                <w:szCs w:val="20"/>
              </w:rPr>
              <w:t>Republic of Serbia – Government of the Republic of Serbia (financier), with the Ministry of Finance of the Republic of Serbia acting on its behalf and managing investor rights</w:t>
            </w:r>
          </w:p>
        </w:tc>
      </w:tr>
      <w:tr w:rsidR="0025626A" w:rsidRPr="00E76FB2" w:rsidTr="0075522B">
        <w:trPr>
          <w:trHeight w:val="462"/>
        </w:trPr>
        <w:tc>
          <w:tcPr>
            <w:tcW w:w="4405" w:type="dxa"/>
          </w:tcPr>
          <w:p w:rsidR="0025626A" w:rsidRPr="00E76FB2" w:rsidRDefault="0025626A" w:rsidP="0025626A">
            <w:pPr>
              <w:rPr>
                <w:sz w:val="20"/>
                <w:szCs w:val="20"/>
              </w:rPr>
            </w:pPr>
            <w:r w:rsidRPr="0025626A">
              <w:rPr>
                <w:b/>
                <w:sz w:val="20"/>
                <w:szCs w:val="20"/>
              </w:rPr>
              <w:t>Main Contractor:</w:t>
            </w:r>
          </w:p>
        </w:tc>
        <w:tc>
          <w:tcPr>
            <w:tcW w:w="10080" w:type="dxa"/>
          </w:tcPr>
          <w:p w:rsidR="0025626A" w:rsidRPr="00E76FB2" w:rsidRDefault="00AE61D6" w:rsidP="0025626A">
            <w:pPr>
              <w:rPr>
                <w:sz w:val="20"/>
                <w:szCs w:val="20"/>
              </w:rPr>
            </w:pPr>
            <w:r>
              <w:rPr>
                <w:sz w:val="20"/>
                <w:szCs w:val="20"/>
                <w:lang w:val="sr-Cyrl-RS"/>
              </w:rPr>
              <w:t>P</w:t>
            </w:r>
            <w:proofErr w:type="spellStart"/>
            <w:r w:rsidR="0025626A" w:rsidRPr="00146288">
              <w:rPr>
                <w:sz w:val="20"/>
                <w:szCs w:val="20"/>
              </w:rPr>
              <w:t>ower</w:t>
            </w:r>
            <w:proofErr w:type="spellEnd"/>
            <w:r w:rsidR="0025626A" w:rsidRPr="00146288">
              <w:rPr>
                <w:sz w:val="20"/>
                <w:szCs w:val="20"/>
              </w:rPr>
              <w:t xml:space="preserve"> China</w:t>
            </w:r>
          </w:p>
        </w:tc>
      </w:tr>
      <w:tr w:rsidR="0025626A" w:rsidRPr="00E76FB2" w:rsidTr="0075522B">
        <w:trPr>
          <w:trHeight w:val="462"/>
        </w:trPr>
        <w:tc>
          <w:tcPr>
            <w:tcW w:w="4405" w:type="dxa"/>
          </w:tcPr>
          <w:p w:rsidR="0025626A" w:rsidRPr="00E76FB2" w:rsidRDefault="0025626A" w:rsidP="0025626A">
            <w:pPr>
              <w:rPr>
                <w:b/>
                <w:sz w:val="20"/>
                <w:szCs w:val="20"/>
                <w:lang w:val="sr-Cyrl-RS"/>
              </w:rPr>
            </w:pPr>
            <w:r w:rsidRPr="0025626A">
              <w:rPr>
                <w:b/>
                <w:sz w:val="20"/>
                <w:szCs w:val="20"/>
              </w:rPr>
              <w:t xml:space="preserve">Procurement Procedure: </w:t>
            </w:r>
          </w:p>
        </w:tc>
        <w:tc>
          <w:tcPr>
            <w:tcW w:w="10080" w:type="dxa"/>
          </w:tcPr>
          <w:p w:rsidR="0025626A" w:rsidRPr="00E76FB2" w:rsidRDefault="0025626A" w:rsidP="0025626A">
            <w:pPr>
              <w:rPr>
                <w:sz w:val="20"/>
                <w:szCs w:val="20"/>
              </w:rPr>
            </w:pPr>
            <w:r w:rsidRPr="0025626A">
              <w:rPr>
                <w:sz w:val="20"/>
                <w:szCs w:val="20"/>
              </w:rPr>
              <w:t>Direct contracting with the contracto</w:t>
            </w:r>
            <w:r>
              <w:rPr>
                <w:sz w:val="20"/>
                <w:szCs w:val="20"/>
              </w:rPr>
              <w:t>r</w:t>
            </w:r>
          </w:p>
        </w:tc>
      </w:tr>
    </w:tbl>
    <w:p w:rsidR="00A47896" w:rsidRPr="00E76FB2" w:rsidRDefault="00A47896" w:rsidP="007211E8">
      <w:pPr>
        <w:spacing w:after="0" w:line="240" w:lineRule="auto"/>
        <w:rPr>
          <w:sz w:val="20"/>
          <w:szCs w:val="20"/>
        </w:rPr>
      </w:pPr>
    </w:p>
    <w:sectPr w:rsidR="00A47896" w:rsidRPr="00E76FB2" w:rsidSect="00070F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1E"/>
    <w:rsid w:val="000122CE"/>
    <w:rsid w:val="000202E4"/>
    <w:rsid w:val="00020562"/>
    <w:rsid w:val="000315E5"/>
    <w:rsid w:val="0003543A"/>
    <w:rsid w:val="000372A8"/>
    <w:rsid w:val="00043512"/>
    <w:rsid w:val="00050621"/>
    <w:rsid w:val="00051F4B"/>
    <w:rsid w:val="0005617E"/>
    <w:rsid w:val="00060D13"/>
    <w:rsid w:val="00070F1E"/>
    <w:rsid w:val="0008064D"/>
    <w:rsid w:val="000867CC"/>
    <w:rsid w:val="00086F5C"/>
    <w:rsid w:val="000A31E4"/>
    <w:rsid w:val="000B2C2F"/>
    <w:rsid w:val="000C2608"/>
    <w:rsid w:val="000D7E33"/>
    <w:rsid w:val="000F29D8"/>
    <w:rsid w:val="000F3D76"/>
    <w:rsid w:val="00126875"/>
    <w:rsid w:val="001351A8"/>
    <w:rsid w:val="00141491"/>
    <w:rsid w:val="00146288"/>
    <w:rsid w:val="00153356"/>
    <w:rsid w:val="00155E5B"/>
    <w:rsid w:val="001715C1"/>
    <w:rsid w:val="001779AC"/>
    <w:rsid w:val="00196699"/>
    <w:rsid w:val="001A319A"/>
    <w:rsid w:val="001A414F"/>
    <w:rsid w:val="001B354C"/>
    <w:rsid w:val="001E6129"/>
    <w:rsid w:val="001F416D"/>
    <w:rsid w:val="001F7C82"/>
    <w:rsid w:val="00200BD6"/>
    <w:rsid w:val="00205B0D"/>
    <w:rsid w:val="0023052F"/>
    <w:rsid w:val="002372D1"/>
    <w:rsid w:val="00247363"/>
    <w:rsid w:val="0025626A"/>
    <w:rsid w:val="00256545"/>
    <w:rsid w:val="00256CEA"/>
    <w:rsid w:val="00265ACB"/>
    <w:rsid w:val="002802AB"/>
    <w:rsid w:val="00282B2B"/>
    <w:rsid w:val="00293555"/>
    <w:rsid w:val="002A0DCE"/>
    <w:rsid w:val="002A4D18"/>
    <w:rsid w:val="002C565F"/>
    <w:rsid w:val="002D7940"/>
    <w:rsid w:val="002E7288"/>
    <w:rsid w:val="00304BB1"/>
    <w:rsid w:val="003051E8"/>
    <w:rsid w:val="00305A74"/>
    <w:rsid w:val="00316E53"/>
    <w:rsid w:val="00322ADF"/>
    <w:rsid w:val="003237B1"/>
    <w:rsid w:val="003244D4"/>
    <w:rsid w:val="003459A9"/>
    <w:rsid w:val="003467E5"/>
    <w:rsid w:val="003557A6"/>
    <w:rsid w:val="00357139"/>
    <w:rsid w:val="003616BC"/>
    <w:rsid w:val="003764C5"/>
    <w:rsid w:val="00380721"/>
    <w:rsid w:val="00390D74"/>
    <w:rsid w:val="00392AAD"/>
    <w:rsid w:val="003A3F22"/>
    <w:rsid w:val="003A4472"/>
    <w:rsid w:val="003D62BA"/>
    <w:rsid w:val="003F4D10"/>
    <w:rsid w:val="00401A6C"/>
    <w:rsid w:val="00435B0B"/>
    <w:rsid w:val="00451C54"/>
    <w:rsid w:val="0045219C"/>
    <w:rsid w:val="00467945"/>
    <w:rsid w:val="00475A48"/>
    <w:rsid w:val="004A4EE1"/>
    <w:rsid w:val="004B5AC6"/>
    <w:rsid w:val="004D0014"/>
    <w:rsid w:val="004D06A6"/>
    <w:rsid w:val="004D1CDD"/>
    <w:rsid w:val="004E43D3"/>
    <w:rsid w:val="004E596E"/>
    <w:rsid w:val="004F2D0B"/>
    <w:rsid w:val="00510A6D"/>
    <w:rsid w:val="00513A62"/>
    <w:rsid w:val="00523B49"/>
    <w:rsid w:val="00545764"/>
    <w:rsid w:val="005508B8"/>
    <w:rsid w:val="00550A91"/>
    <w:rsid w:val="005628F4"/>
    <w:rsid w:val="005749E9"/>
    <w:rsid w:val="005827C6"/>
    <w:rsid w:val="00584F37"/>
    <w:rsid w:val="005A74FC"/>
    <w:rsid w:val="005B4A90"/>
    <w:rsid w:val="005C1B23"/>
    <w:rsid w:val="005D0514"/>
    <w:rsid w:val="005D44E3"/>
    <w:rsid w:val="005D4F75"/>
    <w:rsid w:val="005E0B6A"/>
    <w:rsid w:val="005F3BA9"/>
    <w:rsid w:val="006077E6"/>
    <w:rsid w:val="00621BD0"/>
    <w:rsid w:val="00632C97"/>
    <w:rsid w:val="00636362"/>
    <w:rsid w:val="006401FD"/>
    <w:rsid w:val="00654B2B"/>
    <w:rsid w:val="006660AB"/>
    <w:rsid w:val="00680080"/>
    <w:rsid w:val="00681838"/>
    <w:rsid w:val="00686350"/>
    <w:rsid w:val="006932A7"/>
    <w:rsid w:val="0069557D"/>
    <w:rsid w:val="0069747E"/>
    <w:rsid w:val="006A3B18"/>
    <w:rsid w:val="006A4353"/>
    <w:rsid w:val="006A74A9"/>
    <w:rsid w:val="006B63DC"/>
    <w:rsid w:val="006F30E4"/>
    <w:rsid w:val="00706509"/>
    <w:rsid w:val="00714FF4"/>
    <w:rsid w:val="00720322"/>
    <w:rsid w:val="007211E8"/>
    <w:rsid w:val="00735F86"/>
    <w:rsid w:val="00765AC0"/>
    <w:rsid w:val="00771758"/>
    <w:rsid w:val="00773437"/>
    <w:rsid w:val="0077621F"/>
    <w:rsid w:val="00783162"/>
    <w:rsid w:val="007864A0"/>
    <w:rsid w:val="00794BE5"/>
    <w:rsid w:val="007D5B03"/>
    <w:rsid w:val="007E0022"/>
    <w:rsid w:val="007E387F"/>
    <w:rsid w:val="007E3F59"/>
    <w:rsid w:val="007E7DEF"/>
    <w:rsid w:val="00816A29"/>
    <w:rsid w:val="00822CE6"/>
    <w:rsid w:val="00840F82"/>
    <w:rsid w:val="008455CF"/>
    <w:rsid w:val="00861F29"/>
    <w:rsid w:val="008630E1"/>
    <w:rsid w:val="0086372C"/>
    <w:rsid w:val="008A530C"/>
    <w:rsid w:val="008A68CD"/>
    <w:rsid w:val="008A68E2"/>
    <w:rsid w:val="008F2B92"/>
    <w:rsid w:val="008F488F"/>
    <w:rsid w:val="009018B4"/>
    <w:rsid w:val="00913222"/>
    <w:rsid w:val="0092211E"/>
    <w:rsid w:val="00925A86"/>
    <w:rsid w:val="009337A3"/>
    <w:rsid w:val="00935019"/>
    <w:rsid w:val="00947D51"/>
    <w:rsid w:val="00995DBF"/>
    <w:rsid w:val="009A1F63"/>
    <w:rsid w:val="009C472B"/>
    <w:rsid w:val="009D2185"/>
    <w:rsid w:val="00A10780"/>
    <w:rsid w:val="00A13721"/>
    <w:rsid w:val="00A33299"/>
    <w:rsid w:val="00A4152F"/>
    <w:rsid w:val="00A44EA7"/>
    <w:rsid w:val="00A47896"/>
    <w:rsid w:val="00A52ECA"/>
    <w:rsid w:val="00A60980"/>
    <w:rsid w:val="00A618EC"/>
    <w:rsid w:val="00A700AA"/>
    <w:rsid w:val="00AA0207"/>
    <w:rsid w:val="00AC6973"/>
    <w:rsid w:val="00AD1EA8"/>
    <w:rsid w:val="00AD4368"/>
    <w:rsid w:val="00AE61D6"/>
    <w:rsid w:val="00B11780"/>
    <w:rsid w:val="00B1690F"/>
    <w:rsid w:val="00B24002"/>
    <w:rsid w:val="00B32BFA"/>
    <w:rsid w:val="00B41163"/>
    <w:rsid w:val="00B438C4"/>
    <w:rsid w:val="00B471E6"/>
    <w:rsid w:val="00B52A3C"/>
    <w:rsid w:val="00B55F8D"/>
    <w:rsid w:val="00B66259"/>
    <w:rsid w:val="00B850DB"/>
    <w:rsid w:val="00B85E84"/>
    <w:rsid w:val="00B95E70"/>
    <w:rsid w:val="00BC1D19"/>
    <w:rsid w:val="00BC5F83"/>
    <w:rsid w:val="00BC64BD"/>
    <w:rsid w:val="00C0356A"/>
    <w:rsid w:val="00C041FE"/>
    <w:rsid w:val="00C12A03"/>
    <w:rsid w:val="00C530A6"/>
    <w:rsid w:val="00C63AC2"/>
    <w:rsid w:val="00C709C0"/>
    <w:rsid w:val="00C7372E"/>
    <w:rsid w:val="00CA2453"/>
    <w:rsid w:val="00CD7C85"/>
    <w:rsid w:val="00CE28C5"/>
    <w:rsid w:val="00CF4716"/>
    <w:rsid w:val="00D051F8"/>
    <w:rsid w:val="00D07248"/>
    <w:rsid w:val="00D76FD3"/>
    <w:rsid w:val="00DA7E0F"/>
    <w:rsid w:val="00DB1C6A"/>
    <w:rsid w:val="00DB5A7C"/>
    <w:rsid w:val="00DC22F5"/>
    <w:rsid w:val="00DC32DD"/>
    <w:rsid w:val="00DC50A9"/>
    <w:rsid w:val="00DD0617"/>
    <w:rsid w:val="00DD4115"/>
    <w:rsid w:val="00DD6646"/>
    <w:rsid w:val="00E01C12"/>
    <w:rsid w:val="00E04566"/>
    <w:rsid w:val="00E0477C"/>
    <w:rsid w:val="00E0586F"/>
    <w:rsid w:val="00E24DBF"/>
    <w:rsid w:val="00E67A6D"/>
    <w:rsid w:val="00E76FB2"/>
    <w:rsid w:val="00E839DB"/>
    <w:rsid w:val="00EA2E3D"/>
    <w:rsid w:val="00EC1A3C"/>
    <w:rsid w:val="00EC4EC8"/>
    <w:rsid w:val="00EC615F"/>
    <w:rsid w:val="00EC7C4A"/>
    <w:rsid w:val="00ED086B"/>
    <w:rsid w:val="00ED0902"/>
    <w:rsid w:val="00ED659E"/>
    <w:rsid w:val="00EF409C"/>
    <w:rsid w:val="00F14DEE"/>
    <w:rsid w:val="00F20D9C"/>
    <w:rsid w:val="00F27DE8"/>
    <w:rsid w:val="00F42632"/>
    <w:rsid w:val="00F429A0"/>
    <w:rsid w:val="00F52F15"/>
    <w:rsid w:val="00F60058"/>
    <w:rsid w:val="00F8025F"/>
    <w:rsid w:val="00F953D5"/>
    <w:rsid w:val="00FA6DDF"/>
    <w:rsid w:val="00FB76D0"/>
    <w:rsid w:val="00FC1FFC"/>
    <w:rsid w:val="00FC7C18"/>
    <w:rsid w:val="00FE1261"/>
    <w:rsid w:val="00FF58F3"/>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32FE"/>
  <w15:chartTrackingRefBased/>
  <w15:docId w15:val="{D28A22FB-64F4-4F85-9C7C-905EDCA6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1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F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C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6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Jevtović</dc:creator>
  <cp:keywords/>
  <dc:description/>
  <cp:lastModifiedBy>Ministarstvo finansija</cp:lastModifiedBy>
  <cp:revision>4</cp:revision>
  <cp:lastPrinted>2025-05-15T10:08:00Z</cp:lastPrinted>
  <dcterms:created xsi:type="dcterms:W3CDTF">2025-07-28T10:37:00Z</dcterms:created>
  <dcterms:modified xsi:type="dcterms:W3CDTF">2025-07-28T11:05:00Z</dcterms:modified>
</cp:coreProperties>
</file>