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F1" w:rsidRDefault="00F81553">
      <w:pPr>
        <w:spacing w:after="150"/>
      </w:pPr>
      <w:bookmarkStart w:id="0" w:name="_GoBack"/>
      <w:bookmarkEnd w:id="0"/>
      <w:r>
        <w:rPr>
          <w:color w:val="000000"/>
        </w:rPr>
        <w:t>На основу члана 43. став 3. Закона о Влади („Службени гласник РС”, бр. 55/05, 71/05 – исправка, 101/07, 65/08, 16/11, 68/12 – УС, 72/12, 7/14 –</w:t>
      </w:r>
      <w:r>
        <w:rPr>
          <w:color w:val="000000"/>
        </w:rPr>
        <w:t xml:space="preserve"> УС, 44/14 и 30/18 – др. закон), на предлог Министарства финансија,</w:t>
      </w:r>
    </w:p>
    <w:p w:rsidR="003A56F1" w:rsidRDefault="00F81553">
      <w:pPr>
        <w:spacing w:after="150"/>
      </w:pPr>
      <w:r>
        <w:rPr>
          <w:color w:val="000000"/>
        </w:rPr>
        <w:t>Влада доноси</w:t>
      </w:r>
    </w:p>
    <w:p w:rsidR="003A56F1" w:rsidRDefault="00F81553">
      <w:pPr>
        <w:spacing w:after="225"/>
        <w:jc w:val="center"/>
      </w:pPr>
      <w:r>
        <w:rPr>
          <w:b/>
          <w:color w:val="000000"/>
        </w:rPr>
        <w:t>ЗАКЉУЧАК</w:t>
      </w:r>
    </w:p>
    <w:p w:rsidR="003A56F1" w:rsidRDefault="00F81553">
      <w:pPr>
        <w:spacing w:after="150"/>
      </w:pPr>
      <w:r>
        <w:rPr>
          <w:color w:val="000000"/>
        </w:rPr>
        <w:t>1. Усваја се Стратешки план за борбу против превара и управљање неправилностима у поступању са финансијским средствима Европске уније у Републици Србији за период 202</w:t>
      </w:r>
      <w:r>
        <w:rPr>
          <w:color w:val="000000"/>
        </w:rPr>
        <w:t>1−2023. године, који је саставни део овог закључка.</w:t>
      </w:r>
    </w:p>
    <w:p w:rsidR="003A56F1" w:rsidRDefault="00F81553">
      <w:pPr>
        <w:spacing w:after="150"/>
      </w:pPr>
      <w:r>
        <w:rPr>
          <w:color w:val="000000"/>
        </w:rPr>
        <w:t>2. Овај закључак објавити у „Службеном гласнику Републике Србије”.</w:t>
      </w:r>
    </w:p>
    <w:p w:rsidR="003A56F1" w:rsidRDefault="00F81553">
      <w:pPr>
        <w:spacing w:after="150"/>
        <w:jc w:val="right"/>
      </w:pPr>
      <w:r>
        <w:rPr>
          <w:color w:val="000000"/>
        </w:rPr>
        <w:t>05 број 48-9638/2021-1</w:t>
      </w:r>
    </w:p>
    <w:p w:rsidR="003A56F1" w:rsidRDefault="00F81553">
      <w:pPr>
        <w:spacing w:after="150"/>
        <w:jc w:val="right"/>
      </w:pPr>
      <w:r>
        <w:rPr>
          <w:color w:val="000000"/>
        </w:rPr>
        <w:t>У Београду, 21. октобра 2021. године</w:t>
      </w:r>
    </w:p>
    <w:p w:rsidR="003A56F1" w:rsidRDefault="00F81553">
      <w:pPr>
        <w:spacing w:after="150"/>
        <w:jc w:val="right"/>
      </w:pPr>
      <w:r>
        <w:rPr>
          <w:b/>
          <w:color w:val="000000"/>
        </w:rPr>
        <w:t>Влада</w:t>
      </w:r>
    </w:p>
    <w:p w:rsidR="003A56F1" w:rsidRDefault="00F81553">
      <w:pPr>
        <w:spacing w:after="150"/>
        <w:jc w:val="right"/>
      </w:pPr>
      <w:r>
        <w:rPr>
          <w:color w:val="000000"/>
        </w:rPr>
        <w:t>Председник,</w:t>
      </w:r>
    </w:p>
    <w:p w:rsidR="003A56F1" w:rsidRDefault="00F81553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3A56F1" w:rsidRDefault="00F81553">
      <w:pPr>
        <w:spacing w:after="120"/>
        <w:jc w:val="center"/>
      </w:pPr>
      <w:r>
        <w:rPr>
          <w:color w:val="000000"/>
        </w:rPr>
        <w:t>СТРАТЕШКИ ПЛАН</w:t>
      </w:r>
    </w:p>
    <w:p w:rsidR="003A56F1" w:rsidRDefault="00F81553">
      <w:pPr>
        <w:spacing w:after="120"/>
        <w:jc w:val="center"/>
      </w:pPr>
      <w:r>
        <w:rPr>
          <w:color w:val="000000"/>
        </w:rPr>
        <w:t xml:space="preserve">ЗА БОРБУ ПРОТИВ ПРЕВАРА И </w:t>
      </w:r>
      <w:r>
        <w:rPr>
          <w:color w:val="000000"/>
        </w:rPr>
        <w:t>УПРАВЉАЊЕ НЕПРАВИЛНОСТИМА У ПОСТУПАЊУ СА ФИНАНСИЈСКИМ СРЕДСТВИМА ЕВРОПСКЕ УНИЈЕ У РЕПУБЛИЦИ СРБИЈИ ЗА ПЕРИОД 2021−2023. ГОДИНЕ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I. Увод</w:t>
      </w:r>
    </w:p>
    <w:p w:rsidR="003A56F1" w:rsidRDefault="00F81553">
      <w:pPr>
        <w:spacing w:after="150"/>
      </w:pPr>
      <w:r>
        <w:rPr>
          <w:color w:val="000000"/>
        </w:rPr>
        <w:t xml:space="preserve">Пуноправно чланство у Европској унији представља један од главних циљева Републике Србије. На путу ка испуњењу наведеног </w:t>
      </w:r>
      <w:r>
        <w:rPr>
          <w:color w:val="000000"/>
        </w:rPr>
        <w:t>циља неопходно је, између осталог, достизање стандарда Европске уније, успостављање владавине права и унапређење институционалног оквира, као и економски развој и напредак државе. С обзиром на задате циљеве, Република Србија спроводи реформе и предузима ме</w:t>
      </w:r>
      <w:r>
        <w:rPr>
          <w:color w:val="000000"/>
        </w:rPr>
        <w:t>ре како би се остварили задовољавајући резултати. Државама кандидатима на европском путу, како финансијску тако и саветодавну помоћ пружа Европска унија.</w:t>
      </w:r>
    </w:p>
    <w:p w:rsidR="003A56F1" w:rsidRDefault="00F81553">
      <w:pPr>
        <w:spacing w:after="150"/>
      </w:pPr>
      <w:r>
        <w:rPr>
          <w:color w:val="000000"/>
        </w:rPr>
        <w:t>Европска унија (у даљем тексту: ЕУ) је од 2007. године кроз претприступне инструменте, ИПА (2007−2013)</w:t>
      </w:r>
      <w:r>
        <w:rPr>
          <w:color w:val="000000"/>
        </w:rPr>
        <w:t xml:space="preserve"> и ИПА II (2014−2020), издвојила око 2,85 милијарди евра бесповратних средстава, што је чини највећим донатором у Републици Србији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:rsidR="003A56F1" w:rsidRDefault="00F81553">
      <w:pPr>
        <w:spacing w:after="150"/>
      </w:pPr>
      <w:r>
        <w:rPr>
          <w:color w:val="000000"/>
        </w:rPr>
        <w:t>Како би употреба наведених средства била ефикасна и ефективна и у складу са предвиђеном наменом, потребно је да Република С</w:t>
      </w:r>
      <w:r>
        <w:rPr>
          <w:color w:val="000000"/>
        </w:rPr>
        <w:t xml:space="preserve">рбија осигура рационално и одговорно коришћење истих, као и да успостави систем контроле како би се потенцијалне неправилности и преваре правовремено уочиле. С тим у вези, дана 26. октобра 2017. године Влада је донела Стратегију за сузбијање неправилности </w:t>
      </w:r>
      <w:r>
        <w:rPr>
          <w:color w:val="000000"/>
        </w:rPr>
        <w:t xml:space="preserve">и превара у поступању са </w:t>
      </w:r>
      <w:r>
        <w:rPr>
          <w:color w:val="000000"/>
        </w:rPr>
        <w:lastRenderedPageBreak/>
        <w:t>финансијским средствима Европске уније у Републици Србији за период 2017−2020. године („Службени гласник РСˮ, број 98/17 – у даљем тексту: Стратегија 2017−2020) са пратећим акционим планом.</w:t>
      </w:r>
    </w:p>
    <w:p w:rsidR="003A56F1" w:rsidRDefault="00F81553">
      <w:pPr>
        <w:spacing w:after="150"/>
      </w:pPr>
      <w:r>
        <w:rPr>
          <w:color w:val="000000"/>
        </w:rPr>
        <w:t>Стратегија 2017−2020 представљала је доку</w:t>
      </w:r>
      <w:r>
        <w:rPr>
          <w:color w:val="000000"/>
        </w:rPr>
        <w:t>мент који први пут у Републици Србији област заштите финансијских средстава ЕУ, а самим тим и област заштите сопствених буџетских средстава, третира на систематичан и темељан начин дефинисањем области примене, повезивањем широког круга државних институција</w:t>
      </w:r>
      <w:r>
        <w:rPr>
          <w:color w:val="000000"/>
        </w:rPr>
        <w:t xml:space="preserve"> и органа који кроз сарадњу и размену информација доприносе ефикаснијем поступању са идентификованим неправилностима и процесуирању починилаца кривичних дела. Стратегија 2017−2020 донета је у циљу успостављања свеобухватног и ефикасног система заштите фина</w:t>
      </w:r>
      <w:r>
        <w:rPr>
          <w:color w:val="000000"/>
        </w:rPr>
        <w:t>нсијских интереса ЕУ. Спровођење активности за испуњење циљева, утврђених поменутом стратегијом, било је поверено институцијама и државним органима који су имали своје представнике у Мрежи за сузбијање неправилности и превара у поступању са финансијским ср</w:t>
      </w:r>
      <w:r>
        <w:rPr>
          <w:color w:val="000000"/>
        </w:rPr>
        <w:t>едствима Европске уније (у даљем тексту: Мрежа).</w:t>
      </w:r>
    </w:p>
    <w:p w:rsidR="003A56F1" w:rsidRDefault="00F81553">
      <w:pPr>
        <w:spacing w:after="150"/>
      </w:pPr>
      <w:r>
        <w:rPr>
          <w:color w:val="000000"/>
        </w:rPr>
        <w:t>Стратешки приступ заштити финансијских интереса ЕУ показао се као ефикасан механизам за успешно остварење задатих циљева и распоређивање ресурса потребних за њихово остварење. У периоду важења Стратегије 201</w:t>
      </w:r>
      <w:r>
        <w:rPr>
          <w:color w:val="000000"/>
        </w:rPr>
        <w:t>7−2020 остварени су позитивни помаци у бројним областима које се односе на заштиту финансијских интереса ЕУ, као што су сарадња са Европском канцеларијом за борбу против превара (у даљем тексту: ОЛАФ), сарадња са државним органима и институцијама потписива</w:t>
      </w:r>
      <w:r>
        <w:rPr>
          <w:color w:val="000000"/>
        </w:rPr>
        <w:t>њем споразума о сарадњи и размени информација, едукација запослених у државним органима о начину заштите финансијских интереса ЕУ, измена позитивног законодавства Републике Србије, као и успостављање процеса управљања ризицима у вези са појавом неправилнос</w:t>
      </w:r>
      <w:r>
        <w:rPr>
          <w:color w:val="000000"/>
        </w:rPr>
        <w:t>ти и превара у поступању са финансијским средствима ЕУ.</w:t>
      </w:r>
    </w:p>
    <w:p w:rsidR="003A56F1" w:rsidRDefault="00F81553">
      <w:pPr>
        <w:spacing w:after="150"/>
      </w:pPr>
      <w:r>
        <w:rPr>
          <w:color w:val="000000"/>
        </w:rPr>
        <w:t>–––––––––––––</w:t>
      </w:r>
    </w:p>
    <w:p w:rsidR="003A56F1" w:rsidRDefault="00F81553">
      <w:pPr>
        <w:spacing w:after="150"/>
      </w:pPr>
      <w:r>
        <w:rPr>
          <w:color w:val="000000"/>
        </w:rPr>
        <w:t>1 Извор: Министарство за европске интеграције</w:t>
      </w:r>
    </w:p>
    <w:p w:rsidR="003A56F1" w:rsidRDefault="00F81553">
      <w:pPr>
        <w:spacing w:after="150"/>
      </w:pPr>
      <w:r>
        <w:rPr>
          <w:color w:val="000000"/>
        </w:rPr>
        <w:t>Ради одржавања континуитета у постигнутом нивоу заштите финансијских интереса ЕУ, Програмом реформе управљања јавним финансијама за период 2</w:t>
      </w:r>
      <w:r>
        <w:rPr>
          <w:color w:val="000000"/>
        </w:rPr>
        <w:t xml:space="preserve">021−2025. године („Службени гласник РС”, број 70/21), предвиђена је израда посебног документа који се односи на ову област. Доношење Стратешког плана за борбу против превара и управљање неправилностима у поступању са финансијским средствима Европске уније </w:t>
      </w:r>
      <w:r>
        <w:rPr>
          <w:color w:val="000000"/>
        </w:rPr>
        <w:t>у Републици Србији за период 2021−2023. године (у даљем тексту: Стратешки план) представља наставак спровођења политике Републике Србије која се односи на заштиту финансијских интереса ЕУ, а самим тим и заштиту средстава националног буџета.</w:t>
      </w:r>
    </w:p>
    <w:p w:rsidR="003A56F1" w:rsidRDefault="00F81553">
      <w:pPr>
        <w:spacing w:after="150"/>
      </w:pPr>
      <w:r>
        <w:rPr>
          <w:color w:val="000000"/>
        </w:rPr>
        <w:t>Доношење и импл</w:t>
      </w:r>
      <w:r>
        <w:rPr>
          <w:color w:val="000000"/>
        </w:rPr>
        <w:t xml:space="preserve">ементација Стратешког плана уједно представља и испуњење обавезe утврђене Преговарачком позицијом Републике Србије за </w:t>
      </w:r>
      <w:r>
        <w:rPr>
          <w:color w:val="000000"/>
        </w:rPr>
        <w:lastRenderedPageBreak/>
        <w:t>Међувладину конференцију о приступању Републике Србије Европској унији за поглавље 32 – Финансијски надзор (у даљем тексту: Преговарачка п</w:t>
      </w:r>
      <w:r>
        <w:rPr>
          <w:color w:val="000000"/>
        </w:rPr>
        <w:t>озиција за поглавље 32. Финансијски надзор).</w:t>
      </w:r>
    </w:p>
    <w:p w:rsidR="003A56F1" w:rsidRDefault="00F81553">
      <w:pPr>
        <w:spacing w:after="150"/>
      </w:pPr>
      <w:r>
        <w:rPr>
          <w:color w:val="000000"/>
        </w:rPr>
        <w:t>Кроз текст Стратешког плана прожимају се све урађене анализе које су претходиле финализацији текста и дефинисању циљева, као и препоруке за побољшање у свим фазама циклуса сузбијања неправилности и превара у пос</w:t>
      </w:r>
      <w:r>
        <w:rPr>
          <w:color w:val="000000"/>
        </w:rPr>
        <w:t>тупању са финансијским средствима ЕУ. Кроз активности које су унете у Акциони план, који је саставни део овог документа, конкретизовани су и поједини кораци ка испуњавању зацртаних циљева у отклањању уочених ризика.</w:t>
      </w:r>
    </w:p>
    <w:p w:rsidR="003A56F1" w:rsidRDefault="00F81553">
      <w:pPr>
        <w:spacing w:after="150"/>
      </w:pPr>
      <w:r>
        <w:rPr>
          <w:color w:val="000000"/>
        </w:rPr>
        <w:t>Програмом реформе управљања јавним финан</w:t>
      </w:r>
      <w:r>
        <w:rPr>
          <w:color w:val="000000"/>
        </w:rPr>
        <w:t xml:space="preserve">сијама за период 2021−2025. године назначено је да је обавеза доношења стратегије утврђена Преговарачком позицијом за поглавље 32. Финансијски надзор, у форми, са садржајем и према методолошком упутству Европске комисије </w:t>
      </w:r>
      <w:r>
        <w:rPr>
          <w:i/>
          <w:color w:val="000000"/>
        </w:rPr>
        <w:t>Guidelines on National Anti – Fraud</w:t>
      </w:r>
      <w:r>
        <w:rPr>
          <w:i/>
          <w:color w:val="000000"/>
        </w:rPr>
        <w:t xml:space="preserve"> Strategies Ref. Ares(2016)6943965.</w:t>
      </w:r>
    </w:p>
    <w:p w:rsidR="003A56F1" w:rsidRDefault="00F81553">
      <w:pPr>
        <w:spacing w:after="150"/>
      </w:pPr>
      <w:r>
        <w:rPr>
          <w:color w:val="000000"/>
        </w:rPr>
        <w:t xml:space="preserve">Сходно наведеном упутству Европске комисије, документ који се односи на заштиту финансијских интереса ЕУ, поред осталог, треба да садржи правни оквир, везу са другим националним стратешким документима, тренутно стање у </w:t>
      </w:r>
      <w:r>
        <w:rPr>
          <w:color w:val="000000"/>
        </w:rPr>
        <w:t>борби против превара, процену ризика од превара, утврђене мере и циљеве, институције укључене у процес израде стратешког документа, као и институцију одговорну за праћење спровођења активности и извештавање. Документ треба да садржи и план активности, у фо</w:t>
      </w:r>
      <w:r>
        <w:rPr>
          <w:color w:val="000000"/>
        </w:rPr>
        <w:t>рмату датом у наведеном методолошком упутству, који се заснива на утврђеним приоритетима и повезаним циљевима, мерама, активностима, институцијама одговорним за спровођење активности и роковима за реализацију истих.</w:t>
      </w:r>
    </w:p>
    <w:p w:rsidR="003A56F1" w:rsidRDefault="00F81553">
      <w:pPr>
        <w:spacing w:after="150"/>
      </w:pPr>
      <w:r>
        <w:rPr>
          <w:color w:val="000000"/>
        </w:rPr>
        <w:t>Имајући у виду да је један од задатака М</w:t>
      </w:r>
      <w:r>
        <w:rPr>
          <w:color w:val="000000"/>
        </w:rPr>
        <w:t>реже за борбу против превара и управљање неправилностима у поступању са финансијским средствима Европске уније (у даљем тексту: Мрежа за борбу против превара) израда стратегије и акционог плана за њено спровођење, консултације су спроведене са члановима ис</w:t>
      </w:r>
      <w:r>
        <w:rPr>
          <w:color w:val="000000"/>
        </w:rPr>
        <w:t xml:space="preserve">те, како приликом спровођења </w:t>
      </w:r>
      <w:r>
        <w:rPr>
          <w:i/>
          <w:color w:val="000000"/>
        </w:rPr>
        <w:t>еx-post</w:t>
      </w:r>
      <w:r>
        <w:rPr>
          <w:color w:val="000000"/>
        </w:rPr>
        <w:t xml:space="preserve"> и </w:t>
      </w:r>
      <w:r>
        <w:rPr>
          <w:i/>
          <w:color w:val="000000"/>
        </w:rPr>
        <w:t>еx-ante</w:t>
      </w:r>
      <w:r>
        <w:rPr>
          <w:color w:val="000000"/>
        </w:rPr>
        <w:t xml:space="preserve"> анализе ефеката, тако и приликом израде текста Стратешког плана.</w:t>
      </w:r>
    </w:p>
    <w:p w:rsidR="003A56F1" w:rsidRDefault="00F81553">
      <w:pPr>
        <w:spacing w:after="150"/>
      </w:pPr>
      <w:r>
        <w:rPr>
          <w:color w:val="000000"/>
        </w:rPr>
        <w:t>Мрежа за борбу против превара образована је Oдлуком о образовању Мреже за борбу против превара и управљање неправилностима у поступању са финанс</w:t>
      </w:r>
      <w:r>
        <w:rPr>
          <w:color w:val="000000"/>
        </w:rPr>
        <w:t>ијским средствима Европске уније („Службени гласник РСˮ, бр. 6/21 и 38/21 – у даљем тексту: Одлука), са циљем борбе против превара и управљања неправилностима у поступању са финансијским средствима ЕУ у периоду пружања финансијске помоћи ЕУ Републици Србиј</w:t>
      </w:r>
      <w:r>
        <w:rPr>
          <w:color w:val="000000"/>
        </w:rPr>
        <w:t>и.</w:t>
      </w:r>
    </w:p>
    <w:p w:rsidR="003A56F1" w:rsidRDefault="00F81553">
      <w:pPr>
        <w:spacing w:after="150"/>
      </w:pPr>
      <w:r>
        <w:rPr>
          <w:color w:val="000000"/>
        </w:rPr>
        <w:t>Задаци Мреже за борбу против превара, између осталог, су: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прикупљање, праћење и анализирање података о предузетим мерама за борбу против превара и управљање неправилностима у поступању са финансијским средствима ЕУ;</w:t>
      </w:r>
    </w:p>
    <w:p w:rsidR="003A56F1" w:rsidRDefault="00F81553">
      <w:pPr>
        <w:spacing w:after="150"/>
      </w:pPr>
      <w:r>
        <w:rPr>
          <w:color w:val="000000"/>
        </w:rPr>
        <w:lastRenderedPageBreak/>
        <w:t>−</w:t>
      </w:r>
      <w:r>
        <w:rPr>
          <w:color w:val="000000"/>
        </w:rPr>
        <w:t xml:space="preserve"> иницирање законодавних и других </w:t>
      </w:r>
      <w:r>
        <w:rPr>
          <w:color w:val="000000"/>
        </w:rPr>
        <w:t>мера са циљем борбе против превара и управљања неправилностима у поступању са финансијским средствима ЕУ;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јачање међуинституционалне сарадње и размене података између државних органа, организација и институција чији су представници укључени у рад Мреже з</w:t>
      </w:r>
      <w:r>
        <w:rPr>
          <w:color w:val="000000"/>
        </w:rPr>
        <w:t>а борбу против превара о пријављеним случајевима сумње на превару, корупцију или других неправилности; и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разматрање, давање предлога, мишљења и стручних образложења у вези са свим другим питањима од значаја за борбу против превара и управљање неправилнос</w:t>
      </w:r>
      <w:r>
        <w:rPr>
          <w:color w:val="000000"/>
        </w:rPr>
        <w:t>тима у поступању са финансијским средствима ЕУ.</w:t>
      </w:r>
    </w:p>
    <w:p w:rsidR="003A56F1" w:rsidRDefault="00F81553">
      <w:pPr>
        <w:spacing w:after="150"/>
      </w:pPr>
      <w:r>
        <w:rPr>
          <w:color w:val="000000"/>
        </w:rPr>
        <w:t>Чланови и заменици чланова Мреже за борбу против превара су именовани представници следећих институција: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Министарства финансија;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Министарства унутрашњих послова;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Министарства правде;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Министарства за е</w:t>
      </w:r>
      <w:r>
        <w:rPr>
          <w:color w:val="000000"/>
        </w:rPr>
        <w:t>вропске интеграције;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Министарства пољопривреде, шумарства и водопривреде;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Републичког јавног тужилаштва;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Агенције за спречавање корупције; и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Канцеларије за ревизију система управљања средствима Европске уније.</w:t>
      </w:r>
    </w:p>
    <w:p w:rsidR="003A56F1" w:rsidRDefault="00F81553">
      <w:pPr>
        <w:spacing w:after="150"/>
      </w:pPr>
      <w:r>
        <w:rPr>
          <w:color w:val="000000"/>
        </w:rPr>
        <w:t>Тачком 6. Одлуке утврђено је да се Мре</w:t>
      </w:r>
      <w:r>
        <w:rPr>
          <w:color w:val="000000"/>
        </w:rPr>
        <w:t>жа за борбу против превара састаје по потреби, а најмање једном у два месеца.</w:t>
      </w:r>
    </w:p>
    <w:p w:rsidR="003A56F1" w:rsidRDefault="00F81553">
      <w:pPr>
        <w:spacing w:after="150"/>
      </w:pPr>
      <w:r>
        <w:rPr>
          <w:color w:val="000000"/>
        </w:rPr>
        <w:t>Сходно тачки 9. Одлуке, Мрежа за борбу против превара, преко Министарства финансија, о свом раду подноси извештај надлежном одбору Владе сваких 60 дана, а Влади сваких 90 дана.</w:t>
      </w:r>
    </w:p>
    <w:p w:rsidR="003A56F1" w:rsidRDefault="00F81553">
      <w:pPr>
        <w:spacing w:after="150"/>
      </w:pPr>
      <w:r>
        <w:rPr>
          <w:color w:val="000000"/>
        </w:rPr>
        <w:t>Ч</w:t>
      </w:r>
      <w:r>
        <w:rPr>
          <w:color w:val="000000"/>
        </w:rPr>
        <w:t>ланом 34. Закона о планском систему Републике Србије („Службени гласник РС”, брoj 30/18) прописано је да је надлежни предлагач дужан да омогући учешће организацијама цивилног друштва у процесу консултација које спроводи током израде документа јавних полити</w:t>
      </w:r>
      <w:r>
        <w:rPr>
          <w:color w:val="000000"/>
        </w:rPr>
        <w:t>ка. С тим у вези, Министарство финансија је, дана 6. марта 2021. године, у сарадњи са Министарством за људска и мањинска права и друштвени дијалог, упутило јавни позив организацијама цивилног друштва за учешће у процесу израде новог стратешког документа.</w:t>
      </w:r>
    </w:p>
    <w:p w:rsidR="003A56F1" w:rsidRDefault="00F81553">
      <w:pPr>
        <w:spacing w:after="150"/>
      </w:pPr>
      <w:r>
        <w:rPr>
          <w:color w:val="000000"/>
        </w:rPr>
        <w:t>Н</w:t>
      </w:r>
      <w:r>
        <w:rPr>
          <w:color w:val="000000"/>
        </w:rPr>
        <w:t>а јавни позив, који је био отворен у периоду од 9. до 22. марта 2021. године у 15.30 часова, није пристигла ни једна пријава, тако да у процес претходних консултација, ради израде Стратешког плана, нису укључене релевантне организације цивилног друштва.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II</w:t>
      </w:r>
      <w:r>
        <w:rPr>
          <w:b/>
          <w:color w:val="000000"/>
        </w:rPr>
        <w:t>. Правни оквир</w:t>
      </w:r>
    </w:p>
    <w:p w:rsidR="003A56F1" w:rsidRDefault="00F81553">
      <w:pPr>
        <w:spacing w:after="120"/>
        <w:jc w:val="center"/>
      </w:pPr>
      <w:r>
        <w:rPr>
          <w:color w:val="000000"/>
        </w:rPr>
        <w:lastRenderedPageBreak/>
        <w:t>Правни оквир Републике Србије</w:t>
      </w:r>
    </w:p>
    <w:p w:rsidR="003A56F1" w:rsidRDefault="00F81553">
      <w:pPr>
        <w:spacing w:after="150"/>
      </w:pPr>
      <w:r>
        <w:rPr>
          <w:color w:val="000000"/>
        </w:rPr>
        <w:t>Преговарачком позицијом за поглавље 32. Финансијски надзор, коју је Влада усвојила 25. јула 2014. године, Република Србија је прихватила правне тековине ЕУ и примењиве стандарде засноване на најбољим међународни</w:t>
      </w:r>
      <w:r>
        <w:rPr>
          <w:color w:val="000000"/>
        </w:rPr>
        <w:t>м праксама, који су обухваћени овим поглављем. Поменутом Преговарачком позицијом за поглавље 32. Финансијски надзор, представљено је тренутно стање институционалног и законодавног оквира свих потпоглавља, као и даљи план усклађивања законодавног и институц</w:t>
      </w:r>
      <w:r>
        <w:rPr>
          <w:color w:val="000000"/>
        </w:rPr>
        <w:t>ионалног оквира са правним тековинама ЕУ.</w:t>
      </w:r>
    </w:p>
    <w:p w:rsidR="003A56F1" w:rsidRDefault="00F81553">
      <w:pPr>
        <w:spacing w:after="150"/>
      </w:pPr>
      <w:r>
        <w:rPr>
          <w:color w:val="000000"/>
        </w:rPr>
        <w:t>Преговарачко поглавље 32. Финансијски надзор састоји се од четири потпоглавља: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Интерна финансијска контрола у јавном сектору;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Екстерна ревизија;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Заштита финансијских интереса ЕУ; и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Заштита евра од </w:t>
      </w:r>
      <w:r>
        <w:rPr>
          <w:color w:val="000000"/>
        </w:rPr>
        <w:t>фалсификовања.</w:t>
      </w:r>
    </w:p>
    <w:p w:rsidR="003A56F1" w:rsidRDefault="00F81553">
      <w:pPr>
        <w:spacing w:after="150"/>
      </w:pPr>
      <w:r>
        <w:rPr>
          <w:color w:val="000000"/>
        </w:rPr>
        <w:t>У оквиру потпоглавља Заштита финансијских интереса ЕУ, између осталог, предвиђена је припрема и усвајање Националне стратегије за борбу против превара.</w:t>
      </w:r>
    </w:p>
    <w:p w:rsidR="003A56F1" w:rsidRDefault="00F81553">
      <w:pPr>
        <w:spacing w:after="150"/>
      </w:pPr>
      <w:r>
        <w:rPr>
          <w:color w:val="000000"/>
        </w:rPr>
        <w:t>Преговарачком позицијом Републике Србије у оквиру Међувладине конференције о приступању Р</w:t>
      </w:r>
      <w:r>
        <w:rPr>
          <w:color w:val="000000"/>
        </w:rPr>
        <w:t>епублике Србије Европској унији за Поглавље 23 − Правосуђе и основна права, са припадајућим акционим планом утврђено je да Република Србија прихвата правне тековине ЕУ у Поглављу 23 − Правосуђе и основна права, како би била у позицији да их у потпуности сп</w:t>
      </w:r>
      <w:r>
        <w:rPr>
          <w:color w:val="000000"/>
        </w:rPr>
        <w:t>роведе до ступања у чланство онако како оне гласе на дан 1. јануара 2016. године.</w:t>
      </w:r>
    </w:p>
    <w:p w:rsidR="003A56F1" w:rsidRDefault="00F81553">
      <w:pPr>
        <w:spacing w:after="150"/>
      </w:pPr>
      <w:r>
        <w:rPr>
          <w:color w:val="000000"/>
        </w:rPr>
        <w:t>У области правосуђа, потребно је уложити додатне напоре како би се у потпуности обезбедила судска независност, непристрасност, стручност и ефикасност. Када је у питању област</w:t>
      </w:r>
      <w:r>
        <w:rPr>
          <w:color w:val="000000"/>
        </w:rPr>
        <w:t xml:space="preserve"> основних права, Република Србија у потпуности прихвата све вредности и принципе Повеље о основним правима Европске уније, а сви органи јавне власти, у оквиру својих надлежности, треба да учествују у заштити и промоцији људских права.</w:t>
      </w:r>
    </w:p>
    <w:p w:rsidR="003A56F1" w:rsidRDefault="00F81553">
      <w:pPr>
        <w:spacing w:after="150"/>
      </w:pPr>
      <w:r>
        <w:rPr>
          <w:color w:val="000000"/>
        </w:rPr>
        <w:t>Преговарачком позициј</w:t>
      </w:r>
      <w:r>
        <w:rPr>
          <w:color w:val="000000"/>
        </w:rPr>
        <w:t xml:space="preserve">ом Републике Србије за Међувладину конференцију о приступању Републике Србије Европској унији за поглавље 24 − Правда, слобода и безбедност, са припадајућим акционим планом уређено је да Република Србија прихвата правне тековине ЕУ у поглављу 24 − Правда, </w:t>
      </w:r>
      <w:r>
        <w:rPr>
          <w:color w:val="000000"/>
        </w:rPr>
        <w:t>слобода и безбедност како би била у позицији да их у потпуности спроведе до ступања у чланство онако како оне гласе на дан 1. јануара 2016. године.</w:t>
      </w:r>
    </w:p>
    <w:p w:rsidR="003A56F1" w:rsidRDefault="00F81553">
      <w:pPr>
        <w:spacing w:after="150"/>
      </w:pPr>
      <w:r>
        <w:rPr>
          <w:color w:val="000000"/>
        </w:rPr>
        <w:t>Законом о потврђивању Оквирног споразума између Владе Републике Србије и Комисије европских заједница о прав</w:t>
      </w:r>
      <w:r>
        <w:rPr>
          <w:color w:val="000000"/>
        </w:rPr>
        <w:t xml:space="preserve">илима за сарадњу која се односе на финансијску помоћ Европске заједнице Републици Србији у оквиру </w:t>
      </w:r>
      <w:r>
        <w:rPr>
          <w:color w:val="000000"/>
        </w:rPr>
        <w:lastRenderedPageBreak/>
        <w:t>спровођења помоћи према правилима Инструмента претприступне помоћи (ИПА) („Службени гласник РС – Међународни уговори”, број 124/07), чл. 27−29. предвиђен је н</w:t>
      </w:r>
      <w:r>
        <w:rPr>
          <w:color w:val="000000"/>
        </w:rPr>
        <w:t>адзор, контрола и ревизија коју врши Европска комисија и Европски суд ревизора, спречавање неправилности и превара, мере против корупције, као и надокнада новчаних средстава у случају неправилности или преваре.</w:t>
      </w:r>
    </w:p>
    <w:p w:rsidR="003A56F1" w:rsidRDefault="00F81553">
      <w:pPr>
        <w:spacing w:after="150"/>
      </w:pPr>
      <w:r>
        <w:rPr>
          <w:color w:val="000000"/>
        </w:rPr>
        <w:t>Законом о потврђивању Оквирног споразума изме</w:t>
      </w:r>
      <w:r>
        <w:rPr>
          <w:color w:val="000000"/>
        </w:rPr>
        <w:t>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(„Службени гласник РС – Међународни уговори”, број 19/14), чл. 50. и 51. предвиђена је н</w:t>
      </w:r>
      <w:r>
        <w:rPr>
          <w:color w:val="000000"/>
        </w:rPr>
        <w:t>еопходност обезбеђивања заштите финансијских интереса ЕУ, успостављање механизма надзора, контроле, ревизије и извештавања по питању неправилности и превара у поступању са средствима ЕУ и одређивања службе са циљем да олакша делотворну сарадњу и размену ин</w:t>
      </w:r>
      <w:r>
        <w:rPr>
          <w:color w:val="000000"/>
        </w:rPr>
        <w:t>формација, укључујући и информације оперативне природе, са ОЛАФ-ом.</w:t>
      </w:r>
    </w:p>
    <w:p w:rsidR="003A56F1" w:rsidRDefault="00F81553">
      <w:pPr>
        <w:spacing w:after="150"/>
      </w:pPr>
      <w:r>
        <w:rPr>
          <w:color w:val="000000"/>
        </w:rPr>
        <w:t>Очекује се до краја 2021. године ратификација оквирног споразума за ИПА III који ће се односити на период 2021−2027. године.</w:t>
      </w:r>
    </w:p>
    <w:p w:rsidR="003A56F1" w:rsidRDefault="00F81553">
      <w:pPr>
        <w:spacing w:after="150"/>
      </w:pPr>
      <w:r>
        <w:rPr>
          <w:color w:val="000000"/>
        </w:rPr>
        <w:t>Увођењем финансијске помоћи ЕУ у јавне приходе који припадају б</w:t>
      </w:r>
      <w:r>
        <w:rPr>
          <w:color w:val="000000"/>
        </w:rPr>
        <w:t>уџету Републике Србије, кроз одредбе чл. 14. и 23. Закона о буџетском систему („Службени гласник РС”, бр. 54/09, 73/10, 101/10, 101/11, 93/12, 62/13, 63/13-исправка, 108/13, 142/14, 68/15-др. закон, 103/15, 99/16, 113/17, 95/18, 31/19, 72/19 и 149/20) обез</w:t>
      </w:r>
      <w:r>
        <w:rPr>
          <w:color w:val="000000"/>
        </w:rPr>
        <w:t>беђен је законски основ за заштиту финансијских интереса ЕУ у правном систему Републике Србије.</w:t>
      </w:r>
    </w:p>
    <w:p w:rsidR="003A56F1" w:rsidRDefault="00F81553">
      <w:pPr>
        <w:spacing w:after="150"/>
      </w:pPr>
      <w:r>
        <w:rPr>
          <w:color w:val="000000"/>
        </w:rPr>
        <w:t xml:space="preserve">Законом о буџетском систему предвиђено је да Влада, на предлог министра финансија, одређује поделу одговорности и начин управљања средствима финансијске помоћи </w:t>
      </w:r>
      <w:r>
        <w:rPr>
          <w:color w:val="000000"/>
        </w:rPr>
        <w:t>ЕУ, у складу са међународним споразумом између Републике Србије и ЕУ. На овај начин је обезбеђено да су финансијска средства ЕУ заштићена у истој мери, као и остали јавни приходи који припадају буџету Републике Србије.</w:t>
      </w:r>
    </w:p>
    <w:p w:rsidR="003A56F1" w:rsidRDefault="00F81553">
      <w:pPr>
        <w:spacing w:after="150"/>
      </w:pPr>
      <w:r>
        <w:rPr>
          <w:color w:val="000000"/>
        </w:rPr>
        <w:t>Чланом 68б Закона о буџетском систему</w:t>
      </w:r>
      <w:r>
        <w:rPr>
          <w:color w:val="000000"/>
        </w:rPr>
        <w:t xml:space="preserve"> прописано је да послове координације активности у области спречавања неправилности и превара у поступању са финансијским средствима ЕУ, подршке раду Мреже за сузбијање неправилности и превара, као и координације правне, оперативне и техничке сарадње са ОЛ</w:t>
      </w:r>
      <w:r>
        <w:rPr>
          <w:color w:val="000000"/>
        </w:rPr>
        <w:t>АФ-ом и другим надлежним телима и службама Европске комисије обавља Министарство финансија.</w:t>
      </w:r>
    </w:p>
    <w:p w:rsidR="003A56F1" w:rsidRDefault="00F81553">
      <w:pPr>
        <w:spacing w:after="150"/>
      </w:pPr>
      <w:r>
        <w:rPr>
          <w:color w:val="000000"/>
        </w:rPr>
        <w:t>Чланом 19. Закона о изменама и допунама Закона о буџетском систему („Службени гласник РС”, број 99/16) извршена је допуна члана 68б кроз прописивање да вршење админ</w:t>
      </w:r>
      <w:r>
        <w:rPr>
          <w:color w:val="000000"/>
        </w:rPr>
        <w:t>истративних провера пријављених неправилности у поступању са финансијским средствима ЕУ обавља Министарство финансија.</w:t>
      </w:r>
    </w:p>
    <w:p w:rsidR="003A56F1" w:rsidRDefault="00F81553">
      <w:pPr>
        <w:spacing w:after="150"/>
      </w:pPr>
      <w:r>
        <w:rPr>
          <w:color w:val="000000"/>
        </w:rPr>
        <w:lastRenderedPageBreak/>
        <w:t>Чланом 20. Уредбе о управљању програмима претприступне помоћи Европске уније у оквиру компоненте I Инструмента претприступне помоћи (ИПА)</w:t>
      </w:r>
      <w:r>
        <w:rPr>
          <w:color w:val="000000"/>
        </w:rPr>
        <w:t xml:space="preserve"> – Помоћ у транзицији и изградња институција за период 2007−2013. година („Службени гласник РС”, број 10/19) и чланом 29. Уредбе о управљању програмима претприступне помоћи Европске уније у оквиру инструмента за претприступну помоћ (ИПА II) за период 2014−</w:t>
      </w:r>
      <w:r>
        <w:rPr>
          <w:color w:val="000000"/>
        </w:rPr>
        <w:t>2020. године („Службени гласник РС”, број 10/19 – у даљем тексту: Уредба за ИПА II) дефинисане су надлежности АФКОС-а. Одлуком о одређивању одговорних лица и тела за управљање програмима претприступне помоћи Европске уније у оквиру инструмента за претприст</w:t>
      </w:r>
      <w:r>
        <w:rPr>
          <w:color w:val="000000"/>
        </w:rPr>
        <w:t>упну помоћ (ИПА II) за период 2014−2020. године („Службени гласник РС”, бр. 26/19 и 90/21), АФКОС је одређен као организациона јединица у оквиру Министарства финансија, надлежна за послове дефинисане чланом 29. Уредбе за ИПА II.</w:t>
      </w:r>
    </w:p>
    <w:p w:rsidR="003A56F1" w:rsidRDefault="00F81553">
      <w:pPr>
        <w:spacing w:after="150"/>
      </w:pPr>
      <w:r>
        <w:rPr>
          <w:color w:val="000000"/>
        </w:rPr>
        <w:t>У процесу израде Стратешког</w:t>
      </w:r>
      <w:r>
        <w:rPr>
          <w:color w:val="000000"/>
        </w:rPr>
        <w:t xml:space="preserve"> плана, поред наведених аката, узети су у обзир и: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Стратегија развоја правосуђа за период 2020−2025. године („Службени гласник РС”, број 101/20);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Стратешки план Агенције за спречавање корупције за период 2019−2023. године;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Стратегија за борбу против </w:t>
      </w:r>
      <w:r>
        <w:rPr>
          <w:color w:val="000000"/>
        </w:rPr>
        <w:t>прања новца и финансирања тероризма за период 2020–2024. године („Службени гласник РС”, број 14/20);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Кривични законик („Службени гласник РСˮ, бр. 85/05, 88/05 исправка, 107/05 – исправка, 72/09, 111/09, 121/12, 104/13, 108/14, 94/16 и 35/19);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Законик о</w:t>
      </w:r>
      <w:r>
        <w:rPr>
          <w:color w:val="000000"/>
        </w:rPr>
        <w:t xml:space="preserve"> кривичном поступку („Службени гласник РСˮ, бр. 72/11, 101/11, 121/12, 32/13, 45/13, 55/14, 35/19, 27/21 – УС и 62/21 – УС);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Закон о организацији и надлежности државних органа у сузбијању организованог криминала, тероризма и корупције („Службени гласник </w:t>
      </w:r>
      <w:r>
        <w:rPr>
          <w:color w:val="000000"/>
        </w:rPr>
        <w:t>РСˮ, бр. 94/16 и 87/18 – др. закон);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Закон о одговорности правних лица за кривична дела („Службени гласник РСˮ, број 97/08);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Уредба о спровођењу програма прекограничне и транснационалне сарадње са државама чланицама Eвропске уније у Републици Србији у </w:t>
      </w:r>
      <w:r>
        <w:rPr>
          <w:color w:val="000000"/>
        </w:rPr>
        <w:t>оквиру инструмента за претприступну помоћ (ИПА II) за период 2014−2020. године („Службени гласник РС”, број 37/18);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Уредба о одређивању тела за ревизију система управљања програмима претприступне помоћи Европске уније у оквиру инструмента претприступне п</w:t>
      </w:r>
      <w:r>
        <w:rPr>
          <w:color w:val="000000"/>
        </w:rPr>
        <w:t>омоћи ИПА („Службени гласник РС”, број 113/13);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Уредба o одређивању тела за ревизију система управљања програмима претприступне помоћи Европске уније у оквиру инструмента за претприступну помоћ (ИПА II) („Службени гласник РС”, број 86/15);</w:t>
      </w:r>
    </w:p>
    <w:p w:rsidR="003A56F1" w:rsidRDefault="00F81553">
      <w:pPr>
        <w:spacing w:after="150"/>
      </w:pPr>
      <w:r>
        <w:rPr>
          <w:color w:val="000000"/>
        </w:rPr>
        <w:lastRenderedPageBreak/>
        <w:t>−</w:t>
      </w:r>
      <w:r>
        <w:rPr>
          <w:color w:val="000000"/>
        </w:rPr>
        <w:t xml:space="preserve"> Директива о </w:t>
      </w:r>
      <w:r>
        <w:rPr>
          <w:color w:val="000000"/>
        </w:rPr>
        <w:t>спровођењу административних провера; и</w:t>
      </w:r>
    </w:p>
    <w:p w:rsidR="003A56F1" w:rsidRDefault="00F81553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Методолошко упутство за управљање ризицима у вези са појавом неправилности и превара у поступању са финансијским средствима Европске уније.</w:t>
      </w:r>
    </w:p>
    <w:p w:rsidR="003A56F1" w:rsidRDefault="00F81553">
      <w:pPr>
        <w:spacing w:after="120"/>
        <w:jc w:val="center"/>
      </w:pPr>
      <w:r>
        <w:rPr>
          <w:color w:val="000000"/>
        </w:rPr>
        <w:t>Правни оквир ЕУ</w:t>
      </w:r>
    </w:p>
    <w:p w:rsidR="003A56F1" w:rsidRDefault="00F81553">
      <w:pPr>
        <w:spacing w:after="150"/>
      </w:pPr>
      <w:r>
        <w:rPr>
          <w:color w:val="000000"/>
        </w:rPr>
        <w:t xml:space="preserve">Главoм II Уговорa о функционисању Европске уније </w:t>
      </w:r>
      <w:r>
        <w:rPr>
          <w:i/>
          <w:color w:val="000000"/>
        </w:rPr>
        <w:t>(Treaty on</w:t>
      </w:r>
      <w:r>
        <w:rPr>
          <w:i/>
          <w:color w:val="000000"/>
        </w:rPr>
        <w:t xml:space="preserve"> the Functioning of the European Union)</w:t>
      </w:r>
      <w:r>
        <w:rPr>
          <w:color w:val="000000"/>
        </w:rPr>
        <w:t xml:space="preserve"> која се односи на Финансијске одредбе уређена је борба против превара. Чланом 325. наведеног уговора установљена је обавеза ЕУ и држава чланица да сузбијају преваре и друге противправне активности усмерене против фин</w:t>
      </w:r>
      <w:r>
        <w:rPr>
          <w:color w:val="000000"/>
        </w:rPr>
        <w:t>ансијских интереса ЕУ. Државе чланице дужне су да, ради сузбијања превара које угрожавају финансијске интересе ЕУ, предузимају исте мере, као и у случају сузбијања превара које штете њиховим сопственим финансијским интересима. Такође, државе чланице су у о</w:t>
      </w:r>
      <w:r>
        <w:rPr>
          <w:color w:val="000000"/>
        </w:rPr>
        <w:t>бавези да координирају своје деловање усмерено на заштиту финансијских интереса ЕУ, као и да организују редовну сарадњу између надлежних националних тела. Поред наведеног, утврђена је и потреба за доношењем мера које имају за циљ сузбијање и борбу против п</w:t>
      </w:r>
      <w:r>
        <w:rPr>
          <w:color w:val="000000"/>
        </w:rPr>
        <w:t>ревара усмерених против финансијских интереса ЕУ.</w:t>
      </w:r>
    </w:p>
    <w:p w:rsidR="003A56F1" w:rsidRDefault="00F81553">
      <w:pPr>
        <w:spacing w:after="150"/>
      </w:pPr>
      <w:r>
        <w:rPr>
          <w:color w:val="000000"/>
        </w:rPr>
        <w:t>Република Србија је, као држава кандидат за чланство у ЕУ, преузела обавезу усклађивања свог националног законодавства са законодавством ЕУ, као и обавезу успостављања свих органа и тела који су потребни за</w:t>
      </w:r>
      <w:r>
        <w:rPr>
          <w:color w:val="000000"/>
        </w:rPr>
        <w:t xml:space="preserve"> правилну примену обавеза које произилазе из чланства.</w:t>
      </w:r>
    </w:p>
    <w:p w:rsidR="003A56F1" w:rsidRDefault="00F81553">
      <w:pPr>
        <w:spacing w:after="150"/>
      </w:pPr>
      <w:r>
        <w:rPr>
          <w:color w:val="000000"/>
        </w:rPr>
        <w:t>Успостављање заштите финансијских интереса ЕУ представља меру институционалне надоградње којом Република Србија показује спремност да пружи ефикасну заштиту средствима ЕУ, у једнакој мери и под истим т</w:t>
      </w:r>
      <w:r>
        <w:rPr>
          <w:color w:val="000000"/>
        </w:rPr>
        <w:t>ретманом, као да је реч о сопственим буџетским средствима. Заштита финансијских интереса ЕУ представља обавезу свих земаља чланица ЕУ, као и земаља које су у процесу приступања ЕУ.</w:t>
      </w:r>
    </w:p>
    <w:p w:rsidR="003A56F1" w:rsidRDefault="00F81553">
      <w:pPr>
        <w:spacing w:after="150"/>
      </w:pPr>
      <w:r>
        <w:rPr>
          <w:color w:val="000000"/>
        </w:rPr>
        <w:t>Уредба бр. 883/2013 Европског парламента и Савета од 11. септембра 2013. го</w:t>
      </w:r>
      <w:r>
        <w:rPr>
          <w:color w:val="000000"/>
        </w:rPr>
        <w:t>дине донета је у циљу јачања борбе против превара, корупције и других незаконитих активности којима се угрожавају финансијски интереси ЕУ.</w:t>
      </w:r>
    </w:p>
    <w:p w:rsidR="003A56F1" w:rsidRDefault="00F81553">
      <w:pPr>
        <w:spacing w:after="150"/>
      </w:pPr>
      <w:r>
        <w:rPr>
          <w:color w:val="000000"/>
        </w:rPr>
        <w:t>Ради остварења наведеног циља, ОЛАФ пружа помоћ државама чланицама у организовању редовне сарадње између надлежних на</w:t>
      </w:r>
      <w:r>
        <w:rPr>
          <w:color w:val="000000"/>
        </w:rPr>
        <w:t>ционалних тела како би активности које имају за циљ заштиту финансијских интереса ЕУ биле усклађене.</w:t>
      </w:r>
    </w:p>
    <w:p w:rsidR="003A56F1" w:rsidRDefault="00F81553">
      <w:pPr>
        <w:spacing w:after="150"/>
      </w:pPr>
      <w:r>
        <w:rPr>
          <w:color w:val="000000"/>
        </w:rPr>
        <w:t>Такође, ОЛАФ спроводи административне истраге у циљу борбе против превара, корупције и других незаконитих активности којима се штети финансијским интересим</w:t>
      </w:r>
      <w:r>
        <w:rPr>
          <w:color w:val="000000"/>
        </w:rPr>
        <w:t>а ЕУ. Приликом спровођења ових истрага, ОЛАФ има могућност да спроводи провере и инспекције на лицу места, како у државама чланицама ЕУ, тако и у трећим земљама, као и у просторијама међународних организација.</w:t>
      </w:r>
    </w:p>
    <w:p w:rsidR="003A56F1" w:rsidRDefault="00F81553">
      <w:pPr>
        <w:spacing w:after="150"/>
      </w:pPr>
      <w:r>
        <w:rPr>
          <w:color w:val="000000"/>
        </w:rPr>
        <w:lastRenderedPageBreak/>
        <w:t>Наведене контролне активности ОЛАФ спроводи на</w:t>
      </w:r>
      <w:r>
        <w:rPr>
          <w:color w:val="000000"/>
        </w:rPr>
        <w:t xml:space="preserve"> основу овлашћења која су Европској комисији додељена Уредбом број 2185/96, као и у складу са важећим споразумима о сарадњи и међусобној помоћи. Током провера и инспекција на лицу места, ОЛАФ поступа сагласно важећем праву ЕУ, правилима и праксама државе ч</w:t>
      </w:r>
      <w:r>
        <w:rPr>
          <w:color w:val="000000"/>
        </w:rPr>
        <w:t>ланице, која је на захтев ОЛАФ-а дужна пружити неопходну помоћ његовом особљу у циљу успешног обављања контролних активности.</w:t>
      </w:r>
    </w:p>
    <w:p w:rsidR="003A56F1" w:rsidRDefault="00F81553">
      <w:pPr>
        <w:spacing w:after="150"/>
      </w:pPr>
      <w:r>
        <w:rPr>
          <w:color w:val="000000"/>
        </w:rPr>
        <w:t>Чланом 12а Уредбе бр. 883/2013 прописано је, без детаљнијег дефинисања мандата, задатака и институционалног оквира, да свака држав</w:t>
      </w:r>
      <w:r>
        <w:rPr>
          <w:color w:val="000000"/>
        </w:rPr>
        <w:t xml:space="preserve">а чланица треба да установи службу за координацију борбе против превара </w:t>
      </w:r>
      <w:r>
        <w:rPr>
          <w:i/>
          <w:color w:val="000000"/>
        </w:rPr>
        <w:t>(Anti-fraud coordination service</w:t>
      </w:r>
      <w:r>
        <w:rPr>
          <w:color w:val="000000"/>
        </w:rPr>
        <w:t xml:space="preserve"> − </w:t>
      </w:r>
      <w:r>
        <w:rPr>
          <w:i/>
          <w:color w:val="000000"/>
        </w:rPr>
        <w:t>AFCOS)</w:t>
      </w:r>
      <w:r>
        <w:rPr>
          <w:color w:val="000000"/>
        </w:rPr>
        <w:t xml:space="preserve"> са циљем унапређења сарадње и размене информација са ОЛАФ-ом.</w:t>
      </w:r>
    </w:p>
    <w:p w:rsidR="003A56F1" w:rsidRDefault="00F81553">
      <w:pPr>
        <w:spacing w:after="150"/>
      </w:pPr>
      <w:r>
        <w:rPr>
          <w:color w:val="000000"/>
        </w:rPr>
        <w:t>С тим у вези, Европска комисија и ОЛАФ објавили су „</w:t>
      </w:r>
      <w:r>
        <w:rPr>
          <w:i/>
          <w:color w:val="000000"/>
        </w:rPr>
        <w:t xml:space="preserve">Guidance note on main tasks </w:t>
      </w:r>
      <w:r>
        <w:rPr>
          <w:i/>
          <w:color w:val="000000"/>
        </w:rPr>
        <w:t>and responsibilities of an Anti-Fraud Co-ordination Service (AFCOS)</w:t>
      </w:r>
      <w:r>
        <w:rPr>
          <w:color w:val="000000"/>
        </w:rPr>
        <w:t xml:space="preserve">” („Смернице о главним задацима и одговорностима Службе за координацију борбе против превара </w:t>
      </w:r>
      <w:r>
        <w:rPr>
          <w:i/>
          <w:color w:val="000000"/>
        </w:rPr>
        <w:t>(AFCOS)</w:t>
      </w:r>
      <w:r>
        <w:rPr>
          <w:color w:val="000000"/>
        </w:rPr>
        <w:t>”</w:t>
      </w:r>
      <w:r>
        <w:rPr>
          <w:i/>
          <w:color w:val="000000"/>
        </w:rPr>
        <w:t>)</w:t>
      </w:r>
      <w:r>
        <w:rPr>
          <w:color w:val="000000"/>
        </w:rPr>
        <w:t xml:space="preserve"> које имају за циљ пружање подршке државама приликом успостављања </w:t>
      </w:r>
      <w:r>
        <w:rPr>
          <w:i/>
          <w:color w:val="000000"/>
        </w:rPr>
        <w:t>AFCOS</w:t>
      </w:r>
      <w:r>
        <w:rPr>
          <w:color w:val="000000"/>
        </w:rPr>
        <w:t xml:space="preserve">-а и утврђивања </w:t>
      </w:r>
      <w:r>
        <w:rPr>
          <w:color w:val="000000"/>
        </w:rPr>
        <w:t xml:space="preserve">надлежности и делокруга истог. Према овом документу, мандат </w:t>
      </w:r>
      <w:r>
        <w:rPr>
          <w:i/>
          <w:color w:val="000000"/>
        </w:rPr>
        <w:t>AFCOS</w:t>
      </w:r>
      <w:r>
        <w:rPr>
          <w:color w:val="000000"/>
        </w:rPr>
        <w:t xml:space="preserve">-а може се разликовати од земље до земље узимајући у обзир специфичност сваке понаособ. Минимум утврђен поменутим смерницама налаже да </w:t>
      </w:r>
      <w:r>
        <w:rPr>
          <w:i/>
          <w:color w:val="000000"/>
        </w:rPr>
        <w:t>AFCOS</w:t>
      </w:r>
      <w:r>
        <w:rPr>
          <w:color w:val="000000"/>
        </w:rPr>
        <w:t xml:space="preserve"> унутар земље координира свим законодавним, админис</w:t>
      </w:r>
      <w:r>
        <w:rPr>
          <w:color w:val="000000"/>
        </w:rPr>
        <w:t>тративним и истражним обавезама и активностима у вези са заштитом финансијских интереса ЕУ, као и да осигура сарадњу са ОЛАФ-ом. На захтев ОЛАФ-а, наведена служба пружа потребну помоћ пре доношења одлуке о спровођењу истраге, током истраге, као и након спр</w:t>
      </w:r>
      <w:r>
        <w:rPr>
          <w:color w:val="000000"/>
        </w:rPr>
        <w:t>овoђења исте.</w:t>
      </w:r>
    </w:p>
    <w:p w:rsidR="003A56F1" w:rsidRDefault="00F81553">
      <w:pPr>
        <w:spacing w:after="150"/>
      </w:pPr>
      <w:r>
        <w:rPr>
          <w:color w:val="000000"/>
        </w:rPr>
        <w:t xml:space="preserve">У већини држава чланица ЕУ, </w:t>
      </w:r>
      <w:r>
        <w:rPr>
          <w:i/>
          <w:color w:val="000000"/>
        </w:rPr>
        <w:t>AFCOS</w:t>
      </w:r>
      <w:r>
        <w:rPr>
          <w:color w:val="000000"/>
        </w:rPr>
        <w:t xml:space="preserve"> је позициониран у Министарству финансија, док се надлежност и улога истог разликују и варирају од координационе улоге до независне службе са истражним овлашћењима (нпр. </w:t>
      </w:r>
      <w:r>
        <w:rPr>
          <w:i/>
          <w:color w:val="000000"/>
        </w:rPr>
        <w:t xml:space="preserve">Fight Against Fraud Department – DLAF, </w:t>
      </w:r>
      <w:r>
        <w:rPr>
          <w:i/>
          <w:color w:val="000000"/>
        </w:rPr>
        <w:t>Romania</w:t>
      </w:r>
      <w:r>
        <w:rPr>
          <w:color w:val="000000"/>
        </w:rPr>
        <w:t>).</w:t>
      </w:r>
    </w:p>
    <w:p w:rsidR="003A56F1" w:rsidRDefault="00F81553">
      <w:pPr>
        <w:spacing w:after="150"/>
      </w:pPr>
      <w:r>
        <w:rPr>
          <w:color w:val="000000"/>
        </w:rPr>
        <w:t>Уредба 2020/2223 Европског парламента и Савета од 23. децембра 2020. године односи се на измену и допуну Уредбе бр. 883/2013, а у погледу дефинисања нових правила за даље јачање ОЛАФ-а и утврђивања начинa рада и координације са Европском канцелар</w:t>
      </w:r>
      <w:r>
        <w:rPr>
          <w:color w:val="000000"/>
        </w:rPr>
        <w:t>ијом јавних тужилаца (</w:t>
      </w:r>
      <w:r>
        <w:rPr>
          <w:i/>
          <w:color w:val="000000"/>
        </w:rPr>
        <w:t>EPPO</w:t>
      </w:r>
      <w:r>
        <w:rPr>
          <w:color w:val="000000"/>
        </w:rPr>
        <w:t>). Европска канцеларија јавних тужилаца (</w:t>
      </w:r>
      <w:r>
        <w:rPr>
          <w:i/>
          <w:color w:val="000000"/>
        </w:rPr>
        <w:t>EPPO</w:t>
      </w:r>
      <w:r>
        <w:rPr>
          <w:color w:val="000000"/>
        </w:rPr>
        <w:t xml:space="preserve">), успостављена Уредбом Савета 2017/1939, представља прво наднационално јавно тужилаштво које ће деловати у 22 државе чланице ЕУ, са основним циљем који се односи на спровођење истрага </w:t>
      </w:r>
      <w:r>
        <w:rPr>
          <w:color w:val="000000"/>
        </w:rPr>
        <w:t>и процесуирање извршилаца кривичних дела која погађају финансијске интересе ЕУ.</w:t>
      </w:r>
    </w:p>
    <w:p w:rsidR="003A56F1" w:rsidRDefault="00F81553">
      <w:pPr>
        <w:spacing w:after="150"/>
      </w:pPr>
      <w:r>
        <w:rPr>
          <w:color w:val="000000"/>
        </w:rPr>
        <w:t xml:space="preserve">Стратегијом Европске комисије за борбу против превара </w:t>
      </w:r>
      <w:r>
        <w:rPr>
          <w:i/>
          <w:color w:val="000000"/>
        </w:rPr>
        <w:t>COM(2019) 196 final</w:t>
      </w:r>
      <w:r>
        <w:rPr>
          <w:color w:val="000000"/>
        </w:rPr>
        <w:t xml:space="preserve"> представљен је нови приступ борби против превара кроз прилагођене и појачане активности у одређеним об</w:t>
      </w:r>
      <w:r>
        <w:rPr>
          <w:color w:val="000000"/>
        </w:rPr>
        <w:t>ластима, а у циљу заштите финансијских интереса ЕУ.</w:t>
      </w:r>
    </w:p>
    <w:p w:rsidR="003A56F1" w:rsidRDefault="00F81553">
      <w:pPr>
        <w:spacing w:after="150"/>
      </w:pPr>
      <w:r>
        <w:rPr>
          <w:color w:val="000000"/>
        </w:rPr>
        <w:lastRenderedPageBreak/>
        <w:t>Посебан акценат у овој стратегији ставља се на интензивну борбу против превара које наносе штету приходној страни буџета ЕУ. Кључна подручја покривена поменутом стратегијом су пореске преваре, злоупотребе</w:t>
      </w:r>
      <w:r>
        <w:rPr>
          <w:color w:val="000000"/>
        </w:rPr>
        <w:t xml:space="preserve"> поступака јавних набавки, као и повреде професионалних дужности од стране особља које припада институцијама и телима ЕУ.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III. Анализа ефеката Стратегије 2017−2020</w:t>
      </w:r>
    </w:p>
    <w:p w:rsidR="003A56F1" w:rsidRDefault="00F81553">
      <w:pPr>
        <w:spacing w:after="150"/>
      </w:pPr>
      <w:r>
        <w:rPr>
          <w:color w:val="000000"/>
        </w:rPr>
        <w:t xml:space="preserve">У циљу спровођења </w:t>
      </w:r>
      <w:r>
        <w:rPr>
          <w:i/>
          <w:color w:val="000000"/>
        </w:rPr>
        <w:t>ex-post</w:t>
      </w:r>
      <w:r>
        <w:rPr>
          <w:color w:val="000000"/>
        </w:rPr>
        <w:t xml:space="preserve"> анализе ефеката, сачињен је упитник који је достављен члановима Мр</w:t>
      </w:r>
      <w:r>
        <w:rPr>
          <w:color w:val="000000"/>
        </w:rPr>
        <w:t>еже ради давања одговора на постављена питања. Упитник је био подељен на четири области (релевантност/значај, ефективност, ефикасност и одрживост) и садржао је 36 питања која су се односила на тренутно стање и спровођење активности из Стратегијe 2017−2020.</w:t>
      </w:r>
      <w:r>
        <w:rPr>
          <w:color w:val="000000"/>
        </w:rPr>
        <w:t xml:space="preserve"> Чланови Мреже су имали задатак да опишу тренутно стање, дају оцену досадашње ситуације и предложе мере за примену у будућности.</w:t>
      </w:r>
    </w:p>
    <w:p w:rsidR="003A56F1" w:rsidRDefault="00F81553">
      <w:pPr>
        <w:spacing w:after="120"/>
        <w:jc w:val="center"/>
      </w:pPr>
      <w:r>
        <w:rPr>
          <w:i/>
          <w:color w:val="000000"/>
        </w:rPr>
        <w:t>1. Релевантност/значај</w:t>
      </w:r>
    </w:p>
    <w:p w:rsidR="003A56F1" w:rsidRDefault="00F81553">
      <w:bookmarkStart w:id="1" w:name="_idContainer000"/>
      <w:r>
        <w:rPr>
          <w:noProof/>
        </w:rPr>
        <w:drawing>
          <wp:inline distT="0" distB="0" distL="0" distR="0">
            <wp:extent cx="3237255" cy="1639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6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3A56F1" w:rsidRDefault="00F81553">
      <w:pPr>
        <w:spacing w:after="150"/>
      </w:pPr>
      <w:r>
        <w:rPr>
          <w:i/>
          <w:color w:val="000000"/>
        </w:rPr>
        <w:t>Графикон 1</w:t>
      </w:r>
    </w:p>
    <w:p w:rsidR="003A56F1" w:rsidRDefault="00F81553">
      <w:pPr>
        <w:spacing w:after="150"/>
      </w:pPr>
      <w:r>
        <w:rPr>
          <w:color w:val="000000"/>
        </w:rPr>
        <w:t>Увидом у Графикон 1 може се констатовати да је средња оцена одговора у погледу релевантност</w:t>
      </w:r>
      <w:r>
        <w:rPr>
          <w:color w:val="000000"/>
        </w:rPr>
        <w:t>и Стратегије 2017−2020 висока (4.4/5) и указује на оправданост и потребу наставка стратешког деловања у области заштите финансијских интереса ЕУ. У прикупљеним одговорима се истиче препознавање неопходности наставка политике у вези са заштитом финансијских</w:t>
      </w:r>
      <w:r>
        <w:rPr>
          <w:color w:val="000000"/>
        </w:rPr>
        <w:t xml:space="preserve"> интереса ЕУ и даљег развоја ове области као „интегралног дела процеса ЕУ интеграција”.</w:t>
      </w:r>
    </w:p>
    <w:p w:rsidR="003A56F1" w:rsidRDefault="00F81553">
      <w:pPr>
        <w:spacing w:after="150"/>
      </w:pPr>
      <w:r>
        <w:rPr>
          <w:color w:val="000000"/>
        </w:rPr>
        <w:t>У исто време, прикупљене информације указују на простор за побољшање „учешћа организација цивилног друштва” док се у домену „уочених проблема у току спровођења стратеги</w:t>
      </w:r>
      <w:r>
        <w:rPr>
          <w:color w:val="000000"/>
        </w:rPr>
        <w:t>је” може констатовати да је потребно оснажити праћење имплементације кроз редовне анализе проблема у току спровођења мера и проактивно деловање на њиховом отклањању.</w:t>
      </w:r>
    </w:p>
    <w:p w:rsidR="003A56F1" w:rsidRDefault="00F81553">
      <w:pPr>
        <w:spacing w:after="150"/>
      </w:pPr>
      <w:r>
        <w:rPr>
          <w:color w:val="000000"/>
        </w:rPr>
        <w:t xml:space="preserve">У наредном периоду потребно је јавности и заинтересованим странама активније промовисати </w:t>
      </w:r>
      <w:r>
        <w:rPr>
          <w:color w:val="000000"/>
        </w:rPr>
        <w:t>резултате имплементације, што су поједине институције из Мреже предложиле у погледу унапређења јавне доступности будуће стратегије и извештаја о праћењу.</w:t>
      </w:r>
    </w:p>
    <w:p w:rsidR="003A56F1" w:rsidRDefault="00F81553">
      <w:pPr>
        <w:spacing w:after="120"/>
        <w:jc w:val="center"/>
      </w:pPr>
      <w:r>
        <w:rPr>
          <w:i/>
          <w:color w:val="000000"/>
        </w:rPr>
        <w:t>2. Ефективност</w:t>
      </w:r>
    </w:p>
    <w:p w:rsidR="003A56F1" w:rsidRDefault="00F81553">
      <w:bookmarkStart w:id="2" w:name="_idContainer001"/>
      <w:r>
        <w:rPr>
          <w:noProof/>
        </w:rPr>
        <w:lastRenderedPageBreak/>
        <w:drawing>
          <wp:inline distT="0" distB="0" distL="0" distR="0">
            <wp:extent cx="3237255" cy="16338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6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3A56F1" w:rsidRDefault="00F81553">
      <w:pPr>
        <w:spacing w:after="150"/>
      </w:pPr>
      <w:r>
        <w:rPr>
          <w:i/>
          <w:color w:val="000000"/>
        </w:rPr>
        <w:t>Графикон 2</w:t>
      </w:r>
    </w:p>
    <w:p w:rsidR="003A56F1" w:rsidRDefault="00F81553">
      <w:pPr>
        <w:spacing w:after="150"/>
      </w:pPr>
      <w:r>
        <w:rPr>
          <w:color w:val="000000"/>
        </w:rPr>
        <w:t>Анализом питања која се односе на ефективност, уочава се да је средња оцен</w:t>
      </w:r>
      <w:r>
        <w:rPr>
          <w:color w:val="000000"/>
        </w:rPr>
        <w:t>а досадашње имплементације релативно ниска (3.6/5). Циљеви у вези са подизањем нивоа свести јавности и јачањем институција кроз обуке оцењени су ниским вредностима, док су остали стратешки циљеви оцењени тек незнатно вишим просечним вредностима. Код циља к</w:t>
      </w:r>
      <w:r>
        <w:rPr>
          <w:color w:val="000000"/>
        </w:rPr>
        <w:t>оји се односи на „јачање АФКОС-а” сугерисано је да би даље капацитете требало побољшати у складу са анализом потреба за деловањем у наредном периоду. Одговори прикупљени у вези циља „унапређење правног оквира” указују на потребу приоритизације (бржег усвај</w:t>
      </w:r>
      <w:r>
        <w:rPr>
          <w:color w:val="000000"/>
        </w:rPr>
        <w:t>ања) оних правних решења која су усмерена на усклађивање са правилима ЕУ. Приликом оцене циљева „успостављање ефикасног система за сузбијање неправилности и превара” и „јачање сарадње АФКОС-а са националним и међународним институцијама” није прикупљено дов</w:t>
      </w:r>
      <w:r>
        <w:rPr>
          <w:color w:val="000000"/>
        </w:rPr>
        <w:t>ољно квалитативних информација тако да је изостала анализа ниских оцена ових циљева и могућих проблема у њиховом остваривању.</w:t>
      </w:r>
    </w:p>
    <w:p w:rsidR="003A56F1" w:rsidRDefault="00F81553">
      <w:pPr>
        <w:spacing w:after="150"/>
      </w:pPr>
      <w:r>
        <w:rPr>
          <w:color w:val="000000"/>
        </w:rPr>
        <w:t>Када се заједно погледају прикупљене информације у сегменту релевантности и ефективности, а на основу достављених одговора из упит</w:t>
      </w:r>
      <w:r>
        <w:rPr>
          <w:color w:val="000000"/>
        </w:rPr>
        <w:t>ника, може се констатовати да је Стратегија 2017−2020 била усмерена на праве области.</w:t>
      </w:r>
    </w:p>
    <w:p w:rsidR="003A56F1" w:rsidRDefault="00F81553">
      <w:pPr>
        <w:spacing w:after="150"/>
      </w:pPr>
      <w:r>
        <w:rPr>
          <w:color w:val="000000"/>
        </w:rPr>
        <w:t xml:space="preserve">Кумулативно, налази из </w:t>
      </w:r>
      <w:r>
        <w:rPr>
          <w:i/>
          <w:color w:val="000000"/>
        </w:rPr>
        <w:t>еx-post</w:t>
      </w:r>
      <w:r>
        <w:rPr>
          <w:color w:val="000000"/>
        </w:rPr>
        <w:t xml:space="preserve"> анализе указују да би сагледавање циљева у перспективи, за период 2021−2023. године, требало почети са детаљнијом анализом испуњености циље</w:t>
      </w:r>
      <w:r>
        <w:rPr>
          <w:color w:val="000000"/>
        </w:rPr>
        <w:t>ва из Стратегије 2017−2020, уз обавезну анализу ризика и фактора који су допринели нижој реализацији, како би исти могли бити отклоњени у наредном периоду.</w:t>
      </w:r>
    </w:p>
    <w:p w:rsidR="003A56F1" w:rsidRDefault="00F81553">
      <w:pPr>
        <w:spacing w:after="120"/>
        <w:jc w:val="center"/>
      </w:pPr>
      <w:r>
        <w:rPr>
          <w:i/>
          <w:color w:val="000000"/>
        </w:rPr>
        <w:t>3. Ефикасност</w:t>
      </w:r>
    </w:p>
    <w:p w:rsidR="003A56F1" w:rsidRDefault="00F81553">
      <w:bookmarkStart w:id="3" w:name="_idContainer002"/>
      <w:r>
        <w:rPr>
          <w:noProof/>
        </w:rPr>
        <w:lastRenderedPageBreak/>
        <w:drawing>
          <wp:inline distT="0" distB="0" distL="0" distR="0">
            <wp:extent cx="3237255" cy="16399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6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3A56F1" w:rsidRDefault="00F81553">
      <w:pPr>
        <w:spacing w:after="150"/>
      </w:pPr>
      <w:r>
        <w:rPr>
          <w:i/>
          <w:color w:val="000000"/>
        </w:rPr>
        <w:t>Графикон 3</w:t>
      </w:r>
    </w:p>
    <w:p w:rsidR="003A56F1" w:rsidRDefault="00F81553">
      <w:pPr>
        <w:spacing w:after="150"/>
      </w:pPr>
      <w:r>
        <w:rPr>
          <w:color w:val="000000"/>
        </w:rPr>
        <w:t xml:space="preserve">Одговори у сегменту ефикасности указују да су параметри ефикасности у </w:t>
      </w:r>
      <w:r>
        <w:rPr>
          <w:color w:val="000000"/>
        </w:rPr>
        <w:t>имплементацији Стратегије 2017−2020 оцењени доста високо са средњом оценом (4.37/5). Релативно ниже кумулативне вредности везују се уз „релевантност”, „адекватност” и „рокове” у којима су реализоване активности за имплементацију Стратегије 2017−2020. Навед</w:t>
      </w:r>
      <w:r>
        <w:rPr>
          <w:color w:val="000000"/>
        </w:rPr>
        <w:t>ено указује на потребу да се новим стратешким документом ојача приступ праћењу и извештавању. Предвиђени једногодишњи формат акционог плана је погодан за ажурирање активности, сагласно потребама, и његово прилагођавање у циљу отклањања проблема који се јав</w:t>
      </w:r>
      <w:r>
        <w:rPr>
          <w:color w:val="000000"/>
        </w:rPr>
        <w:t>љају у току имплементације. То је уједно и научена лекција из првог циклуса стратешког деловања у овој области која је указала на потребу да се задржи флексибилност код одговора на питања која се отварају током имплементације стратешког документа, а која н</w:t>
      </w:r>
      <w:r>
        <w:rPr>
          <w:color w:val="000000"/>
        </w:rPr>
        <w:t>ије било могуће предвидети у време његовог усвајања. Прикупљене информације указују да на реализацију активности није утицало ограничење ресурса, односно да су ресурси за имплементацију Стратегије 2017−2020 били адекватно алоцирани.</w:t>
      </w:r>
    </w:p>
    <w:p w:rsidR="003A56F1" w:rsidRDefault="00F81553">
      <w:pPr>
        <w:spacing w:after="120"/>
        <w:jc w:val="center"/>
      </w:pPr>
      <w:r>
        <w:rPr>
          <w:i/>
          <w:color w:val="000000"/>
        </w:rPr>
        <w:t>4. Одрживост</w:t>
      </w:r>
    </w:p>
    <w:p w:rsidR="003A56F1" w:rsidRDefault="00F81553">
      <w:bookmarkStart w:id="4" w:name="_idContainer003"/>
      <w:r>
        <w:rPr>
          <w:noProof/>
        </w:rPr>
        <w:drawing>
          <wp:inline distT="0" distB="0" distL="0" distR="0">
            <wp:extent cx="3237255" cy="1554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5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:rsidR="003A56F1" w:rsidRDefault="00F81553">
      <w:pPr>
        <w:spacing w:after="150"/>
      </w:pPr>
      <w:r>
        <w:rPr>
          <w:i/>
          <w:color w:val="000000"/>
        </w:rPr>
        <w:t>Графикон</w:t>
      </w:r>
      <w:r>
        <w:rPr>
          <w:i/>
          <w:color w:val="000000"/>
        </w:rPr>
        <w:t xml:space="preserve"> 4</w:t>
      </w:r>
    </w:p>
    <w:p w:rsidR="003A56F1" w:rsidRDefault="00F81553">
      <w:pPr>
        <w:spacing w:after="150"/>
      </w:pPr>
      <w:r>
        <w:rPr>
          <w:color w:val="000000"/>
        </w:rPr>
        <w:t>Средња оцена у области одрживости је релативно висока (4.36/5). Одговори упућују на то да је АФКОС обезбедио функционисање координационе улоге што не искључује потребу за њеним јачањем у будућности. Нешто нижа оцена у погледу „одрживости ефеката Стратег</w:t>
      </w:r>
      <w:r>
        <w:rPr>
          <w:color w:val="000000"/>
        </w:rPr>
        <w:t>ије” је очекивана јер Стратегија 2017−2020 није прецизно утврдила ефекте дефинисане по СМАРТ критеријумима.</w:t>
      </w:r>
    </w:p>
    <w:p w:rsidR="003A56F1" w:rsidRDefault="00F81553">
      <w:pPr>
        <w:spacing w:after="120"/>
        <w:jc w:val="center"/>
      </w:pPr>
      <w:r>
        <w:rPr>
          <w:color w:val="000000"/>
        </w:rPr>
        <w:lastRenderedPageBreak/>
        <w:t>Тренутно стање у борби против превара са анализом могућих проблема</w:t>
      </w:r>
    </w:p>
    <w:p w:rsidR="003A56F1" w:rsidRDefault="00F81553">
      <w:pPr>
        <w:spacing w:after="150"/>
      </w:pPr>
      <w:r>
        <w:rPr>
          <w:color w:val="000000"/>
        </w:rPr>
        <w:t>Како је Стратегија 2017−2020 представљала документ који је први пут у Републици С</w:t>
      </w:r>
      <w:r>
        <w:rPr>
          <w:color w:val="000000"/>
        </w:rPr>
        <w:t>рбији дефинисао област заштите финансијских интереса ЕУ, а самим тим и питање заштите сопствених буџетских средстава, истом су успостављени институционални и административни капацитети система који је у свом делокругу имао поменуту област. Систем је повеза</w:t>
      </w:r>
      <w:r>
        <w:rPr>
          <w:color w:val="000000"/>
        </w:rPr>
        <w:t>о релевантне државне органе и институције у циљу спровођења мера и поступака за превенцију, контролу, откривање и санкционисање превара и управљање неправилностима у поступању са финансијским средствима ЕУ.</w:t>
      </w:r>
    </w:p>
    <w:p w:rsidR="003A56F1" w:rsidRDefault="00F81553">
      <w:pPr>
        <w:spacing w:after="150"/>
      </w:pPr>
      <w:r>
        <w:rPr>
          <w:color w:val="000000"/>
        </w:rPr>
        <w:t>С обзиром на то да је Стратегијом 2017−2020 успос</w:t>
      </w:r>
      <w:r>
        <w:rPr>
          <w:color w:val="000000"/>
        </w:rPr>
        <w:t>тављен систем заштите финансијских интереса ЕУ са неопходним субјектима, овим стратешким планом ће се унапредити механизми који ће, на ефикаснији начин, довести до испуњења задатих циљева, уз ефективну алокацију финансијских и кадровских ресурса.</w:t>
      </w:r>
    </w:p>
    <w:p w:rsidR="003A56F1" w:rsidRDefault="00F81553">
      <w:pPr>
        <w:spacing w:after="150"/>
      </w:pPr>
      <w:r>
        <w:rPr>
          <w:color w:val="000000"/>
        </w:rPr>
        <w:t>Кроз прег</w:t>
      </w:r>
      <w:r>
        <w:rPr>
          <w:color w:val="000000"/>
        </w:rPr>
        <w:t>лед остварења циљева Стратегијe 2017−2020, изведени су следећи закључци по областима на које се циљеви односе:</w:t>
      </w:r>
    </w:p>
    <w:p w:rsidR="003A56F1" w:rsidRDefault="00F81553">
      <w:pPr>
        <w:spacing w:after="150"/>
      </w:pPr>
      <w:r>
        <w:rPr>
          <w:color w:val="000000"/>
        </w:rPr>
        <w:t xml:space="preserve">Табела 1 </w:t>
      </w:r>
      <w:r>
        <w:rPr>
          <w:i/>
          <w:color w:val="000000"/>
        </w:rPr>
        <w:t>– Идентификовани могући проблеми по фазама циклуса борбе против превара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96"/>
        <w:gridCol w:w="6832"/>
      </w:tblGrid>
      <w:tr w:rsidR="003A56F1">
        <w:trPr>
          <w:trHeight w:val="45"/>
          <w:tblCellSpacing w:w="0" w:type="auto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Фаза</w:t>
            </w:r>
          </w:p>
        </w:tc>
        <w:tc>
          <w:tcPr>
            <w:tcW w:w="1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Идентификовани могући проблеми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Превенција</w:t>
            </w:r>
          </w:p>
        </w:tc>
        <w:tc>
          <w:tcPr>
            <w:tcW w:w="1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 недостатак ко</w:t>
            </w:r>
            <w:r>
              <w:rPr>
                <w:color w:val="000000"/>
              </w:rPr>
              <w:t>ординације и размене информација у процени ризика од превара;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2. недостатак индивидуалне одговорности, због тога што је сукоб интереса прећутно толерисан, чињенице да се не прати спровођење планова интегритета због чега се злоупотреба и/или превара доживља</w:t>
            </w:r>
            <w:r>
              <w:rPr>
                <w:color w:val="000000"/>
              </w:rPr>
              <w:t>ва прихватљивом, што има негативне финансијске последице и урушену репутацију институција и државе;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3. неадекватно праћење идентификованих слабости у ИПА структури;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4. различити стандарди који се примењују и различито дефинисање појмова грешке, </w:t>
            </w:r>
            <w:r>
              <w:rPr>
                <w:color w:val="000000"/>
              </w:rPr>
              <w:t>неправилности и преваре;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5. недовољно развијена свест јавности о потреби и важности контроле коришћења ЕУ средстава и сузбијања неправилности и превара;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Откривање, пријављивање и поступање по неправилности и сумњи на </w:t>
            </w:r>
            <w:r>
              <w:rPr>
                <w:color w:val="000000"/>
              </w:rPr>
              <w:lastRenderedPageBreak/>
              <w:t>превару</w:t>
            </w:r>
          </w:p>
        </w:tc>
        <w:tc>
          <w:tcPr>
            <w:tcW w:w="1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6. недовољно развијена свест з</w:t>
            </w:r>
            <w:r>
              <w:rPr>
                <w:color w:val="000000"/>
              </w:rPr>
              <w:t>апослених у систему индиректног управљања о појму преваре;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7. честа флуктуација запослених, недовољна обученост кадрова, непознавање улога и одговорности у пријављивању неправилности због различитих услова </w:t>
            </w:r>
            <w:r>
              <w:rPr>
                <w:color w:val="000000"/>
              </w:rPr>
              <w:lastRenderedPageBreak/>
              <w:t xml:space="preserve">за пријављивање који се посебно дефинишу за сваку </w:t>
            </w:r>
            <w:r>
              <w:rPr>
                <w:color w:val="000000"/>
              </w:rPr>
              <w:t>врсту уговора;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8. непрецизност/мањкавост уговорних одредаба о извештавању о неправилностима (нпр. са добављачима, корисницима гранта, крајњим корисницима):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– непознавање улога, одговорности и значаја пријављивања неправилности,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– недовољно видљив и сложен </w:t>
            </w:r>
            <w:r>
              <w:rPr>
                <w:color w:val="000000"/>
              </w:rPr>
              <w:t>поступак за пријављивање неправилности и сумње на превару,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– неадекватно познавање процедура за анонимно пријављивање неправилности,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– страх од последице пријављивања неправилности и сумњи на превару;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9. мањкава процена значаја информација којима располаже</w:t>
            </w:r>
            <w:r>
              <w:rPr>
                <w:color w:val="000000"/>
              </w:rPr>
              <w:t xml:space="preserve"> лице које пријављује неправилност или сумњу на превару, а које би иницирале проверу;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10. недовољно развијена свест јавности о потреби и важности пријављивања потенцијалних неправилности и превара насталих приликом коришћења ЕУ средстава;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Истрага у вези с</w:t>
            </w:r>
            <w:r>
              <w:rPr>
                <w:color w:val="000000"/>
              </w:rPr>
              <w:t>а злоупотребама приликом коришћења финансијских средстава ЕУ</w:t>
            </w:r>
          </w:p>
        </w:tc>
        <w:tc>
          <w:tcPr>
            <w:tcW w:w="1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11. недовољно познавање важећих правила ЕУ захтева додатно време за обраду сумњи на преваре; недостатак изворних докумената на српском језику и ограничени преводилачки ресурси доводе до погоршања</w:t>
            </w:r>
            <w:r>
              <w:rPr>
                <w:color w:val="000000"/>
              </w:rPr>
              <w:t xml:space="preserve"> проблема који резултирају потенцијално мањем броју оптужница и наступања застарелости кривичног гоњења;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Повраћај финансијских средстава и праћење судских поступака</w:t>
            </w:r>
          </w:p>
        </w:tc>
        <w:tc>
          <w:tcPr>
            <w:tcW w:w="1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12.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– недостатак развијене свести код локалних носилаца власти (корисника /примаоца ЕУ </w:t>
            </w:r>
            <w:r>
              <w:rPr>
                <w:color w:val="000000"/>
              </w:rPr>
              <w:t>средстава) да имају уговором предвиђену обавезу да изврше повраћај ненаменски утрошеног новца,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– недостак посвећености и/или преузете одговорности локалних носилаца власти, који су корисници/примаоци средстава ЕУ, да у потпуности одговоре обавези повраћаја</w:t>
            </w:r>
            <w:r>
              <w:rPr>
                <w:color w:val="000000"/>
              </w:rPr>
              <w:t xml:space="preserve"> износа нерегуларно или прекомерно утрошених средстава према важећим правним актима,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– промена статуса правног лица (гашење, ликвидација, стечај) корисника/примаоца средстава-организација цивилног друштва доводи до немогућности надокнаде </w:t>
            </w:r>
            <w:r>
              <w:rPr>
                <w:color w:val="000000"/>
              </w:rPr>
              <w:lastRenderedPageBreak/>
              <w:t>нерегуларно утроше</w:t>
            </w:r>
            <w:r>
              <w:rPr>
                <w:color w:val="000000"/>
              </w:rPr>
              <w:t>них средстава.</w:t>
            </w:r>
          </w:p>
        </w:tc>
      </w:tr>
    </w:tbl>
    <w:p w:rsidR="003A56F1" w:rsidRDefault="00F81553">
      <w:pPr>
        <w:spacing w:after="150"/>
      </w:pPr>
      <w:r>
        <w:rPr>
          <w:color w:val="000000"/>
        </w:rPr>
        <w:lastRenderedPageBreak/>
        <w:t>Могући проблеми, идентификовани кроз анализу ризика, указују на потребу да све институције у Мрежи за борбу против превара, свака у домену својих надлежности, усмере контролне активности на отклањање узрока проблема и самим тим допринесу см</w:t>
      </w:r>
      <w:r>
        <w:rPr>
          <w:color w:val="000000"/>
        </w:rPr>
        <w:t>ањењу укупне изложености ризику. С тим у вези, потребно је интензивирати рад Мреже за борбу против превара и обезбедити благовремену информисаност чланова о оствареним резултатима и правцима деловања у будућем периоду.</w:t>
      </w:r>
    </w:p>
    <w:p w:rsidR="003A56F1" w:rsidRDefault="00F81553">
      <w:pPr>
        <w:spacing w:after="150"/>
      </w:pPr>
      <w:r>
        <w:rPr>
          <w:color w:val="000000"/>
        </w:rPr>
        <w:t>Активности Мреже за борбу против прев</w:t>
      </w:r>
      <w:r>
        <w:rPr>
          <w:color w:val="000000"/>
        </w:rPr>
        <w:t>ара спроводе се кроз све четири фазе циклуса борбе против превара које хоризонтално прожима међуинституционална сарадња, као и координација, коју спроводи АФКОС.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IV. Анализа ризика</w:t>
      </w:r>
    </w:p>
    <w:p w:rsidR="003A56F1" w:rsidRDefault="00F81553">
      <w:pPr>
        <w:spacing w:after="150"/>
      </w:pPr>
      <w:r>
        <w:rPr>
          <w:color w:val="000000"/>
        </w:rPr>
        <w:t>Анализом ризика разматран је начин функционисања система заштите финансијск</w:t>
      </w:r>
      <w:r>
        <w:rPr>
          <w:color w:val="000000"/>
        </w:rPr>
        <w:t>их интереса ЕУ по фазама циклуса борбе против превара. За потребе анализе ризика система борбе против превара, поред четири основне фазе циклуса борбе против превара (превенција, пријављивање и поступање по неправилности и сумњи на превару, истрага сумњи н</w:t>
      </w:r>
      <w:r>
        <w:rPr>
          <w:color w:val="000000"/>
        </w:rPr>
        <w:t>а превару, повраћај финансијских средстава) узета је у обзир и међуинституционална координација и сарадња, која прожима све фазе у домену сарадње релевантних институција. Поменутим поступком идентификовани су и описани ризици са могућим узроцима и спроведе</w:t>
      </w:r>
      <w:r>
        <w:rPr>
          <w:color w:val="000000"/>
        </w:rPr>
        <w:t>на је квалитативна анализа и процена укупне изложености ризику.</w:t>
      </w:r>
    </w:p>
    <w:p w:rsidR="003A56F1" w:rsidRDefault="00F81553">
      <w:pPr>
        <w:spacing w:after="150"/>
      </w:pPr>
      <w:r>
        <w:rPr>
          <w:color w:val="000000"/>
        </w:rPr>
        <w:t>Ради умањења укупне изложености ризицима, уочених у циклусу борбе против превара, неопходно је, активним спровођењем митигационих мера, деловати на генерички ризик из ког исти произилазе. Недо</w:t>
      </w:r>
      <w:r>
        <w:rPr>
          <w:color w:val="000000"/>
        </w:rPr>
        <w:t>вољна политичка посвећеност свих релевантних институција Републике Србије спровођењу активности, у оквиру самог циклуса борбе против превара, које би имале за циљ сузбијање неправилности и превара у поступању са финансијским средствима ЕУ, представља општи</w:t>
      </w:r>
      <w:r>
        <w:rPr>
          <w:color w:val="000000"/>
        </w:rPr>
        <w:t xml:space="preserve"> ризик у области неправилности и превара у поступању са финансијским средствима ЕУ.</w:t>
      </w:r>
    </w:p>
    <w:p w:rsidR="003A56F1" w:rsidRDefault="00F81553">
      <w:pPr>
        <w:spacing w:after="150"/>
      </w:pPr>
      <w:r>
        <w:rPr>
          <w:color w:val="000000"/>
        </w:rPr>
        <w:t>У наставку следи Табела 2. која садржи ризике, идентификоване у фазама циклуса борбе против превара, и оцену укупне изложености ризику сходно методолошком упутству Европске</w:t>
      </w:r>
      <w:r>
        <w:rPr>
          <w:color w:val="000000"/>
        </w:rPr>
        <w:t xml:space="preserve"> комисије </w:t>
      </w:r>
      <w:r>
        <w:rPr>
          <w:i/>
          <w:color w:val="000000"/>
        </w:rPr>
        <w:t>Guidelines on National Anti</w:t>
      </w:r>
      <w:r>
        <w:rPr>
          <w:color w:val="000000"/>
        </w:rPr>
        <w:t xml:space="preserve"> − </w:t>
      </w:r>
      <w:r>
        <w:rPr>
          <w:i/>
          <w:color w:val="000000"/>
        </w:rPr>
        <w:t>Fraud Strategies.</w:t>
      </w:r>
    </w:p>
    <w:p w:rsidR="003A56F1" w:rsidRDefault="003A56F1">
      <w:pPr>
        <w:spacing w:after="150"/>
      </w:pPr>
    </w:p>
    <w:p w:rsidR="003A56F1" w:rsidRDefault="00F81553">
      <w:pPr>
        <w:spacing w:after="150"/>
      </w:pPr>
      <w:r>
        <w:rPr>
          <w:color w:val="000000"/>
        </w:rPr>
        <w:t xml:space="preserve">Табела 2: </w:t>
      </w:r>
      <w:r>
        <w:rPr>
          <w:i/>
          <w:color w:val="000000"/>
        </w:rPr>
        <w:t>Оцена укупне изложености ризику по фазама циклуса борбе против превара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8"/>
        <w:gridCol w:w="5740"/>
        <w:gridCol w:w="1550"/>
      </w:tblGrid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Опис ризика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Укупна изложеност ризику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Превенција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Изостанак сарадње приликом успостављања системских </w:t>
            </w:r>
            <w:r>
              <w:rPr>
                <w:color w:val="000000"/>
              </w:rPr>
              <w:t>контрола усмерених ка превенцији неправилности и превара;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висока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Злоупотреба ресурса институције од стране запослених (информације, кадрови…);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 ка високој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Злоупотребљена знања о слабостима у управљању финансијским средствима ЕУ и процедурама;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 ка високој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Недовољно развијена свест јавности о потреби и важности контроле коришћења ЕУ средстава и сузбијања неправилности и превара;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 ка високој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Неадекватно сагледавање процеса управљања ризицима од превара кроз акционе планове кор</w:t>
            </w:r>
            <w:r>
              <w:rPr>
                <w:color w:val="000000"/>
              </w:rPr>
              <w:t>исника за поступање по препорукама ревизорског тела;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Откривање, пријављивање и поступање по неправилности и сумњи на превару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Незнатан број пријава неправилности од стране запослених у систему индиректног управљања;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висока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Мали број пријава</w:t>
            </w:r>
            <w:r>
              <w:rPr>
                <w:color w:val="000000"/>
              </w:rPr>
              <w:t xml:space="preserve"> неправилности из екстерних извора;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 ка високој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Недовољно развијена свест јавности о потреби и важности пријављивања потенцијалних неправилности и превара насталих приликом коришћења ЕУ средстава;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 ка високој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Недовољно развијена </w:t>
            </w:r>
            <w:r>
              <w:rPr>
                <w:color w:val="000000"/>
              </w:rPr>
              <w:t>структура за извештавање кроз интерне информационе системе као и Информациони систем за управљање неправилностима (ИМС);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Потпуност, квалитет (поузданост) и документованост пријављених сигнала неправилности;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 xml:space="preserve">Истрага у вези са </w:t>
            </w:r>
            <w:r>
              <w:rPr>
                <w:b/>
                <w:color w:val="000000"/>
              </w:rPr>
              <w:t>злоупотребама приликом коришћења финансијских средстава ЕУ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Реакција одговорних тела на пријављене </w:t>
            </w:r>
            <w:r>
              <w:rPr>
                <w:color w:val="000000"/>
              </w:rPr>
              <w:lastRenderedPageBreak/>
              <w:t>неправилности и сумње на превару неће бити благовремена и/или адекватна;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висока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Повраћај финансијских средстава и праћење судских поступака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Дужина</w:t>
            </w:r>
            <w:r>
              <w:rPr>
                <w:color w:val="000000"/>
              </w:rPr>
              <w:t xml:space="preserve"> трајања поступака;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висока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Немогућност повраћаја незаконито и ненаменски утрошених средстава у буџет Републике Србије.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средња ка високој</w:t>
            </w:r>
          </w:p>
        </w:tc>
      </w:tr>
    </w:tbl>
    <w:p w:rsidR="003A56F1" w:rsidRDefault="00F81553">
      <w:pPr>
        <w:spacing w:after="150"/>
      </w:pPr>
      <w:r>
        <w:rPr>
          <w:color w:val="000000"/>
        </w:rPr>
        <w:t>Анализа ризика у погледу начина функционисања система заштите финансијских интереса ЕУ је указала да постоји знач</w:t>
      </w:r>
      <w:r>
        <w:rPr>
          <w:color w:val="000000"/>
        </w:rPr>
        <w:t>ајан простор за унапређење контролних механизама у свим фазама циклуса борбе против превара.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V. Циљеви Стратешког плана</w:t>
      </w:r>
    </w:p>
    <w:p w:rsidR="003A56F1" w:rsidRDefault="00F81553">
      <w:pPr>
        <w:spacing w:after="120"/>
        <w:jc w:val="center"/>
      </w:pPr>
      <w:r>
        <w:rPr>
          <w:color w:val="000000"/>
        </w:rPr>
        <w:t>Општи циљ</w:t>
      </w:r>
    </w:p>
    <w:p w:rsidR="003A56F1" w:rsidRDefault="00F81553">
      <w:pPr>
        <w:spacing w:after="150"/>
      </w:pPr>
      <w:r>
        <w:rPr>
          <w:color w:val="000000"/>
        </w:rPr>
        <w:t>Општи циљ Стратешког плана је унапређење заштите финансијских интереса ЕУ у Републици Србији применом начела „нулте толеранциј</w:t>
      </w:r>
      <w:r>
        <w:rPr>
          <w:color w:val="000000"/>
        </w:rPr>
        <w:t>е” које подразумева неселективну примену закона од стране релевантних институција Републике Србије кроз фазе циклуса борбе против превара.</w:t>
      </w:r>
    </w:p>
    <w:p w:rsidR="003A56F1" w:rsidRDefault="00F81553">
      <w:pPr>
        <w:spacing w:after="150"/>
      </w:pPr>
      <w:r>
        <w:rPr>
          <w:color w:val="000000"/>
        </w:rPr>
        <w:t>Начелом „нулте толеранције” обезбеђује се ефикасна и квалитетна заштита финансијских интереса ЕУ, у једнакој мери и н</w:t>
      </w:r>
      <w:r>
        <w:rPr>
          <w:color w:val="000000"/>
        </w:rPr>
        <w:t>а исти начин као и када је реч о сопственим интересима и средствима, која се огледа кроз координацију активности усмерених на јачање нормативног, институционалног и оперативног оквира који доприноси ефикаснијој борби против неправилности, превара и корупци</w:t>
      </w:r>
      <w:r>
        <w:rPr>
          <w:color w:val="000000"/>
        </w:rPr>
        <w:t>је.</w:t>
      </w:r>
    </w:p>
    <w:p w:rsidR="003A56F1" w:rsidRDefault="00F81553">
      <w:pPr>
        <w:spacing w:after="120"/>
        <w:jc w:val="center"/>
      </w:pPr>
      <w:r>
        <w:rPr>
          <w:color w:val="000000"/>
        </w:rPr>
        <w:t>Посебни циљеви</w:t>
      </w:r>
    </w:p>
    <w:p w:rsidR="003A56F1" w:rsidRDefault="00F81553">
      <w:pPr>
        <w:spacing w:after="150"/>
      </w:pPr>
      <w:r>
        <w:rPr>
          <w:color w:val="000000"/>
        </w:rPr>
        <w:t>Разрађујући наведени општи циљ, издвојени су посебни циљеви на темељу анализа постојећег стања, претходно постигнутих резултата и приоритета за деловање путем новог стратешког документа.</w:t>
      </w:r>
    </w:p>
    <w:p w:rsidR="003A56F1" w:rsidRDefault="00F81553">
      <w:pPr>
        <w:spacing w:after="150"/>
      </w:pPr>
      <w:r>
        <w:rPr>
          <w:color w:val="000000"/>
        </w:rPr>
        <w:t>Посебни циљеви су:</w:t>
      </w:r>
    </w:p>
    <w:p w:rsidR="003A56F1" w:rsidRDefault="00F81553">
      <w:pPr>
        <w:spacing w:after="150"/>
      </w:pPr>
      <w:r>
        <w:rPr>
          <w:color w:val="000000"/>
        </w:rPr>
        <w:t>1. јачање превентивног деловања</w:t>
      </w:r>
      <w:r>
        <w:rPr>
          <w:color w:val="000000"/>
        </w:rPr>
        <w:t xml:space="preserve"> на заштити финансијских интереса ЕУ;</w:t>
      </w:r>
    </w:p>
    <w:p w:rsidR="003A56F1" w:rsidRDefault="00F81553">
      <w:pPr>
        <w:spacing w:after="150"/>
      </w:pPr>
      <w:r>
        <w:rPr>
          <w:color w:val="000000"/>
        </w:rPr>
        <w:t>2. унапређење процеса раног откривања превара;</w:t>
      </w:r>
    </w:p>
    <w:p w:rsidR="003A56F1" w:rsidRDefault="00F81553">
      <w:pPr>
        <w:spacing w:after="150"/>
      </w:pPr>
      <w:r>
        <w:rPr>
          <w:color w:val="000000"/>
        </w:rPr>
        <w:t>3. унапређење спровођења истражних радњи;</w:t>
      </w:r>
    </w:p>
    <w:p w:rsidR="003A56F1" w:rsidRDefault="00F81553">
      <w:pPr>
        <w:spacing w:after="150"/>
      </w:pPr>
      <w:r>
        <w:rPr>
          <w:color w:val="000000"/>
        </w:rPr>
        <w:t>4. унапређење механизма за повраћај средстава; и</w:t>
      </w:r>
    </w:p>
    <w:p w:rsidR="003A56F1" w:rsidRDefault="00F81553">
      <w:pPr>
        <w:spacing w:after="150"/>
      </w:pPr>
      <w:r>
        <w:rPr>
          <w:color w:val="000000"/>
        </w:rPr>
        <w:t xml:space="preserve">5. подизање нивоа свести јавности о потреби и важности контроле коришћења ЕУ </w:t>
      </w:r>
      <w:r>
        <w:rPr>
          <w:color w:val="000000"/>
        </w:rPr>
        <w:t>средстава и сузбијања неправилности и превара.</w:t>
      </w:r>
    </w:p>
    <w:p w:rsidR="003A56F1" w:rsidRDefault="00F81553">
      <w:pPr>
        <w:spacing w:after="150"/>
      </w:pPr>
      <w:r>
        <w:rPr>
          <w:color w:val="000000"/>
        </w:rPr>
        <w:t xml:space="preserve">Испуњење општег и посебних циљева, путем утврђених мера и активности приказаних у акционом плану, допринеће променама у односу корисника и </w:t>
      </w:r>
      <w:r>
        <w:rPr>
          <w:color w:val="000000"/>
        </w:rPr>
        <w:lastRenderedPageBreak/>
        <w:t>јавности према финансијским средствима ЕУ и њиховој заштити. Активан п</w:t>
      </w:r>
      <w:r>
        <w:rPr>
          <w:color w:val="000000"/>
        </w:rPr>
        <w:t>риступ у реализацији мера и активности утицаће на побољшање функционалности и делотворности институција Републике Србије, што ће за последицу имати унапређење заштите финансијских интереса ЕУ, а самим тим и финансијских интереса Републике Србије.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 xml:space="preserve">VI. Мере </w:t>
      </w:r>
      <w:r>
        <w:rPr>
          <w:b/>
          <w:color w:val="000000"/>
        </w:rPr>
        <w:t>за остваривање циљева</w:t>
      </w:r>
    </w:p>
    <w:p w:rsidR="003A56F1" w:rsidRDefault="00F81553">
      <w:pPr>
        <w:spacing w:after="150"/>
      </w:pPr>
      <w:r>
        <w:rPr>
          <w:color w:val="000000"/>
        </w:rPr>
        <w:t>Имајући у виду да испуњење посебних циљева представља предуслов за остваривање општег циља, пратећим акционим планом предвиђене су мере, као скуп међусобно повезаних активности, чије спровођење ће бити поверено надлежним институцијама</w:t>
      </w:r>
      <w:r>
        <w:rPr>
          <w:color w:val="000000"/>
        </w:rPr>
        <w:t>.</w:t>
      </w:r>
    </w:p>
    <w:p w:rsidR="003A56F1" w:rsidRDefault="00F81553">
      <w:pPr>
        <w:spacing w:after="150"/>
      </w:pPr>
      <w:r>
        <w:rPr>
          <w:color w:val="000000"/>
        </w:rPr>
        <w:t>Сагласно утврђеним посебним циљевима, предвиђене су, у оквиру истих, следеће мере:</w:t>
      </w:r>
    </w:p>
    <w:p w:rsidR="003A56F1" w:rsidRDefault="00F81553">
      <w:pPr>
        <w:spacing w:after="150"/>
      </w:pPr>
      <w:r>
        <w:rPr>
          <w:color w:val="000000"/>
        </w:rPr>
        <w:t>1. јачање превентивног деловања на заштити финансијских интереса ЕУ:</w:t>
      </w:r>
    </w:p>
    <w:p w:rsidR="003A56F1" w:rsidRDefault="00F81553">
      <w:pPr>
        <w:spacing w:after="150"/>
      </w:pPr>
      <w:r>
        <w:rPr>
          <w:color w:val="000000"/>
        </w:rPr>
        <w:t>– мера 1.1 – Јачање кадровског потенцијала у оквиру превентивног деловања на заштити финансијских инте</w:t>
      </w:r>
      <w:r>
        <w:rPr>
          <w:color w:val="000000"/>
        </w:rPr>
        <w:t>реса ЕУ,</w:t>
      </w:r>
    </w:p>
    <w:p w:rsidR="003A56F1" w:rsidRDefault="00F81553">
      <w:pPr>
        <w:spacing w:after="150"/>
      </w:pPr>
      <w:r>
        <w:rPr>
          <w:color w:val="000000"/>
        </w:rPr>
        <w:t>– мера 1.2 – Унапређење интерних процедура у области превентивног деловања на заштити финансијских интереса ЕУ,</w:t>
      </w:r>
    </w:p>
    <w:p w:rsidR="003A56F1" w:rsidRDefault="00F81553">
      <w:pPr>
        <w:spacing w:after="150"/>
      </w:pPr>
      <w:r>
        <w:rPr>
          <w:color w:val="000000"/>
        </w:rPr>
        <w:t>– мера 1.3 – Развијање сарадње и размене информација у сфери превентивног деловања на заштити финансијских интереса ЕУ,</w:t>
      </w:r>
    </w:p>
    <w:p w:rsidR="003A56F1" w:rsidRDefault="00F81553">
      <w:pPr>
        <w:spacing w:after="150"/>
      </w:pPr>
      <w:r>
        <w:rPr>
          <w:color w:val="000000"/>
        </w:rPr>
        <w:t>– мера 1.4 – По</w:t>
      </w:r>
      <w:r>
        <w:rPr>
          <w:color w:val="000000"/>
        </w:rPr>
        <w:t>дизање нивоа свести о значају заштите финансијских интереса ЕУ и финансијских интереса Републике Србије;</w:t>
      </w:r>
    </w:p>
    <w:p w:rsidR="003A56F1" w:rsidRDefault="00F81553">
      <w:pPr>
        <w:spacing w:after="150"/>
      </w:pPr>
      <w:r>
        <w:rPr>
          <w:color w:val="000000"/>
        </w:rPr>
        <w:t>– мерa 1.5 – Измена и/или усклађивање правног оквира ради јачања превентивног деловања на заштити финансијских интереса ЕУ;</w:t>
      </w:r>
    </w:p>
    <w:p w:rsidR="003A56F1" w:rsidRDefault="00F81553">
      <w:pPr>
        <w:spacing w:after="150"/>
      </w:pPr>
      <w:r>
        <w:rPr>
          <w:color w:val="000000"/>
        </w:rPr>
        <w:t>2. унапређење процеса раног</w:t>
      </w:r>
      <w:r>
        <w:rPr>
          <w:color w:val="000000"/>
        </w:rPr>
        <w:t xml:space="preserve"> откривања превара:</w:t>
      </w:r>
    </w:p>
    <w:p w:rsidR="003A56F1" w:rsidRDefault="00F81553">
      <w:pPr>
        <w:spacing w:after="150"/>
      </w:pPr>
      <w:r>
        <w:rPr>
          <w:color w:val="000000"/>
        </w:rPr>
        <w:t>– мера 2.1 – Континуирано управљање ризицима са циљем унапређења процеса раног откривања превара,</w:t>
      </w:r>
    </w:p>
    <w:p w:rsidR="003A56F1" w:rsidRDefault="00F81553">
      <w:pPr>
        <w:spacing w:after="150"/>
      </w:pPr>
      <w:r>
        <w:rPr>
          <w:color w:val="000000"/>
        </w:rPr>
        <w:t>– мера 2.2 – Развијање сарадње и размене информација у области раног откривања превара,</w:t>
      </w:r>
    </w:p>
    <w:p w:rsidR="003A56F1" w:rsidRDefault="00F81553">
      <w:pPr>
        <w:spacing w:after="150"/>
      </w:pPr>
      <w:r>
        <w:rPr>
          <w:color w:val="000000"/>
        </w:rPr>
        <w:t>– мера 2.3 – Јачање кадровског потенцијала ради ун</w:t>
      </w:r>
      <w:r>
        <w:rPr>
          <w:color w:val="000000"/>
        </w:rPr>
        <w:t>апређења процеса раног откривања превара;</w:t>
      </w:r>
    </w:p>
    <w:p w:rsidR="003A56F1" w:rsidRDefault="00F81553">
      <w:pPr>
        <w:spacing w:after="150"/>
      </w:pPr>
      <w:r>
        <w:rPr>
          <w:color w:val="000000"/>
        </w:rPr>
        <w:t>3. унапређење спровођења истражних радњи:</w:t>
      </w:r>
    </w:p>
    <w:p w:rsidR="003A56F1" w:rsidRDefault="00F81553">
      <w:pPr>
        <w:spacing w:after="150"/>
      </w:pPr>
      <w:r>
        <w:rPr>
          <w:color w:val="000000"/>
        </w:rPr>
        <w:t>– мера 3.1 – Јачање сарадње и размене информација у циљу унапређења спровођења истражних радњи,</w:t>
      </w:r>
    </w:p>
    <w:p w:rsidR="003A56F1" w:rsidRDefault="00F81553">
      <w:pPr>
        <w:spacing w:after="150"/>
      </w:pPr>
      <w:r>
        <w:rPr>
          <w:color w:val="000000"/>
        </w:rPr>
        <w:t xml:space="preserve">– мера 3.2 – Јачање кадровског потенцијала ради унапређења спровођења </w:t>
      </w:r>
      <w:r>
        <w:rPr>
          <w:color w:val="000000"/>
        </w:rPr>
        <w:t>истражних радњи,</w:t>
      </w:r>
    </w:p>
    <w:p w:rsidR="003A56F1" w:rsidRDefault="00F81553">
      <w:pPr>
        <w:spacing w:after="150"/>
      </w:pPr>
      <w:r>
        <w:rPr>
          <w:color w:val="000000"/>
        </w:rPr>
        <w:t>– мера 3.3 – Измена и/или усклађивање правног оквира у циљу спровођења истражних радњи,</w:t>
      </w:r>
    </w:p>
    <w:p w:rsidR="003A56F1" w:rsidRDefault="00F81553">
      <w:pPr>
        <w:spacing w:after="150"/>
      </w:pPr>
      <w:r>
        <w:rPr>
          <w:color w:val="000000"/>
        </w:rPr>
        <w:lastRenderedPageBreak/>
        <w:t>– мера 3.4 – Реализација организационих промена ради унапређења спровођења истражних радњи,</w:t>
      </w:r>
    </w:p>
    <w:p w:rsidR="003A56F1" w:rsidRDefault="00F81553">
      <w:pPr>
        <w:spacing w:after="150"/>
      </w:pPr>
      <w:r>
        <w:rPr>
          <w:color w:val="000000"/>
        </w:rPr>
        <w:t>– мера 3.5 – Побољшање материјално техничких капацитета инс</w:t>
      </w:r>
      <w:r>
        <w:rPr>
          <w:color w:val="000000"/>
        </w:rPr>
        <w:t>титуција надлежних за спровођење истражних радњи;</w:t>
      </w:r>
    </w:p>
    <w:p w:rsidR="003A56F1" w:rsidRDefault="00F81553">
      <w:pPr>
        <w:spacing w:after="150"/>
      </w:pPr>
      <w:r>
        <w:rPr>
          <w:color w:val="000000"/>
        </w:rPr>
        <w:t>4. унапређење механизма за повраћај средстава:</w:t>
      </w:r>
    </w:p>
    <w:p w:rsidR="003A56F1" w:rsidRDefault="00F81553">
      <w:pPr>
        <w:spacing w:after="150"/>
      </w:pPr>
      <w:r>
        <w:rPr>
          <w:color w:val="000000"/>
        </w:rPr>
        <w:t>– мера 4.1 – Измена и/или усклађивање правног оквира са циљем унапређења механизма за повраћај средстава,</w:t>
      </w:r>
    </w:p>
    <w:p w:rsidR="003A56F1" w:rsidRDefault="00F81553">
      <w:pPr>
        <w:spacing w:after="150"/>
      </w:pPr>
      <w:r>
        <w:rPr>
          <w:color w:val="000000"/>
        </w:rPr>
        <w:t xml:space="preserve">– мера 4.2 – Развијање сарадње и размене информација </w:t>
      </w:r>
      <w:r>
        <w:rPr>
          <w:color w:val="000000"/>
        </w:rPr>
        <w:t>ради побољшања механизма за повраћај средстава;</w:t>
      </w:r>
    </w:p>
    <w:p w:rsidR="003A56F1" w:rsidRDefault="00F81553">
      <w:pPr>
        <w:spacing w:after="150"/>
      </w:pPr>
      <w:r>
        <w:rPr>
          <w:color w:val="000000"/>
        </w:rPr>
        <w:t>5. подизање нивоа свести јавности о потреби и важности контроле коришћења ЕУ средстава и сузбијања неправилности и превара</w:t>
      </w:r>
    </w:p>
    <w:p w:rsidR="003A56F1" w:rsidRDefault="00F81553">
      <w:pPr>
        <w:spacing w:after="150"/>
      </w:pPr>
      <w:r>
        <w:rPr>
          <w:color w:val="000000"/>
        </w:rPr>
        <w:t xml:space="preserve">– мера 5.1 – Јачање сарадње и размене информација у циљу подизања нивоа свести </w:t>
      </w:r>
      <w:r>
        <w:rPr>
          <w:color w:val="000000"/>
        </w:rPr>
        <w:t>јавности о потреби и важности контроле коришћења ЕУ средстава и сузбијања неправилности и превара.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VII. Институције укључене у процес спровођења активности и извештавање о оствареним резултатима</w:t>
      </w:r>
    </w:p>
    <w:p w:rsidR="003A56F1" w:rsidRDefault="00F81553">
      <w:pPr>
        <w:spacing w:after="150"/>
      </w:pPr>
      <w:r>
        <w:rPr>
          <w:color w:val="000000"/>
        </w:rPr>
        <w:t>Остваривање циљева Стратешког плана и отклањање уочених ризик</w:t>
      </w:r>
      <w:r>
        <w:rPr>
          <w:color w:val="000000"/>
        </w:rPr>
        <w:t>а конкретизовано је кроз поједине кораке, односно активности утврђене Акционим планом који чини саставни део Стратешког плана.</w:t>
      </w:r>
    </w:p>
    <w:p w:rsidR="003A56F1" w:rsidRDefault="00F81553">
      <w:pPr>
        <w:spacing w:after="150"/>
      </w:pPr>
      <w:r>
        <w:rPr>
          <w:color w:val="000000"/>
        </w:rPr>
        <w:t>Степен остварених циљева трасира пут спровођењу будућих активности како би се њиховом реализацијом постигли жељени ефекти. Мерење</w:t>
      </w:r>
      <w:r>
        <w:rPr>
          <w:color w:val="000000"/>
        </w:rPr>
        <w:t xml:space="preserve"> резултата спровођења активности пружаће потребне информације о ефектима планираних активности и њиховом доприносу остваривању посебних циљева, као и доприносу посебних циљева остварењу општег циља.</w:t>
      </w:r>
    </w:p>
    <w:p w:rsidR="003A56F1" w:rsidRDefault="00F81553">
      <w:pPr>
        <w:spacing w:after="150"/>
      </w:pPr>
      <w:r>
        <w:rPr>
          <w:color w:val="000000"/>
        </w:rPr>
        <w:t xml:space="preserve">Спровођење Стратешког плана је у надлежности институција </w:t>
      </w:r>
      <w:r>
        <w:rPr>
          <w:color w:val="000000"/>
        </w:rPr>
        <w:t>које имају именоване представнике у Мрежи за борбу против превара. Наведене институције су Акционим планом одређене за носиоце појединачних активности, а праћење спровођења Стратешког плана у надлежности је АФКОС-а и представља континуирану активност. О св</w:t>
      </w:r>
      <w:r>
        <w:rPr>
          <w:color w:val="000000"/>
        </w:rPr>
        <w:t>им реализованим активностима АФКОС информише Мрежу за борбу против превара, кроз редовне састанке.</w:t>
      </w:r>
    </w:p>
    <w:p w:rsidR="003A56F1" w:rsidRDefault="00F81553">
      <w:pPr>
        <w:spacing w:after="150"/>
      </w:pPr>
      <w:r>
        <w:rPr>
          <w:color w:val="000000"/>
        </w:rPr>
        <w:t>Министарство финансија – АФКОС на крају првог квартала текуће године, извештава Владу путем годишњег извештаја о спровођењу циљева и активности из Стратешког</w:t>
      </w:r>
      <w:r>
        <w:rPr>
          <w:color w:val="000000"/>
        </w:rPr>
        <w:t xml:space="preserve"> плана за претходну годину. Приликом израде наведеног извештаја, институције одређене за носиоце појединачних активности, писаним путем, извештавају АФКОС о реализацији активности за које су задужене.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lastRenderedPageBreak/>
        <w:t>VIII. Процена финансијских средстава потребних за спров</w:t>
      </w:r>
      <w:r>
        <w:rPr>
          <w:b/>
          <w:color w:val="000000"/>
        </w:rPr>
        <w:t>ођење Стратешког плана</w:t>
      </w:r>
    </w:p>
    <w:p w:rsidR="003A56F1" w:rsidRDefault="00F81553">
      <w:pPr>
        <w:spacing w:after="150"/>
      </w:pPr>
      <w:r>
        <w:rPr>
          <w:color w:val="000000"/>
        </w:rPr>
        <w:t>За поступак усвајања Стратешког плана нису потребна финансијска средства.</w:t>
      </w:r>
    </w:p>
    <w:p w:rsidR="003A56F1" w:rsidRDefault="00F81553">
      <w:pPr>
        <w:spacing w:after="150"/>
      </w:pPr>
      <w:r>
        <w:rPr>
          <w:color w:val="000000"/>
        </w:rPr>
        <w:t>Спровођење мера, односно активности, планирано је у оквиру редовних (одобрених) буџетских средстава, тако да нису потребна додатна финансијска средства у буџет</w:t>
      </w:r>
      <w:r>
        <w:rPr>
          <w:color w:val="000000"/>
        </w:rPr>
        <w:t>има надлежних институција.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IX. Aкциони план</w:t>
      </w:r>
    </w:p>
    <w:p w:rsidR="003A56F1" w:rsidRDefault="00F81553">
      <w:pPr>
        <w:spacing w:after="150"/>
      </w:pPr>
      <w:r>
        <w:rPr>
          <w:color w:val="000000"/>
        </w:rPr>
        <w:t>Акциони план садржи скуп мера и активности које је потребно предузети ради остварења предвиђених циљева. Поред наведеног, истим су утврђене институције задужене за спровођење активности, органи партнери у спровођ</w:t>
      </w:r>
      <w:r>
        <w:rPr>
          <w:color w:val="000000"/>
        </w:rPr>
        <w:t>ењу активности, рок за спровођење активности, извор финансирања, као и показатељи.</w:t>
      </w:r>
    </w:p>
    <w:p w:rsidR="003A56F1" w:rsidRDefault="00F81553">
      <w:pPr>
        <w:spacing w:after="150"/>
      </w:pPr>
      <w:r>
        <w:rPr>
          <w:color w:val="000000"/>
        </w:rPr>
        <w:t>Акциони план чини саставни део овог документа.</w:t>
      </w:r>
    </w:p>
    <w:p w:rsidR="003A56F1" w:rsidRDefault="00F81553">
      <w:pPr>
        <w:spacing w:after="120"/>
        <w:jc w:val="center"/>
      </w:pPr>
      <w:r>
        <w:rPr>
          <w:b/>
          <w:color w:val="000000"/>
        </w:rPr>
        <w:t>Акциони план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70"/>
        <w:gridCol w:w="1841"/>
        <w:gridCol w:w="1300"/>
        <w:gridCol w:w="1441"/>
        <w:gridCol w:w="1069"/>
        <w:gridCol w:w="1228"/>
        <w:gridCol w:w="1679"/>
      </w:tblGrid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Општи циљ: Унапређење заштите финансијских интереса ЕУ у Републици Србији применом начела „нулте толеранције” кој</w:t>
            </w:r>
            <w:r>
              <w:rPr>
                <w:b/>
                <w:color w:val="000000"/>
              </w:rPr>
              <w:t>е подразумева неселективну примену закона од стране релевантних институција Републике Србије кроз фазе циклуса борбе против превара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Посебни циљ 1. Јачање превентивног деловања на заштити финансијских интереса ЕУ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1.1 Јачање кадровског потенцијала у</w:t>
            </w:r>
            <w:r>
              <w:rPr>
                <w:color w:val="000000"/>
              </w:rPr>
              <w:t xml:space="preserve"> оквиру превентивног деловања на заштити финансијских интереса ЕУ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1.1.1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Одржавање обука и радионица у циљу јачања </w:t>
            </w:r>
            <w:r>
              <w:rPr>
                <w:color w:val="000000"/>
              </w:rPr>
              <w:t xml:space="preserve">капацитета свих релевантних </w:t>
            </w:r>
            <w:r>
              <w:rPr>
                <w:color w:val="000000"/>
              </w:rPr>
              <w:lastRenderedPageBreak/>
              <w:t>учесника у процесу управљања пројектима/уговорима ради обезбеђивања свеобухватније заштите финансијских интереса ЕУ, као и сопствених буџета корисника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финансија, Сектор за управља</w:t>
            </w:r>
            <w:r>
              <w:rPr>
                <w:color w:val="000000"/>
              </w:rPr>
              <w:lastRenderedPageBreak/>
              <w:t>ње средствима Европске уније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</w:t>
            </w:r>
            <w:r>
              <w:rPr>
                <w:color w:val="000000"/>
              </w:rPr>
              <w:t xml:space="preserve">рство финансија, Сектор за уговарање и </w:t>
            </w:r>
            <w:r>
              <w:rPr>
                <w:color w:val="000000"/>
              </w:rPr>
              <w:lastRenderedPageBreak/>
              <w:t>финансирање програма из средстава Европске уније, АФКОС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 или ИПА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Одржане обуке и радионице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1.1.2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Одржавање радионица у циљу јачања капацитета корисника за самостално спровођење </w:t>
            </w:r>
            <w:r>
              <w:rPr>
                <w:color w:val="000000"/>
              </w:rPr>
              <w:t>пројектних активности ради обезбеђивања свеобухватније заштите финансијских интереса ЕУ, као и сопствених буџета корисника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за европске интеграције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Управљачка тела програма прекограничне и транснационалне сарадње, Заједнички секретаријати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</w:t>
            </w:r>
            <w:r>
              <w:rPr>
                <w:color w:val="000000"/>
              </w:rPr>
              <w:t>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 (06020004, 4002, 4003, 4004, 4004, 4005, 4008, 4009)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ИПА-накнаде које лица ангажована за рад у антенама заједничких секретаријата редовно примају из ИПА </w:t>
            </w:r>
            <w:r>
              <w:rPr>
                <w:color w:val="000000"/>
              </w:rPr>
              <w:lastRenderedPageBreak/>
              <w:t>средстава за конкретни програм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Одржане радионице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1.1.3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Одржавање </w:t>
            </w:r>
            <w:r>
              <w:rPr>
                <w:color w:val="000000"/>
              </w:rPr>
              <w:t>радионица за све крајње примаоце у оквиру Министарства пољопривреде, шумарства и водопривреде (сектори и управе) у вези са неправилностима у ИПА пројектима - ИПАРД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пољопривреде, шумарства и водопривреде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Управе и сектори у оквиру Министарства п</w:t>
            </w:r>
            <w:r>
              <w:rPr>
                <w:color w:val="000000"/>
              </w:rPr>
              <w:t>ољопривреде, шумарства и водопривреде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Одржане радионице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1.2 Унапређење интерних процедура у области превентивног деловања на заштити финансијских интереса ЕУ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Oргани партнери у </w:t>
            </w:r>
            <w:r>
              <w:rPr>
                <w:color w:val="000000"/>
              </w:rPr>
              <w:t>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1.2.1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Израда процедура Националног тела о спровођењу програма прекограничне и транснационалне сарадње са државама чланицама </w:t>
            </w:r>
            <w:r>
              <w:rPr>
                <w:color w:val="000000"/>
              </w:rPr>
              <w:lastRenderedPageBreak/>
              <w:t xml:space="preserve">Европске уније у Републици Србији у оквиру </w:t>
            </w:r>
            <w:r>
              <w:rPr>
                <w:color w:val="000000"/>
              </w:rPr>
              <w:t>Инструмента за претприступну помоћ (ИПА III) за период 2021-2027. године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за европске интеграције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/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II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(0602-0004)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Израђене процедуре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1.2.2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Унапређење интерних процедура у складу са препорукама из анализе </w:t>
            </w:r>
            <w:r>
              <w:rPr>
                <w:color w:val="000000"/>
              </w:rPr>
              <w:t>повезаности надлежности Агенције за спречавање корупције са заштитом финансијских интереса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Агенција за спречавање корупције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/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II квартал 2022.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(1601-0007)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Унапређене интерне процедуре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1.2.3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Израда извештаја са препорукама на основу сп</w:t>
            </w:r>
            <w:r>
              <w:rPr>
                <w:color w:val="000000"/>
              </w:rPr>
              <w:t>роведене контроле квалитета планова интегритета у трећем циклусу на одабраном узорку институција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Агенција за спречавање корупције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/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(1601-0007)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Израђен извештај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Мера 1.3 Развијање сарадње и размене информација у сфери </w:t>
            </w:r>
            <w:r>
              <w:rPr>
                <w:color w:val="000000"/>
              </w:rPr>
              <w:t>превентивног деловања на заштити финансијских интереса ЕУ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1.3.1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Успостављање и рад регионалне мреже службеника за </w:t>
            </w:r>
            <w:r>
              <w:rPr>
                <w:color w:val="000000"/>
              </w:rPr>
              <w:t>неправилности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Сектор за уговарање и финансирање програма из средстава Европске уније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Сектор за управљање средствима Европске уније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 или ИПА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Успостављена оперативна </w:t>
            </w:r>
            <w:r>
              <w:rPr>
                <w:color w:val="000000"/>
              </w:rPr>
              <w:t>регионална мрежа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1.3.2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Успостављање регионалне софтверске платформе за размену података и информација из области управљања неправилностима као подршка раду регионалне мреже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Министарство финансија, Сектор за уговарање и финансирање програма из средстава </w:t>
            </w:r>
            <w:r>
              <w:rPr>
                <w:color w:val="000000"/>
              </w:rPr>
              <w:t>Европске уније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Сектор за управљање средствима Европске уније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 или ИПА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Успостављена функционална регионална софтверска платформа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1.4 Подизање нивоа свести о значају заштите финансијских интер</w:t>
            </w:r>
            <w:r>
              <w:rPr>
                <w:color w:val="000000"/>
              </w:rPr>
              <w:t>еса ЕУ и финансијских интереса Републике Србије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Надлежне </w:t>
            </w:r>
            <w:r>
              <w:rPr>
                <w:color w:val="000000"/>
              </w:rPr>
              <w:lastRenderedPageBreak/>
              <w:t>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Oргани партнери </w:t>
            </w:r>
            <w:r>
              <w:rPr>
                <w:color w:val="000000"/>
              </w:rPr>
              <w:lastRenderedPageBreak/>
              <w:t>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Крајњи рок за </w:t>
            </w:r>
            <w:r>
              <w:rPr>
                <w:color w:val="000000"/>
              </w:rPr>
              <w:lastRenderedPageBreak/>
              <w:t>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Извори финанси</w:t>
            </w:r>
            <w:r>
              <w:rPr>
                <w:color w:val="000000"/>
              </w:rPr>
              <w:lastRenderedPageBreak/>
              <w:t>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1.4.1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Израда информатора за потенцијалне кориснике финансијских </w:t>
            </w:r>
            <w:r>
              <w:rPr>
                <w:color w:val="000000"/>
              </w:rPr>
              <w:t>средстава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Сектор за уговарање и финансирање програма из средстава Европске уније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Сектор за управљање средствима Европске уније, АФКОС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 или ИПА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Израђен информатор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1.4.2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Одржавање обука у циљу подизања свести корисника (институције које спроводе пројекте прекограничне и транснационалне сарадње у дељеном управљању) о неправилностима и њиховим последицама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за европске интеграције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Управљачка тела програма прекогра</w:t>
            </w:r>
            <w:r>
              <w:rPr>
                <w:color w:val="000000"/>
              </w:rPr>
              <w:t>ничне и транснационалне сарадње, Заједнички секретаријати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(06020004, 4002, 4003, 4004, 4004, 4005, 4008, 4009)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и ИПА - накнаде које лица ангажована за рад у антенама </w:t>
            </w:r>
            <w:r>
              <w:rPr>
                <w:color w:val="000000"/>
              </w:rPr>
              <w:lastRenderedPageBreak/>
              <w:t>заједничких секретаријaта редовно примају из ИПА средст</w:t>
            </w:r>
            <w:r>
              <w:rPr>
                <w:color w:val="000000"/>
              </w:rPr>
              <w:t>ава за конкретни програм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Одржане обуке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1.4.3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Спровођење обука за јавне функционере у области пријаве и провере имовине и решавања о сукобу интереса тако да садрже и сегмент заштите финансијских интереса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Агенција за спречавање корупције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Министарство </w:t>
            </w:r>
            <w:r>
              <w:rPr>
                <w:color w:val="000000"/>
              </w:rPr>
              <w:t>финансија, АФКОС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(1601-0007)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Спроведене обуке за јавне функционере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1.4.4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Спровођење обука о примени Методологије за процену ризика корупције у прописима за овлашћене предлагаче прописа тако да садрже и сегмент заштите фи</w:t>
            </w:r>
            <w:r>
              <w:rPr>
                <w:color w:val="000000"/>
              </w:rPr>
              <w:t xml:space="preserve">нансијских </w:t>
            </w:r>
            <w:r>
              <w:rPr>
                <w:color w:val="000000"/>
              </w:rPr>
              <w:lastRenderedPageBreak/>
              <w:t>интереса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Агенција за спречавање корупције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АФКОС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(1601-0007)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Спроведене обуке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Мера 1.5 Измена и/или усклађивање правног оквира ради јачања превентивног деловања на заштити </w:t>
            </w:r>
            <w:r>
              <w:rPr>
                <w:color w:val="000000"/>
              </w:rPr>
              <w:t>финансијских интереса ЕУ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1.5.1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Припрема и доношење Уредбе о спровођењу програма прекограничне и транснационалне </w:t>
            </w:r>
            <w:r>
              <w:rPr>
                <w:color w:val="000000"/>
              </w:rPr>
              <w:t>сарадње са државама чланицама Европске уније у Републици Србији у оквиру Инструмента за претприступну помоћ (ИПА III) за период 2021-2027. године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за европске интеграције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II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(06020004)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поте</w:t>
            </w:r>
            <w:r>
              <w:rPr>
                <w:color w:val="000000"/>
              </w:rPr>
              <w:t>нцијално: ИПА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Донета уредба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1.5.2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Припрема и доношење Уредбе о управљању програмима претприступне помоћи Европске уније у оквиру </w:t>
            </w:r>
            <w:r>
              <w:rPr>
                <w:color w:val="000000"/>
              </w:rPr>
              <w:lastRenderedPageBreak/>
              <w:t>инструмента за претприступну помоћ (ИПА III) за период 2021-2027. године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Министарство финансија, Сектор за управљање </w:t>
            </w:r>
            <w:r>
              <w:rPr>
                <w:color w:val="000000"/>
              </w:rPr>
              <w:t xml:space="preserve">средствима </w:t>
            </w:r>
            <w:r>
              <w:rPr>
                <w:color w:val="000000"/>
              </w:rPr>
              <w:lastRenderedPageBreak/>
              <w:t>Европске уније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за европске интеграције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Донета уредба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1.5.3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Ревидирање Акционог плана након ратификације оквирног споразума за ИПА III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Мрежа за борбу против превара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</w:t>
            </w:r>
            <w:r>
              <w:rPr>
                <w:color w:val="000000"/>
              </w:rPr>
              <w:t xml:space="preserve">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Ревидирани Акциони план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Посебни циљ 2. Унапређење процеса раног откривања превара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2.1 Континуирано управљање ризицима са циљем унапређења процеса раног откривања превара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2.1.1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Израда годишње анализе процене ризика од превара у складу са Методолошким упутством за управљање ризицима у вези са појавом неправилност</w:t>
            </w:r>
            <w:r>
              <w:rPr>
                <w:color w:val="000000"/>
              </w:rPr>
              <w:lastRenderedPageBreak/>
              <w:t xml:space="preserve">и и </w:t>
            </w:r>
            <w:r>
              <w:rPr>
                <w:color w:val="000000"/>
              </w:rPr>
              <w:t>превара у поступању са финансијским средствима Европске уније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за европске интеграције, Европска комисија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Израђена годишња анализа процена ризика од превара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2.1.2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Размена </w:t>
            </w:r>
            <w:r>
              <w:rPr>
                <w:color w:val="000000"/>
              </w:rPr>
              <w:t>извештаја/резултата ревизије као показатеља за рано откривање ризика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Европска комисија, Канцеларија за ревизију система управљања средствима Eвропске уније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Континуитет у размени извештаја/рез</w:t>
            </w:r>
            <w:r>
              <w:rPr>
                <w:color w:val="000000"/>
              </w:rPr>
              <w:t>ултата ревизије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2.2 Развијање сарадње и размене информација у области раног откривања превара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2.2.1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Размена </w:t>
            </w:r>
            <w:r>
              <w:rPr>
                <w:color w:val="000000"/>
              </w:rPr>
              <w:t>информација у вези са случајевима у што краћем року (посебно са ино партнерима)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унутрашњих послова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Тужилаштво, ОЛАФ, надлежни полицијски органи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Континуитет у размени информација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2.2.2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Квартално одржавање </w:t>
            </w:r>
            <w:r>
              <w:rPr>
                <w:color w:val="000000"/>
              </w:rPr>
              <w:t xml:space="preserve">састанака АФКОС - ОЛАФ са циљем </w:t>
            </w:r>
            <w:r>
              <w:rPr>
                <w:color w:val="000000"/>
              </w:rPr>
              <w:lastRenderedPageBreak/>
              <w:t>узајамне размене информација о актуелним случајевима као и праћења извештавања кроз Информациони систем за управљање неправилностима (ИМС) успостављен од стране Европске комисије и извештавање путем истог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финанс</w:t>
            </w:r>
            <w:r>
              <w:rPr>
                <w:color w:val="000000"/>
              </w:rPr>
              <w:t>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ОЛАФ, Европска комисија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Одржани састанци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2.2.3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Одржавање састанака Мреже за борбу против превара у циљу благовремене размене информација о уоченим неправилностима и сумњама на превару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</w:t>
            </w:r>
            <w:r>
              <w:rPr>
                <w:color w:val="000000"/>
              </w:rPr>
              <w:t>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Чланови Мреже за борбу против превара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Одржани састанци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2.3 Јачање кадровског потенцијала ради унапређења раног откривања превара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Крајњи </w:t>
            </w:r>
            <w:r>
              <w:rPr>
                <w:color w:val="000000"/>
              </w:rPr>
              <w:t>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2.3.1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Професионално усавршавање службеника на извршилачким радним местима који се баве пословима у вези са управљањем пројектима/уговорима, у циљу раног откривања неправилности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Министарство </w:t>
            </w:r>
            <w:r>
              <w:rPr>
                <w:color w:val="000000"/>
              </w:rPr>
              <w:t>финансија, Сектор за управљање средствима Европске уније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Сектор за уговарање и финансирање програма из средстава Европске уније, Сектор за буџетску инспекцију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 или ИПА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Спроведено професионално уса</w:t>
            </w:r>
            <w:r>
              <w:rPr>
                <w:color w:val="000000"/>
              </w:rPr>
              <w:t>вршавање службеника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2.3.2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Јачање АФКОС-а квантитативно и квалитативно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</w:t>
            </w:r>
          </w:p>
          <w:p w:rsidR="003A56F1" w:rsidRDefault="00F81553">
            <w:pPr>
              <w:spacing w:after="150"/>
            </w:pPr>
            <w:r>
              <w:rPr>
                <w:color w:val="000000"/>
              </w:rPr>
              <w:t>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 -Секретаријат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Повећан број запослених и спроведено усавршавање постојећих и новозапослених </w:t>
            </w:r>
            <w:r>
              <w:rPr>
                <w:color w:val="000000"/>
              </w:rPr>
              <w:t>кадрова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Посебни циљ 3. Унапређење спровођења истражних радњи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3.1 Јачање сарадње и размене информација у циљу унапређења спровођења истражних радњи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Крајњи рок за </w:t>
            </w:r>
            <w:r>
              <w:rPr>
                <w:color w:val="000000"/>
              </w:rPr>
              <w:t>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Одржавање </w:t>
            </w:r>
            <w:r>
              <w:rPr>
                <w:color w:val="000000"/>
              </w:rPr>
              <w:lastRenderedPageBreak/>
              <w:t>регионалне конференције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</w:t>
            </w:r>
            <w:r>
              <w:rPr>
                <w:color w:val="000000"/>
              </w:rPr>
              <w:lastRenderedPageBreak/>
              <w:t>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АФКОС </w:t>
            </w:r>
            <w:r>
              <w:rPr>
                <w:color w:val="000000"/>
              </w:rPr>
              <w:lastRenderedPageBreak/>
              <w:t>јединице из земаља региона, Министарство унутрашњих послова, Тужилаштво, Мрежа за борбу против превара, ОЛАФ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IV </w:t>
            </w:r>
            <w:r>
              <w:rPr>
                <w:color w:val="000000"/>
              </w:rPr>
              <w:lastRenderedPageBreak/>
              <w:t>квартал 2022.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Донатор</w:t>
            </w:r>
            <w:r>
              <w:rPr>
                <w:color w:val="000000"/>
              </w:rPr>
              <w:lastRenderedPageBreak/>
              <w:t>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Одржана </w:t>
            </w:r>
            <w:r>
              <w:rPr>
                <w:color w:val="000000"/>
              </w:rPr>
              <w:lastRenderedPageBreak/>
              <w:t>регионална конференција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3.1.2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Јачање сарадње са ино партнерима у циљу стварања заједничких тимова за спровођење истрага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унутрашњих послова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Тужилаштво, ОЛАФ, Министарство финансија, AФКОС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Буџетска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Оформљени заједнички тимови за спровођење истрага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3.1.3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Oдржавање састанака Мреже за борбу против превара и извештавање чланова о току истрага и покренутим поступцима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Чланови Мреже за борбу против превара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IV квартал </w:t>
            </w:r>
            <w:r>
              <w:rPr>
                <w:color w:val="000000"/>
              </w:rPr>
              <w:t>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Континуитет у извештавању чланова Мреже за борбу против превара о току истрага и покренутим поступцима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3.1.4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Размена информација и одржавање редовне комуникације са предстваници</w:t>
            </w:r>
            <w:r>
              <w:rPr>
                <w:color w:val="000000"/>
              </w:rPr>
              <w:lastRenderedPageBreak/>
              <w:t>ма ОЛАФ-а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ОЛАФ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IV </w:t>
            </w:r>
            <w:r>
              <w:rPr>
                <w:color w:val="000000"/>
              </w:rPr>
              <w:t>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Континуитет у размени информација и одржавању комуникације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Мера 3.2 Јачање кадровског потенцијала ради унапређења спровођења истражних радњи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Крајњи </w:t>
            </w:r>
            <w:r>
              <w:rPr>
                <w:color w:val="000000"/>
              </w:rPr>
              <w:t>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3.2.1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Одржавање обука/радионица за јавне тужиоце у вези са заштитом финансијских интереса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Републичко јавно тужилаштво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АФКОС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Одржане </w:t>
            </w:r>
            <w:r>
              <w:rPr>
                <w:color w:val="000000"/>
              </w:rPr>
              <w:t>обуке/радионице за јавне тужиоце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3.3 Измена и/или усклађивање правног оквира у циљу унапређења спровођења истражних радњи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3.3.1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Израда Табеле усклађености кривичног законодавства са Директивом 1371/17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правде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Израђена табела усклађености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Мера 3.4 Реализација организационих промена ради унапређења </w:t>
            </w:r>
            <w:r>
              <w:rPr>
                <w:color w:val="000000"/>
              </w:rPr>
              <w:t>спровођења истражних радњи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</w:t>
            </w:r>
            <w:r>
              <w:rPr>
                <w:color w:val="000000"/>
              </w:rPr>
              <w:lastRenderedPageBreak/>
              <w:t>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Oргани партнери у </w:t>
            </w:r>
            <w:r>
              <w:rPr>
                <w:color w:val="000000"/>
              </w:rPr>
              <w:lastRenderedPageBreak/>
              <w:t>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Крајњи рок за спрово</w:t>
            </w:r>
            <w:r>
              <w:rPr>
                <w:color w:val="000000"/>
              </w:rPr>
              <w:lastRenderedPageBreak/>
              <w:t>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3.4.1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Формирање посебне организационе јединице Министарства унутрашњих послова у чији </w:t>
            </w:r>
            <w:r>
              <w:rPr>
                <w:color w:val="000000"/>
              </w:rPr>
              <w:t>делокруг спадају злоупотребе везане за располагање средствима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унутрашњих послова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/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Оформљена посебна организациона јединица Министарства унутрашњих послова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Мера 3.5 Побољшање материјално техничких </w:t>
            </w:r>
            <w:r>
              <w:rPr>
                <w:color w:val="000000"/>
              </w:rPr>
              <w:t>капацитета институција надлежних за спровођење истражних радњи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3.5.1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Набављање опреме и коришћење исте у сврху </w:t>
            </w:r>
            <w:r>
              <w:rPr>
                <w:color w:val="000000"/>
              </w:rPr>
              <w:t>унапређења истрага које би се водиле по конкретном предмету (информатичка, канцеларијска и средства везе)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унутрашњих послова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/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 квартал 2022.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Набављена опрема и употреба исте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 xml:space="preserve">Посебни циљ 4. Унапређење </w:t>
            </w:r>
            <w:r>
              <w:rPr>
                <w:b/>
                <w:color w:val="000000"/>
              </w:rPr>
              <w:t>механизма за повраћај средстава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4.1 Измена и/или усклађивање правног оквира са циљем унапређења механизма за повраћај средстава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Извори </w:t>
            </w:r>
            <w:r>
              <w:rPr>
                <w:color w:val="000000"/>
              </w:rPr>
              <w:t>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4.1.1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Ангажовање експертске правне помоћи за анализу релевантних правних аката, утврђивање недостатака у постојећим актима, као и предлагање измена у циљу унапређења аката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Министарство финансија, Сектор за уговарање и финансирање </w:t>
            </w:r>
            <w:r>
              <w:rPr>
                <w:color w:val="000000"/>
              </w:rPr>
              <w:t>програма из средстава Европске уније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Сектор за управљање средствима Европске уније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Донаторска средства или ИПА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Израђена анализа и предложене измене за унапређење аката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Мера 4.2 Развијање сарадње и размене </w:t>
            </w:r>
            <w:r>
              <w:rPr>
                <w:color w:val="000000"/>
              </w:rPr>
              <w:t>информација ради побољшања механизма за повраћај средстава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4.2.1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Размена информација у случају неоправдано исплаћених или неутрошених средстава пројеката, </w:t>
            </w:r>
            <w:r>
              <w:rPr>
                <w:color w:val="000000"/>
              </w:rPr>
              <w:lastRenderedPageBreak/>
              <w:t xml:space="preserve">финансираних из програма прекограничне и транснационалне сарадње, који се спроводе у дељеном </w:t>
            </w:r>
            <w:r>
              <w:rPr>
                <w:color w:val="000000"/>
              </w:rPr>
              <w:t>управљању (SHARED PROGRAMME)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за европске интеграције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Управљачка тела програма прекограничне и транснационалне сарадње, Министарс</w:t>
            </w:r>
            <w:r>
              <w:rPr>
                <w:color w:val="000000"/>
              </w:rPr>
              <w:lastRenderedPageBreak/>
              <w:t>тво финансија, АФКОС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Покренути одговарајући поступци за повраћај средстава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Посебни циљ 5. Подизање нивоа свести јавности о потреби и важности контроле коришћења ЕУ средстава и сузбијања неправилности и превара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Мера 5.1 Јачање сарадње и размене информација у циљу подизања нивоа свести јавности о потреби и важности контроле коришћ</w:t>
            </w:r>
            <w:r>
              <w:rPr>
                <w:color w:val="000000"/>
              </w:rPr>
              <w:t>ења ЕУ средстава и сузбијања неправилности и превара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Извори 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5.1.1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Одржавање округлих столова са организацијама цивилног </w:t>
            </w:r>
            <w:r>
              <w:rPr>
                <w:color w:val="000000"/>
              </w:rPr>
              <w:t xml:space="preserve">друштва у циљу упознавања истих са имплементацијом Стратешког плана и потреби информисања јавности у </w:t>
            </w:r>
            <w:r>
              <w:rPr>
                <w:color w:val="000000"/>
              </w:rPr>
              <w:lastRenderedPageBreak/>
              <w:t>вези са финансијском помоћи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Организације цивилног друштва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Одржани округли столови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>5.1.2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Присуство конференцијама организација цивилног друшта и држање презентација на истим у циљу информисања одређених циљних група о важности пријављивања неправилности и превара и контроле коришћења средстава ЕУ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Организациј</w:t>
            </w:r>
            <w:r>
              <w:rPr>
                <w:color w:val="000000"/>
              </w:rPr>
              <w:t>е цивилног друштва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Одржане презентације на конференцијама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b/>
                <w:color w:val="000000"/>
              </w:rPr>
              <w:t>ИЗВЕШТАВАЊЕ О СПРОВОЂЕЊУ СТРАТЕШКОГ ПЛАНА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3A56F1"/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Надлежне институције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Oргани партнери у спровођењу активности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Крајњи рок за спровођење активности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 xml:space="preserve">Извори </w:t>
            </w:r>
            <w:r>
              <w:rPr>
                <w:color w:val="000000"/>
              </w:rPr>
              <w:t>финансирања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Показатељи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Израда извештаја о испуњености активности из Стратешког плана на основу прикупљених информација и њихове анализе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Мрежа за борбу против превара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Израђен извештај</w:t>
            </w:r>
          </w:p>
        </w:tc>
      </w:tr>
      <w:tr w:rsidR="003A56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lastRenderedPageBreak/>
              <w:t xml:space="preserve">У </w:t>
            </w:r>
            <w:r>
              <w:rPr>
                <w:color w:val="000000"/>
              </w:rPr>
              <w:t>сарадњи са члановима Мреже за борбу против превара развити или редефинисати резултате остварених стратешких циљева и утицај ради унапређења истих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Министарство финансија, АФКОС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Мрежа за борбу против превара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IV квартал 2023.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Буџетска средства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F1" w:rsidRDefault="00F81553">
            <w:pPr>
              <w:spacing w:after="150"/>
            </w:pPr>
            <w:r>
              <w:rPr>
                <w:color w:val="000000"/>
              </w:rPr>
              <w:t>Анализа резулта</w:t>
            </w:r>
            <w:r>
              <w:rPr>
                <w:color w:val="000000"/>
              </w:rPr>
              <w:t>та остварених циљева и евентуално редефинисање у складу са истом</w:t>
            </w:r>
          </w:p>
        </w:tc>
      </w:tr>
    </w:tbl>
    <w:p w:rsidR="00F81553" w:rsidRDefault="00F81553"/>
    <w:sectPr w:rsidR="00F815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1"/>
    <w:rsid w:val="003A56F1"/>
    <w:rsid w:val="00910A1B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017E4-9ED9-4AC0-AF41-2AA409C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8593</Words>
  <Characters>48982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2021-10-29T07:07:00Z</dcterms:created>
  <dcterms:modified xsi:type="dcterms:W3CDTF">2021-10-29T07:07:00Z</dcterms:modified>
</cp:coreProperties>
</file>