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9.xml" ContentType="application/vnd.openxmlformats-officedocument.wordprocessingml.header+xml"/>
  <Override PartName="/word/header10.xml" ContentType="application/vnd.openxmlformats-officedocument.wordprocessingml.header+xml"/>
  <Override PartName="/word/footer4.xml" ContentType="application/vnd.openxmlformats-officedocument.wordprocessingml.foot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F7703" w14:textId="157A85F4" w:rsidR="00D30238" w:rsidRPr="001053DB" w:rsidRDefault="00CB56C2" w:rsidP="00E17337">
      <w:pPr>
        <w:ind w:firstLine="708"/>
        <w:jc w:val="both"/>
        <w:rPr>
          <w:rFonts w:ascii="Times New Roman" w:hAnsi="Times New Roman" w:cs="Times New Roman"/>
          <w:sz w:val="24"/>
          <w:szCs w:val="24"/>
          <w:lang w:val="sr-Cyrl-CS"/>
        </w:rPr>
      </w:pPr>
      <w:bookmarkStart w:id="0" w:name="_Toc66194786"/>
      <w:bookmarkStart w:id="1" w:name="_Toc72488780"/>
      <w:r>
        <w:rPr>
          <w:rFonts w:ascii="Times New Roman" w:hAnsi="Times New Roman" w:cs="Times New Roman"/>
          <w:sz w:val="24"/>
          <w:szCs w:val="24"/>
          <w:lang w:val="en-US"/>
        </w:rPr>
        <w:t>Pursuant to Article 38, paragraph 1 of the Planning System Law of the Republic of Serbia (Official Gazette of the RS”, number 30/18),</w:t>
      </w:r>
      <w:r w:rsidR="00D35D44" w:rsidRPr="001053DB">
        <w:rPr>
          <w:rFonts w:ascii="Times New Roman" w:hAnsi="Times New Roman" w:cs="Times New Roman"/>
          <w:sz w:val="24"/>
          <w:szCs w:val="24"/>
          <w:lang w:val="sr-Cyrl-CS"/>
        </w:rPr>
        <w:t xml:space="preserve"> </w:t>
      </w:r>
    </w:p>
    <w:p w14:paraId="0C80CE92" w14:textId="764E6032" w:rsidR="00FD1470" w:rsidRPr="00CB56C2" w:rsidRDefault="00CB56C2" w:rsidP="00E17337">
      <w:pPr>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the Government hereby adopts the following</w:t>
      </w:r>
    </w:p>
    <w:p w14:paraId="24D5CCFB" w14:textId="686C6548" w:rsidR="008F6303" w:rsidRPr="001053DB" w:rsidRDefault="00CB56C2" w:rsidP="00CB56C2">
      <w:pPr>
        <w:pStyle w:val="Heading5"/>
        <w:pBdr>
          <w:bottom w:val="none" w:sz="0" w:space="0" w:color="auto"/>
        </w:pBdr>
        <w:jc w:val="center"/>
        <w:rPr>
          <w:rFonts w:ascii="Times New Roman" w:hAnsi="Times New Roman" w:cs="Times New Roman"/>
          <w:color w:val="auto"/>
          <w:sz w:val="24"/>
          <w:szCs w:val="24"/>
          <w:lang w:val="sr-Cyrl-CS"/>
        </w:rPr>
      </w:pPr>
      <w:r>
        <w:rPr>
          <w:rFonts w:ascii="Times New Roman" w:hAnsi="Times New Roman" w:cs="Times New Roman"/>
          <w:color w:val="auto"/>
          <w:sz w:val="24"/>
          <w:szCs w:val="24"/>
          <w:lang w:val="en-US"/>
        </w:rPr>
        <w:t>Public financial management reform program</w:t>
      </w:r>
      <w:r w:rsidR="007868B3">
        <w:rPr>
          <w:rFonts w:ascii="Times New Roman" w:hAnsi="Times New Roman" w:cs="Times New Roman"/>
          <w:color w:val="auto"/>
          <w:sz w:val="24"/>
          <w:szCs w:val="24"/>
          <w:lang w:val="en-US"/>
        </w:rPr>
        <w:t>me</w:t>
      </w:r>
      <w:r>
        <w:rPr>
          <w:rFonts w:ascii="Times New Roman" w:hAnsi="Times New Roman" w:cs="Times New Roman"/>
          <w:color w:val="auto"/>
          <w:sz w:val="24"/>
          <w:szCs w:val="24"/>
          <w:lang w:val="en-US"/>
        </w:rPr>
        <w:t xml:space="preserve"> for the period 2026-2030 with the action plan for the implementation of public financial management reform program</w:t>
      </w:r>
      <w:r w:rsidR="007868B3">
        <w:rPr>
          <w:rFonts w:ascii="Times New Roman" w:hAnsi="Times New Roman" w:cs="Times New Roman"/>
          <w:color w:val="auto"/>
          <w:sz w:val="24"/>
          <w:szCs w:val="24"/>
          <w:lang w:val="en-US"/>
        </w:rPr>
        <w:t>me</w:t>
      </w:r>
      <w:r>
        <w:rPr>
          <w:rFonts w:ascii="Times New Roman" w:hAnsi="Times New Roman" w:cs="Times New Roman"/>
          <w:color w:val="auto"/>
          <w:sz w:val="24"/>
          <w:szCs w:val="24"/>
          <w:lang w:val="en-US"/>
        </w:rPr>
        <w:t xml:space="preserve"> for the period 2026-2030, for the period 2026-2028</w:t>
      </w:r>
    </w:p>
    <w:p w14:paraId="3CCC9BC1" w14:textId="77777777" w:rsidR="00EB20E8" w:rsidRPr="001053DB" w:rsidRDefault="00EB20E8" w:rsidP="00FD1470">
      <w:pPr>
        <w:rPr>
          <w:rFonts w:ascii="Times New Roman" w:hAnsi="Times New Roman" w:cs="Times New Roman"/>
          <w:sz w:val="24"/>
          <w:szCs w:val="24"/>
          <w:lang w:val="sr-Cyrl-CS"/>
        </w:rPr>
      </w:pPr>
    </w:p>
    <w:p w14:paraId="3CC91BC3" w14:textId="2602148B" w:rsidR="00534E0D" w:rsidRPr="00CB56C2" w:rsidRDefault="00CB56C2" w:rsidP="00534E0D">
      <w:pPr>
        <w:spacing w:line="259" w:lineRule="auto"/>
        <w:jc w:val="center"/>
        <w:rPr>
          <w:rFonts w:ascii="Times New Roman" w:eastAsia="Calibri" w:hAnsi="Times New Roman" w:cs="Times New Roman"/>
          <w:sz w:val="24"/>
          <w:szCs w:val="24"/>
          <w:lang w:val="sr-Latn-RS"/>
        </w:rPr>
      </w:pPr>
      <w:r>
        <w:rPr>
          <w:rFonts w:ascii="Times New Roman" w:eastAsia="Calibri" w:hAnsi="Times New Roman" w:cs="Times New Roman"/>
          <w:sz w:val="24"/>
          <w:szCs w:val="24"/>
          <w:lang w:val="en-US"/>
        </w:rPr>
        <w:t>INTRODUCTORY STATEMENT OF THE FIRST DEPUTY PRIME MINISTER AND MINISTER OF FINANCE, SINI</w:t>
      </w:r>
      <w:r>
        <w:rPr>
          <w:rFonts w:ascii="Times New Roman" w:eastAsia="Calibri" w:hAnsi="Times New Roman" w:cs="Times New Roman"/>
          <w:sz w:val="24"/>
          <w:szCs w:val="24"/>
          <w:lang w:val="sr-Latn-RS"/>
        </w:rPr>
        <w:t>ŠA MALI</w:t>
      </w:r>
    </w:p>
    <w:p w14:paraId="666C5A1B" w14:textId="54A1A10E" w:rsidR="00CB56C2" w:rsidRPr="00CB56C2" w:rsidRDefault="00CB56C2" w:rsidP="00CB56C2">
      <w:pPr>
        <w:ind w:firstLine="708"/>
        <w:jc w:val="both"/>
        <w:rPr>
          <w:rFonts w:ascii="Times New Roman" w:eastAsia="Times New Roman" w:hAnsi="Times New Roman" w:cs="Times New Roman"/>
          <w:sz w:val="24"/>
          <w:szCs w:val="24"/>
          <w:shd w:val="clear" w:color="auto" w:fill="FFFFFF"/>
          <w:lang w:val="en-US"/>
        </w:rPr>
      </w:pPr>
      <w:r w:rsidRPr="00CB56C2">
        <w:rPr>
          <w:rFonts w:ascii="Times New Roman" w:eastAsia="Times New Roman" w:hAnsi="Times New Roman" w:cs="Times New Roman"/>
          <w:sz w:val="24"/>
          <w:szCs w:val="24"/>
          <w:shd w:val="clear" w:color="auto" w:fill="FFFFFF"/>
          <w:lang w:val="en-US"/>
        </w:rPr>
        <w:t>The third Public Financial Management Reform Program</w:t>
      </w:r>
      <w:r w:rsidR="007868B3">
        <w:rPr>
          <w:rFonts w:ascii="Times New Roman" w:eastAsia="Times New Roman" w:hAnsi="Times New Roman" w:cs="Times New Roman"/>
          <w:sz w:val="24"/>
          <w:szCs w:val="24"/>
          <w:shd w:val="clear" w:color="auto" w:fill="FFFFFF"/>
          <w:lang w:val="en-US"/>
        </w:rPr>
        <w:t>me</w:t>
      </w:r>
      <w:r w:rsidRPr="00CB56C2">
        <w:rPr>
          <w:rFonts w:ascii="Times New Roman" w:eastAsia="Times New Roman" w:hAnsi="Times New Roman" w:cs="Times New Roman"/>
          <w:sz w:val="24"/>
          <w:szCs w:val="24"/>
          <w:shd w:val="clear" w:color="auto" w:fill="FFFFFF"/>
          <w:lang w:val="en-US"/>
        </w:rPr>
        <w:t xml:space="preserve"> for the period 2026–2030 focuses on further improving the public financial management system in the Republic of Serbia, with the aim of further increasing efficiency, transparency, and accountability in the management of public resources. This program continues activities initiated within the previous cycles 2016–2020 and 2021–2025, setting new standards in the planning, execution, and oversight of public finances, in line with good international practice.</w:t>
      </w:r>
    </w:p>
    <w:p w14:paraId="65C9B671" w14:textId="5FD57500" w:rsidR="00CB56C2" w:rsidRPr="00CB56C2" w:rsidRDefault="00CB56C2" w:rsidP="00CB56C2">
      <w:pPr>
        <w:ind w:firstLine="708"/>
        <w:jc w:val="both"/>
        <w:rPr>
          <w:rFonts w:ascii="Times New Roman" w:eastAsia="Times New Roman" w:hAnsi="Times New Roman" w:cs="Times New Roman"/>
          <w:sz w:val="24"/>
          <w:szCs w:val="24"/>
          <w:shd w:val="clear" w:color="auto" w:fill="FFFFFF"/>
          <w:lang w:val="en-US"/>
        </w:rPr>
      </w:pPr>
      <w:r w:rsidRPr="00CB56C2">
        <w:rPr>
          <w:rFonts w:ascii="Times New Roman" w:eastAsia="Times New Roman" w:hAnsi="Times New Roman" w:cs="Times New Roman"/>
          <w:sz w:val="24"/>
          <w:szCs w:val="24"/>
          <w:shd w:val="clear" w:color="auto" w:fill="FFFFFF"/>
          <w:lang w:val="en-US"/>
        </w:rPr>
        <w:t>Public financial management encompasses all components of the budget cycle, including strategic planning, medium-term budgeting, revenue and expenditure management, public procurement, internal control, accounting, reporting, audit, and oversight. A well-designed system enables better control, efficiency and accountability in the use of public funds, thereby directly supporting the quality of public services and the implementation of public policies and strategic reforms.</w:t>
      </w:r>
    </w:p>
    <w:p w14:paraId="0668F7D4" w14:textId="77777777" w:rsidR="00CB56C2" w:rsidRPr="00CB56C2" w:rsidRDefault="00CB56C2" w:rsidP="00CB56C2">
      <w:pPr>
        <w:ind w:firstLine="708"/>
        <w:jc w:val="both"/>
        <w:rPr>
          <w:rFonts w:ascii="Times New Roman" w:eastAsia="Times New Roman" w:hAnsi="Times New Roman" w:cs="Times New Roman"/>
          <w:sz w:val="24"/>
          <w:szCs w:val="24"/>
          <w:shd w:val="clear" w:color="auto" w:fill="FFFFFF"/>
          <w:lang w:val="en-US"/>
        </w:rPr>
      </w:pPr>
      <w:r w:rsidRPr="00CB56C2">
        <w:rPr>
          <w:rFonts w:ascii="Times New Roman" w:eastAsia="Times New Roman" w:hAnsi="Times New Roman" w:cs="Times New Roman"/>
          <w:sz w:val="24"/>
          <w:szCs w:val="24"/>
          <w:shd w:val="clear" w:color="auto" w:fill="FFFFFF"/>
          <w:lang w:val="en-US"/>
        </w:rPr>
        <w:t xml:space="preserve">Within the broader context of public financial management, it is important to emphasize that, despite global instability and challenges, Serbia continues to record strong economic results and maintain macroeconomic stability. In 2024, our country was the third fastest-growing economy in Europe, with a growth rate of 3.9%, while in 2025 growth reached 2%. Unemployment in 2025 stood at 8.7%, while the employment rate has been continuously increasing, reaching 51.2% in the previous year. Public debt remains well below the Maastricht threshold, currently at 41.7% of GDP, significantly below the euro area average of around 88% of GDP. Foreign exchange reserves at the end of February 2026 amounted to EUR 29.8 billion, while gold reserves reached a record level of 53.4 </w:t>
      </w:r>
      <w:proofErr w:type="spellStart"/>
      <w:r w:rsidRPr="00CB56C2">
        <w:rPr>
          <w:rFonts w:ascii="Times New Roman" w:eastAsia="Times New Roman" w:hAnsi="Times New Roman" w:cs="Times New Roman"/>
          <w:sz w:val="24"/>
          <w:szCs w:val="24"/>
          <w:shd w:val="clear" w:color="auto" w:fill="FFFFFF"/>
          <w:lang w:val="en-US"/>
        </w:rPr>
        <w:t>tonnes</w:t>
      </w:r>
      <w:proofErr w:type="spellEnd"/>
      <w:r w:rsidRPr="00CB56C2">
        <w:rPr>
          <w:rFonts w:ascii="Times New Roman" w:eastAsia="Times New Roman" w:hAnsi="Times New Roman" w:cs="Times New Roman"/>
          <w:sz w:val="24"/>
          <w:szCs w:val="24"/>
          <w:shd w:val="clear" w:color="auto" w:fill="FFFFFF"/>
          <w:lang w:val="en-US"/>
        </w:rPr>
        <w:t>.</w:t>
      </w:r>
    </w:p>
    <w:p w14:paraId="03F82D47" w14:textId="77777777" w:rsidR="00CB56C2" w:rsidRPr="00CB56C2" w:rsidRDefault="00CB56C2" w:rsidP="00CB56C2">
      <w:pPr>
        <w:ind w:firstLine="708"/>
        <w:jc w:val="both"/>
        <w:rPr>
          <w:rFonts w:ascii="Times New Roman" w:eastAsia="Times New Roman" w:hAnsi="Times New Roman" w:cs="Times New Roman"/>
          <w:sz w:val="24"/>
          <w:szCs w:val="24"/>
          <w:shd w:val="clear" w:color="auto" w:fill="FFFFFF"/>
          <w:lang w:val="en-US"/>
        </w:rPr>
      </w:pPr>
      <w:r w:rsidRPr="00CB56C2">
        <w:rPr>
          <w:rFonts w:ascii="Times New Roman" w:eastAsia="Times New Roman" w:hAnsi="Times New Roman" w:cs="Times New Roman"/>
          <w:sz w:val="24"/>
          <w:szCs w:val="24"/>
          <w:shd w:val="clear" w:color="auto" w:fill="FFFFFF"/>
          <w:lang w:val="en-US"/>
        </w:rPr>
        <w:t>Of particular importance is the fact that Serbia received an investment credit rating for the first time in its history in October 2024. On that occasion, the international credit rating agency Standard &amp; Poor’s upgraded Serbia’s credit rating to BBB– with stable outlook, with further upgrades expected. Serbia thereby became the first country in the Western Balkans to obtain an investment-grade rating, and our path continues with the expectation that the other two major rating agencies will issue the same assessment.</w:t>
      </w:r>
    </w:p>
    <w:p w14:paraId="62EDA52D" w14:textId="77777777" w:rsidR="00CB56C2" w:rsidRPr="00CB56C2" w:rsidRDefault="00CB56C2" w:rsidP="00CB56C2">
      <w:pPr>
        <w:ind w:firstLine="708"/>
        <w:jc w:val="both"/>
        <w:rPr>
          <w:rFonts w:ascii="Times New Roman" w:eastAsia="Times New Roman" w:hAnsi="Times New Roman" w:cs="Times New Roman"/>
          <w:sz w:val="24"/>
          <w:szCs w:val="24"/>
          <w:shd w:val="clear" w:color="auto" w:fill="FFFFFF"/>
          <w:lang w:val="en-US"/>
        </w:rPr>
      </w:pPr>
      <w:r w:rsidRPr="00CB56C2">
        <w:rPr>
          <w:rFonts w:ascii="Times New Roman" w:eastAsia="Times New Roman" w:hAnsi="Times New Roman" w:cs="Times New Roman"/>
          <w:sz w:val="24"/>
          <w:szCs w:val="24"/>
          <w:shd w:val="clear" w:color="auto" w:fill="FFFFFF"/>
          <w:lang w:val="en-US"/>
        </w:rPr>
        <w:t xml:space="preserve">Citizens’ incomes are growing in real terms, while public finances are managed responsibly and in line with the objective of further improving the quality of life of citizens. </w:t>
      </w:r>
      <w:r w:rsidRPr="00CB56C2">
        <w:rPr>
          <w:rFonts w:ascii="Times New Roman" w:eastAsia="Times New Roman" w:hAnsi="Times New Roman" w:cs="Times New Roman"/>
          <w:sz w:val="24"/>
          <w:szCs w:val="24"/>
          <w:shd w:val="clear" w:color="auto" w:fill="FFFFFF"/>
          <w:lang w:val="en-US"/>
        </w:rPr>
        <w:lastRenderedPageBreak/>
        <w:t>For the first time in history, the average salary in Serbia exceeded one thousand euros, reaching EUR 1,057 in December 2025. Average pensions have also increased significantly and currently amount to EUR 484, while the minimum wage has reached EUR 551.</w:t>
      </w:r>
    </w:p>
    <w:p w14:paraId="51E6ABE1" w14:textId="1CEA1F26" w:rsidR="00CB56C2" w:rsidRPr="00CB56C2" w:rsidRDefault="00CB56C2" w:rsidP="00CB56C2">
      <w:pPr>
        <w:ind w:firstLine="708"/>
        <w:jc w:val="both"/>
        <w:rPr>
          <w:rFonts w:ascii="Times New Roman" w:eastAsia="Times New Roman" w:hAnsi="Times New Roman" w:cs="Times New Roman"/>
          <w:sz w:val="24"/>
          <w:szCs w:val="24"/>
          <w:shd w:val="clear" w:color="auto" w:fill="FFFFFF"/>
          <w:lang w:val="en-US"/>
        </w:rPr>
      </w:pPr>
      <w:r w:rsidRPr="00CB56C2">
        <w:rPr>
          <w:rFonts w:ascii="Times New Roman" w:eastAsia="Times New Roman" w:hAnsi="Times New Roman" w:cs="Times New Roman"/>
          <w:sz w:val="24"/>
          <w:szCs w:val="24"/>
          <w:shd w:val="clear" w:color="auto" w:fill="FFFFFF"/>
          <w:lang w:val="en-US"/>
        </w:rPr>
        <w:t xml:space="preserve">We are continuing the investment cycle we have launched, first with the “Serbia 2025” plan, and subsequently with the “Leap into the </w:t>
      </w:r>
      <w:r w:rsidR="000D3715">
        <w:rPr>
          <w:rFonts w:ascii="Times New Roman" w:eastAsia="Times New Roman" w:hAnsi="Times New Roman" w:cs="Times New Roman"/>
          <w:sz w:val="24"/>
          <w:szCs w:val="24"/>
          <w:shd w:val="clear" w:color="auto" w:fill="FFFFFF"/>
          <w:lang w:val="en-US"/>
        </w:rPr>
        <w:t>f</w:t>
      </w:r>
      <w:r w:rsidRPr="00CB56C2">
        <w:rPr>
          <w:rFonts w:ascii="Times New Roman" w:eastAsia="Times New Roman" w:hAnsi="Times New Roman" w:cs="Times New Roman"/>
          <w:sz w:val="24"/>
          <w:szCs w:val="24"/>
          <w:shd w:val="clear" w:color="auto" w:fill="FFFFFF"/>
          <w:lang w:val="en-US"/>
        </w:rPr>
        <w:t>uture – Serbia 2027” program, which foresees the implementation of 323 projects across the country, with a total value of EUR 17.8 billion. The National Development Strategy of Serbia until 2030, i.e. 2035, has also recently been presented. The development program for the period until 2030 is worth EUR 17 billion, while the plan for the 2030–2035 period is worth an additional EUR 31 billion. In total, this represents EUR 48 billion in new investments, which will contribute to further improving the quality of life in Serbia.</w:t>
      </w:r>
    </w:p>
    <w:p w14:paraId="195CAC3C" w14:textId="77777777" w:rsidR="00CB56C2" w:rsidRPr="00CB56C2" w:rsidRDefault="00CB56C2" w:rsidP="00CB56C2">
      <w:pPr>
        <w:ind w:firstLine="708"/>
        <w:jc w:val="both"/>
        <w:rPr>
          <w:rFonts w:ascii="Times New Roman" w:eastAsia="Times New Roman" w:hAnsi="Times New Roman" w:cs="Times New Roman"/>
          <w:sz w:val="24"/>
          <w:szCs w:val="24"/>
          <w:shd w:val="clear" w:color="auto" w:fill="FFFFFF"/>
          <w:lang w:val="en-US"/>
        </w:rPr>
      </w:pPr>
      <w:r w:rsidRPr="00CB56C2">
        <w:rPr>
          <w:rFonts w:ascii="Times New Roman" w:eastAsia="Times New Roman" w:hAnsi="Times New Roman" w:cs="Times New Roman"/>
          <w:sz w:val="24"/>
          <w:szCs w:val="24"/>
          <w:shd w:val="clear" w:color="auto" w:fill="FFFFFF"/>
          <w:lang w:val="en-US"/>
        </w:rPr>
        <w:t>Of exceptional importance for our economy, industry, and the overall development of the country is also the organization of the International Specialized Exhibition Expo, of which we will be the proud host in 2027. More than 135 countries have confirmed their participation, meaning that we will host a specialized Expo with a record number of participating countries. The Expo will be the largest event ever organized in our country, and during its 93-day duration we expect around four million visitors. The Expo is our growth engine, a place where economic and business ties are strengthened and new connections are built. Belgrade will become a global hub for the exchange of ideas, and this is an opportunity we must not miss.</w:t>
      </w:r>
    </w:p>
    <w:p w14:paraId="134836F1" w14:textId="77777777" w:rsidR="00CB56C2" w:rsidRPr="00CB56C2" w:rsidRDefault="00CB56C2" w:rsidP="00CB56C2">
      <w:pPr>
        <w:ind w:firstLine="708"/>
        <w:jc w:val="both"/>
        <w:rPr>
          <w:rFonts w:ascii="Times New Roman" w:eastAsia="Times New Roman" w:hAnsi="Times New Roman" w:cs="Times New Roman"/>
          <w:sz w:val="24"/>
          <w:szCs w:val="24"/>
          <w:shd w:val="clear" w:color="auto" w:fill="FFFFFF"/>
          <w:lang w:val="en-US"/>
        </w:rPr>
      </w:pPr>
      <w:r w:rsidRPr="00CB56C2">
        <w:rPr>
          <w:rFonts w:ascii="Times New Roman" w:eastAsia="Times New Roman" w:hAnsi="Times New Roman" w:cs="Times New Roman"/>
          <w:sz w:val="24"/>
          <w:szCs w:val="24"/>
          <w:shd w:val="clear" w:color="auto" w:fill="FFFFFF"/>
          <w:lang w:val="en-US"/>
        </w:rPr>
        <w:t>Finally, it is also important to note that the International Monetary Fund has confirmed the successful completion of the second review of the Policy Coordination Instrument arrangement with the Republic of Serbia, which indicates stability and progress in the implementation of agreed reform objectives. The Republic of Serbia also remains committed to the European integration process and the implementation of the Growth Plan for the Western Balkans.</w:t>
      </w:r>
    </w:p>
    <w:p w14:paraId="5470776B" w14:textId="11005E39" w:rsidR="00CB56C2" w:rsidRPr="00CB56C2" w:rsidRDefault="00CB56C2" w:rsidP="00CB56C2">
      <w:pPr>
        <w:ind w:firstLine="708"/>
        <w:jc w:val="both"/>
        <w:rPr>
          <w:rFonts w:ascii="Times New Roman" w:eastAsia="Times New Roman" w:hAnsi="Times New Roman" w:cs="Times New Roman"/>
          <w:sz w:val="24"/>
          <w:szCs w:val="24"/>
          <w:shd w:val="clear" w:color="auto" w:fill="FFFFFF"/>
          <w:lang w:val="en-US"/>
        </w:rPr>
      </w:pPr>
      <w:r w:rsidRPr="00CB56C2">
        <w:rPr>
          <w:rFonts w:ascii="Times New Roman" w:eastAsia="Times New Roman" w:hAnsi="Times New Roman" w:cs="Times New Roman"/>
          <w:sz w:val="24"/>
          <w:szCs w:val="24"/>
          <w:shd w:val="clear" w:color="auto" w:fill="FFFFFF"/>
          <w:lang w:val="en-US"/>
        </w:rPr>
        <w:t>The above Program</w:t>
      </w:r>
      <w:r w:rsidR="007868B3">
        <w:rPr>
          <w:rFonts w:ascii="Times New Roman" w:eastAsia="Times New Roman" w:hAnsi="Times New Roman" w:cs="Times New Roman"/>
          <w:sz w:val="24"/>
          <w:szCs w:val="24"/>
          <w:shd w:val="clear" w:color="auto" w:fill="FFFFFF"/>
          <w:lang w:val="en-US"/>
        </w:rPr>
        <w:t>me</w:t>
      </w:r>
      <w:r w:rsidRPr="00CB56C2">
        <w:rPr>
          <w:rFonts w:ascii="Times New Roman" w:eastAsia="Times New Roman" w:hAnsi="Times New Roman" w:cs="Times New Roman"/>
          <w:sz w:val="24"/>
          <w:szCs w:val="24"/>
          <w:shd w:val="clear" w:color="auto" w:fill="FFFFFF"/>
          <w:lang w:val="en-US"/>
        </w:rPr>
        <w:t xml:space="preserve"> establishes a solid foundation for further improvement of the public financial management system in Serbia. The objective is to support the implementation of public policies and enable a higher quality of public services through improved efficiency, transparency, and accountability in the management of public resources. Further reform steps are aimed at strengthening institutional capacities and improving the public financial management system, which will enable Serbia to better address global challenges and ensure sustainable economic development and faster integration into the European Union.</w:t>
      </w:r>
    </w:p>
    <w:p w14:paraId="19B9E92B" w14:textId="77777777" w:rsidR="00534E0D" w:rsidRPr="001053DB" w:rsidRDefault="00534E0D" w:rsidP="00FD1470">
      <w:pPr>
        <w:rPr>
          <w:rFonts w:ascii="Times New Roman" w:hAnsi="Times New Roman" w:cs="Times New Roman"/>
          <w:sz w:val="24"/>
          <w:szCs w:val="24"/>
          <w:lang w:val="sr-Cyrl-CS"/>
        </w:rPr>
      </w:pPr>
    </w:p>
    <w:p w14:paraId="6421AAB7" w14:textId="77777777" w:rsidR="00534E0D" w:rsidRDefault="00534E0D" w:rsidP="00FD1470">
      <w:pPr>
        <w:rPr>
          <w:rFonts w:ascii="Times New Roman" w:hAnsi="Times New Roman" w:cs="Times New Roman"/>
          <w:sz w:val="24"/>
          <w:szCs w:val="24"/>
          <w:lang w:val="sr-Latn-RS"/>
        </w:rPr>
      </w:pPr>
    </w:p>
    <w:p w14:paraId="6A792564" w14:textId="77777777" w:rsidR="00CB56C2" w:rsidRDefault="00CB56C2" w:rsidP="00FD1470">
      <w:pPr>
        <w:rPr>
          <w:rFonts w:ascii="Times New Roman" w:hAnsi="Times New Roman" w:cs="Times New Roman"/>
          <w:sz w:val="24"/>
          <w:szCs w:val="24"/>
          <w:lang w:val="sr-Latn-RS"/>
        </w:rPr>
      </w:pPr>
    </w:p>
    <w:p w14:paraId="40F76EFD" w14:textId="77777777" w:rsidR="004E25A2" w:rsidRDefault="004E25A2" w:rsidP="00FD1470">
      <w:pPr>
        <w:rPr>
          <w:rFonts w:ascii="Times New Roman" w:hAnsi="Times New Roman" w:cs="Times New Roman"/>
          <w:sz w:val="24"/>
          <w:szCs w:val="24"/>
          <w:lang w:val="sr-Latn-RS"/>
        </w:rPr>
      </w:pPr>
    </w:p>
    <w:p w14:paraId="472CFF3B" w14:textId="77777777" w:rsidR="004E25A2" w:rsidRPr="00CB56C2" w:rsidRDefault="004E25A2" w:rsidP="00FD1470">
      <w:pPr>
        <w:rPr>
          <w:rFonts w:ascii="Times New Roman" w:hAnsi="Times New Roman" w:cs="Times New Roman"/>
          <w:sz w:val="24"/>
          <w:szCs w:val="24"/>
          <w:lang w:val="sr-Latn-RS"/>
        </w:rPr>
      </w:pPr>
    </w:p>
    <w:p w14:paraId="0E7E2DD6" w14:textId="77777777" w:rsidR="00534E0D" w:rsidRPr="001053DB" w:rsidRDefault="00534E0D" w:rsidP="00FD1470">
      <w:pPr>
        <w:rPr>
          <w:rFonts w:ascii="Times New Roman" w:hAnsi="Times New Roman" w:cs="Times New Roman"/>
          <w:sz w:val="24"/>
          <w:szCs w:val="24"/>
          <w:lang w:val="sr-Cyrl-CS"/>
        </w:rPr>
      </w:pPr>
    </w:p>
    <w:p w14:paraId="7B9F39C6" w14:textId="24EBEB9B" w:rsidR="00E9233C" w:rsidRDefault="000D3715"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sr-Latn-RS"/>
        </w:rPr>
      </w:pPr>
      <w:bookmarkStart w:id="2" w:name="_Toc211860014"/>
      <w:bookmarkEnd w:id="0"/>
      <w:bookmarkEnd w:id="1"/>
      <w:r>
        <w:rPr>
          <w:rFonts w:ascii="Times New Roman" w:hAnsi="Times New Roman" w:cs="Times New Roman"/>
          <w:color w:val="auto"/>
          <w:sz w:val="24"/>
          <w:szCs w:val="24"/>
          <w:lang w:val="sr-Latn-RS"/>
        </w:rPr>
        <w:lastRenderedPageBreak/>
        <w:t xml:space="preserve">PART </w:t>
      </w:r>
      <w:r w:rsidR="00E9233C" w:rsidRPr="001053DB">
        <w:rPr>
          <w:rFonts w:ascii="Times New Roman" w:hAnsi="Times New Roman" w:cs="Times New Roman"/>
          <w:color w:val="auto"/>
          <w:sz w:val="24"/>
          <w:szCs w:val="24"/>
          <w:lang w:val="sr-Cyrl-CS"/>
        </w:rPr>
        <w:t>I</w:t>
      </w:r>
      <w:r w:rsidR="00EB19CF" w:rsidRPr="001053DB">
        <w:rPr>
          <w:rFonts w:ascii="Times New Roman" w:hAnsi="Times New Roman" w:cs="Times New Roman"/>
          <w:color w:val="auto"/>
          <w:sz w:val="24"/>
          <w:szCs w:val="24"/>
          <w:lang w:val="sr-Cyrl-CS"/>
        </w:rPr>
        <w:t xml:space="preserve"> </w:t>
      </w:r>
      <w:r w:rsidR="004E25A2">
        <w:rPr>
          <w:rFonts w:ascii="Times New Roman" w:hAnsi="Times New Roman" w:cs="Times New Roman"/>
          <w:color w:val="auto"/>
          <w:sz w:val="24"/>
          <w:szCs w:val="24"/>
          <w:lang w:val="sr-Cyrl-CS"/>
        </w:rPr>
        <w:t>–</w:t>
      </w:r>
      <w:r w:rsidR="00EB19CF" w:rsidRPr="001053DB">
        <w:rPr>
          <w:rFonts w:ascii="Times New Roman" w:hAnsi="Times New Roman" w:cs="Times New Roman"/>
          <w:color w:val="auto"/>
          <w:sz w:val="24"/>
          <w:szCs w:val="24"/>
          <w:lang w:val="sr-Cyrl-CS"/>
        </w:rPr>
        <w:t xml:space="preserve"> </w:t>
      </w:r>
      <w:bookmarkEnd w:id="2"/>
      <w:r>
        <w:rPr>
          <w:rFonts w:ascii="Times New Roman" w:hAnsi="Times New Roman" w:cs="Times New Roman"/>
          <w:color w:val="auto"/>
          <w:sz w:val="24"/>
          <w:szCs w:val="24"/>
          <w:lang w:val="sr-Latn-RS"/>
        </w:rPr>
        <w:t>INTRODUCTION</w:t>
      </w:r>
    </w:p>
    <w:p w14:paraId="08A4FA0A" w14:textId="77777777" w:rsidR="004E25A2" w:rsidRPr="004E25A2" w:rsidRDefault="004E25A2" w:rsidP="004E25A2">
      <w:pPr>
        <w:rPr>
          <w:lang w:val="sr-Latn-RS"/>
        </w:rPr>
      </w:pPr>
    </w:p>
    <w:p w14:paraId="10927150" w14:textId="5D66A5F0" w:rsidR="00F81C44" w:rsidRPr="00F81C44" w:rsidRDefault="00F81C44" w:rsidP="00F81C44">
      <w:pPr>
        <w:ind w:firstLine="708"/>
        <w:jc w:val="both"/>
        <w:rPr>
          <w:rFonts w:ascii="Times New Roman" w:eastAsia="Times New Roman" w:hAnsi="Times New Roman" w:cs="Times New Roman"/>
          <w:sz w:val="24"/>
          <w:szCs w:val="24"/>
          <w:shd w:val="clear" w:color="auto" w:fill="FFFFFF"/>
          <w:lang w:val="en-US"/>
        </w:rPr>
      </w:pPr>
      <w:r w:rsidRPr="00F81C44">
        <w:rPr>
          <w:rFonts w:ascii="Times New Roman" w:eastAsia="Times New Roman" w:hAnsi="Times New Roman" w:cs="Times New Roman"/>
          <w:sz w:val="24"/>
          <w:szCs w:val="24"/>
          <w:shd w:val="clear" w:color="auto" w:fill="FFFFFF"/>
          <w:lang w:val="en-US"/>
        </w:rPr>
        <w:t>The Public Financial Management Reform Program</w:t>
      </w:r>
      <w:r w:rsidR="007868B3">
        <w:rPr>
          <w:rFonts w:ascii="Times New Roman" w:eastAsia="Times New Roman" w:hAnsi="Times New Roman" w:cs="Times New Roman"/>
          <w:sz w:val="24"/>
          <w:szCs w:val="24"/>
          <w:shd w:val="clear" w:color="auto" w:fill="FFFFFF"/>
          <w:lang w:val="en-US"/>
        </w:rPr>
        <w:t>me</w:t>
      </w:r>
      <w:r w:rsidRPr="00F81C44">
        <w:rPr>
          <w:rFonts w:ascii="Times New Roman" w:eastAsia="Times New Roman" w:hAnsi="Times New Roman" w:cs="Times New Roman"/>
          <w:sz w:val="24"/>
          <w:szCs w:val="24"/>
          <w:shd w:val="clear" w:color="auto" w:fill="FFFFFF"/>
          <w:lang w:val="en-US"/>
        </w:rPr>
        <w:t xml:space="preserve"> 2026–2030 (hereinafter: PFM</w:t>
      </w:r>
      <w:r>
        <w:rPr>
          <w:rFonts w:ascii="Times New Roman" w:eastAsia="Times New Roman" w:hAnsi="Times New Roman" w:cs="Times New Roman"/>
          <w:sz w:val="24"/>
          <w:szCs w:val="24"/>
          <w:shd w:val="clear" w:color="auto" w:fill="FFFFFF"/>
          <w:lang w:val="en-US"/>
        </w:rPr>
        <w:t>RP</w:t>
      </w:r>
      <w:r w:rsidRPr="00F81C44">
        <w:rPr>
          <w:rFonts w:ascii="Times New Roman" w:eastAsia="Times New Roman" w:hAnsi="Times New Roman" w:cs="Times New Roman"/>
          <w:sz w:val="24"/>
          <w:szCs w:val="24"/>
          <w:shd w:val="clear" w:color="auto" w:fill="FFFFFF"/>
          <w:lang w:val="en-US"/>
        </w:rPr>
        <w:t xml:space="preserve"> 2026–2030) is a public policy document that ensures continuity and further deepens the reform efforts initiated in previous cycles, namely the PFM Reform Programs 2021–2025 and 2016–2020. The main objective of this Program is to further improve the efficiency, transparency, and accountability of public financial management in the Republic of Serbia.</w:t>
      </w:r>
    </w:p>
    <w:p w14:paraId="5D11D67D" w14:textId="1296CAB2" w:rsidR="00F81C44" w:rsidRPr="00F81C44" w:rsidRDefault="00F81C44" w:rsidP="00F81C44">
      <w:pPr>
        <w:ind w:firstLine="708"/>
        <w:jc w:val="both"/>
        <w:rPr>
          <w:rFonts w:ascii="Times New Roman" w:eastAsia="Times New Roman" w:hAnsi="Times New Roman" w:cs="Times New Roman"/>
          <w:sz w:val="24"/>
          <w:szCs w:val="24"/>
          <w:shd w:val="clear" w:color="auto" w:fill="FFFFFF"/>
          <w:lang w:val="en-US"/>
        </w:rPr>
      </w:pPr>
      <w:r w:rsidRPr="00F81C44">
        <w:rPr>
          <w:rFonts w:ascii="Times New Roman" w:eastAsia="Times New Roman" w:hAnsi="Times New Roman" w:cs="Times New Roman"/>
          <w:sz w:val="24"/>
          <w:szCs w:val="24"/>
          <w:shd w:val="clear" w:color="auto" w:fill="FFFFFF"/>
          <w:lang w:val="en-US"/>
        </w:rPr>
        <w:t>The implementation of the PFM</w:t>
      </w:r>
      <w:r>
        <w:rPr>
          <w:rFonts w:ascii="Times New Roman" w:eastAsia="Times New Roman" w:hAnsi="Times New Roman" w:cs="Times New Roman"/>
          <w:sz w:val="24"/>
          <w:szCs w:val="24"/>
          <w:shd w:val="clear" w:color="auto" w:fill="FFFFFF"/>
          <w:lang w:val="en-US"/>
        </w:rPr>
        <w:t xml:space="preserve">RP </w:t>
      </w:r>
      <w:r w:rsidRPr="00F81C44">
        <w:rPr>
          <w:rFonts w:ascii="Times New Roman" w:eastAsia="Times New Roman" w:hAnsi="Times New Roman" w:cs="Times New Roman"/>
          <w:sz w:val="24"/>
          <w:szCs w:val="24"/>
          <w:shd w:val="clear" w:color="auto" w:fill="FFFFFF"/>
          <w:lang w:val="en-US"/>
        </w:rPr>
        <w:t>2026–2030 is aligned with the obligations of the Republic of Serbia in the European integration process. Public financial management reform is part of Cluster I – Fundamentals, within the public administration reform policy area, which gives the Program a horizontal significance for macroeconomic stability, good governance and budget transparency. This Program also supports the fulfilment of obligations under several EU accession negotiation chapters, including Chapter 5 (Public Procurement), Chapter 16 (Taxation), Chapter 17 (Economic and Monetary Policy), Chapter 29 (Customs Union), Chapter 32 (Financial Control), and Chapter 33 (Financial and Budgetary Provisions), as well as the implementation of the Growth Plan for the Western Balkans.</w:t>
      </w:r>
    </w:p>
    <w:p w14:paraId="105E5DBE" w14:textId="5132AF9E" w:rsidR="00F81C44" w:rsidRPr="00F81C44" w:rsidRDefault="00F81C44" w:rsidP="00F81C44">
      <w:pPr>
        <w:ind w:firstLine="708"/>
        <w:jc w:val="both"/>
        <w:rPr>
          <w:rFonts w:ascii="Times New Roman" w:eastAsia="Times New Roman" w:hAnsi="Times New Roman" w:cs="Times New Roman"/>
          <w:sz w:val="24"/>
          <w:szCs w:val="24"/>
          <w:shd w:val="clear" w:color="auto" w:fill="FFFFFF"/>
          <w:lang w:val="en-US"/>
        </w:rPr>
      </w:pPr>
      <w:r w:rsidRPr="00F81C44">
        <w:rPr>
          <w:rFonts w:ascii="Times New Roman" w:eastAsia="Times New Roman" w:hAnsi="Times New Roman" w:cs="Times New Roman"/>
          <w:sz w:val="24"/>
          <w:szCs w:val="24"/>
          <w:shd w:val="clear" w:color="auto" w:fill="FFFFFF"/>
          <w:lang w:val="en-US"/>
        </w:rPr>
        <w:t>The PFM</w:t>
      </w:r>
      <w:r>
        <w:rPr>
          <w:rFonts w:ascii="Times New Roman" w:eastAsia="Times New Roman" w:hAnsi="Times New Roman" w:cs="Times New Roman"/>
          <w:sz w:val="24"/>
          <w:szCs w:val="24"/>
          <w:shd w:val="clear" w:color="auto" w:fill="FFFFFF"/>
          <w:lang w:val="en-US"/>
        </w:rPr>
        <w:t xml:space="preserve">RP </w:t>
      </w:r>
      <w:r w:rsidRPr="00F81C44">
        <w:rPr>
          <w:rFonts w:ascii="Times New Roman" w:eastAsia="Times New Roman" w:hAnsi="Times New Roman" w:cs="Times New Roman"/>
          <w:sz w:val="24"/>
          <w:szCs w:val="24"/>
          <w:shd w:val="clear" w:color="auto" w:fill="FFFFFF"/>
          <w:lang w:val="en-US"/>
        </w:rPr>
        <w:t>also serves as an important instrument for planning donor assistance as support for the successful implementation of reform measures. In the previous period, progress in public financial management was recognized as a prerequisite for the use of the European Union’s Sector Budget Support instrument. In the same manner, progress in this area represents a prerequisite for accessing the Reform and Growth Facility under the Growth Plan for the Western Balkans. The results of implemented reforms contribute both directly and indirectly</w:t>
      </w:r>
      <w:r w:rsidR="00976BA7">
        <w:rPr>
          <w:rFonts w:ascii="Times New Roman" w:eastAsia="Times New Roman" w:hAnsi="Times New Roman" w:cs="Times New Roman"/>
          <w:sz w:val="24"/>
          <w:szCs w:val="24"/>
          <w:shd w:val="clear" w:color="auto" w:fill="FFFFFF"/>
          <w:lang w:val="en-US"/>
        </w:rPr>
        <w:t xml:space="preserve"> - </w:t>
      </w:r>
      <w:r w:rsidRPr="00F81C44">
        <w:rPr>
          <w:rFonts w:ascii="Times New Roman" w:eastAsia="Times New Roman" w:hAnsi="Times New Roman" w:cs="Times New Roman"/>
          <w:sz w:val="24"/>
          <w:szCs w:val="24"/>
          <w:shd w:val="clear" w:color="auto" w:fill="FFFFFF"/>
          <w:lang w:val="en-US"/>
        </w:rPr>
        <w:t>through the provision of financial support</w:t>
      </w:r>
      <w:r w:rsidR="00976BA7">
        <w:rPr>
          <w:rFonts w:ascii="Times New Roman" w:eastAsia="Times New Roman" w:hAnsi="Times New Roman" w:cs="Times New Roman"/>
          <w:sz w:val="24"/>
          <w:szCs w:val="24"/>
          <w:shd w:val="clear" w:color="auto" w:fill="FFFFFF"/>
          <w:lang w:val="en-US"/>
        </w:rPr>
        <w:t xml:space="preserve"> - </w:t>
      </w:r>
      <w:r w:rsidRPr="00F81C44">
        <w:rPr>
          <w:rFonts w:ascii="Times New Roman" w:eastAsia="Times New Roman" w:hAnsi="Times New Roman" w:cs="Times New Roman"/>
          <w:sz w:val="24"/>
          <w:szCs w:val="24"/>
          <w:shd w:val="clear" w:color="auto" w:fill="FFFFFF"/>
          <w:lang w:val="en-US"/>
        </w:rPr>
        <w:t xml:space="preserve">to the achievement of the Sustainable Development Goals (SDGs) and to improving the quality of public administration in the Republic of Serbia. The importance of the United Nations Sustainable Development Goals (SDGs), particularly within the economic dimension, is recognized through the promotion of </w:t>
      </w:r>
      <w:r w:rsidR="00976BA7">
        <w:rPr>
          <w:rFonts w:ascii="Times New Roman" w:eastAsia="Times New Roman" w:hAnsi="Times New Roman" w:cs="Times New Roman"/>
          <w:sz w:val="24"/>
          <w:szCs w:val="24"/>
          <w:shd w:val="clear" w:color="auto" w:fill="FFFFFF"/>
          <w:lang w:val="en-US"/>
        </w:rPr>
        <w:t>continuous</w:t>
      </w:r>
      <w:r w:rsidRPr="00F81C44">
        <w:rPr>
          <w:rFonts w:ascii="Times New Roman" w:eastAsia="Times New Roman" w:hAnsi="Times New Roman" w:cs="Times New Roman"/>
          <w:sz w:val="24"/>
          <w:szCs w:val="24"/>
          <w:shd w:val="clear" w:color="auto" w:fill="FFFFFF"/>
          <w:lang w:val="en-US"/>
        </w:rPr>
        <w:t>, inclusive and sustainable economic growth and the reduction of inequalities. This framework is important for the PFM Reform Program</w:t>
      </w:r>
      <w:r w:rsidR="007868B3">
        <w:rPr>
          <w:rFonts w:ascii="Times New Roman" w:eastAsia="Times New Roman" w:hAnsi="Times New Roman" w:cs="Times New Roman"/>
          <w:sz w:val="24"/>
          <w:szCs w:val="24"/>
          <w:shd w:val="clear" w:color="auto" w:fill="FFFFFF"/>
          <w:lang w:val="en-US"/>
        </w:rPr>
        <w:t>me</w:t>
      </w:r>
      <w:r w:rsidRPr="00F81C44">
        <w:rPr>
          <w:rFonts w:ascii="Times New Roman" w:eastAsia="Times New Roman" w:hAnsi="Times New Roman" w:cs="Times New Roman"/>
          <w:sz w:val="24"/>
          <w:szCs w:val="24"/>
          <w:shd w:val="clear" w:color="auto" w:fill="FFFFFF"/>
          <w:lang w:val="en-US"/>
        </w:rPr>
        <w:t xml:space="preserve"> as it ensures a stable macroeconomic environment and responsible fiscal policy, while promoting development-oriented policies and structural reforms.</w:t>
      </w:r>
    </w:p>
    <w:p w14:paraId="0F3EFDD2" w14:textId="2444BAB3" w:rsidR="00F81C44" w:rsidRPr="00F81C44" w:rsidRDefault="00F81C44" w:rsidP="00F81C44">
      <w:pPr>
        <w:ind w:firstLine="708"/>
        <w:jc w:val="both"/>
        <w:rPr>
          <w:rFonts w:ascii="Times New Roman" w:eastAsia="Times New Roman" w:hAnsi="Times New Roman" w:cs="Times New Roman"/>
          <w:sz w:val="24"/>
          <w:szCs w:val="24"/>
          <w:shd w:val="clear" w:color="auto" w:fill="FFFFFF"/>
          <w:lang w:val="en-US"/>
        </w:rPr>
      </w:pPr>
      <w:r w:rsidRPr="00F81C44">
        <w:rPr>
          <w:rFonts w:ascii="Times New Roman" w:eastAsia="Times New Roman" w:hAnsi="Times New Roman" w:cs="Times New Roman"/>
          <w:sz w:val="24"/>
          <w:szCs w:val="24"/>
          <w:shd w:val="clear" w:color="auto" w:fill="FFFFFF"/>
          <w:lang w:val="en-US"/>
        </w:rPr>
        <w:t>The measures and activities defined under this Program</w:t>
      </w:r>
      <w:r w:rsidR="007868B3">
        <w:rPr>
          <w:rFonts w:ascii="Times New Roman" w:eastAsia="Times New Roman" w:hAnsi="Times New Roman" w:cs="Times New Roman"/>
          <w:sz w:val="24"/>
          <w:szCs w:val="24"/>
          <w:shd w:val="clear" w:color="auto" w:fill="FFFFFF"/>
          <w:lang w:val="en-US"/>
        </w:rPr>
        <w:t>me</w:t>
      </w:r>
      <w:r w:rsidRPr="00F81C44">
        <w:rPr>
          <w:rFonts w:ascii="Times New Roman" w:eastAsia="Times New Roman" w:hAnsi="Times New Roman" w:cs="Times New Roman"/>
          <w:sz w:val="24"/>
          <w:szCs w:val="24"/>
          <w:shd w:val="clear" w:color="auto" w:fill="FFFFFF"/>
          <w:lang w:val="en-US"/>
        </w:rPr>
        <w:t xml:space="preserve"> are aimed at strengthening institutional capacities and improving the public financial management system through the enhancement of the legal and strategic framework, investments in </w:t>
      </w:r>
      <w:proofErr w:type="spellStart"/>
      <w:r w:rsidRPr="00F81C44">
        <w:rPr>
          <w:rFonts w:ascii="Times New Roman" w:eastAsia="Times New Roman" w:hAnsi="Times New Roman" w:cs="Times New Roman"/>
          <w:sz w:val="24"/>
          <w:szCs w:val="24"/>
          <w:shd w:val="clear" w:color="auto" w:fill="FFFFFF"/>
          <w:lang w:val="en-US"/>
        </w:rPr>
        <w:t>digitalisation</w:t>
      </w:r>
      <w:proofErr w:type="spellEnd"/>
      <w:r w:rsidRPr="00F81C44">
        <w:rPr>
          <w:rFonts w:ascii="Times New Roman" w:eastAsia="Times New Roman" w:hAnsi="Times New Roman" w:cs="Times New Roman"/>
          <w:sz w:val="24"/>
          <w:szCs w:val="24"/>
          <w:shd w:val="clear" w:color="auto" w:fill="FFFFFF"/>
          <w:lang w:val="en-US"/>
        </w:rPr>
        <w:t>, as well as the improvement of knowledge and skills and strengthening of administrative capacities in this area. This will enable Serbia to better respond to challenges and seize opportunities for sustainable economic development and faster integration into the European Union.</w:t>
      </w:r>
    </w:p>
    <w:p w14:paraId="7E9C12D0" w14:textId="57BB4F97" w:rsidR="00F81C44" w:rsidRPr="00F81C44" w:rsidRDefault="00F81C44" w:rsidP="00F81C44">
      <w:pPr>
        <w:ind w:firstLine="708"/>
        <w:jc w:val="both"/>
        <w:rPr>
          <w:rFonts w:ascii="Times New Roman" w:eastAsia="Times New Roman" w:hAnsi="Times New Roman" w:cs="Times New Roman"/>
          <w:sz w:val="24"/>
          <w:szCs w:val="24"/>
          <w:shd w:val="clear" w:color="auto" w:fill="FFFFFF"/>
          <w:lang w:val="en-US"/>
        </w:rPr>
      </w:pPr>
      <w:r w:rsidRPr="00F81C44">
        <w:rPr>
          <w:rFonts w:ascii="Times New Roman" w:eastAsia="Times New Roman" w:hAnsi="Times New Roman" w:cs="Times New Roman"/>
          <w:sz w:val="24"/>
          <w:szCs w:val="24"/>
          <w:shd w:val="clear" w:color="auto" w:fill="FFFFFF"/>
          <w:lang w:val="en-US"/>
        </w:rPr>
        <w:t>The Working Group for the Preparation, Monitoring, and Reporting on the Implementation of the Public Financial Management Reform Program</w:t>
      </w:r>
      <w:r w:rsidR="007868B3">
        <w:rPr>
          <w:rFonts w:ascii="Times New Roman" w:eastAsia="Times New Roman" w:hAnsi="Times New Roman" w:cs="Times New Roman"/>
          <w:sz w:val="24"/>
          <w:szCs w:val="24"/>
          <w:shd w:val="clear" w:color="auto" w:fill="FFFFFF"/>
          <w:lang w:val="en-US"/>
        </w:rPr>
        <w:t>me</w:t>
      </w:r>
      <w:r w:rsidRPr="00F81C44">
        <w:rPr>
          <w:rFonts w:ascii="Times New Roman" w:eastAsia="Times New Roman" w:hAnsi="Times New Roman" w:cs="Times New Roman"/>
          <w:sz w:val="24"/>
          <w:szCs w:val="24"/>
          <w:shd w:val="clear" w:color="auto" w:fill="FFFFFF"/>
          <w:lang w:val="en-US"/>
        </w:rPr>
        <w:t xml:space="preserve"> (PFM Working Group) is an operational body comprising all relevant institutions involved in the public financial management reform process. The Working Group, chaired by the Minister of Finance, </w:t>
      </w:r>
      <w:r w:rsidRPr="00F81C44">
        <w:rPr>
          <w:rFonts w:ascii="Times New Roman" w:eastAsia="Times New Roman" w:hAnsi="Times New Roman" w:cs="Times New Roman"/>
          <w:sz w:val="24"/>
          <w:szCs w:val="24"/>
          <w:shd w:val="clear" w:color="auto" w:fill="FFFFFF"/>
          <w:lang w:val="en-US"/>
        </w:rPr>
        <w:lastRenderedPageBreak/>
        <w:t xml:space="preserve">was established by the decision of the Minister of Finance on </w:t>
      </w:r>
      <w:r w:rsidR="00976BA7">
        <w:rPr>
          <w:rFonts w:ascii="Times New Roman" w:eastAsia="Times New Roman" w:hAnsi="Times New Roman" w:cs="Times New Roman"/>
          <w:sz w:val="24"/>
          <w:szCs w:val="24"/>
          <w:shd w:val="clear" w:color="auto" w:fill="FFFFFF"/>
          <w:lang w:val="en-US"/>
        </w:rPr>
        <w:t xml:space="preserve">June </w:t>
      </w:r>
      <w:r w:rsidRPr="00F81C44">
        <w:rPr>
          <w:rFonts w:ascii="Times New Roman" w:eastAsia="Times New Roman" w:hAnsi="Times New Roman" w:cs="Times New Roman"/>
          <w:sz w:val="24"/>
          <w:szCs w:val="24"/>
          <w:shd w:val="clear" w:color="auto" w:fill="FFFFFF"/>
          <w:lang w:val="en-US"/>
        </w:rPr>
        <w:t>3</w:t>
      </w:r>
      <w:r w:rsidR="00976BA7">
        <w:rPr>
          <w:rFonts w:ascii="Times New Roman" w:eastAsia="Times New Roman" w:hAnsi="Times New Roman" w:cs="Times New Roman"/>
          <w:sz w:val="24"/>
          <w:szCs w:val="24"/>
          <w:shd w:val="clear" w:color="auto" w:fill="FFFFFF"/>
          <w:lang w:val="en-US"/>
        </w:rPr>
        <w:t>,</w:t>
      </w:r>
      <w:r w:rsidRPr="00F81C44">
        <w:rPr>
          <w:rFonts w:ascii="Times New Roman" w:eastAsia="Times New Roman" w:hAnsi="Times New Roman" w:cs="Times New Roman"/>
          <w:sz w:val="24"/>
          <w:szCs w:val="24"/>
          <w:shd w:val="clear" w:color="auto" w:fill="FFFFFF"/>
          <w:lang w:val="en-US"/>
        </w:rPr>
        <w:t xml:space="preserve"> 2025, thereby ensuring continuity of work from previous PFM cycles.</w:t>
      </w:r>
    </w:p>
    <w:p w14:paraId="46CE7666" w14:textId="57851798" w:rsidR="00F81C44" w:rsidRPr="00F81C44" w:rsidRDefault="00F81C44" w:rsidP="00F81C44">
      <w:pPr>
        <w:ind w:firstLine="708"/>
        <w:jc w:val="both"/>
        <w:rPr>
          <w:rFonts w:ascii="Times New Roman" w:eastAsia="Times New Roman" w:hAnsi="Times New Roman" w:cs="Times New Roman"/>
          <w:sz w:val="24"/>
          <w:szCs w:val="24"/>
          <w:shd w:val="clear" w:color="auto" w:fill="FFFFFF"/>
          <w:lang w:val="en-US"/>
        </w:rPr>
      </w:pPr>
      <w:r w:rsidRPr="00F81C44">
        <w:rPr>
          <w:rFonts w:ascii="Times New Roman" w:eastAsia="Times New Roman" w:hAnsi="Times New Roman" w:cs="Times New Roman"/>
          <w:sz w:val="24"/>
          <w:szCs w:val="24"/>
          <w:shd w:val="clear" w:color="auto" w:fill="FFFFFF"/>
          <w:lang w:val="en-US"/>
        </w:rPr>
        <w:t>Within the PFM</w:t>
      </w:r>
      <w:r w:rsidR="00DA271E">
        <w:rPr>
          <w:rFonts w:ascii="Times New Roman" w:eastAsia="Times New Roman" w:hAnsi="Times New Roman" w:cs="Times New Roman"/>
          <w:sz w:val="24"/>
          <w:szCs w:val="24"/>
          <w:shd w:val="clear" w:color="auto" w:fill="FFFFFF"/>
          <w:lang w:val="en-US"/>
        </w:rPr>
        <w:t xml:space="preserve">RP </w:t>
      </w:r>
      <w:r w:rsidRPr="00F81C44">
        <w:rPr>
          <w:rFonts w:ascii="Times New Roman" w:eastAsia="Times New Roman" w:hAnsi="Times New Roman" w:cs="Times New Roman"/>
          <w:sz w:val="24"/>
          <w:szCs w:val="24"/>
          <w:shd w:val="clear" w:color="auto" w:fill="FFFFFF"/>
          <w:lang w:val="en-US"/>
        </w:rPr>
        <w:t>2026–2030, special attention is given to the development of efficient, accountable, and transparent institutions at all levels, in line with the objectives of strengthening institutional capacity and transparency. The measures defined in the Program</w:t>
      </w:r>
      <w:r w:rsidR="007868B3">
        <w:rPr>
          <w:rFonts w:ascii="Times New Roman" w:eastAsia="Times New Roman" w:hAnsi="Times New Roman" w:cs="Times New Roman"/>
          <w:sz w:val="24"/>
          <w:szCs w:val="24"/>
          <w:shd w:val="clear" w:color="auto" w:fill="FFFFFF"/>
          <w:lang w:val="en-US"/>
        </w:rPr>
        <w:t>me</w:t>
      </w:r>
      <w:r w:rsidRPr="00F81C44">
        <w:rPr>
          <w:rFonts w:ascii="Times New Roman" w:eastAsia="Times New Roman" w:hAnsi="Times New Roman" w:cs="Times New Roman"/>
          <w:sz w:val="24"/>
          <w:szCs w:val="24"/>
          <w:shd w:val="clear" w:color="auto" w:fill="FFFFFF"/>
          <w:lang w:val="en-US"/>
        </w:rPr>
        <w:t xml:space="preserve"> are further elaborated through the accompanying Action Plan, and the implementing institutions include those that are members of the PFM Working Group. During the preparation of the Program, particular attention was paid to compliance with international standards, the European integration process and assumed obligations, as well as strengthening capacities for risk management.</w:t>
      </w:r>
    </w:p>
    <w:p w14:paraId="79A0F2F4" w14:textId="58EB3DC0" w:rsidR="00F81C44" w:rsidRPr="00F81C44" w:rsidRDefault="00F81C44" w:rsidP="00F81C44">
      <w:pPr>
        <w:ind w:firstLine="708"/>
        <w:jc w:val="both"/>
        <w:rPr>
          <w:rFonts w:ascii="Times New Roman" w:eastAsia="Times New Roman" w:hAnsi="Times New Roman" w:cs="Times New Roman"/>
          <w:sz w:val="24"/>
          <w:szCs w:val="24"/>
          <w:shd w:val="clear" w:color="auto" w:fill="FFFFFF"/>
          <w:lang w:val="en-US"/>
        </w:rPr>
      </w:pPr>
      <w:r w:rsidRPr="00F81C44">
        <w:rPr>
          <w:rFonts w:ascii="Times New Roman" w:eastAsia="Times New Roman" w:hAnsi="Times New Roman" w:cs="Times New Roman"/>
          <w:sz w:val="24"/>
          <w:szCs w:val="24"/>
          <w:shd w:val="clear" w:color="auto" w:fill="FFFFFF"/>
          <w:lang w:val="en-US"/>
        </w:rPr>
        <w:t>The coordination of the preparation of the PFM</w:t>
      </w:r>
      <w:r w:rsidR="00DA271E">
        <w:rPr>
          <w:rFonts w:ascii="Times New Roman" w:eastAsia="Times New Roman" w:hAnsi="Times New Roman" w:cs="Times New Roman"/>
          <w:sz w:val="24"/>
          <w:szCs w:val="24"/>
          <w:shd w:val="clear" w:color="auto" w:fill="FFFFFF"/>
          <w:lang w:val="en-US"/>
        </w:rPr>
        <w:t xml:space="preserve">RP </w:t>
      </w:r>
      <w:r w:rsidRPr="00F81C44">
        <w:rPr>
          <w:rFonts w:ascii="Times New Roman" w:eastAsia="Times New Roman" w:hAnsi="Times New Roman" w:cs="Times New Roman"/>
          <w:sz w:val="24"/>
          <w:szCs w:val="24"/>
          <w:shd w:val="clear" w:color="auto" w:fill="FFFFFF"/>
          <w:lang w:val="en-US"/>
        </w:rPr>
        <w:t xml:space="preserve">2026–2030 was led by the Technical Secretariat, which has been responsible for coordinating the work of the PFM Working Group since 2015. This Secretariat is located within the </w:t>
      </w:r>
      <w:r w:rsidR="00DA271E">
        <w:rPr>
          <w:rFonts w:ascii="Times New Roman" w:eastAsia="Times New Roman" w:hAnsi="Times New Roman" w:cs="Times New Roman"/>
          <w:sz w:val="24"/>
          <w:szCs w:val="24"/>
          <w:shd w:val="clear" w:color="auto" w:fill="FFFFFF"/>
          <w:lang w:val="en-US"/>
        </w:rPr>
        <w:t>Department</w:t>
      </w:r>
      <w:r w:rsidRPr="00F81C44">
        <w:rPr>
          <w:rFonts w:ascii="Times New Roman" w:eastAsia="Times New Roman" w:hAnsi="Times New Roman" w:cs="Times New Roman"/>
          <w:sz w:val="24"/>
          <w:szCs w:val="24"/>
          <w:shd w:val="clear" w:color="auto" w:fill="FFFFFF"/>
          <w:lang w:val="en-US"/>
        </w:rPr>
        <w:t xml:space="preserve"> for International Cooperation and European Integration of the Ministry of Finance.</w:t>
      </w:r>
    </w:p>
    <w:p w14:paraId="2E957AEB" w14:textId="01FED413" w:rsidR="00F81C44" w:rsidRPr="00F81C44" w:rsidRDefault="00F81C44" w:rsidP="00F81C44">
      <w:pPr>
        <w:ind w:firstLine="708"/>
        <w:jc w:val="both"/>
        <w:rPr>
          <w:rFonts w:ascii="Times New Roman" w:eastAsia="Times New Roman" w:hAnsi="Times New Roman" w:cs="Times New Roman"/>
          <w:sz w:val="24"/>
          <w:szCs w:val="24"/>
          <w:shd w:val="clear" w:color="auto" w:fill="FFFFFF"/>
          <w:lang w:val="en-US"/>
        </w:rPr>
      </w:pPr>
      <w:r w:rsidRPr="00F81C44">
        <w:rPr>
          <w:rFonts w:ascii="Times New Roman" w:eastAsia="Times New Roman" w:hAnsi="Times New Roman" w:cs="Times New Roman"/>
          <w:sz w:val="24"/>
          <w:szCs w:val="24"/>
          <w:shd w:val="clear" w:color="auto" w:fill="FFFFFF"/>
          <w:lang w:val="en-US"/>
        </w:rPr>
        <w:t>The consultation and public discussion process for the preparation of the new PFM</w:t>
      </w:r>
      <w:r w:rsidR="00DA271E">
        <w:rPr>
          <w:rFonts w:ascii="Times New Roman" w:eastAsia="Times New Roman" w:hAnsi="Times New Roman" w:cs="Times New Roman"/>
          <w:sz w:val="24"/>
          <w:szCs w:val="24"/>
          <w:shd w:val="clear" w:color="auto" w:fill="FFFFFF"/>
          <w:lang w:val="en-US"/>
        </w:rPr>
        <w:t>RP</w:t>
      </w:r>
      <w:r w:rsidRPr="00F81C44">
        <w:rPr>
          <w:rFonts w:ascii="Times New Roman" w:eastAsia="Times New Roman" w:hAnsi="Times New Roman" w:cs="Times New Roman"/>
          <w:sz w:val="24"/>
          <w:szCs w:val="24"/>
          <w:shd w:val="clear" w:color="auto" w:fill="FFFFFF"/>
          <w:lang w:val="en-US"/>
        </w:rPr>
        <w:t xml:space="preserve"> 2026–2030 was initiated within the Working Group for Public Administration Reform Strategy. In that context, representatives of the PFM Technical Secretariat presented the plan and timeline for the preparation of the new Program, with the participation of all relevant institutions of the Republic of Serbia and SIGMA representatives. In this framework, agreement was reached on the linkage between the Public Administration Reform Strategy 2021–2030 and the programmes deriving from its specific objectives, as well as the need to maintain the strategic framework provided by the Strategy while further elaborating measures and activities, and to continue the preparation of the new PFM</w:t>
      </w:r>
      <w:r w:rsidR="00DA271E">
        <w:rPr>
          <w:rFonts w:ascii="Times New Roman" w:eastAsia="Times New Roman" w:hAnsi="Times New Roman" w:cs="Times New Roman"/>
          <w:sz w:val="24"/>
          <w:szCs w:val="24"/>
          <w:shd w:val="clear" w:color="auto" w:fill="FFFFFF"/>
          <w:lang w:val="en-US"/>
        </w:rPr>
        <w:t>RP</w:t>
      </w:r>
      <w:r w:rsidRPr="00F81C44">
        <w:rPr>
          <w:rFonts w:ascii="Times New Roman" w:eastAsia="Times New Roman" w:hAnsi="Times New Roman" w:cs="Times New Roman"/>
          <w:sz w:val="24"/>
          <w:szCs w:val="24"/>
          <w:shd w:val="clear" w:color="auto" w:fill="FFFFFF"/>
          <w:lang w:val="en-US"/>
        </w:rPr>
        <w:t xml:space="preserve"> within the Working Group established for its preparation, implementation and reporting.</w:t>
      </w:r>
    </w:p>
    <w:p w14:paraId="37996203" w14:textId="648B8FAB" w:rsidR="00F81C44" w:rsidRPr="00F81C44" w:rsidRDefault="00F81C44" w:rsidP="00F81C44">
      <w:pPr>
        <w:ind w:firstLine="708"/>
        <w:jc w:val="both"/>
        <w:rPr>
          <w:rFonts w:ascii="Times New Roman" w:eastAsia="Times New Roman" w:hAnsi="Times New Roman" w:cs="Times New Roman"/>
          <w:sz w:val="24"/>
          <w:szCs w:val="24"/>
          <w:shd w:val="clear" w:color="auto" w:fill="FFFFFF"/>
          <w:lang w:val="en-US"/>
        </w:rPr>
      </w:pPr>
      <w:r w:rsidRPr="00F81C44">
        <w:rPr>
          <w:rFonts w:ascii="Times New Roman" w:eastAsia="Times New Roman" w:hAnsi="Times New Roman" w:cs="Times New Roman"/>
          <w:sz w:val="24"/>
          <w:szCs w:val="24"/>
          <w:shd w:val="clear" w:color="auto" w:fill="FFFFFF"/>
          <w:lang w:val="en-US"/>
        </w:rPr>
        <w:t xml:space="preserve">Regular contacts and consultations with </w:t>
      </w:r>
      <w:r w:rsidR="00DA271E">
        <w:rPr>
          <w:rFonts w:ascii="Times New Roman" w:eastAsia="Times New Roman" w:hAnsi="Times New Roman" w:cs="Times New Roman"/>
          <w:sz w:val="24"/>
          <w:szCs w:val="24"/>
          <w:shd w:val="clear" w:color="auto" w:fill="FFFFFF"/>
          <w:lang w:val="en-US"/>
        </w:rPr>
        <w:t>Support for Improvement in Governance and Management (</w:t>
      </w:r>
      <w:r w:rsidRPr="00F81C44">
        <w:rPr>
          <w:rFonts w:ascii="Times New Roman" w:eastAsia="Times New Roman" w:hAnsi="Times New Roman" w:cs="Times New Roman"/>
          <w:sz w:val="24"/>
          <w:szCs w:val="24"/>
          <w:shd w:val="clear" w:color="auto" w:fill="FFFFFF"/>
          <w:lang w:val="en-US"/>
        </w:rPr>
        <w:t>SIGMA</w:t>
      </w:r>
      <w:r w:rsidR="00DA271E">
        <w:rPr>
          <w:rFonts w:ascii="Times New Roman" w:eastAsia="Times New Roman" w:hAnsi="Times New Roman" w:cs="Times New Roman"/>
          <w:sz w:val="24"/>
          <w:szCs w:val="24"/>
          <w:shd w:val="clear" w:color="auto" w:fill="FFFFFF"/>
          <w:lang w:val="en-US"/>
        </w:rPr>
        <w:t>)</w:t>
      </w:r>
      <w:r w:rsidRPr="00F81C44">
        <w:rPr>
          <w:rFonts w:ascii="Times New Roman" w:eastAsia="Times New Roman" w:hAnsi="Times New Roman" w:cs="Times New Roman"/>
          <w:sz w:val="24"/>
          <w:szCs w:val="24"/>
          <w:shd w:val="clear" w:color="auto" w:fill="FFFFFF"/>
          <w:lang w:val="en-US"/>
        </w:rPr>
        <w:t xml:space="preserve"> have been established in order to ensure timely exchange of views and consideration of recommendations provided by SIGMA. Following the review of baseline analyses (ex-ante) and preparatory documents for the new Program</w:t>
      </w:r>
      <w:r w:rsidR="007868B3">
        <w:rPr>
          <w:rFonts w:ascii="Times New Roman" w:eastAsia="Times New Roman" w:hAnsi="Times New Roman" w:cs="Times New Roman"/>
          <w:sz w:val="24"/>
          <w:szCs w:val="24"/>
          <w:shd w:val="clear" w:color="auto" w:fill="FFFFFF"/>
          <w:lang w:val="en-US"/>
        </w:rPr>
        <w:t>me</w:t>
      </w:r>
      <w:r w:rsidRPr="00F81C44">
        <w:rPr>
          <w:rFonts w:ascii="Times New Roman" w:eastAsia="Times New Roman" w:hAnsi="Times New Roman" w:cs="Times New Roman"/>
          <w:sz w:val="24"/>
          <w:szCs w:val="24"/>
          <w:shd w:val="clear" w:color="auto" w:fill="FFFFFF"/>
          <w:lang w:val="en-US"/>
        </w:rPr>
        <w:t>, as well as SIGMA inputs and preliminary PEFA assessments, the PFM Working Group prepared the first version of the new Action Plan for the upcoming three-year period.</w:t>
      </w:r>
    </w:p>
    <w:p w14:paraId="1251E25D" w14:textId="5DF974FB" w:rsidR="00F81C44" w:rsidRPr="00F81C44" w:rsidRDefault="00F81C44" w:rsidP="00F81C44">
      <w:pPr>
        <w:ind w:firstLine="708"/>
        <w:jc w:val="both"/>
        <w:rPr>
          <w:rFonts w:ascii="Times New Roman" w:eastAsia="Times New Roman" w:hAnsi="Times New Roman" w:cs="Times New Roman"/>
          <w:sz w:val="24"/>
          <w:szCs w:val="24"/>
          <w:shd w:val="clear" w:color="auto" w:fill="FFFFFF"/>
          <w:lang w:val="en-US"/>
        </w:rPr>
      </w:pPr>
      <w:r w:rsidRPr="00F81C44">
        <w:rPr>
          <w:rFonts w:ascii="Times New Roman" w:eastAsia="Times New Roman" w:hAnsi="Times New Roman" w:cs="Times New Roman"/>
          <w:sz w:val="24"/>
          <w:szCs w:val="24"/>
          <w:shd w:val="clear" w:color="auto" w:fill="FFFFFF"/>
          <w:lang w:val="en-US"/>
        </w:rPr>
        <w:t>The public consultation process began once the first draft of the PFM</w:t>
      </w:r>
      <w:r w:rsidR="00DA271E">
        <w:rPr>
          <w:rFonts w:ascii="Times New Roman" w:eastAsia="Times New Roman" w:hAnsi="Times New Roman" w:cs="Times New Roman"/>
          <w:sz w:val="24"/>
          <w:szCs w:val="24"/>
          <w:shd w:val="clear" w:color="auto" w:fill="FFFFFF"/>
          <w:lang w:val="en-US"/>
        </w:rPr>
        <w:t xml:space="preserve">RP </w:t>
      </w:r>
      <w:r w:rsidRPr="00F81C44">
        <w:rPr>
          <w:rFonts w:ascii="Times New Roman" w:eastAsia="Times New Roman" w:hAnsi="Times New Roman" w:cs="Times New Roman"/>
          <w:sz w:val="24"/>
          <w:szCs w:val="24"/>
          <w:shd w:val="clear" w:color="auto" w:fill="FFFFFF"/>
          <w:lang w:val="en-US"/>
        </w:rPr>
        <w:t>2026–2030 was completed in mid-October and published on the website of the Ministry of Finance and the e-Consultations portal. Subsequently, the Proposal of the PFM</w:t>
      </w:r>
      <w:r w:rsidR="00DA271E">
        <w:rPr>
          <w:rFonts w:ascii="Times New Roman" w:eastAsia="Times New Roman" w:hAnsi="Times New Roman" w:cs="Times New Roman"/>
          <w:sz w:val="24"/>
          <w:szCs w:val="24"/>
          <w:shd w:val="clear" w:color="auto" w:fill="FFFFFF"/>
          <w:lang w:val="en-US"/>
        </w:rPr>
        <w:t xml:space="preserve">RP </w:t>
      </w:r>
      <w:r w:rsidRPr="00F81C44">
        <w:rPr>
          <w:rFonts w:ascii="Times New Roman" w:eastAsia="Times New Roman" w:hAnsi="Times New Roman" w:cs="Times New Roman"/>
          <w:sz w:val="24"/>
          <w:szCs w:val="24"/>
          <w:shd w:val="clear" w:color="auto" w:fill="FFFFFF"/>
          <w:lang w:val="en-US"/>
        </w:rPr>
        <w:t xml:space="preserve">2026–2030 was prepared and the public hearing process was launched in accordance with the public consultation plan. The Proposal was made available to the public on the Ministry of Finance website and the e-Consultations portal. All interested stakeholders were invited to submit comments and suggestions via the email address pfmdijalog@mfin.gov.rs, as well as to participate in the “Public Financial Management Policy Dialogue” meeting held on </w:t>
      </w:r>
      <w:r w:rsidR="00DA271E">
        <w:rPr>
          <w:rFonts w:ascii="Times New Roman" w:eastAsia="Times New Roman" w:hAnsi="Times New Roman" w:cs="Times New Roman"/>
          <w:sz w:val="24"/>
          <w:szCs w:val="24"/>
          <w:shd w:val="clear" w:color="auto" w:fill="FFFFFF"/>
          <w:lang w:val="en-US"/>
        </w:rPr>
        <w:t xml:space="preserve">November </w:t>
      </w:r>
      <w:r w:rsidRPr="00F81C44">
        <w:rPr>
          <w:rFonts w:ascii="Times New Roman" w:eastAsia="Times New Roman" w:hAnsi="Times New Roman" w:cs="Times New Roman"/>
          <w:sz w:val="24"/>
          <w:szCs w:val="24"/>
          <w:shd w:val="clear" w:color="auto" w:fill="FFFFFF"/>
          <w:lang w:val="en-US"/>
        </w:rPr>
        <w:t>17</w:t>
      </w:r>
      <w:r w:rsidR="00DA271E">
        <w:rPr>
          <w:rFonts w:ascii="Times New Roman" w:eastAsia="Times New Roman" w:hAnsi="Times New Roman" w:cs="Times New Roman"/>
          <w:sz w:val="24"/>
          <w:szCs w:val="24"/>
          <w:shd w:val="clear" w:color="auto" w:fill="FFFFFF"/>
          <w:lang w:val="en-US"/>
        </w:rPr>
        <w:t>,</w:t>
      </w:r>
      <w:r w:rsidRPr="00F81C44">
        <w:rPr>
          <w:rFonts w:ascii="Times New Roman" w:eastAsia="Times New Roman" w:hAnsi="Times New Roman" w:cs="Times New Roman"/>
          <w:sz w:val="24"/>
          <w:szCs w:val="24"/>
          <w:shd w:val="clear" w:color="auto" w:fill="FFFFFF"/>
          <w:lang w:val="en-US"/>
        </w:rPr>
        <w:t xml:space="preserve"> 2025. At this meeting, the Draft Program</w:t>
      </w:r>
      <w:r w:rsidR="007868B3">
        <w:rPr>
          <w:rFonts w:ascii="Times New Roman" w:eastAsia="Times New Roman" w:hAnsi="Times New Roman" w:cs="Times New Roman"/>
          <w:sz w:val="24"/>
          <w:szCs w:val="24"/>
          <w:shd w:val="clear" w:color="auto" w:fill="FFFFFF"/>
          <w:lang w:val="en-US"/>
        </w:rPr>
        <w:t>me</w:t>
      </w:r>
      <w:r w:rsidRPr="00F81C44">
        <w:rPr>
          <w:rFonts w:ascii="Times New Roman" w:eastAsia="Times New Roman" w:hAnsi="Times New Roman" w:cs="Times New Roman"/>
          <w:sz w:val="24"/>
          <w:szCs w:val="24"/>
          <w:shd w:val="clear" w:color="auto" w:fill="FFFFFF"/>
          <w:lang w:val="en-US"/>
        </w:rPr>
        <w:t xml:space="preserve"> was presented and views were exchanged with all relevant partners, including institutions of the Republic of Serbia, international financial institutions, the donor community, SIGMA and certain civil society </w:t>
      </w:r>
      <w:proofErr w:type="spellStart"/>
      <w:r w:rsidRPr="00F81C44">
        <w:rPr>
          <w:rFonts w:ascii="Times New Roman" w:eastAsia="Times New Roman" w:hAnsi="Times New Roman" w:cs="Times New Roman"/>
          <w:sz w:val="24"/>
          <w:szCs w:val="24"/>
          <w:shd w:val="clear" w:color="auto" w:fill="FFFFFF"/>
          <w:lang w:val="en-US"/>
        </w:rPr>
        <w:t>organisations</w:t>
      </w:r>
      <w:proofErr w:type="spellEnd"/>
      <w:r w:rsidRPr="00F81C44">
        <w:rPr>
          <w:rFonts w:ascii="Times New Roman" w:eastAsia="Times New Roman" w:hAnsi="Times New Roman" w:cs="Times New Roman"/>
          <w:sz w:val="24"/>
          <w:szCs w:val="24"/>
          <w:shd w:val="clear" w:color="auto" w:fill="FFFFFF"/>
          <w:lang w:val="en-US"/>
        </w:rPr>
        <w:t>.</w:t>
      </w:r>
    </w:p>
    <w:p w14:paraId="6A65B205" w14:textId="7A0B8128" w:rsidR="00F81C44" w:rsidRDefault="00F81C44" w:rsidP="00F81C44">
      <w:pPr>
        <w:ind w:firstLine="708"/>
        <w:jc w:val="both"/>
        <w:rPr>
          <w:rFonts w:ascii="Times New Roman" w:eastAsia="Times New Roman" w:hAnsi="Times New Roman" w:cs="Times New Roman"/>
          <w:sz w:val="24"/>
          <w:szCs w:val="24"/>
          <w:shd w:val="clear" w:color="auto" w:fill="FFFFFF"/>
          <w:lang w:val="en-US"/>
        </w:rPr>
      </w:pPr>
      <w:r w:rsidRPr="00F81C44">
        <w:rPr>
          <w:rFonts w:ascii="Times New Roman" w:eastAsia="Times New Roman" w:hAnsi="Times New Roman" w:cs="Times New Roman"/>
          <w:sz w:val="24"/>
          <w:szCs w:val="24"/>
          <w:shd w:val="clear" w:color="auto" w:fill="FFFFFF"/>
          <w:lang w:val="en-US"/>
        </w:rPr>
        <w:lastRenderedPageBreak/>
        <w:t>In the next phase, detailed comments and suggestions from all stakeholders, including SIGMA and the European Commission, were reviewed. The report on the public consultation on the draft PFM Reform Program</w:t>
      </w:r>
      <w:r w:rsidR="007868B3">
        <w:rPr>
          <w:rFonts w:ascii="Times New Roman" w:eastAsia="Times New Roman" w:hAnsi="Times New Roman" w:cs="Times New Roman"/>
          <w:sz w:val="24"/>
          <w:szCs w:val="24"/>
          <w:shd w:val="clear" w:color="auto" w:fill="FFFFFF"/>
          <w:lang w:val="en-US"/>
        </w:rPr>
        <w:t>me</w:t>
      </w:r>
      <w:r w:rsidRPr="00F81C44">
        <w:rPr>
          <w:rFonts w:ascii="Times New Roman" w:eastAsia="Times New Roman" w:hAnsi="Times New Roman" w:cs="Times New Roman"/>
          <w:sz w:val="24"/>
          <w:szCs w:val="24"/>
          <w:shd w:val="clear" w:color="auto" w:fill="FFFFFF"/>
          <w:lang w:val="en-US"/>
        </w:rPr>
        <w:t xml:space="preserve"> was published on the e-Consultations portal and the website of the Ministry of Finance, and submitted to the competent Government committee. The PFM Working Group prepared the final version of the PFM</w:t>
      </w:r>
      <w:r w:rsidR="00F742E9">
        <w:rPr>
          <w:rFonts w:ascii="Times New Roman" w:eastAsia="Times New Roman" w:hAnsi="Times New Roman" w:cs="Times New Roman"/>
          <w:sz w:val="24"/>
          <w:szCs w:val="24"/>
          <w:shd w:val="clear" w:color="auto" w:fill="FFFFFF"/>
          <w:lang w:val="en-US"/>
        </w:rPr>
        <w:t>RP</w:t>
      </w:r>
      <w:r w:rsidRPr="00F81C44">
        <w:rPr>
          <w:rFonts w:ascii="Times New Roman" w:eastAsia="Times New Roman" w:hAnsi="Times New Roman" w:cs="Times New Roman"/>
          <w:sz w:val="24"/>
          <w:szCs w:val="24"/>
          <w:shd w:val="clear" w:color="auto" w:fill="FFFFFF"/>
          <w:lang w:val="en-US"/>
        </w:rPr>
        <w:t xml:space="preserve"> 2026–2030, which was submitted to the Government for adoption in April 2026.</w:t>
      </w:r>
    </w:p>
    <w:p w14:paraId="0603D109" w14:textId="77777777" w:rsidR="004E25A2" w:rsidRPr="00F81C44" w:rsidRDefault="004E25A2" w:rsidP="00D4043A">
      <w:pPr>
        <w:jc w:val="both"/>
        <w:rPr>
          <w:rFonts w:ascii="Times New Roman" w:eastAsia="Times New Roman" w:hAnsi="Times New Roman" w:cs="Times New Roman"/>
          <w:sz w:val="24"/>
          <w:szCs w:val="24"/>
          <w:shd w:val="clear" w:color="auto" w:fill="FFFFFF"/>
          <w:lang w:val="en-US"/>
        </w:rPr>
      </w:pPr>
    </w:p>
    <w:p w14:paraId="582D89E4" w14:textId="07E4106E" w:rsidR="00DC4B06" w:rsidRDefault="00E63398"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SUMMARY</w:t>
      </w:r>
    </w:p>
    <w:p w14:paraId="1E24C9AE" w14:textId="77777777" w:rsidR="004E25A2" w:rsidRPr="004E25A2" w:rsidRDefault="004E25A2" w:rsidP="004E25A2">
      <w:pPr>
        <w:rPr>
          <w:lang w:val="en-US"/>
        </w:rPr>
      </w:pPr>
    </w:p>
    <w:p w14:paraId="15D3A34E" w14:textId="2BAD8AE6" w:rsidR="00F369C7" w:rsidRPr="00F369C7" w:rsidRDefault="00F369C7" w:rsidP="00F369C7">
      <w:pPr>
        <w:ind w:firstLine="708"/>
        <w:jc w:val="both"/>
        <w:rPr>
          <w:rFonts w:ascii="Times New Roman" w:eastAsia="Times New Roman" w:hAnsi="Times New Roman" w:cs="Times New Roman"/>
          <w:sz w:val="24"/>
          <w:szCs w:val="24"/>
          <w:shd w:val="clear" w:color="auto" w:fill="FFFFFF"/>
          <w:lang w:val="en-US"/>
        </w:rPr>
      </w:pPr>
      <w:r w:rsidRPr="00F369C7">
        <w:rPr>
          <w:rFonts w:ascii="Times New Roman" w:eastAsia="Times New Roman" w:hAnsi="Times New Roman" w:cs="Times New Roman"/>
          <w:sz w:val="24"/>
          <w:szCs w:val="24"/>
          <w:shd w:val="clear" w:color="auto" w:fill="FFFFFF"/>
          <w:lang w:val="en-US"/>
        </w:rPr>
        <w:t>The P</w:t>
      </w:r>
      <w:r>
        <w:rPr>
          <w:rFonts w:ascii="Times New Roman" w:eastAsia="Times New Roman" w:hAnsi="Times New Roman" w:cs="Times New Roman"/>
          <w:sz w:val="24"/>
          <w:szCs w:val="24"/>
          <w:shd w:val="clear" w:color="auto" w:fill="FFFFFF"/>
          <w:lang w:val="en-US"/>
        </w:rPr>
        <w:t xml:space="preserve">FMRP </w:t>
      </w:r>
      <w:r w:rsidRPr="00F369C7">
        <w:rPr>
          <w:rFonts w:ascii="Times New Roman" w:eastAsia="Times New Roman" w:hAnsi="Times New Roman" w:cs="Times New Roman"/>
          <w:sz w:val="24"/>
          <w:szCs w:val="24"/>
          <w:shd w:val="clear" w:color="auto" w:fill="FFFFFF"/>
          <w:lang w:val="en-US"/>
        </w:rPr>
        <w:t>2026–2030 represents a strategic framework aimed at strengthening the sustainability of public finances, increasing transparency and building institutional capacity in line with good European practices. The main objective is to ensure a stable budget and a controlled level of public debt relative to GDP through more efficient planning, collection and management of public resources, as well as through the modernization of the internal control and audit system.</w:t>
      </w:r>
    </w:p>
    <w:p w14:paraId="732CAB71" w14:textId="6B4C8E9F" w:rsidR="00F369C7" w:rsidRPr="00F369C7" w:rsidRDefault="00F369C7" w:rsidP="00F369C7">
      <w:pPr>
        <w:ind w:firstLine="708"/>
        <w:jc w:val="both"/>
        <w:rPr>
          <w:rFonts w:ascii="Times New Roman" w:eastAsia="Times New Roman" w:hAnsi="Times New Roman" w:cs="Times New Roman"/>
          <w:sz w:val="24"/>
          <w:szCs w:val="24"/>
          <w:shd w:val="clear" w:color="auto" w:fill="FFFFFF"/>
          <w:lang w:val="en-US"/>
        </w:rPr>
      </w:pPr>
      <w:r w:rsidRPr="00F369C7">
        <w:rPr>
          <w:rFonts w:ascii="Times New Roman" w:eastAsia="Times New Roman" w:hAnsi="Times New Roman" w:cs="Times New Roman"/>
          <w:sz w:val="24"/>
          <w:szCs w:val="24"/>
          <w:shd w:val="clear" w:color="auto" w:fill="FFFFFF"/>
          <w:lang w:val="en-US"/>
        </w:rPr>
        <w:t>The PFM</w:t>
      </w:r>
      <w:r w:rsidR="0076589F">
        <w:rPr>
          <w:rFonts w:ascii="Times New Roman" w:eastAsia="Times New Roman" w:hAnsi="Times New Roman" w:cs="Times New Roman"/>
          <w:sz w:val="24"/>
          <w:szCs w:val="24"/>
          <w:shd w:val="clear" w:color="auto" w:fill="FFFFFF"/>
          <w:lang w:val="en-US"/>
        </w:rPr>
        <w:t>RP</w:t>
      </w:r>
      <w:r w:rsidRPr="00F369C7">
        <w:rPr>
          <w:rFonts w:ascii="Times New Roman" w:eastAsia="Times New Roman" w:hAnsi="Times New Roman" w:cs="Times New Roman"/>
          <w:sz w:val="24"/>
          <w:szCs w:val="24"/>
          <w:shd w:val="clear" w:color="auto" w:fill="FFFFFF"/>
          <w:lang w:val="en-US"/>
        </w:rPr>
        <w:t xml:space="preserve"> 2026–2030 is based on a vision of a stable, transparent and efficient public financial system capable of responding to the challenges of economic development, European integration, and citizens’ expectations. The core strategic objective is to achieve a sustainable budget with a controlled level of public debt relative to GDP, through the application of modern financial management tools, an improved control system and the integration of budget planning with the Government’s development policies.</w:t>
      </w:r>
    </w:p>
    <w:p w14:paraId="13BA1287" w14:textId="77777777" w:rsidR="00F369C7" w:rsidRPr="00F369C7" w:rsidRDefault="00F369C7" w:rsidP="00F369C7">
      <w:pPr>
        <w:ind w:firstLine="708"/>
        <w:jc w:val="both"/>
        <w:rPr>
          <w:rFonts w:ascii="Times New Roman" w:eastAsia="Times New Roman" w:hAnsi="Times New Roman" w:cs="Times New Roman"/>
          <w:sz w:val="24"/>
          <w:szCs w:val="24"/>
          <w:shd w:val="clear" w:color="auto" w:fill="FFFFFF"/>
          <w:lang w:val="en-US"/>
        </w:rPr>
      </w:pPr>
      <w:r w:rsidRPr="00F369C7">
        <w:rPr>
          <w:rFonts w:ascii="Times New Roman" w:eastAsia="Times New Roman" w:hAnsi="Times New Roman" w:cs="Times New Roman"/>
          <w:sz w:val="24"/>
          <w:szCs w:val="24"/>
          <w:shd w:val="clear" w:color="auto" w:fill="FFFFFF"/>
          <w:lang w:val="en-US"/>
        </w:rPr>
        <w:t>The reform is based on several interconnected priorities and, as in previous cycles, follows the budget cycle defined by the Budget System Law (Official Gazette of the RS, No. 54/09, 73/10, 101/10, 101/11, 93/12, 62/13, 63/13-corrigendum, 108/13, 142/14, 68/15 – other law, 103/15, 99/16, 113/17, 95/18, 31/19, 72/19, 149/20, 118/21, 118/21 – other law, 138/22, 92/23, and 94/24).</w:t>
      </w:r>
    </w:p>
    <w:p w14:paraId="64657DE9" w14:textId="77777777" w:rsidR="00F369C7" w:rsidRPr="00F369C7" w:rsidRDefault="00F369C7" w:rsidP="00F369C7">
      <w:pPr>
        <w:ind w:firstLine="708"/>
        <w:jc w:val="both"/>
        <w:rPr>
          <w:rFonts w:ascii="Times New Roman" w:eastAsia="Times New Roman" w:hAnsi="Times New Roman" w:cs="Times New Roman"/>
          <w:sz w:val="24"/>
          <w:szCs w:val="24"/>
          <w:shd w:val="clear" w:color="auto" w:fill="FFFFFF"/>
          <w:lang w:val="en-US"/>
        </w:rPr>
      </w:pPr>
      <w:r w:rsidRPr="00F369C7">
        <w:rPr>
          <w:rFonts w:ascii="Times New Roman" w:eastAsia="Times New Roman" w:hAnsi="Times New Roman" w:cs="Times New Roman"/>
          <w:sz w:val="24"/>
          <w:szCs w:val="24"/>
          <w:shd w:val="clear" w:color="auto" w:fill="FFFFFF"/>
          <w:lang w:val="en-US"/>
        </w:rPr>
        <w:t>The first specific objective of the reform relates to improving budget planning and public investment management. The introduction of program budgeting in healthcare institutions, the development of methodological guidelines, and the strengthening of systems for monitoring program performance represent steps towards greater efficiency in the use of public resources. In parallel, capacities are being developed for the implementation of green budgeting and for aligning the budget process with European Union practices, particularly with regard to Chapters 17 and 33. In this area, special emphasis is also placed on improving the public investment management system, as well as strengthening institutions responsible for the analysis and management of fiscal risks.</w:t>
      </w:r>
    </w:p>
    <w:p w14:paraId="249C4EAE" w14:textId="3C8BD638" w:rsidR="00F369C7" w:rsidRPr="00F369C7" w:rsidRDefault="00F369C7" w:rsidP="00F369C7">
      <w:pPr>
        <w:ind w:firstLine="708"/>
        <w:jc w:val="both"/>
        <w:rPr>
          <w:rFonts w:ascii="Times New Roman" w:eastAsia="Times New Roman" w:hAnsi="Times New Roman" w:cs="Times New Roman"/>
          <w:sz w:val="24"/>
          <w:szCs w:val="24"/>
          <w:shd w:val="clear" w:color="auto" w:fill="FFFFFF"/>
          <w:lang w:val="en-US"/>
        </w:rPr>
      </w:pPr>
      <w:r w:rsidRPr="00F369C7">
        <w:rPr>
          <w:rFonts w:ascii="Times New Roman" w:eastAsia="Times New Roman" w:hAnsi="Times New Roman" w:cs="Times New Roman"/>
          <w:sz w:val="24"/>
          <w:szCs w:val="24"/>
          <w:shd w:val="clear" w:color="auto" w:fill="FFFFFF"/>
          <w:lang w:val="en-US"/>
        </w:rPr>
        <w:t xml:space="preserve">The second specific objective focuses on the efficient collection and management of budget revenues. The legal framework in tax policy will be improved in line with the obligations under Chapter 16, while the tax administration and customs system will be modernized and digitalized in order to ensure predictable and comprehensive revenue collection. Through the comprehensive modernization of the Tax </w:t>
      </w:r>
      <w:r w:rsidR="0076589F">
        <w:rPr>
          <w:rFonts w:ascii="Times New Roman" w:eastAsia="Times New Roman" w:hAnsi="Times New Roman" w:cs="Times New Roman"/>
          <w:sz w:val="24"/>
          <w:szCs w:val="24"/>
          <w:shd w:val="clear" w:color="auto" w:fill="FFFFFF"/>
          <w:lang w:val="en-US"/>
        </w:rPr>
        <w:t>a</w:t>
      </w:r>
      <w:r w:rsidRPr="00F369C7">
        <w:rPr>
          <w:rFonts w:ascii="Times New Roman" w:eastAsia="Times New Roman" w:hAnsi="Times New Roman" w:cs="Times New Roman"/>
          <w:sz w:val="24"/>
          <w:szCs w:val="24"/>
          <w:shd w:val="clear" w:color="auto" w:fill="FFFFFF"/>
          <w:lang w:val="en-US"/>
        </w:rPr>
        <w:t xml:space="preserve">dministration and Customs </w:t>
      </w:r>
      <w:r w:rsidR="0076589F">
        <w:rPr>
          <w:rFonts w:ascii="Times New Roman" w:eastAsia="Times New Roman" w:hAnsi="Times New Roman" w:cs="Times New Roman"/>
          <w:sz w:val="24"/>
          <w:szCs w:val="24"/>
          <w:shd w:val="clear" w:color="auto" w:fill="FFFFFF"/>
          <w:lang w:val="en-US"/>
        </w:rPr>
        <w:lastRenderedPageBreak/>
        <w:t>a</w:t>
      </w:r>
      <w:r w:rsidRPr="00F369C7">
        <w:rPr>
          <w:rFonts w:ascii="Times New Roman" w:eastAsia="Times New Roman" w:hAnsi="Times New Roman" w:cs="Times New Roman"/>
          <w:sz w:val="24"/>
          <w:szCs w:val="24"/>
          <w:shd w:val="clear" w:color="auto" w:fill="FFFFFF"/>
          <w:lang w:val="en-US"/>
        </w:rPr>
        <w:t>dministration, integrated information systems will be introduced, and tax and customs procedures will be aligned with international standards. Special attention is given to the digitalization of processes, including the development of electronic invoicing, the improvement of the excise system, and the simplification of services for the economy. Public debt management will be oriented towards the diversification of financing instruments. By establishing an efficient public debt management system and applying innovative instruments such as green bonds, funds will be secured for financing a range of projects aimed at addressing environmental and social challenges, as well as ensuring the stability of public finances.</w:t>
      </w:r>
    </w:p>
    <w:p w14:paraId="1B83266E" w14:textId="77777777" w:rsidR="00F369C7" w:rsidRPr="00F369C7" w:rsidRDefault="00F369C7" w:rsidP="00F369C7">
      <w:pPr>
        <w:ind w:firstLine="708"/>
        <w:jc w:val="both"/>
        <w:rPr>
          <w:rFonts w:ascii="Times New Roman" w:eastAsia="Times New Roman" w:hAnsi="Times New Roman" w:cs="Times New Roman"/>
          <w:sz w:val="24"/>
          <w:szCs w:val="24"/>
          <w:shd w:val="clear" w:color="auto" w:fill="FFFFFF"/>
          <w:lang w:val="en-US"/>
        </w:rPr>
      </w:pPr>
      <w:r w:rsidRPr="00F369C7">
        <w:rPr>
          <w:rFonts w:ascii="Times New Roman" w:eastAsia="Times New Roman" w:hAnsi="Times New Roman" w:cs="Times New Roman"/>
          <w:sz w:val="24"/>
          <w:szCs w:val="24"/>
          <w:shd w:val="clear" w:color="auto" w:fill="FFFFFF"/>
          <w:lang w:val="en-US"/>
        </w:rPr>
        <w:t>The third specific objective is aimed at strengthening fiscal discipline and increasing transparency in public expenditure. This includes expanding the scope of audit, strengthening the system for managing European Union funds, and improving inspection oversight. Strengthening institutional capacities in combating irregularities and fraud in the use of EU funds, as well as improving coordination in this area, builds public trust and the confidence of European partners in the efficiency of Serbian institutions. Special attention will also be given to strengthening the system for the implementation of the Reform and Growth Facility.</w:t>
      </w:r>
    </w:p>
    <w:p w14:paraId="11660CCD" w14:textId="57116FB7" w:rsidR="00F369C7" w:rsidRPr="00F369C7" w:rsidRDefault="00F369C7" w:rsidP="00F369C7">
      <w:pPr>
        <w:ind w:firstLine="708"/>
        <w:jc w:val="both"/>
        <w:rPr>
          <w:rFonts w:ascii="Times New Roman" w:eastAsia="Times New Roman" w:hAnsi="Times New Roman" w:cs="Times New Roman"/>
          <w:sz w:val="24"/>
          <w:szCs w:val="24"/>
          <w:shd w:val="clear" w:color="auto" w:fill="FFFFFF"/>
          <w:lang w:val="en-US"/>
        </w:rPr>
      </w:pPr>
      <w:r w:rsidRPr="00F369C7">
        <w:rPr>
          <w:rFonts w:ascii="Times New Roman" w:eastAsia="Times New Roman" w:hAnsi="Times New Roman" w:cs="Times New Roman"/>
          <w:sz w:val="24"/>
          <w:szCs w:val="24"/>
          <w:shd w:val="clear" w:color="auto" w:fill="FFFFFF"/>
          <w:lang w:val="en-US"/>
        </w:rPr>
        <w:t>The fourth specific objective is dedicated to the development of the system of internal financial control in the public sector. The aim is to improve the application of the regulatory framework and methodological materials of Public Internal Financial Control (PIFC) in order to enhance the implementation of internal control principles. A particular focus is placed on risk management, improving the system for managing irregularities, consistent application of international internal audit standards and digitalization. This includes the establishment of risk registers in key institutions, strengthening methodological frameworks, integrating them into administrative culture</w:t>
      </w:r>
      <w:r w:rsidR="0076589F">
        <w:rPr>
          <w:rFonts w:ascii="Times New Roman" w:eastAsia="Times New Roman" w:hAnsi="Times New Roman" w:cs="Times New Roman"/>
          <w:sz w:val="24"/>
          <w:szCs w:val="24"/>
          <w:shd w:val="clear" w:color="auto" w:fill="FFFFFF"/>
          <w:lang w:val="en-US"/>
        </w:rPr>
        <w:t xml:space="preserve"> </w:t>
      </w:r>
      <w:r w:rsidRPr="00F369C7">
        <w:rPr>
          <w:rFonts w:ascii="Times New Roman" w:eastAsia="Times New Roman" w:hAnsi="Times New Roman" w:cs="Times New Roman"/>
          <w:sz w:val="24"/>
          <w:szCs w:val="24"/>
          <w:shd w:val="clear" w:color="auto" w:fill="FFFFFF"/>
          <w:lang w:val="en-US"/>
        </w:rPr>
        <w:t>and modernizing IT systems for internal control. The goal is to establish greater institutional accountability and ensure the internal audit function in all central budget institutions, in line with the requirements of Chapter 32.</w:t>
      </w:r>
    </w:p>
    <w:p w14:paraId="1305C8DA" w14:textId="77777777" w:rsidR="00F369C7" w:rsidRPr="00F369C7" w:rsidRDefault="00F369C7" w:rsidP="00F369C7">
      <w:pPr>
        <w:ind w:firstLine="708"/>
        <w:jc w:val="both"/>
        <w:rPr>
          <w:rFonts w:ascii="Times New Roman" w:eastAsia="Times New Roman" w:hAnsi="Times New Roman" w:cs="Times New Roman"/>
          <w:sz w:val="24"/>
          <w:szCs w:val="24"/>
          <w:shd w:val="clear" w:color="auto" w:fill="FFFFFF"/>
          <w:lang w:val="en-US"/>
        </w:rPr>
      </w:pPr>
      <w:r w:rsidRPr="00F369C7">
        <w:rPr>
          <w:rFonts w:ascii="Times New Roman" w:eastAsia="Times New Roman" w:hAnsi="Times New Roman" w:cs="Times New Roman"/>
          <w:sz w:val="24"/>
          <w:szCs w:val="24"/>
          <w:shd w:val="clear" w:color="auto" w:fill="FFFFFF"/>
          <w:lang w:val="en-US"/>
        </w:rPr>
        <w:t>The fifth specific objective is aimed at improving public sector accounting through the application of International Public Sector Accounting Standards (IPSAS) and alignment with the EU acquis. The objective is to increase the reliability of financial reporting and, through systematic training of accountants, ensure the professional readiness of the public administration for the implementation of new standards.</w:t>
      </w:r>
    </w:p>
    <w:p w14:paraId="5FF70565" w14:textId="77777777" w:rsidR="00F369C7" w:rsidRPr="00F369C7" w:rsidRDefault="00F369C7" w:rsidP="00F369C7">
      <w:pPr>
        <w:ind w:firstLine="708"/>
        <w:jc w:val="both"/>
        <w:rPr>
          <w:rFonts w:ascii="Times New Roman" w:eastAsia="Times New Roman" w:hAnsi="Times New Roman" w:cs="Times New Roman"/>
          <w:sz w:val="24"/>
          <w:szCs w:val="24"/>
          <w:shd w:val="clear" w:color="auto" w:fill="FFFFFF"/>
          <w:lang w:val="en-US"/>
        </w:rPr>
      </w:pPr>
      <w:r w:rsidRPr="00F369C7">
        <w:rPr>
          <w:rFonts w:ascii="Times New Roman" w:eastAsia="Times New Roman" w:hAnsi="Times New Roman" w:cs="Times New Roman"/>
          <w:sz w:val="24"/>
          <w:szCs w:val="24"/>
          <w:shd w:val="clear" w:color="auto" w:fill="FFFFFF"/>
          <w:lang w:val="en-US"/>
        </w:rPr>
        <w:t>The sixth specific objective relates to strengthening external oversight of public finances. Further enhancing the effectiveness of the State Audit Institution and strengthening its cooperation with the National Assembly ensures that audit recommendations are reviewed and implemented in a timely manner. This creates an additional mechanism of public accountability and increases citizens’ trust in the management of public funds.</w:t>
      </w:r>
    </w:p>
    <w:p w14:paraId="7FE49435" w14:textId="66F26BCF" w:rsidR="004E25A2" w:rsidRPr="00F369C7" w:rsidRDefault="00F369C7" w:rsidP="0058126C">
      <w:pPr>
        <w:ind w:firstLine="708"/>
        <w:jc w:val="both"/>
        <w:rPr>
          <w:rFonts w:ascii="Times New Roman" w:eastAsia="Times New Roman" w:hAnsi="Times New Roman" w:cs="Times New Roman"/>
          <w:sz w:val="24"/>
          <w:szCs w:val="24"/>
          <w:shd w:val="clear" w:color="auto" w:fill="FFFFFF"/>
          <w:lang w:val="en-US"/>
        </w:rPr>
      </w:pPr>
      <w:r w:rsidRPr="00F369C7">
        <w:rPr>
          <w:rFonts w:ascii="Times New Roman" w:eastAsia="Times New Roman" w:hAnsi="Times New Roman" w:cs="Times New Roman"/>
          <w:sz w:val="24"/>
          <w:szCs w:val="24"/>
          <w:shd w:val="clear" w:color="auto" w:fill="FFFFFF"/>
          <w:lang w:val="en-US"/>
        </w:rPr>
        <w:t>Through these reform pillars, Serbia is laying the foundations for a modern and efficient public financial management system aligned with European Union practices, resilient to economic and social challenges, and oriented towards long-term sustainable development. In this way, citizens and the economy benefit from a more secure and efficient public financial system, while the institutions of the Republic of Serbia move closer to full alignment with European Union standards and practices.</w:t>
      </w:r>
    </w:p>
    <w:p w14:paraId="07021FEB" w14:textId="2FCE0A54" w:rsidR="00BE6792" w:rsidRDefault="0076589F"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bookmarkStart w:id="3" w:name="_Toc72488786"/>
      <w:bookmarkStart w:id="4" w:name="_Toc211860017"/>
      <w:r>
        <w:rPr>
          <w:rFonts w:ascii="Times New Roman" w:hAnsi="Times New Roman" w:cs="Times New Roman"/>
          <w:color w:val="auto"/>
          <w:sz w:val="24"/>
          <w:szCs w:val="24"/>
          <w:lang w:val="en-US"/>
        </w:rPr>
        <w:lastRenderedPageBreak/>
        <w:t>SUMMARY OF THE EVALUATION FINDINGS OF THE PUBLIC FINANCIAL MANAGEMENT REFORM PROGRAM FOR THE PERIOD 2021-2025</w:t>
      </w:r>
      <w:bookmarkEnd w:id="3"/>
      <w:bookmarkEnd w:id="4"/>
    </w:p>
    <w:p w14:paraId="262D9064" w14:textId="77777777" w:rsidR="004E25A2" w:rsidRPr="004E25A2" w:rsidRDefault="004E25A2" w:rsidP="004E25A2">
      <w:pPr>
        <w:rPr>
          <w:lang w:val="en-US"/>
        </w:rPr>
      </w:pPr>
    </w:p>
    <w:p w14:paraId="2E2B6F56" w14:textId="324D6C56"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Available data indicate that during the implementation period of the PFM</w:t>
      </w:r>
      <w:r>
        <w:rPr>
          <w:rFonts w:ascii="Times New Roman" w:eastAsia="Times New Roman" w:hAnsi="Times New Roman" w:cs="Times New Roman"/>
          <w:sz w:val="24"/>
          <w:szCs w:val="24"/>
          <w:shd w:val="clear" w:color="auto" w:fill="FFFFFF"/>
          <w:lang w:val="en-US"/>
        </w:rPr>
        <w:t>RP</w:t>
      </w:r>
      <w:r w:rsidRPr="00E617C5">
        <w:rPr>
          <w:rFonts w:ascii="Times New Roman" w:eastAsia="Times New Roman" w:hAnsi="Times New Roman" w:cs="Times New Roman"/>
          <w:sz w:val="24"/>
          <w:szCs w:val="24"/>
          <w:shd w:val="clear" w:color="auto" w:fill="FFFFFF"/>
          <w:lang w:val="en-US"/>
        </w:rPr>
        <w:t xml:space="preserve"> 2021–2025, 69 activities were successfully implemented, while 30 activities were not fully completed within the envisaged timeframe (implementation rate: 70%). In 2025, 43 activities were planned for implementation, of which 24 were successfully completed, while the implementation of 19 activities was not fully finalized.</w:t>
      </w:r>
      <w:r>
        <w:rPr>
          <w:rFonts w:ascii="Times New Roman" w:eastAsia="Times New Roman" w:hAnsi="Times New Roman" w:cs="Times New Roman"/>
          <w:sz w:val="24"/>
          <w:szCs w:val="24"/>
          <w:shd w:val="clear" w:color="auto" w:fill="FFFFFF"/>
          <w:lang w:val="en-US"/>
        </w:rPr>
        <w:t xml:space="preserve"> </w:t>
      </w:r>
      <w:r w:rsidRPr="00E617C5">
        <w:rPr>
          <w:rFonts w:ascii="Times New Roman" w:eastAsia="Times New Roman" w:hAnsi="Times New Roman" w:cs="Times New Roman"/>
          <w:sz w:val="24"/>
          <w:szCs w:val="24"/>
          <w:shd w:val="clear" w:color="auto" w:fill="FFFFFF"/>
          <w:lang w:val="en-US"/>
        </w:rPr>
        <w:t>Delays occurred in the implementation of a certain number of activities carried out through IPA projects, and the implementation of these activities has been foreseen under the new PFM</w:t>
      </w:r>
      <w:r>
        <w:rPr>
          <w:rFonts w:ascii="Times New Roman" w:eastAsia="Times New Roman" w:hAnsi="Times New Roman" w:cs="Times New Roman"/>
          <w:sz w:val="24"/>
          <w:szCs w:val="24"/>
          <w:shd w:val="clear" w:color="auto" w:fill="FFFFFF"/>
          <w:lang w:val="en-US"/>
        </w:rPr>
        <w:t>RP</w:t>
      </w:r>
      <w:r w:rsidRPr="00E617C5">
        <w:rPr>
          <w:rFonts w:ascii="Times New Roman" w:eastAsia="Times New Roman" w:hAnsi="Times New Roman" w:cs="Times New Roman"/>
          <w:sz w:val="24"/>
          <w:szCs w:val="24"/>
          <w:shd w:val="clear" w:color="auto" w:fill="FFFFFF"/>
          <w:lang w:val="en-US"/>
        </w:rPr>
        <w:t xml:space="preserve"> 2026–2030. In addition, some activities were not implemented due to a lack of available funding.</w:t>
      </w:r>
      <w:r>
        <w:rPr>
          <w:rFonts w:ascii="Times New Roman" w:eastAsia="Times New Roman" w:hAnsi="Times New Roman" w:cs="Times New Roman"/>
          <w:sz w:val="24"/>
          <w:szCs w:val="24"/>
          <w:shd w:val="clear" w:color="auto" w:fill="FFFFFF"/>
          <w:lang w:val="en-US"/>
        </w:rPr>
        <w:t xml:space="preserve"> </w:t>
      </w:r>
      <w:r w:rsidRPr="00E617C5">
        <w:rPr>
          <w:rFonts w:ascii="Times New Roman" w:eastAsia="Times New Roman" w:hAnsi="Times New Roman" w:cs="Times New Roman"/>
          <w:sz w:val="24"/>
          <w:szCs w:val="24"/>
          <w:shd w:val="clear" w:color="auto" w:fill="FFFFFF"/>
          <w:lang w:val="en-US"/>
        </w:rPr>
        <w:t>A detailed final report on the implementation of the PFM</w:t>
      </w:r>
      <w:r>
        <w:rPr>
          <w:rFonts w:ascii="Times New Roman" w:eastAsia="Times New Roman" w:hAnsi="Times New Roman" w:cs="Times New Roman"/>
          <w:sz w:val="24"/>
          <w:szCs w:val="24"/>
          <w:shd w:val="clear" w:color="auto" w:fill="FFFFFF"/>
          <w:lang w:val="en-US"/>
        </w:rPr>
        <w:t>RP</w:t>
      </w:r>
      <w:r w:rsidRPr="00E617C5">
        <w:rPr>
          <w:rFonts w:ascii="Times New Roman" w:eastAsia="Times New Roman" w:hAnsi="Times New Roman" w:cs="Times New Roman"/>
          <w:sz w:val="24"/>
          <w:szCs w:val="24"/>
          <w:shd w:val="clear" w:color="auto" w:fill="FFFFFF"/>
          <w:lang w:val="en-US"/>
        </w:rPr>
        <w:t xml:space="preserve"> 2021–2025, in accordance with the Law on the Planning System of the Republic of Serbia (Official Gazette of the RS, No. 30/18), is to be prepared by the end of June 2026. This report will provide a comprehensive overview of the results achieved throughout the entire implementation period of the PFM</w:t>
      </w:r>
      <w:r>
        <w:rPr>
          <w:rFonts w:ascii="Times New Roman" w:eastAsia="Times New Roman" w:hAnsi="Times New Roman" w:cs="Times New Roman"/>
          <w:sz w:val="24"/>
          <w:szCs w:val="24"/>
          <w:shd w:val="clear" w:color="auto" w:fill="FFFFFF"/>
          <w:lang w:val="en-US"/>
        </w:rPr>
        <w:t xml:space="preserve">RP </w:t>
      </w:r>
      <w:r w:rsidRPr="00E617C5">
        <w:rPr>
          <w:rFonts w:ascii="Times New Roman" w:eastAsia="Times New Roman" w:hAnsi="Times New Roman" w:cs="Times New Roman"/>
          <w:sz w:val="24"/>
          <w:szCs w:val="24"/>
          <w:shd w:val="clear" w:color="auto" w:fill="FFFFFF"/>
          <w:lang w:val="en-US"/>
        </w:rPr>
        <w:t>2021–2025.</w:t>
      </w:r>
    </w:p>
    <w:p w14:paraId="535AF40F" w14:textId="1BD0CFA3"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The Government has made increasing transparency and budget oversight an important element of good governance, in line with the strategic framework of public administration reform and public financial management reform. Through the implementation of activities under the PFM</w:t>
      </w:r>
      <w:r>
        <w:rPr>
          <w:rFonts w:ascii="Times New Roman" w:eastAsia="Times New Roman" w:hAnsi="Times New Roman" w:cs="Times New Roman"/>
          <w:sz w:val="24"/>
          <w:szCs w:val="24"/>
          <w:shd w:val="clear" w:color="auto" w:fill="FFFFFF"/>
          <w:lang w:val="en-US"/>
        </w:rPr>
        <w:t>RP</w:t>
      </w:r>
      <w:r w:rsidRPr="00E617C5">
        <w:rPr>
          <w:rFonts w:ascii="Times New Roman" w:eastAsia="Times New Roman" w:hAnsi="Times New Roman" w:cs="Times New Roman"/>
          <w:sz w:val="24"/>
          <w:szCs w:val="24"/>
          <w:shd w:val="clear" w:color="auto" w:fill="FFFFFF"/>
          <w:lang w:val="en-US"/>
        </w:rPr>
        <w:t>, following the adoption of amendments and supplements to the Program, the public financial management system has been further strengthened, providing a solid foundation for the continued implementation of structural reforms and the creation of a stable business environment for the economy.</w:t>
      </w:r>
    </w:p>
    <w:p w14:paraId="6D2AF7B1" w14:textId="49E3790D" w:rsidR="009D4114" w:rsidRPr="001053DB" w:rsidRDefault="009D4114" w:rsidP="00B160D4">
      <w:pPr>
        <w:ind w:firstLine="708"/>
        <w:jc w:val="both"/>
        <w:rPr>
          <w:rFonts w:ascii="Times New Roman" w:eastAsia="Times New Roman" w:hAnsi="Times New Roman" w:cs="Times New Roman"/>
          <w:sz w:val="24"/>
          <w:szCs w:val="24"/>
          <w:shd w:val="clear" w:color="auto" w:fill="FFFFFF"/>
          <w:lang w:val="sr-Cyrl-CS"/>
        </w:rPr>
      </w:pPr>
    </w:p>
    <w:p w14:paraId="246D40E8" w14:textId="162ACF34" w:rsidR="009D4114" w:rsidRDefault="00E617C5"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DESCRIPTION OF THE CURRENT STATE OF PUBLIC FINANCIAL MANAGEMENT</w:t>
      </w:r>
    </w:p>
    <w:p w14:paraId="50451176" w14:textId="77777777" w:rsidR="004E25A2" w:rsidRPr="004E25A2" w:rsidRDefault="004E25A2" w:rsidP="004E25A2">
      <w:pPr>
        <w:rPr>
          <w:lang w:val="en-US"/>
        </w:rPr>
      </w:pPr>
    </w:p>
    <w:p w14:paraId="461DFAA6" w14:textId="256C2F17"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In the period from 2021 to 2025, the Government successfully implemented a series of reform measures within the PFM</w:t>
      </w:r>
      <w:r>
        <w:rPr>
          <w:rFonts w:ascii="Times New Roman" w:eastAsia="Times New Roman" w:hAnsi="Times New Roman" w:cs="Times New Roman"/>
          <w:sz w:val="24"/>
          <w:szCs w:val="24"/>
          <w:shd w:val="clear" w:color="auto" w:fill="FFFFFF"/>
          <w:lang w:val="en-US"/>
        </w:rPr>
        <w:t>RP</w:t>
      </w:r>
      <w:r w:rsidRPr="00E617C5">
        <w:rPr>
          <w:rFonts w:ascii="Times New Roman" w:eastAsia="Times New Roman" w:hAnsi="Times New Roman" w:cs="Times New Roman"/>
          <w:sz w:val="24"/>
          <w:szCs w:val="24"/>
          <w:shd w:val="clear" w:color="auto" w:fill="FFFFFF"/>
          <w:lang w:val="en-US"/>
        </w:rPr>
        <w:t>, which significantly contributed to continuous economic growth and the stability of the public financial system. By the end of 2024, gross domestic product (GDP) reached EUR 82.3 billion, representing a cumulative increase of 29.8% compared to 2018. For 2025, GDP is expected to grow to EUR 88.5 billion, indicating a positive trend in economic development and macroeconomic stability.</w:t>
      </w:r>
    </w:p>
    <w:p w14:paraId="072592E4" w14:textId="77777777"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 xml:space="preserve">Economic data for 2024 show GDP growth of 3.9%, while general government debt was stabilized at 46.9% of GDP. The unemployment rate decreased to 8.6%, with 2.37 million people employed, indicating stability in the </w:t>
      </w:r>
      <w:proofErr w:type="spellStart"/>
      <w:r w:rsidRPr="00E617C5">
        <w:rPr>
          <w:rFonts w:ascii="Times New Roman" w:eastAsia="Times New Roman" w:hAnsi="Times New Roman" w:cs="Times New Roman"/>
          <w:sz w:val="24"/>
          <w:szCs w:val="24"/>
          <w:shd w:val="clear" w:color="auto" w:fill="FFFFFF"/>
          <w:lang w:val="en-US"/>
        </w:rPr>
        <w:t>labour</w:t>
      </w:r>
      <w:proofErr w:type="spellEnd"/>
      <w:r w:rsidRPr="00E617C5">
        <w:rPr>
          <w:rFonts w:ascii="Times New Roman" w:eastAsia="Times New Roman" w:hAnsi="Times New Roman" w:cs="Times New Roman"/>
          <w:sz w:val="24"/>
          <w:szCs w:val="24"/>
          <w:shd w:val="clear" w:color="auto" w:fill="FFFFFF"/>
          <w:lang w:val="en-US"/>
        </w:rPr>
        <w:t xml:space="preserve"> market and wage growth. Foreign direct investment inflows were significant, amounting to EUR 5.2 billion, contributing to economic stability and development. Total tax revenues amounted to RSD 1,874.6 billion, while total expenditures amounted to RSD 2,353.6 billion, with capital expenditures reaching RSD 569.6 billion.</w:t>
      </w:r>
    </w:p>
    <w:p w14:paraId="1A0A3B68" w14:textId="77777777"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lastRenderedPageBreak/>
        <w:t>At the central government level, the fiscal deficit amounted to RSD 212 billion, while the primary fiscal deficit stood at RSD 46 billion.</w:t>
      </w:r>
    </w:p>
    <w:p w14:paraId="1595C047" w14:textId="21E2DAFC"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In the previous period, significant progress was achieved in the implementation of reform activities in the area of public financial management, contributing to further strengthening of fiscal discipline, transparency, efficiency and institutional capacities within the public finance system. The implementation of activities under the previous Public Financial Management Reform Program</w:t>
      </w:r>
      <w:r w:rsidR="0058126C">
        <w:rPr>
          <w:rFonts w:ascii="Times New Roman" w:eastAsia="Times New Roman" w:hAnsi="Times New Roman" w:cs="Times New Roman"/>
          <w:sz w:val="24"/>
          <w:szCs w:val="24"/>
          <w:shd w:val="clear" w:color="auto" w:fill="FFFFFF"/>
          <w:lang w:val="en-US"/>
        </w:rPr>
        <w:t>me</w:t>
      </w:r>
      <w:r w:rsidRPr="00E617C5">
        <w:rPr>
          <w:rFonts w:ascii="Times New Roman" w:eastAsia="Times New Roman" w:hAnsi="Times New Roman" w:cs="Times New Roman"/>
          <w:sz w:val="24"/>
          <w:szCs w:val="24"/>
          <w:shd w:val="clear" w:color="auto" w:fill="FFFFFF"/>
          <w:lang w:val="en-US"/>
        </w:rPr>
        <w:t xml:space="preserve"> enabled the improvement of key processes in budget management, public revenue administration, control and oversight of public funds, as well as the modernization of the institutional and regulatory framework. The following provides an overview of the most important results achieved under individual specific objectives.</w:t>
      </w:r>
    </w:p>
    <w:p w14:paraId="2CFE1FD0" w14:textId="6F19716C"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 xml:space="preserve">Within Specific </w:t>
      </w:r>
      <w:r w:rsidR="00196129">
        <w:rPr>
          <w:rFonts w:ascii="Times New Roman" w:eastAsia="Times New Roman" w:hAnsi="Times New Roman" w:cs="Times New Roman"/>
          <w:sz w:val="24"/>
          <w:szCs w:val="24"/>
          <w:shd w:val="clear" w:color="auto" w:fill="FFFFFF"/>
          <w:lang w:val="en-US"/>
        </w:rPr>
        <w:t>o</w:t>
      </w:r>
      <w:r w:rsidRPr="00E617C5">
        <w:rPr>
          <w:rFonts w:ascii="Times New Roman" w:eastAsia="Times New Roman" w:hAnsi="Times New Roman" w:cs="Times New Roman"/>
          <w:sz w:val="24"/>
          <w:szCs w:val="24"/>
          <w:shd w:val="clear" w:color="auto" w:fill="FFFFFF"/>
          <w:lang w:val="en-US"/>
        </w:rPr>
        <w:t>bjective I, reforms improved budget credibility, comprehensiveness, and compliance with the budget calendar, while budget documentation now provides a wide range of fiscal information using economic, functional, organizational and program classifications. Key progress includes the legal requirement to publish program information and annual program execution reports. In 2024, all budget users prepared execution reports, most of which were of high quality. Comprehensive annual financial statements ensure full comparability with the adopted budget, while consolidated year-end execution reports provide a detailed presentation of revenues and expenditures from all sources.</w:t>
      </w:r>
    </w:p>
    <w:p w14:paraId="2C1734FF" w14:textId="77777777"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The implementation of the Green Project Tagging Methodology in 2024 led to the preparation of a “green budget,” which was integrated into the budget documentation, thereby strengthening the focus on sustainability and environmentally friendly projects and resource allocation in line with national and international climate and environmental priorities.</w:t>
      </w:r>
    </w:p>
    <w:p w14:paraId="1158EA97" w14:textId="5D1DBEB3"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As of August 2025, the Ministry of Finance established a budget web portal</w:t>
      </w:r>
      <w:r w:rsidR="00E114B2">
        <w:rPr>
          <w:rStyle w:val="FootnoteReference"/>
          <w:rFonts w:ascii="Times New Roman" w:eastAsia="Times New Roman" w:hAnsi="Times New Roman" w:cs="Times New Roman"/>
          <w:sz w:val="24"/>
          <w:szCs w:val="24"/>
          <w:shd w:val="clear" w:color="auto" w:fill="FFFFFF"/>
          <w:lang w:val="en-US"/>
        </w:rPr>
        <w:footnoteReference w:id="2"/>
      </w:r>
      <w:r w:rsidRPr="00E617C5">
        <w:rPr>
          <w:rFonts w:ascii="Times New Roman" w:eastAsia="Times New Roman" w:hAnsi="Times New Roman" w:cs="Times New Roman"/>
          <w:sz w:val="24"/>
          <w:szCs w:val="24"/>
          <w:shd w:val="clear" w:color="auto" w:fill="FFFFFF"/>
          <w:lang w:val="en-US"/>
        </w:rPr>
        <w:t xml:space="preserve">, enabling broad citizen participation in the 2026 budget process, while also offering tools to improve understanding of the process and providing advanced data </w:t>
      </w:r>
      <w:proofErr w:type="spellStart"/>
      <w:r w:rsidRPr="00E617C5">
        <w:rPr>
          <w:rFonts w:ascii="Times New Roman" w:eastAsia="Times New Roman" w:hAnsi="Times New Roman" w:cs="Times New Roman"/>
          <w:sz w:val="24"/>
          <w:szCs w:val="24"/>
          <w:shd w:val="clear" w:color="auto" w:fill="FFFFFF"/>
          <w:lang w:val="en-US"/>
        </w:rPr>
        <w:t>visualisation</w:t>
      </w:r>
      <w:proofErr w:type="spellEnd"/>
      <w:r w:rsidRPr="00E617C5">
        <w:rPr>
          <w:rFonts w:ascii="Times New Roman" w:eastAsia="Times New Roman" w:hAnsi="Times New Roman" w:cs="Times New Roman"/>
          <w:sz w:val="24"/>
          <w:szCs w:val="24"/>
          <w:shd w:val="clear" w:color="auto" w:fill="FFFFFF"/>
          <w:lang w:val="en-US"/>
        </w:rPr>
        <w:t>.</w:t>
      </w:r>
    </w:p>
    <w:p w14:paraId="1B2C4F11" w14:textId="634E480D"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 xml:space="preserve">Medium-term planning was improved through the adoption of 29 new medium-term plans, supported by training and mentoring provided by the </w:t>
      </w:r>
      <w:r w:rsidR="00E114B2">
        <w:rPr>
          <w:rFonts w:ascii="Times New Roman" w:eastAsia="Times New Roman" w:hAnsi="Times New Roman" w:cs="Times New Roman"/>
          <w:sz w:val="24"/>
          <w:szCs w:val="24"/>
          <w:shd w:val="clear" w:color="auto" w:fill="FFFFFF"/>
          <w:lang w:val="en-US"/>
        </w:rPr>
        <w:t>Public Policy Secretariat</w:t>
      </w:r>
      <w:r w:rsidRPr="00E617C5">
        <w:rPr>
          <w:rFonts w:ascii="Times New Roman" w:eastAsia="Times New Roman" w:hAnsi="Times New Roman" w:cs="Times New Roman"/>
          <w:sz w:val="24"/>
          <w:szCs w:val="24"/>
          <w:shd w:val="clear" w:color="auto" w:fill="FFFFFF"/>
          <w:lang w:val="en-US"/>
        </w:rPr>
        <w:t>. Public investment management, as a key priority, continued to develop through the implementation of the Regulation on Capital Projects (Official Gazette of the RS, No. 79/23) and the development of the PIMIS system, as well as training of relevant line ministries, contributing to more efficient management of funds. Transparency was also enhanced through budget execution reporting and the publication of a list of the most important capital projects exceeding EUR 20 million in the Fiscal Strategy.</w:t>
      </w:r>
    </w:p>
    <w:p w14:paraId="4B2F47AA" w14:textId="4B63AC85"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 xml:space="preserve">Within Specific </w:t>
      </w:r>
      <w:r w:rsidR="00196129">
        <w:rPr>
          <w:rFonts w:ascii="Times New Roman" w:eastAsia="Times New Roman" w:hAnsi="Times New Roman" w:cs="Times New Roman"/>
          <w:sz w:val="24"/>
          <w:szCs w:val="24"/>
          <w:shd w:val="clear" w:color="auto" w:fill="FFFFFF"/>
          <w:lang w:val="en-US"/>
        </w:rPr>
        <w:t>o</w:t>
      </w:r>
      <w:r w:rsidRPr="00E617C5">
        <w:rPr>
          <w:rFonts w:ascii="Times New Roman" w:eastAsia="Times New Roman" w:hAnsi="Times New Roman" w:cs="Times New Roman"/>
          <w:sz w:val="24"/>
          <w:szCs w:val="24"/>
          <w:shd w:val="clear" w:color="auto" w:fill="FFFFFF"/>
          <w:lang w:val="en-US"/>
        </w:rPr>
        <w:t xml:space="preserve">bjective II, the results achieved by the Tax </w:t>
      </w:r>
      <w:r w:rsidR="00196129">
        <w:rPr>
          <w:rFonts w:ascii="Times New Roman" w:eastAsia="Times New Roman" w:hAnsi="Times New Roman" w:cs="Times New Roman"/>
          <w:sz w:val="24"/>
          <w:szCs w:val="24"/>
          <w:shd w:val="clear" w:color="auto" w:fill="FFFFFF"/>
          <w:lang w:val="en-US"/>
        </w:rPr>
        <w:t>a</w:t>
      </w:r>
      <w:r w:rsidRPr="00E617C5">
        <w:rPr>
          <w:rFonts w:ascii="Times New Roman" w:eastAsia="Times New Roman" w:hAnsi="Times New Roman" w:cs="Times New Roman"/>
          <w:sz w:val="24"/>
          <w:szCs w:val="24"/>
          <w:shd w:val="clear" w:color="auto" w:fill="FFFFFF"/>
          <w:lang w:val="en-US"/>
        </w:rPr>
        <w:t xml:space="preserve">dministration in previous years created the conditions for the commencement of implementation of the Commercial Off-The-Shelf Integrated Tax Management System (COTS-ITMS), following the signing of the procurement contract on December </w:t>
      </w:r>
      <w:r w:rsidR="00196129">
        <w:rPr>
          <w:rFonts w:ascii="Times New Roman" w:eastAsia="Times New Roman" w:hAnsi="Times New Roman" w:cs="Times New Roman"/>
          <w:sz w:val="24"/>
          <w:szCs w:val="24"/>
          <w:shd w:val="clear" w:color="auto" w:fill="FFFFFF"/>
          <w:lang w:val="en-US"/>
        </w:rPr>
        <w:t xml:space="preserve">16, </w:t>
      </w:r>
      <w:r w:rsidRPr="00E617C5">
        <w:rPr>
          <w:rFonts w:ascii="Times New Roman" w:eastAsia="Times New Roman" w:hAnsi="Times New Roman" w:cs="Times New Roman"/>
          <w:sz w:val="24"/>
          <w:szCs w:val="24"/>
          <w:shd w:val="clear" w:color="auto" w:fill="FFFFFF"/>
          <w:lang w:val="en-US"/>
        </w:rPr>
        <w:t xml:space="preserve">2025. The implementation of the EU-funded Twinning project “Further Improvement of the Education Function in the Tax Administration of the Republic of Serbia” has started, along with a project aimed at strengthening the legislative and </w:t>
      </w:r>
      <w:r w:rsidRPr="00E617C5">
        <w:rPr>
          <w:rFonts w:ascii="Times New Roman" w:eastAsia="Times New Roman" w:hAnsi="Times New Roman" w:cs="Times New Roman"/>
          <w:sz w:val="24"/>
          <w:szCs w:val="24"/>
          <w:shd w:val="clear" w:color="auto" w:fill="FFFFFF"/>
          <w:lang w:val="en-US"/>
        </w:rPr>
        <w:lastRenderedPageBreak/>
        <w:t xml:space="preserve">institutional framework and the capacities of the Ministry of Finance and the Tax Administration to meet EU pre-accession requirements for the development of the VAT Information Exchange System (VIES). In the second half of 2025, the Customs </w:t>
      </w:r>
      <w:r w:rsidR="00196129">
        <w:rPr>
          <w:rFonts w:ascii="Times New Roman" w:eastAsia="Times New Roman" w:hAnsi="Times New Roman" w:cs="Times New Roman"/>
          <w:sz w:val="24"/>
          <w:szCs w:val="24"/>
          <w:shd w:val="clear" w:color="auto" w:fill="FFFFFF"/>
          <w:lang w:val="en-US"/>
        </w:rPr>
        <w:t>a</w:t>
      </w:r>
      <w:r w:rsidRPr="00E617C5">
        <w:rPr>
          <w:rFonts w:ascii="Times New Roman" w:eastAsia="Times New Roman" w:hAnsi="Times New Roman" w:cs="Times New Roman"/>
          <w:sz w:val="24"/>
          <w:szCs w:val="24"/>
          <w:shd w:val="clear" w:color="auto" w:fill="FFFFFF"/>
          <w:lang w:val="en-US"/>
        </w:rPr>
        <w:t xml:space="preserve">dministration launched activities to upgrade the New </w:t>
      </w:r>
      <w:proofErr w:type="spellStart"/>
      <w:r w:rsidRPr="00E617C5">
        <w:rPr>
          <w:rFonts w:ascii="Times New Roman" w:eastAsia="Times New Roman" w:hAnsi="Times New Roman" w:cs="Times New Roman"/>
          <w:sz w:val="24"/>
          <w:szCs w:val="24"/>
          <w:shd w:val="clear" w:color="auto" w:fill="FFFFFF"/>
          <w:lang w:val="en-US"/>
        </w:rPr>
        <w:t>Computerised</w:t>
      </w:r>
      <w:proofErr w:type="spellEnd"/>
      <w:r w:rsidRPr="00E617C5">
        <w:rPr>
          <w:rFonts w:ascii="Times New Roman" w:eastAsia="Times New Roman" w:hAnsi="Times New Roman" w:cs="Times New Roman"/>
          <w:sz w:val="24"/>
          <w:szCs w:val="24"/>
          <w:shd w:val="clear" w:color="auto" w:fill="FFFFFF"/>
          <w:lang w:val="en-US"/>
        </w:rPr>
        <w:t xml:space="preserve"> Transit System (NCTS Phase 6). Strengthening public procurement capacity and improving the Public Procurement Portal, supported also by IPA funds, were in focus, thereby improving transparency and efficiency in this area.</w:t>
      </w:r>
    </w:p>
    <w:p w14:paraId="6FDD2770" w14:textId="5B42D4F2"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 xml:space="preserve">Within Specific </w:t>
      </w:r>
      <w:r w:rsidR="00196129">
        <w:rPr>
          <w:rFonts w:ascii="Times New Roman" w:eastAsia="Times New Roman" w:hAnsi="Times New Roman" w:cs="Times New Roman"/>
          <w:sz w:val="24"/>
          <w:szCs w:val="24"/>
          <w:shd w:val="clear" w:color="auto" w:fill="FFFFFF"/>
          <w:lang w:val="en-US"/>
        </w:rPr>
        <w:t>o</w:t>
      </w:r>
      <w:r w:rsidRPr="00E617C5">
        <w:rPr>
          <w:rFonts w:ascii="Times New Roman" w:eastAsia="Times New Roman" w:hAnsi="Times New Roman" w:cs="Times New Roman"/>
          <w:sz w:val="24"/>
          <w:szCs w:val="24"/>
          <w:shd w:val="clear" w:color="auto" w:fill="FFFFFF"/>
          <w:lang w:val="en-US"/>
        </w:rPr>
        <w:t xml:space="preserve">bjective III, strengthening the capacity of the </w:t>
      </w:r>
      <w:r w:rsidR="00196129">
        <w:rPr>
          <w:rFonts w:ascii="Times New Roman" w:eastAsia="Times New Roman" w:hAnsi="Times New Roman" w:cs="Times New Roman"/>
          <w:sz w:val="24"/>
          <w:szCs w:val="24"/>
          <w:shd w:val="clear" w:color="auto" w:fill="FFFFFF"/>
          <w:lang w:val="en-US"/>
        </w:rPr>
        <w:t xml:space="preserve">Governmental </w:t>
      </w:r>
      <w:r w:rsidRPr="00E617C5">
        <w:rPr>
          <w:rFonts w:ascii="Times New Roman" w:eastAsia="Times New Roman" w:hAnsi="Times New Roman" w:cs="Times New Roman"/>
          <w:sz w:val="24"/>
          <w:szCs w:val="24"/>
          <w:shd w:val="clear" w:color="auto" w:fill="FFFFFF"/>
          <w:lang w:val="en-US"/>
        </w:rPr>
        <w:t xml:space="preserve">Audit </w:t>
      </w:r>
      <w:r w:rsidR="00196129">
        <w:rPr>
          <w:rFonts w:ascii="Times New Roman" w:eastAsia="Times New Roman" w:hAnsi="Times New Roman" w:cs="Times New Roman"/>
          <w:sz w:val="24"/>
          <w:szCs w:val="24"/>
          <w:shd w:val="clear" w:color="auto" w:fill="FFFFFF"/>
          <w:lang w:val="en-US"/>
        </w:rPr>
        <w:t>Office of EU funds</w:t>
      </w:r>
      <w:r w:rsidRPr="00E617C5">
        <w:rPr>
          <w:rFonts w:ascii="Times New Roman" w:eastAsia="Times New Roman" w:hAnsi="Times New Roman" w:cs="Times New Roman"/>
          <w:sz w:val="24"/>
          <w:szCs w:val="24"/>
          <w:shd w:val="clear" w:color="auto" w:fill="FFFFFF"/>
          <w:lang w:val="en-US"/>
        </w:rPr>
        <w:t xml:space="preserve"> was one of the key priorities. The </w:t>
      </w:r>
      <w:proofErr w:type="spellStart"/>
      <w:r w:rsidRPr="00E617C5">
        <w:rPr>
          <w:rFonts w:ascii="Times New Roman" w:eastAsia="Times New Roman" w:hAnsi="Times New Roman" w:cs="Times New Roman"/>
          <w:sz w:val="24"/>
          <w:szCs w:val="24"/>
          <w:shd w:val="clear" w:color="auto" w:fill="FFFFFF"/>
          <w:lang w:val="en-US"/>
        </w:rPr>
        <w:t>organisational</w:t>
      </w:r>
      <w:proofErr w:type="spellEnd"/>
      <w:r w:rsidRPr="00E617C5">
        <w:rPr>
          <w:rFonts w:ascii="Times New Roman" w:eastAsia="Times New Roman" w:hAnsi="Times New Roman" w:cs="Times New Roman"/>
          <w:sz w:val="24"/>
          <w:szCs w:val="24"/>
          <w:shd w:val="clear" w:color="auto" w:fill="FFFFFF"/>
          <w:lang w:val="en-US"/>
        </w:rPr>
        <w:t xml:space="preserve"> and staffing structure was improved, a methodological framework for IPA III audits was developed, and an internal audit unit was established within the </w:t>
      </w:r>
      <w:r w:rsidR="00196129">
        <w:rPr>
          <w:rFonts w:ascii="Times New Roman" w:eastAsia="Times New Roman" w:hAnsi="Times New Roman" w:cs="Times New Roman"/>
          <w:sz w:val="24"/>
          <w:szCs w:val="24"/>
          <w:shd w:val="clear" w:color="auto" w:fill="FFFFFF"/>
          <w:lang w:val="en-US"/>
        </w:rPr>
        <w:t>Office</w:t>
      </w:r>
      <w:r w:rsidRPr="00E617C5">
        <w:rPr>
          <w:rFonts w:ascii="Times New Roman" w:eastAsia="Times New Roman" w:hAnsi="Times New Roman" w:cs="Times New Roman"/>
          <w:sz w:val="24"/>
          <w:szCs w:val="24"/>
          <w:shd w:val="clear" w:color="auto" w:fill="FFFFFF"/>
          <w:lang w:val="en-US"/>
        </w:rPr>
        <w:t xml:space="preserve">. All European Commission recommendations within the </w:t>
      </w:r>
      <w:r w:rsidR="00196129">
        <w:rPr>
          <w:rFonts w:ascii="Times New Roman" w:eastAsia="Times New Roman" w:hAnsi="Times New Roman" w:cs="Times New Roman"/>
          <w:sz w:val="24"/>
          <w:szCs w:val="24"/>
          <w:shd w:val="clear" w:color="auto" w:fill="FFFFFF"/>
          <w:lang w:val="en-US"/>
        </w:rPr>
        <w:t>Offices</w:t>
      </w:r>
      <w:r w:rsidRPr="00E617C5">
        <w:rPr>
          <w:rFonts w:ascii="Times New Roman" w:eastAsia="Times New Roman" w:hAnsi="Times New Roman" w:cs="Times New Roman"/>
          <w:sz w:val="24"/>
          <w:szCs w:val="24"/>
          <w:shd w:val="clear" w:color="auto" w:fill="FFFFFF"/>
          <w:lang w:val="en-US"/>
        </w:rPr>
        <w:t xml:space="preserve">’ remit were successfully implemented. The process of closure of programmes under the 2014–2020 IPA perspective has been launched, while the Republic of Serbia has been entrusted with the management of EU funds under the IPA III framework, including annual action programmes for 2021 and 2022, cross-border cooperation programmes, and the IPARD programme. At the same time, alongside the </w:t>
      </w:r>
      <w:proofErr w:type="spellStart"/>
      <w:r w:rsidRPr="00E617C5">
        <w:rPr>
          <w:rFonts w:ascii="Times New Roman" w:eastAsia="Times New Roman" w:hAnsi="Times New Roman" w:cs="Times New Roman"/>
          <w:sz w:val="24"/>
          <w:szCs w:val="24"/>
          <w:shd w:val="clear" w:color="auto" w:fill="FFFFFF"/>
          <w:lang w:val="en-US"/>
        </w:rPr>
        <w:t>centralisation</w:t>
      </w:r>
      <w:proofErr w:type="spellEnd"/>
      <w:r w:rsidRPr="00E617C5">
        <w:rPr>
          <w:rFonts w:ascii="Times New Roman" w:eastAsia="Times New Roman" w:hAnsi="Times New Roman" w:cs="Times New Roman"/>
          <w:sz w:val="24"/>
          <w:szCs w:val="24"/>
          <w:shd w:val="clear" w:color="auto" w:fill="FFFFFF"/>
          <w:lang w:val="en-US"/>
        </w:rPr>
        <w:t xml:space="preserve"> of the budget inspection and improvements to the legal framework, administrative and operational capacities in inspection oversight were strengthened, leading to an increased number of inspections, broader coverage, and more consistent application of procedures across the territory of the Republic of Serbia.</w:t>
      </w:r>
    </w:p>
    <w:p w14:paraId="123ED5FF" w14:textId="72512381"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 xml:space="preserve">A particular focus under Specific </w:t>
      </w:r>
      <w:r w:rsidR="00196129">
        <w:rPr>
          <w:rFonts w:ascii="Times New Roman" w:eastAsia="Times New Roman" w:hAnsi="Times New Roman" w:cs="Times New Roman"/>
          <w:sz w:val="24"/>
          <w:szCs w:val="24"/>
          <w:shd w:val="clear" w:color="auto" w:fill="FFFFFF"/>
          <w:lang w:val="en-US"/>
        </w:rPr>
        <w:t>o</w:t>
      </w:r>
      <w:r w:rsidRPr="00E617C5">
        <w:rPr>
          <w:rFonts w:ascii="Times New Roman" w:eastAsia="Times New Roman" w:hAnsi="Times New Roman" w:cs="Times New Roman"/>
          <w:sz w:val="24"/>
          <w:szCs w:val="24"/>
          <w:shd w:val="clear" w:color="auto" w:fill="FFFFFF"/>
          <w:lang w:val="en-US"/>
        </w:rPr>
        <w:t>bjective IV was placed on strengthening public sector internal financial control, accompanied by improvements to the internal control system through new regulatory frameworks, methodological materials, and staff training.</w:t>
      </w:r>
    </w:p>
    <w:p w14:paraId="0FA4571B" w14:textId="05F810F2"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 xml:space="preserve">Within Specific </w:t>
      </w:r>
      <w:r w:rsidR="00196129">
        <w:rPr>
          <w:rFonts w:ascii="Times New Roman" w:eastAsia="Times New Roman" w:hAnsi="Times New Roman" w:cs="Times New Roman"/>
          <w:sz w:val="24"/>
          <w:szCs w:val="24"/>
          <w:shd w:val="clear" w:color="auto" w:fill="FFFFFF"/>
          <w:lang w:val="en-US"/>
        </w:rPr>
        <w:t>o</w:t>
      </w:r>
      <w:r w:rsidRPr="00E617C5">
        <w:rPr>
          <w:rFonts w:ascii="Times New Roman" w:eastAsia="Times New Roman" w:hAnsi="Times New Roman" w:cs="Times New Roman"/>
          <w:sz w:val="24"/>
          <w:szCs w:val="24"/>
          <w:shd w:val="clear" w:color="auto" w:fill="FFFFFF"/>
          <w:lang w:val="en-US"/>
        </w:rPr>
        <w:t>bjective V, public sector accounting reform continued through alignment with international standards, enabling greater accuracy and transparency of financial reporting. This process was supported by training and the development of new accounting procedures aimed at improving the financial reporting system. The achievement of this objective was also supported by the regular work of the relevant Commission.</w:t>
      </w:r>
    </w:p>
    <w:p w14:paraId="2EAE5484" w14:textId="05D065BC"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 xml:space="preserve">Specific </w:t>
      </w:r>
      <w:r w:rsidR="00196129">
        <w:rPr>
          <w:rFonts w:ascii="Times New Roman" w:eastAsia="Times New Roman" w:hAnsi="Times New Roman" w:cs="Times New Roman"/>
          <w:sz w:val="24"/>
          <w:szCs w:val="24"/>
          <w:shd w:val="clear" w:color="auto" w:fill="FFFFFF"/>
          <w:lang w:val="en-US"/>
        </w:rPr>
        <w:t>o</w:t>
      </w:r>
      <w:r w:rsidRPr="00E617C5">
        <w:rPr>
          <w:rFonts w:ascii="Times New Roman" w:eastAsia="Times New Roman" w:hAnsi="Times New Roman" w:cs="Times New Roman"/>
          <w:sz w:val="24"/>
          <w:szCs w:val="24"/>
          <w:shd w:val="clear" w:color="auto" w:fill="FFFFFF"/>
          <w:lang w:val="en-US"/>
        </w:rPr>
        <w:t>bjective VI focused on strengthening external oversight of public finances, with significant efforts devoted to capacity building of the State Audit Institution and activities carried out by the National Assembly Committee in the previous period, including sessions for reviewing SAI reports in which audit entities, representatives of line ministries, and other relevant stakeholders also participated, as well as sessions discussing legislative amendments in the presence of the SAI and the Ministry of Finance. These efforts contributed to an increased number of audits and improved quality of oversight of public funds, which is essential for transparency and accountability in public resource management.</w:t>
      </w:r>
    </w:p>
    <w:p w14:paraId="70ED1E26" w14:textId="5CD2216C"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 xml:space="preserve">Regarding the key role of </w:t>
      </w:r>
      <w:proofErr w:type="spellStart"/>
      <w:r w:rsidRPr="00E617C5">
        <w:rPr>
          <w:rFonts w:ascii="Times New Roman" w:eastAsia="Times New Roman" w:hAnsi="Times New Roman" w:cs="Times New Roman"/>
          <w:sz w:val="24"/>
          <w:szCs w:val="24"/>
          <w:shd w:val="clear" w:color="auto" w:fill="FFFFFF"/>
          <w:lang w:val="en-US"/>
        </w:rPr>
        <w:t>digitalisation</w:t>
      </w:r>
      <w:proofErr w:type="spellEnd"/>
      <w:r w:rsidRPr="00E617C5">
        <w:rPr>
          <w:rFonts w:ascii="Times New Roman" w:eastAsia="Times New Roman" w:hAnsi="Times New Roman" w:cs="Times New Roman"/>
          <w:sz w:val="24"/>
          <w:szCs w:val="24"/>
          <w:shd w:val="clear" w:color="auto" w:fill="FFFFFF"/>
          <w:lang w:val="en-US"/>
        </w:rPr>
        <w:t xml:space="preserve"> in improving public financial management efficiency and the need for </w:t>
      </w:r>
      <w:proofErr w:type="spellStart"/>
      <w:r w:rsidRPr="00E617C5">
        <w:rPr>
          <w:rFonts w:ascii="Times New Roman" w:eastAsia="Times New Roman" w:hAnsi="Times New Roman" w:cs="Times New Roman"/>
          <w:sz w:val="24"/>
          <w:szCs w:val="24"/>
          <w:shd w:val="clear" w:color="auto" w:fill="FFFFFF"/>
          <w:lang w:val="en-US"/>
        </w:rPr>
        <w:t>harmonisation</w:t>
      </w:r>
      <w:proofErr w:type="spellEnd"/>
      <w:r w:rsidRPr="00E617C5">
        <w:rPr>
          <w:rFonts w:ascii="Times New Roman" w:eastAsia="Times New Roman" w:hAnsi="Times New Roman" w:cs="Times New Roman"/>
          <w:sz w:val="24"/>
          <w:szCs w:val="24"/>
          <w:shd w:val="clear" w:color="auto" w:fill="FFFFFF"/>
          <w:lang w:val="en-US"/>
        </w:rPr>
        <w:t xml:space="preserve"> and establishment of IT systems across the sectors and administrations of the Ministry of Finance, a dedicated </w:t>
      </w:r>
      <w:r w:rsidR="0038106D">
        <w:rPr>
          <w:rFonts w:ascii="Times New Roman" w:eastAsia="Times New Roman" w:hAnsi="Times New Roman" w:cs="Times New Roman"/>
          <w:sz w:val="24"/>
          <w:szCs w:val="24"/>
          <w:shd w:val="clear" w:color="auto" w:fill="FFFFFF"/>
          <w:lang w:val="en-US"/>
        </w:rPr>
        <w:t>Department for digitalization in the field of finance</w:t>
      </w:r>
      <w:r w:rsidRPr="00E617C5">
        <w:rPr>
          <w:rFonts w:ascii="Times New Roman" w:eastAsia="Times New Roman" w:hAnsi="Times New Roman" w:cs="Times New Roman"/>
          <w:sz w:val="24"/>
          <w:szCs w:val="24"/>
          <w:shd w:val="clear" w:color="auto" w:fill="FFFFFF"/>
          <w:lang w:val="en-US"/>
        </w:rPr>
        <w:t xml:space="preserve"> was established. This </w:t>
      </w:r>
      <w:r w:rsidR="0038106D">
        <w:rPr>
          <w:rFonts w:ascii="Times New Roman" w:eastAsia="Times New Roman" w:hAnsi="Times New Roman" w:cs="Times New Roman"/>
          <w:sz w:val="24"/>
          <w:szCs w:val="24"/>
          <w:shd w:val="clear" w:color="auto" w:fill="FFFFFF"/>
          <w:lang w:val="en-US"/>
        </w:rPr>
        <w:t>department</w:t>
      </w:r>
      <w:r w:rsidRPr="00E617C5">
        <w:rPr>
          <w:rFonts w:ascii="Times New Roman" w:eastAsia="Times New Roman" w:hAnsi="Times New Roman" w:cs="Times New Roman"/>
          <w:sz w:val="24"/>
          <w:szCs w:val="24"/>
          <w:shd w:val="clear" w:color="auto" w:fill="FFFFFF"/>
          <w:lang w:val="en-US"/>
        </w:rPr>
        <w:t xml:space="preserve"> plays a key role in coordinating the development of new IT systems (e-invoicing, e-delivery notes, e-excise, etc.), ensuring their </w:t>
      </w:r>
      <w:r w:rsidRPr="00E617C5">
        <w:rPr>
          <w:rFonts w:ascii="Times New Roman" w:eastAsia="Times New Roman" w:hAnsi="Times New Roman" w:cs="Times New Roman"/>
          <w:sz w:val="24"/>
          <w:szCs w:val="24"/>
          <w:shd w:val="clear" w:color="auto" w:fill="FFFFFF"/>
          <w:lang w:val="en-US"/>
        </w:rPr>
        <w:lastRenderedPageBreak/>
        <w:t xml:space="preserve">integration and compatibility with existing infrastructure, which is essential for the </w:t>
      </w:r>
      <w:proofErr w:type="spellStart"/>
      <w:r w:rsidRPr="00E617C5">
        <w:rPr>
          <w:rFonts w:ascii="Times New Roman" w:eastAsia="Times New Roman" w:hAnsi="Times New Roman" w:cs="Times New Roman"/>
          <w:sz w:val="24"/>
          <w:szCs w:val="24"/>
          <w:shd w:val="clear" w:color="auto" w:fill="FFFFFF"/>
          <w:lang w:val="en-US"/>
        </w:rPr>
        <w:t>modernisation</w:t>
      </w:r>
      <w:proofErr w:type="spellEnd"/>
      <w:r w:rsidRPr="00E617C5">
        <w:rPr>
          <w:rFonts w:ascii="Times New Roman" w:eastAsia="Times New Roman" w:hAnsi="Times New Roman" w:cs="Times New Roman"/>
          <w:sz w:val="24"/>
          <w:szCs w:val="24"/>
          <w:shd w:val="clear" w:color="auto" w:fill="FFFFFF"/>
          <w:lang w:val="en-US"/>
        </w:rPr>
        <w:t xml:space="preserve"> and digital transformation of public finances in the Republic of Serbia.</w:t>
      </w:r>
    </w:p>
    <w:p w14:paraId="53AA7B9C" w14:textId="5186BF74"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 xml:space="preserve">In the previous period, Serbia has placed significant emphasis on improving green public financial management, particularly through the introduction of a green budget in the Budget Law of the Republic of Serbia for 2025 (Official Gazette of the RS, No. 108/25). For the first time, a list of projects directly contributing to environmental protection and climate objectives was compiled and publicly presented. This innovation represents a major step towards clearer tracking and alignment of fiscal policy with sustainable development principles and enables systematic tagging of environmentally relevant budget items in line with EU </w:t>
      </w:r>
      <w:r w:rsidR="0038106D">
        <w:rPr>
          <w:rFonts w:ascii="Times New Roman" w:eastAsia="Times New Roman" w:hAnsi="Times New Roman" w:cs="Times New Roman"/>
          <w:sz w:val="24"/>
          <w:szCs w:val="24"/>
          <w:shd w:val="clear" w:color="auto" w:fill="FFFFFF"/>
          <w:lang w:val="en-US"/>
        </w:rPr>
        <w:t>good</w:t>
      </w:r>
      <w:r w:rsidRPr="00E617C5">
        <w:rPr>
          <w:rFonts w:ascii="Times New Roman" w:eastAsia="Times New Roman" w:hAnsi="Times New Roman" w:cs="Times New Roman"/>
          <w:sz w:val="24"/>
          <w:szCs w:val="24"/>
          <w:shd w:val="clear" w:color="auto" w:fill="FFFFFF"/>
          <w:lang w:val="en-US"/>
        </w:rPr>
        <w:t xml:space="preserve"> practice.</w:t>
      </w:r>
    </w:p>
    <w:p w14:paraId="4E54E76A" w14:textId="72BB9DF6" w:rsidR="00E617C5" w:rsidRDefault="00E617C5" w:rsidP="00E617C5">
      <w:pPr>
        <w:ind w:firstLine="708"/>
        <w:jc w:val="both"/>
        <w:rPr>
          <w:rFonts w:ascii="Times New Roman" w:eastAsia="Times New Roman" w:hAnsi="Times New Roman" w:cs="Times New Roman"/>
          <w:sz w:val="24"/>
          <w:szCs w:val="24"/>
          <w:shd w:val="clear" w:color="auto" w:fill="FFFFFF"/>
          <w:lang w:val="en-US"/>
        </w:rPr>
      </w:pPr>
      <w:r w:rsidRPr="00E617C5">
        <w:rPr>
          <w:rFonts w:ascii="Times New Roman" w:eastAsia="Times New Roman" w:hAnsi="Times New Roman" w:cs="Times New Roman"/>
          <w:sz w:val="24"/>
          <w:szCs w:val="24"/>
          <w:shd w:val="clear" w:color="auto" w:fill="FFFFFF"/>
          <w:lang w:val="en-US"/>
        </w:rPr>
        <w:t xml:space="preserve">Additionally, as confirmation of its commitment to the green agenda, Serbia has issued green and sustainable bonds in recent years, securing financing for key infrastructure, environmental and social projects such as railway development, wastewater treatment systems and afforestation. As a further step forward, during the preparation of the PEFA assessment for Serbia in the first half of 2025, at the initiative of the Ministry of Finance, the first climate PEFA assessment was requested from the World Bank, making Serbia one of the first countries in the region to undertake such a </w:t>
      </w:r>
      <w:proofErr w:type="spellStart"/>
      <w:r w:rsidRPr="00E617C5">
        <w:rPr>
          <w:rFonts w:ascii="Times New Roman" w:eastAsia="Times New Roman" w:hAnsi="Times New Roman" w:cs="Times New Roman"/>
          <w:sz w:val="24"/>
          <w:szCs w:val="24"/>
          <w:shd w:val="clear" w:color="auto" w:fill="FFFFFF"/>
          <w:lang w:val="en-US"/>
        </w:rPr>
        <w:t>specialised</w:t>
      </w:r>
      <w:proofErr w:type="spellEnd"/>
      <w:r w:rsidRPr="00E617C5">
        <w:rPr>
          <w:rFonts w:ascii="Times New Roman" w:eastAsia="Times New Roman" w:hAnsi="Times New Roman" w:cs="Times New Roman"/>
          <w:sz w:val="24"/>
          <w:szCs w:val="24"/>
          <w:shd w:val="clear" w:color="auto" w:fill="FFFFFF"/>
          <w:lang w:val="en-US"/>
        </w:rPr>
        <w:t xml:space="preserve"> evaluation.</w:t>
      </w:r>
    </w:p>
    <w:p w14:paraId="1261F96D" w14:textId="77777777" w:rsidR="00E617C5" w:rsidRPr="00E617C5" w:rsidRDefault="00E617C5" w:rsidP="00E617C5">
      <w:pPr>
        <w:ind w:firstLine="708"/>
        <w:jc w:val="both"/>
        <w:rPr>
          <w:rFonts w:ascii="Times New Roman" w:eastAsia="Times New Roman" w:hAnsi="Times New Roman" w:cs="Times New Roman"/>
          <w:sz w:val="24"/>
          <w:szCs w:val="24"/>
          <w:shd w:val="clear" w:color="auto" w:fill="FFFFFF"/>
          <w:lang w:val="en-US"/>
        </w:rPr>
      </w:pPr>
    </w:p>
    <w:p w14:paraId="6037D1A1" w14:textId="210D59B6" w:rsidR="000A4B39" w:rsidRDefault="006B3A24"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RELEVANT LEGAL AND STRATEGIC FRAMEWORK AND INTERNATIONAL STANDARDS</w:t>
      </w:r>
    </w:p>
    <w:p w14:paraId="1C6A536B" w14:textId="77777777" w:rsidR="006B3A24" w:rsidRPr="006B3A24" w:rsidRDefault="006B3A24" w:rsidP="006B3A24">
      <w:pPr>
        <w:rPr>
          <w:lang w:val="en-US"/>
        </w:rPr>
      </w:pPr>
    </w:p>
    <w:p w14:paraId="383AAECC" w14:textId="38C83E13"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The Public Financial Management Reform Program</w:t>
      </w:r>
      <w:r w:rsidR="0058126C">
        <w:rPr>
          <w:rFonts w:ascii="Times New Roman" w:eastAsia="Times New Roman" w:hAnsi="Times New Roman" w:cs="Times New Roman"/>
          <w:sz w:val="24"/>
          <w:szCs w:val="24"/>
          <w:shd w:val="clear" w:color="auto" w:fill="FFFFFF"/>
          <w:lang w:val="en-US"/>
        </w:rPr>
        <w:t>me</w:t>
      </w:r>
      <w:r w:rsidRPr="006B3A24">
        <w:rPr>
          <w:rFonts w:ascii="Times New Roman" w:eastAsia="Times New Roman" w:hAnsi="Times New Roman" w:cs="Times New Roman"/>
          <w:sz w:val="24"/>
          <w:szCs w:val="24"/>
          <w:shd w:val="clear" w:color="auto" w:fill="FFFFFF"/>
          <w:lang w:val="en-US"/>
        </w:rPr>
        <w:t xml:space="preserve"> for the period 2026–2030 is being prepared in accordance with the Law on the Planning System of the Republic of Serbia (Official Gazette of the RS, No. 30/18), the related secondary legislation, and the accompanying guidelines and analytical tools developed by the </w:t>
      </w:r>
      <w:r w:rsidR="00626226">
        <w:rPr>
          <w:rFonts w:ascii="Times New Roman" w:eastAsia="Times New Roman" w:hAnsi="Times New Roman" w:cs="Times New Roman"/>
          <w:sz w:val="24"/>
          <w:szCs w:val="24"/>
          <w:shd w:val="clear" w:color="auto" w:fill="FFFFFF"/>
          <w:lang w:val="en-US"/>
        </w:rPr>
        <w:t>Public Policy Secretariat</w:t>
      </w:r>
      <w:r w:rsidRPr="006B3A24">
        <w:rPr>
          <w:rFonts w:ascii="Times New Roman" w:eastAsia="Times New Roman" w:hAnsi="Times New Roman" w:cs="Times New Roman"/>
          <w:sz w:val="24"/>
          <w:szCs w:val="24"/>
          <w:shd w:val="clear" w:color="auto" w:fill="FFFFFF"/>
          <w:lang w:val="en-US"/>
        </w:rPr>
        <w:t>. In this regard, the Technical Secretariat, in coordination with the Public Financial Management Working Group, regularly participates in the preparation of the PFM Reform Programme, annual implementation reports, and all monitoring and reporting activities within the framework of the overarching Public Administration Reform Strategy. Assessing the results of the PFM Reform Programme is highly complex, given the large number of interconnected public policy documents (Figure 1: Overview and Interconnections of Planning Documents Relevant to Public Financial Management), processes such as European integration (EU accession and association process, the Growth Plan for the Western Balkans, and Serbia’s Reform Agenda), cooperation with international financial institutions (the International Monetary Fund and the World Bank), as well as the outcomes of projects implemented in this area.</w:t>
      </w:r>
    </w:p>
    <w:p w14:paraId="35C3B711" w14:textId="78818D78"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Particular attention has been devoted to ensuring both the hierarchical and horizontal alignment of public policy documents in this field, in accordance with Article 23 of the Law on the Planning System of the Republic of Serbia, with a special focus on obligations arising from the European integration process.</w:t>
      </w:r>
    </w:p>
    <w:p w14:paraId="749AFEA0" w14:textId="37EFCB1C"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lastRenderedPageBreak/>
        <w:t>The PFM Reform Program</w:t>
      </w:r>
      <w:r w:rsidR="0058126C">
        <w:rPr>
          <w:rFonts w:ascii="Times New Roman" w:eastAsia="Times New Roman" w:hAnsi="Times New Roman" w:cs="Times New Roman"/>
          <w:sz w:val="24"/>
          <w:szCs w:val="24"/>
          <w:shd w:val="clear" w:color="auto" w:fill="FFFFFF"/>
          <w:lang w:val="en-US"/>
        </w:rPr>
        <w:t>me</w:t>
      </w:r>
      <w:r w:rsidRPr="006B3A24">
        <w:rPr>
          <w:rFonts w:ascii="Times New Roman" w:eastAsia="Times New Roman" w:hAnsi="Times New Roman" w:cs="Times New Roman"/>
          <w:sz w:val="24"/>
          <w:szCs w:val="24"/>
          <w:shd w:val="clear" w:color="auto" w:fill="FFFFFF"/>
          <w:lang w:val="en-US"/>
        </w:rPr>
        <w:t xml:space="preserve"> 2026–2030 constitutes a comprehensive framework aligned with the Public Administration Reform Strategy of the Republic of Serbia for the period 2021–2030 (Official Gazette of the RS, Nos. 42/21 and 9/22), specifically under Special Objective 7 – Public Financial Management. In addition, the Public Administration Reform Strategy for 2021–2030, under Special Objective 6 – Accountability and Transparency, includes topics that are also relevant to public financial management, such as managerial accountability and financial management and control. These topics have been elaborated through activities under the corresponding Action Plan for 2021–2025 and will be further developed in the new Action Plan of the umbrella strategy for the forthcoming period. The overarching Public Administration Reform Strategy also addresses analytical units; therefore, these issues are not repeated in the PFM Reform Program</w:t>
      </w:r>
      <w:r w:rsidR="0058126C">
        <w:rPr>
          <w:rFonts w:ascii="Times New Roman" w:eastAsia="Times New Roman" w:hAnsi="Times New Roman" w:cs="Times New Roman"/>
          <w:sz w:val="24"/>
          <w:szCs w:val="24"/>
          <w:shd w:val="clear" w:color="auto" w:fill="FFFFFF"/>
          <w:lang w:val="en-US"/>
        </w:rPr>
        <w:t>me</w:t>
      </w:r>
      <w:r w:rsidRPr="006B3A24">
        <w:rPr>
          <w:rFonts w:ascii="Times New Roman" w:eastAsia="Times New Roman" w:hAnsi="Times New Roman" w:cs="Times New Roman"/>
          <w:sz w:val="24"/>
          <w:szCs w:val="24"/>
          <w:shd w:val="clear" w:color="auto" w:fill="FFFFFF"/>
          <w:lang w:val="en-US"/>
        </w:rPr>
        <w:t>.</w:t>
      </w:r>
    </w:p>
    <w:p w14:paraId="70043D78" w14:textId="12F38184"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 xml:space="preserve">Considering that the Public Administration Reform Strategy for 2021–2030 includes Special Objective 8 – Establishing a Local Self-Government System that Enables Efficient and Sustainable Exercise of Citizens’ Right to Local Self-Government, all public financial management issues concerning local self-government units (LSGs)—including reform of the local government financing system and support for fiscal </w:t>
      </w:r>
      <w:proofErr w:type="spellStart"/>
      <w:r w:rsidRPr="006B3A24">
        <w:rPr>
          <w:rFonts w:ascii="Times New Roman" w:eastAsia="Times New Roman" w:hAnsi="Times New Roman" w:cs="Times New Roman"/>
          <w:sz w:val="24"/>
          <w:szCs w:val="24"/>
          <w:shd w:val="clear" w:color="auto" w:fill="FFFFFF"/>
          <w:lang w:val="en-US"/>
        </w:rPr>
        <w:t>decentralisation</w:t>
      </w:r>
      <w:proofErr w:type="spellEnd"/>
      <w:r w:rsidRPr="006B3A24">
        <w:rPr>
          <w:rFonts w:ascii="Times New Roman" w:eastAsia="Times New Roman" w:hAnsi="Times New Roman" w:cs="Times New Roman"/>
          <w:sz w:val="24"/>
          <w:szCs w:val="24"/>
          <w:shd w:val="clear" w:color="auto" w:fill="FFFFFF"/>
          <w:lang w:val="en-US"/>
        </w:rPr>
        <w:t>, support to LSGs in budget planning, enhancement of budget transparency, and Public Internal Financial Control (PIFC)—are addressed within the Programme for Reform of the Local Self-Government System in the Republic of Serbia 2021–2025</w:t>
      </w:r>
      <w:r w:rsidR="0022497C">
        <w:rPr>
          <w:rStyle w:val="FootnoteReference"/>
          <w:rFonts w:ascii="Times New Roman" w:eastAsia="Times New Roman" w:hAnsi="Times New Roman" w:cs="Times New Roman"/>
          <w:sz w:val="24"/>
          <w:szCs w:val="24"/>
          <w:shd w:val="clear" w:color="auto" w:fill="FFFFFF"/>
          <w:lang w:val="en-US"/>
        </w:rPr>
        <w:footnoteReference w:id="3"/>
      </w:r>
      <w:r w:rsidRPr="006B3A24">
        <w:rPr>
          <w:rFonts w:ascii="Times New Roman" w:eastAsia="Times New Roman" w:hAnsi="Times New Roman" w:cs="Times New Roman"/>
          <w:sz w:val="24"/>
          <w:szCs w:val="24"/>
          <w:shd w:val="clear" w:color="auto" w:fill="FFFFFF"/>
          <w:lang w:val="en-US"/>
        </w:rPr>
        <w:t>. Areas and topics relevant to public finances at the local level will continue to be covered in the same manner during the next period, as agreed under the common umbrella strategy. Good cooperation between the Ministry of Finance and the Standing Conference of Towns and Municipalities in identifying common topics and projects will also continue.</w:t>
      </w:r>
    </w:p>
    <w:p w14:paraId="7DBBC772" w14:textId="5FDBB2E4" w:rsidR="006B3A24" w:rsidRPr="006B3A24" w:rsidRDefault="006B3A24" w:rsidP="00DE7C20">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The PFM Reform Program</w:t>
      </w:r>
      <w:r w:rsidR="0058126C">
        <w:rPr>
          <w:rFonts w:ascii="Times New Roman" w:eastAsia="Times New Roman" w:hAnsi="Times New Roman" w:cs="Times New Roman"/>
          <w:sz w:val="24"/>
          <w:szCs w:val="24"/>
          <w:shd w:val="clear" w:color="auto" w:fill="FFFFFF"/>
          <w:lang w:val="en-US"/>
        </w:rPr>
        <w:t>me</w:t>
      </w:r>
      <w:r w:rsidRPr="006B3A24">
        <w:rPr>
          <w:rFonts w:ascii="Times New Roman" w:eastAsia="Times New Roman" w:hAnsi="Times New Roman" w:cs="Times New Roman"/>
          <w:sz w:val="24"/>
          <w:szCs w:val="24"/>
          <w:shd w:val="clear" w:color="auto" w:fill="FFFFFF"/>
          <w:lang w:val="en-US"/>
        </w:rPr>
        <w:t xml:space="preserve"> follows the phases of the budget cycle defined by the Budget System Law, which constitutes the key legislative framework in the field of public financial management and regulates the entire budget cycle in detail. From the perspective of the budget cycle, the Program is directly linked to commitments undertaken under Negotiating Chapters 5 – Public Procurement, 16 – Taxation, 17 – Economic and Monetary Policy, 29 – Customs Union, 32 – Financial Control, and 33 – Financial and Budgetary Provisions, as defined in the relevant negotiating positions</w:t>
      </w:r>
      <w:r w:rsidR="00DE7C20">
        <w:rPr>
          <w:rStyle w:val="FootnoteReference"/>
          <w:rFonts w:ascii="Times New Roman" w:eastAsia="Times New Roman" w:hAnsi="Times New Roman" w:cs="Times New Roman"/>
          <w:sz w:val="24"/>
          <w:szCs w:val="24"/>
          <w:shd w:val="clear" w:color="auto" w:fill="FFFFFF"/>
          <w:lang w:val="en-US"/>
        </w:rPr>
        <w:footnoteReference w:id="4"/>
      </w:r>
      <w:r w:rsidRPr="006B3A24">
        <w:rPr>
          <w:rFonts w:ascii="Times New Roman" w:eastAsia="Times New Roman" w:hAnsi="Times New Roman" w:cs="Times New Roman"/>
          <w:sz w:val="24"/>
          <w:szCs w:val="24"/>
          <w:shd w:val="clear" w:color="auto" w:fill="FFFFFF"/>
          <w:lang w:val="en-US"/>
        </w:rPr>
        <w:t>.</w:t>
      </w:r>
      <w:r w:rsidR="00DE7C20">
        <w:rPr>
          <w:rFonts w:ascii="Times New Roman" w:eastAsia="Times New Roman" w:hAnsi="Times New Roman" w:cs="Times New Roman"/>
          <w:sz w:val="24"/>
          <w:szCs w:val="24"/>
          <w:shd w:val="clear" w:color="auto" w:fill="FFFFFF"/>
          <w:lang w:val="en-US"/>
        </w:rPr>
        <w:t xml:space="preserve"> </w:t>
      </w:r>
      <w:r w:rsidRPr="006B3A24">
        <w:rPr>
          <w:rFonts w:ascii="Times New Roman" w:eastAsia="Times New Roman" w:hAnsi="Times New Roman" w:cs="Times New Roman"/>
          <w:sz w:val="24"/>
          <w:szCs w:val="24"/>
          <w:shd w:val="clear" w:color="auto" w:fill="FFFFFF"/>
          <w:lang w:val="en-US"/>
        </w:rPr>
        <w:t xml:space="preserve">The PFM Reform Program is also linked to Chapters 23 – Judiciary and Fundamental Rights and 24 – Justice, Freedom and Security. The Action Plan for Chapter 23 addresses issues such as improving the implementation of program budgeting, strengthening the capacities of the Central </w:t>
      </w:r>
      <w:proofErr w:type="spellStart"/>
      <w:r w:rsidRPr="006B3A24">
        <w:rPr>
          <w:rFonts w:ascii="Times New Roman" w:eastAsia="Times New Roman" w:hAnsi="Times New Roman" w:cs="Times New Roman"/>
          <w:sz w:val="24"/>
          <w:szCs w:val="24"/>
          <w:shd w:val="clear" w:color="auto" w:fill="FFFFFF"/>
          <w:lang w:val="en-US"/>
        </w:rPr>
        <w:t>Harmonisation</w:t>
      </w:r>
      <w:proofErr w:type="spellEnd"/>
      <w:r w:rsidRPr="006B3A24">
        <w:rPr>
          <w:rFonts w:ascii="Times New Roman" w:eastAsia="Times New Roman" w:hAnsi="Times New Roman" w:cs="Times New Roman"/>
          <w:sz w:val="24"/>
          <w:szCs w:val="24"/>
          <w:shd w:val="clear" w:color="auto" w:fill="FFFFFF"/>
          <w:lang w:val="en-US"/>
        </w:rPr>
        <w:t xml:space="preserve"> Unit (CHU), establishing internal control systems in all public enterprises, and providing for the audit of the financial statements of parliamentary political parties by the State Audit Institution (SAI). The Action </w:t>
      </w:r>
      <w:r w:rsidRPr="006B3A24">
        <w:rPr>
          <w:rFonts w:ascii="Times New Roman" w:eastAsia="Times New Roman" w:hAnsi="Times New Roman" w:cs="Times New Roman"/>
          <w:sz w:val="24"/>
          <w:szCs w:val="24"/>
          <w:shd w:val="clear" w:color="auto" w:fill="FFFFFF"/>
          <w:lang w:val="en-US"/>
        </w:rPr>
        <w:lastRenderedPageBreak/>
        <w:t>Plan for Chapter 24 provides for the establishment of a network for combating irregularities and fraud involving European Union funds (the AFCOS network).</w:t>
      </w:r>
      <w:r>
        <w:rPr>
          <w:rFonts w:ascii="Times New Roman" w:eastAsia="Times New Roman" w:hAnsi="Times New Roman" w:cs="Times New Roman"/>
          <w:sz w:val="24"/>
          <w:szCs w:val="24"/>
          <w:shd w:val="clear" w:color="auto" w:fill="FFFFFF"/>
          <w:lang w:val="en-US"/>
        </w:rPr>
        <w:tab/>
      </w:r>
    </w:p>
    <w:p w14:paraId="3C5FC39E" w14:textId="7CE5364C"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Alignment with international standards and obligations arising from the European integration process is of fundamental importance for this Program. Particular attention has been given to alignment with the European Union’s new instrument—the Growth Plan for the Western Balkans. The Growth Plan is a comprehensive initiative that includes a Reform and Growth Facility consisting of budget support and financing of priority projects through the Western Balkans Investment Framework (WBIF).</w:t>
      </w:r>
    </w:p>
    <w:p w14:paraId="77759F65" w14:textId="5617DAD5" w:rsidR="006B3A24" w:rsidRPr="006B3A24" w:rsidRDefault="006B3A24" w:rsidP="00F74A2F">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 xml:space="preserve">On 3 October 2024, the Government adopted the document </w:t>
      </w:r>
      <w:r w:rsidRPr="00626226">
        <w:rPr>
          <w:rFonts w:ascii="Times New Roman" w:eastAsia="Times New Roman" w:hAnsi="Times New Roman" w:cs="Times New Roman"/>
          <w:sz w:val="24"/>
          <w:szCs w:val="24"/>
          <w:shd w:val="clear" w:color="auto" w:fill="FFFFFF"/>
          <w:lang w:val="en-US"/>
        </w:rPr>
        <w:t>“Reform Agenda of the Republic of Serbia 2024–2027 in the Context of the Growth Plan for the Western Balkans</w:t>
      </w:r>
      <w:r w:rsidR="00DE7C20">
        <w:rPr>
          <w:rStyle w:val="FootnoteReference"/>
          <w:rFonts w:ascii="Times New Roman" w:eastAsia="Times New Roman" w:hAnsi="Times New Roman" w:cs="Times New Roman"/>
          <w:sz w:val="24"/>
          <w:szCs w:val="24"/>
          <w:shd w:val="clear" w:color="auto" w:fill="FFFFFF"/>
          <w:lang w:val="en-US"/>
        </w:rPr>
        <w:footnoteReference w:id="5"/>
      </w:r>
      <w:r w:rsidRPr="00626226">
        <w:rPr>
          <w:rFonts w:ascii="Times New Roman" w:eastAsia="Times New Roman" w:hAnsi="Times New Roman" w:cs="Times New Roman"/>
          <w:sz w:val="24"/>
          <w:szCs w:val="24"/>
          <w:shd w:val="clear" w:color="auto" w:fill="FFFFFF"/>
          <w:lang w:val="en-US"/>
        </w:rPr>
        <w:t>.”</w:t>
      </w:r>
      <w:r w:rsidRPr="006B3A24">
        <w:rPr>
          <w:rFonts w:ascii="Times New Roman" w:eastAsia="Times New Roman" w:hAnsi="Times New Roman" w:cs="Times New Roman"/>
          <w:sz w:val="24"/>
          <w:szCs w:val="24"/>
          <w:shd w:val="clear" w:color="auto" w:fill="FFFFFF"/>
          <w:lang w:val="en-US"/>
        </w:rPr>
        <w:t xml:space="preserve"> This document contains a number of key structural reforms and investment priorities, milestones indicating progress in implementing these reforms, and deadlines for their implementation in the areas of business environment and private sector development, green and digital transition, and human capital and fundamentals. Disbursement of EU funds is contingent upon the fulfilment of these milestones.</w:t>
      </w:r>
    </w:p>
    <w:p w14:paraId="617B932E" w14:textId="4127A3F7"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 xml:space="preserve">The Reform Agenda places particular emphasis on the national control and audit system for the implementation of the Reform and Growth Facility, thereby directly linking it to obligations under Negotiating Chapter 32 – Financial Control, as well as to alignment with the IPA management and control systems and AFCOS procedures. Accordingly, a dedicated chapter of the Reform Agenda of the Republic of Serbia, entitled </w:t>
      </w:r>
      <w:r w:rsidRPr="00626226">
        <w:rPr>
          <w:rFonts w:ascii="Times New Roman" w:eastAsia="Times New Roman" w:hAnsi="Times New Roman" w:cs="Times New Roman"/>
          <w:sz w:val="24"/>
          <w:szCs w:val="24"/>
          <w:shd w:val="clear" w:color="auto" w:fill="FFFFFF"/>
          <w:lang w:val="en-US"/>
        </w:rPr>
        <w:t>Control and Audit</w:t>
      </w:r>
      <w:r w:rsidRPr="006B3A24">
        <w:rPr>
          <w:rFonts w:ascii="Times New Roman" w:eastAsia="Times New Roman" w:hAnsi="Times New Roman" w:cs="Times New Roman"/>
          <w:sz w:val="24"/>
          <w:szCs w:val="24"/>
          <w:shd w:val="clear" w:color="auto" w:fill="FFFFFF"/>
          <w:lang w:val="en-US"/>
        </w:rPr>
        <w:t>, is devoted to this issue and is subject to a separate system audit.</w:t>
      </w:r>
    </w:p>
    <w:p w14:paraId="5373D3DB" w14:textId="28CA1937"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 xml:space="preserve">The Reform Agenda of the Republic of Serbia does not contain a separate public finance reform area, given the level of development already achieved in this field. However, implementation of several Reform Agenda milestones relating to capital project management, public procurement under intergovernmental agreements, electronic collection of tax and non-tax revenues, and the establishment of an independent internal control function in all state-owned enterprises in accordance with the Budget System Law is envisaged under the area </w:t>
      </w:r>
      <w:r w:rsidRPr="00626226">
        <w:rPr>
          <w:rFonts w:ascii="Times New Roman" w:eastAsia="Times New Roman" w:hAnsi="Times New Roman" w:cs="Times New Roman"/>
          <w:sz w:val="24"/>
          <w:szCs w:val="24"/>
          <w:shd w:val="clear" w:color="auto" w:fill="FFFFFF"/>
          <w:lang w:val="en-US"/>
        </w:rPr>
        <w:t>Business Environment and Private Sector Development</w:t>
      </w:r>
      <w:r w:rsidRPr="006B3A24">
        <w:rPr>
          <w:rFonts w:ascii="Times New Roman" w:eastAsia="Times New Roman" w:hAnsi="Times New Roman" w:cs="Times New Roman"/>
          <w:sz w:val="24"/>
          <w:szCs w:val="24"/>
          <w:shd w:val="clear" w:color="auto" w:fill="FFFFFF"/>
          <w:lang w:val="en-US"/>
        </w:rPr>
        <w:t xml:space="preserve">. To avoid multiple reporting on the same activities, these milestones will be monitored through the reporting framework of the Reform Agenda (semi-annual payment requests and annual implementation reports), while information remains available to all stakeholders through the European Commission’s </w:t>
      </w:r>
      <w:r w:rsidRPr="00626226">
        <w:rPr>
          <w:rFonts w:ascii="Times New Roman" w:eastAsia="Times New Roman" w:hAnsi="Times New Roman" w:cs="Times New Roman"/>
          <w:sz w:val="24"/>
          <w:szCs w:val="24"/>
          <w:shd w:val="clear" w:color="auto" w:fill="FFFFFF"/>
          <w:lang w:val="en-US"/>
        </w:rPr>
        <w:t>RGF Scoreboard</w:t>
      </w:r>
      <w:r w:rsidRPr="006B3A24">
        <w:rPr>
          <w:rFonts w:ascii="Times New Roman" w:eastAsia="Times New Roman" w:hAnsi="Times New Roman" w:cs="Times New Roman"/>
          <w:sz w:val="24"/>
          <w:szCs w:val="24"/>
          <w:shd w:val="clear" w:color="auto" w:fill="FFFFFF"/>
          <w:lang w:val="en-US"/>
        </w:rPr>
        <w:t xml:space="preserve"> platform. It should also be noted that progress in public financial management reform, alongside macroeconomic stability and budget transparency, constitutes one of the general preconditions for access to the Reform and Growth Facility, similar to the requirements applicable under IPA sector budget support.</w:t>
      </w:r>
    </w:p>
    <w:p w14:paraId="3BA3F87F" w14:textId="3CEEE2F0"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In addition, as an EU candidate country since 2015, the Republic of Serbia participates in the economic policy coordination process under the Light European Semester and prepares an annual Economic Reform Program</w:t>
      </w:r>
      <w:r w:rsidR="0058126C">
        <w:rPr>
          <w:rFonts w:ascii="Times New Roman" w:eastAsia="Times New Roman" w:hAnsi="Times New Roman" w:cs="Times New Roman"/>
          <w:sz w:val="24"/>
          <w:szCs w:val="24"/>
          <w:shd w:val="clear" w:color="auto" w:fill="FFFFFF"/>
          <w:lang w:val="en-US"/>
        </w:rPr>
        <w:t>me</w:t>
      </w:r>
      <w:r w:rsidRPr="006B3A24">
        <w:rPr>
          <w:rFonts w:ascii="Times New Roman" w:eastAsia="Times New Roman" w:hAnsi="Times New Roman" w:cs="Times New Roman"/>
          <w:sz w:val="24"/>
          <w:szCs w:val="24"/>
          <w:shd w:val="clear" w:color="auto" w:fill="FFFFFF"/>
          <w:lang w:val="en-US"/>
        </w:rPr>
        <w:t xml:space="preserve"> (ERP) covering the subsequent three-year period. The ERP includes dedicated chapters addressing the quality of public finances, related reforms, and </w:t>
      </w:r>
      <w:r w:rsidRPr="006B3A24">
        <w:rPr>
          <w:rFonts w:ascii="Times New Roman" w:eastAsia="Times New Roman" w:hAnsi="Times New Roman" w:cs="Times New Roman"/>
          <w:sz w:val="24"/>
          <w:szCs w:val="24"/>
          <w:shd w:val="clear" w:color="auto" w:fill="FFFFFF"/>
          <w:lang w:val="en-US"/>
        </w:rPr>
        <w:lastRenderedPageBreak/>
        <w:t xml:space="preserve">recommendations adopted annually at ministerial level. This process enables discussion, benchmarking of results, and exchange of good practices among participants in economic policy coordination, including EU Member States. Such cooperation is of key importance for EU accession preparation, particularly in meeting the criteria for a functioning market economy and establishing the administrative capacities necessary to cope with competitive pressures and market forces within the European Union. Within this framework, Serbia participates as an observer in monitoring projects financed through the Technical Support Instrument (TSI), including the project </w:t>
      </w:r>
      <w:r w:rsidRPr="00626226">
        <w:rPr>
          <w:rFonts w:ascii="Times New Roman" w:eastAsia="Times New Roman" w:hAnsi="Times New Roman" w:cs="Times New Roman"/>
          <w:sz w:val="24"/>
          <w:szCs w:val="24"/>
          <w:shd w:val="clear" w:color="auto" w:fill="FFFFFF"/>
          <w:lang w:val="en-US"/>
        </w:rPr>
        <w:t>Implementing Effective Green Budgeting Practices</w:t>
      </w:r>
      <w:r w:rsidRPr="006B3A24">
        <w:rPr>
          <w:rFonts w:ascii="Times New Roman" w:eastAsia="Times New Roman" w:hAnsi="Times New Roman" w:cs="Times New Roman"/>
          <w:sz w:val="24"/>
          <w:szCs w:val="24"/>
          <w:shd w:val="clear" w:color="auto" w:fill="FFFFFF"/>
          <w:lang w:val="en-US"/>
        </w:rPr>
        <w:t>.</w:t>
      </w:r>
    </w:p>
    <w:p w14:paraId="1C72ACF1" w14:textId="056306B0"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The 36-month Policy Coordination Instrument (PCI) approved for the Republic of Serbia by the International Monetary Fund on 9 December 2024 supports an ambitious structural reform agenda, with a strong focus on fiscal-structural reforms, including fiscal transparency and fiscal governance. In this context, the 2023 Action Plan for Strengthening the Medium-Term Budget Framework is being implemented. The Program Statement of 4 December 2025 identified several fiscal structural measures as priorities for 2026, including further strengthening of the medium-term budget framework in budget execution documentation through the presentation of revenues, expenditures, and financing results for the previous two years alongside projections; increased transparency through the regular publication of quarterly municipal finance data, annual information on taxation of mineral resource exploitation, key annual project and financial data on public-private partnerships, and annual fiscal information on state-owned enterprises and their relationship with the state.</w:t>
      </w:r>
    </w:p>
    <w:p w14:paraId="0F338771" w14:textId="1B031F1A"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 xml:space="preserve">Furthermore, publication of data on government deposits is planned, as well as clarification of Budget System Law provisions relating to budget reserves and </w:t>
      </w:r>
      <w:proofErr w:type="spellStart"/>
      <w:r w:rsidRPr="006B3A24">
        <w:rPr>
          <w:rFonts w:ascii="Times New Roman" w:eastAsia="Times New Roman" w:hAnsi="Times New Roman" w:cs="Times New Roman"/>
          <w:sz w:val="24"/>
          <w:szCs w:val="24"/>
          <w:shd w:val="clear" w:color="auto" w:fill="FFFFFF"/>
          <w:lang w:val="en-US"/>
        </w:rPr>
        <w:t>operationalisation</w:t>
      </w:r>
      <w:proofErr w:type="spellEnd"/>
      <w:r w:rsidRPr="006B3A24">
        <w:rPr>
          <w:rFonts w:ascii="Times New Roman" w:eastAsia="Times New Roman" w:hAnsi="Times New Roman" w:cs="Times New Roman"/>
          <w:sz w:val="24"/>
          <w:szCs w:val="24"/>
          <w:shd w:val="clear" w:color="auto" w:fill="FFFFFF"/>
          <w:lang w:val="en-US"/>
        </w:rPr>
        <w:t xml:space="preserve"> of the electronic portal for citizen participation in the budget process. The use of the SPIRI, ISKRA, e-Invoice and PIMIS information systems, as well as their interoperability, will continue to be enhanced. A specific objective is to improve the monitoring and control of payment arrears in public administration bodies and indirect budget beneficiaries.</w:t>
      </w:r>
    </w:p>
    <w:p w14:paraId="0D646D7A" w14:textId="54B56D75"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 xml:space="preserve">The IMF-supported program also envisages further strengthening of fiscal risk management and public investment management, particularly in relation to public-private partnership projects, development of cost-estimation models for capital expenditure, and improvement of the methodological and legal framework and administrative capacities. A dedicated part of the IMF program is focused on improving the operations of the Tax Administration, especially through measures aimed at strengthening human resource capacities and further </w:t>
      </w:r>
      <w:proofErr w:type="spellStart"/>
      <w:r w:rsidRPr="006B3A24">
        <w:rPr>
          <w:rFonts w:ascii="Times New Roman" w:eastAsia="Times New Roman" w:hAnsi="Times New Roman" w:cs="Times New Roman"/>
          <w:sz w:val="24"/>
          <w:szCs w:val="24"/>
          <w:shd w:val="clear" w:color="auto" w:fill="FFFFFF"/>
          <w:lang w:val="en-US"/>
        </w:rPr>
        <w:t>modernising</w:t>
      </w:r>
      <w:proofErr w:type="spellEnd"/>
      <w:r w:rsidRPr="006B3A24">
        <w:rPr>
          <w:rFonts w:ascii="Times New Roman" w:eastAsia="Times New Roman" w:hAnsi="Times New Roman" w:cs="Times New Roman"/>
          <w:sz w:val="24"/>
          <w:szCs w:val="24"/>
          <w:shd w:val="clear" w:color="auto" w:fill="FFFFFF"/>
          <w:lang w:val="en-US"/>
        </w:rPr>
        <w:t xml:space="preserve"> the institution. The preparation of a roadmap based on e-Invoice analysis to enhance VAT revenue control is also envisaged.</w:t>
      </w:r>
    </w:p>
    <w:p w14:paraId="0C7F4B13" w14:textId="1847B3A6"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As regards public policy documents that are hierarchically subordinate to the PFM Reform Program</w:t>
      </w:r>
      <w:r w:rsidR="005F2F41">
        <w:rPr>
          <w:rFonts w:ascii="Times New Roman" w:eastAsia="Times New Roman" w:hAnsi="Times New Roman" w:cs="Times New Roman"/>
          <w:sz w:val="24"/>
          <w:szCs w:val="24"/>
          <w:shd w:val="clear" w:color="auto" w:fill="FFFFFF"/>
          <w:lang w:val="en-US"/>
        </w:rPr>
        <w:t>me</w:t>
      </w:r>
      <w:r w:rsidRPr="006B3A24">
        <w:rPr>
          <w:rFonts w:ascii="Times New Roman" w:eastAsia="Times New Roman" w:hAnsi="Times New Roman" w:cs="Times New Roman"/>
          <w:sz w:val="24"/>
          <w:szCs w:val="24"/>
          <w:shd w:val="clear" w:color="auto" w:fill="FFFFFF"/>
          <w:lang w:val="en-US"/>
        </w:rPr>
        <w:t>, the previous cycle (PFM Reform Program</w:t>
      </w:r>
      <w:r w:rsidR="005F2F41">
        <w:rPr>
          <w:rFonts w:ascii="Times New Roman" w:eastAsia="Times New Roman" w:hAnsi="Times New Roman" w:cs="Times New Roman"/>
          <w:sz w:val="24"/>
          <w:szCs w:val="24"/>
          <w:shd w:val="clear" w:color="auto" w:fill="FFFFFF"/>
          <w:lang w:val="en-US"/>
        </w:rPr>
        <w:t>me</w:t>
      </w:r>
      <w:r w:rsidRPr="006B3A24">
        <w:rPr>
          <w:rFonts w:ascii="Times New Roman" w:eastAsia="Times New Roman" w:hAnsi="Times New Roman" w:cs="Times New Roman"/>
          <w:sz w:val="24"/>
          <w:szCs w:val="24"/>
          <w:shd w:val="clear" w:color="auto" w:fill="FFFFFF"/>
          <w:lang w:val="en-US"/>
        </w:rPr>
        <w:t xml:space="preserve"> 2021–2025) already </w:t>
      </w:r>
      <w:proofErr w:type="spellStart"/>
      <w:r w:rsidRPr="006B3A24">
        <w:rPr>
          <w:rFonts w:ascii="Times New Roman" w:eastAsia="Times New Roman" w:hAnsi="Times New Roman" w:cs="Times New Roman"/>
          <w:sz w:val="24"/>
          <w:szCs w:val="24"/>
          <w:shd w:val="clear" w:color="auto" w:fill="FFFFFF"/>
          <w:lang w:val="en-US"/>
        </w:rPr>
        <w:t>rationalised</w:t>
      </w:r>
      <w:proofErr w:type="spellEnd"/>
      <w:r w:rsidRPr="006B3A24">
        <w:rPr>
          <w:rFonts w:ascii="Times New Roman" w:eastAsia="Times New Roman" w:hAnsi="Times New Roman" w:cs="Times New Roman"/>
          <w:sz w:val="24"/>
          <w:szCs w:val="24"/>
          <w:shd w:val="clear" w:color="auto" w:fill="FFFFFF"/>
          <w:lang w:val="en-US"/>
        </w:rPr>
        <w:t xml:space="preserve"> the policy framework by integrating the area of Public Internal Financial Control (PIFC) into the Program as Specific Objective IV, instead of maintaining a separate Strategy for the Development of Public Internal Financial Control in the Republic of Serbia following </w:t>
      </w:r>
      <w:r w:rsidRPr="006B3A24">
        <w:rPr>
          <w:rFonts w:ascii="Times New Roman" w:eastAsia="Times New Roman" w:hAnsi="Times New Roman" w:cs="Times New Roman"/>
          <w:sz w:val="24"/>
          <w:szCs w:val="24"/>
          <w:shd w:val="clear" w:color="auto" w:fill="FFFFFF"/>
          <w:lang w:val="en-US"/>
        </w:rPr>
        <w:lastRenderedPageBreak/>
        <w:t>the expiry of that strategy. This approach has been continued in the new PFM Reform Program</w:t>
      </w:r>
      <w:r w:rsidR="005F2F41">
        <w:rPr>
          <w:rFonts w:ascii="Times New Roman" w:eastAsia="Times New Roman" w:hAnsi="Times New Roman" w:cs="Times New Roman"/>
          <w:sz w:val="24"/>
          <w:szCs w:val="24"/>
          <w:shd w:val="clear" w:color="auto" w:fill="FFFFFF"/>
          <w:lang w:val="en-US"/>
        </w:rPr>
        <w:t>me</w:t>
      </w:r>
      <w:r w:rsidRPr="006B3A24">
        <w:rPr>
          <w:rFonts w:ascii="Times New Roman" w:eastAsia="Times New Roman" w:hAnsi="Times New Roman" w:cs="Times New Roman"/>
          <w:sz w:val="24"/>
          <w:szCs w:val="24"/>
          <w:shd w:val="clear" w:color="auto" w:fill="FFFFFF"/>
          <w:lang w:val="en-US"/>
        </w:rPr>
        <w:t xml:space="preserve"> for 2026–2030.</w:t>
      </w:r>
    </w:p>
    <w:p w14:paraId="7EA91098" w14:textId="1A4922FC"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 xml:space="preserve">During the previous period, hierarchical alignment was also achieved for documents under the responsibility of the Customs Administration (the Business Plan and the Work Plan for the Development of Electronic Systems 2020–2024). In the second half of 2025, a new Business Plan for Improving the </w:t>
      </w:r>
      <w:proofErr w:type="spellStart"/>
      <w:r w:rsidRPr="006B3A24">
        <w:rPr>
          <w:rFonts w:ascii="Times New Roman" w:eastAsia="Times New Roman" w:hAnsi="Times New Roman" w:cs="Times New Roman"/>
          <w:sz w:val="24"/>
          <w:szCs w:val="24"/>
          <w:shd w:val="clear" w:color="auto" w:fill="FFFFFF"/>
          <w:lang w:val="en-US"/>
        </w:rPr>
        <w:t>Organisation</w:t>
      </w:r>
      <w:proofErr w:type="spellEnd"/>
      <w:r w:rsidRPr="006B3A24">
        <w:rPr>
          <w:rFonts w:ascii="Times New Roman" w:eastAsia="Times New Roman" w:hAnsi="Times New Roman" w:cs="Times New Roman"/>
          <w:sz w:val="24"/>
          <w:szCs w:val="24"/>
          <w:shd w:val="clear" w:color="auto" w:fill="FFFFFF"/>
          <w:lang w:val="en-US"/>
        </w:rPr>
        <w:t xml:space="preserve"> and Operations of the Customs Service of the Ministry of Finance for 2025–2029 and a Work Plan for the Development and Use of Electronic Systems of the Customs Service of the Ministry of Finance for 2025–2029 were adopted, further confirming the hierarchical relationship with the PFM Reform Program</w:t>
      </w:r>
      <w:r w:rsidR="005F2F41">
        <w:rPr>
          <w:rFonts w:ascii="Times New Roman" w:eastAsia="Times New Roman" w:hAnsi="Times New Roman" w:cs="Times New Roman"/>
          <w:sz w:val="24"/>
          <w:szCs w:val="24"/>
          <w:shd w:val="clear" w:color="auto" w:fill="FFFFFF"/>
          <w:lang w:val="en-US"/>
        </w:rPr>
        <w:t>me</w:t>
      </w:r>
      <w:r w:rsidRPr="006B3A24">
        <w:rPr>
          <w:rFonts w:ascii="Times New Roman" w:eastAsia="Times New Roman" w:hAnsi="Times New Roman" w:cs="Times New Roman"/>
          <w:sz w:val="24"/>
          <w:szCs w:val="24"/>
          <w:shd w:val="clear" w:color="auto" w:fill="FFFFFF"/>
          <w:lang w:val="en-US"/>
        </w:rPr>
        <w:t>.</w:t>
      </w:r>
    </w:p>
    <w:p w14:paraId="7BA98B2A" w14:textId="7195F42F"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The State Audit Institution (SAI) has its own Strategic Plan for the period 2024–2028, continuing a practice of regular strategic planning that has been in place since 2011. The Budget Inspection Department has adopted the Strategic Plan of the Budget Inspection of the Ministry of Finance for the period 2026–2030.</w:t>
      </w:r>
    </w:p>
    <w:p w14:paraId="30476377" w14:textId="3D252DA9"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 xml:space="preserve">Several public policy documents relevant to public financial management reform that were previously adopted in the form of strategies or programs—such as the Tax Administration Transformation Program 2021–2023 and its Action Plan for 2018–2023, and the Strategy for Combating Irregularities and Fraud in the </w:t>
      </w:r>
      <w:r w:rsidR="00060B65">
        <w:rPr>
          <w:rFonts w:ascii="Times New Roman" w:eastAsia="Times New Roman" w:hAnsi="Times New Roman" w:cs="Times New Roman"/>
          <w:sz w:val="24"/>
          <w:szCs w:val="24"/>
          <w:shd w:val="clear" w:color="auto" w:fill="FFFFFF"/>
          <w:lang w:val="en-US"/>
        </w:rPr>
        <w:t>u</w:t>
      </w:r>
      <w:r w:rsidRPr="006B3A24">
        <w:rPr>
          <w:rFonts w:ascii="Times New Roman" w:eastAsia="Times New Roman" w:hAnsi="Times New Roman" w:cs="Times New Roman"/>
          <w:sz w:val="24"/>
          <w:szCs w:val="24"/>
          <w:shd w:val="clear" w:color="auto" w:fill="FFFFFF"/>
          <w:lang w:val="en-US"/>
        </w:rPr>
        <w:t>se of EU Funds</w:t>
      </w:r>
      <w:r w:rsidR="00060B65">
        <w:rPr>
          <w:rFonts w:ascii="Times New Roman" w:eastAsia="Times New Roman" w:hAnsi="Times New Roman" w:cs="Times New Roman"/>
          <w:sz w:val="24"/>
          <w:szCs w:val="24"/>
          <w:shd w:val="clear" w:color="auto" w:fill="FFFFFF"/>
          <w:lang w:val="en-US"/>
        </w:rPr>
        <w:t xml:space="preserve"> - </w:t>
      </w:r>
      <w:r w:rsidRPr="006B3A24">
        <w:rPr>
          <w:rFonts w:ascii="Times New Roman" w:eastAsia="Times New Roman" w:hAnsi="Times New Roman" w:cs="Times New Roman"/>
          <w:sz w:val="24"/>
          <w:szCs w:val="24"/>
          <w:shd w:val="clear" w:color="auto" w:fill="FFFFFF"/>
          <w:lang w:val="en-US"/>
        </w:rPr>
        <w:t xml:space="preserve">have now been replaced by strategic plans, such as the Strategic </w:t>
      </w:r>
      <w:r w:rsidR="00060B65">
        <w:rPr>
          <w:rFonts w:ascii="Times New Roman" w:eastAsia="Times New Roman" w:hAnsi="Times New Roman" w:cs="Times New Roman"/>
          <w:sz w:val="24"/>
          <w:szCs w:val="24"/>
          <w:shd w:val="clear" w:color="auto" w:fill="FFFFFF"/>
          <w:lang w:val="en-US"/>
        </w:rPr>
        <w:t>plan to combat fraud and manage irregularities in the handling of EU funds</w:t>
      </w:r>
      <w:r w:rsidRPr="006B3A24">
        <w:rPr>
          <w:rFonts w:ascii="Times New Roman" w:eastAsia="Times New Roman" w:hAnsi="Times New Roman" w:cs="Times New Roman"/>
          <w:sz w:val="24"/>
          <w:szCs w:val="24"/>
          <w:shd w:val="clear" w:color="auto" w:fill="FFFFFF"/>
          <w:lang w:val="en-US"/>
        </w:rPr>
        <w:t xml:space="preserve"> in the Republic of Serbia for 2024–2026. Other areas, including the Tax Administration, are expected to adopt a similar strategic planning approach.</w:t>
      </w:r>
    </w:p>
    <w:p w14:paraId="482DB4F6" w14:textId="20C5A5FD"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One exception to this hierarchical alignment is the Public Debt Management Strategy, which is adopted annually as an integral part of the Fiscal Strategy, as prescribed by the Budget System Law. In this case, the term “strategy” should not be understood as a distinct public policy document within the meaning of the Law on the Planning System of the Republic of Serbia, but rather as a reflection of the strategic approach to public debt management.</w:t>
      </w:r>
    </w:p>
    <w:p w14:paraId="11684533" w14:textId="5F5870D3"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Another exception is the Public Procurement Development Program in the Republic of Serbia for the period 2024–2028 (Official Gazette of the RS, No. 68/24), owing to the exceptional importance of public procurement within Cluster 1 – Fundamentals (Chapter 5). The Program includes the following specific objectives: (1) increasing efficiency and competitiveness in public procurement; (2) broader application of environmental and social considerations, as well as procurement techniques and instruments; and (3) reducing the risk of irregularities in public procurement. Since these objectives are supported by detailed measures and activities, the PFM Reform Program</w:t>
      </w:r>
      <w:r w:rsidR="005F2F41">
        <w:rPr>
          <w:rFonts w:ascii="Times New Roman" w:eastAsia="Times New Roman" w:hAnsi="Times New Roman" w:cs="Times New Roman"/>
          <w:sz w:val="24"/>
          <w:szCs w:val="24"/>
          <w:shd w:val="clear" w:color="auto" w:fill="FFFFFF"/>
          <w:lang w:val="en-US"/>
        </w:rPr>
        <w:t>me</w:t>
      </w:r>
      <w:r w:rsidRPr="006B3A24">
        <w:rPr>
          <w:rFonts w:ascii="Times New Roman" w:eastAsia="Times New Roman" w:hAnsi="Times New Roman" w:cs="Times New Roman"/>
          <w:sz w:val="24"/>
          <w:szCs w:val="24"/>
          <w:shd w:val="clear" w:color="auto" w:fill="FFFFFF"/>
          <w:lang w:val="en-US"/>
        </w:rPr>
        <w:t xml:space="preserve"> includes only the measure related to strengthening the capacities of public procurement officers, which has been identified as a key cross-cutting issue relevant to the Program</w:t>
      </w:r>
      <w:r w:rsidR="005F2F41">
        <w:rPr>
          <w:rFonts w:ascii="Times New Roman" w:eastAsia="Times New Roman" w:hAnsi="Times New Roman" w:cs="Times New Roman"/>
          <w:sz w:val="24"/>
          <w:szCs w:val="24"/>
          <w:shd w:val="clear" w:color="auto" w:fill="FFFFFF"/>
          <w:lang w:val="en-US"/>
        </w:rPr>
        <w:t>me</w:t>
      </w:r>
      <w:r w:rsidRPr="006B3A24">
        <w:rPr>
          <w:rFonts w:ascii="Times New Roman" w:eastAsia="Times New Roman" w:hAnsi="Times New Roman" w:cs="Times New Roman"/>
          <w:sz w:val="24"/>
          <w:szCs w:val="24"/>
          <w:shd w:val="clear" w:color="auto" w:fill="FFFFFF"/>
          <w:lang w:val="en-US"/>
        </w:rPr>
        <w:t>.</w:t>
      </w:r>
    </w:p>
    <w:p w14:paraId="17477D6D" w14:textId="4E30F92C"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 xml:space="preserve">At the level of </w:t>
      </w:r>
      <w:proofErr w:type="spellStart"/>
      <w:r w:rsidRPr="006B3A24">
        <w:rPr>
          <w:rFonts w:ascii="Times New Roman" w:eastAsia="Times New Roman" w:hAnsi="Times New Roman" w:cs="Times New Roman"/>
          <w:sz w:val="24"/>
          <w:szCs w:val="24"/>
          <w:shd w:val="clear" w:color="auto" w:fill="FFFFFF"/>
          <w:lang w:val="en-US"/>
        </w:rPr>
        <w:t>organisational</w:t>
      </w:r>
      <w:proofErr w:type="spellEnd"/>
      <w:r w:rsidRPr="006B3A24">
        <w:rPr>
          <w:rFonts w:ascii="Times New Roman" w:eastAsia="Times New Roman" w:hAnsi="Times New Roman" w:cs="Times New Roman"/>
          <w:sz w:val="24"/>
          <w:szCs w:val="24"/>
          <w:shd w:val="clear" w:color="auto" w:fill="FFFFFF"/>
          <w:lang w:val="en-US"/>
        </w:rPr>
        <w:t xml:space="preserve"> units within the Ministry of Finance and other institutions represented in the Working Group, operational documents that ensure consistency and continuity in the implementation of reform measures must be aligned with the PFM Reform Program</w:t>
      </w:r>
      <w:r w:rsidR="005F2F41">
        <w:rPr>
          <w:rFonts w:ascii="Times New Roman" w:eastAsia="Times New Roman" w:hAnsi="Times New Roman" w:cs="Times New Roman"/>
          <w:sz w:val="24"/>
          <w:szCs w:val="24"/>
          <w:shd w:val="clear" w:color="auto" w:fill="FFFFFF"/>
          <w:lang w:val="en-US"/>
        </w:rPr>
        <w:t>me</w:t>
      </w:r>
      <w:r w:rsidRPr="006B3A24">
        <w:rPr>
          <w:rFonts w:ascii="Times New Roman" w:eastAsia="Times New Roman" w:hAnsi="Times New Roman" w:cs="Times New Roman"/>
          <w:sz w:val="24"/>
          <w:szCs w:val="24"/>
          <w:shd w:val="clear" w:color="auto" w:fill="FFFFFF"/>
          <w:lang w:val="en-US"/>
        </w:rPr>
        <w:t xml:space="preserve"> 2026–2030 during their preparation or revision, in accordance with the Law on the Planning System of the Republic of Serbia and the related secondary legislation.</w:t>
      </w:r>
    </w:p>
    <w:p w14:paraId="17252004" w14:textId="245803C7"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lastRenderedPageBreak/>
        <w:t>Since 2021, the Republic of Serbia has been a member of the Coalition of Finance Ministers for Climate Action</w:t>
      </w:r>
      <w:r w:rsidR="00DE7C20">
        <w:rPr>
          <w:rStyle w:val="FootnoteReference"/>
          <w:rFonts w:ascii="Times New Roman" w:eastAsia="Times New Roman" w:hAnsi="Times New Roman" w:cs="Times New Roman"/>
          <w:sz w:val="24"/>
          <w:szCs w:val="24"/>
          <w:shd w:val="clear" w:color="auto" w:fill="FFFFFF"/>
          <w:lang w:val="en-US"/>
        </w:rPr>
        <w:footnoteReference w:id="6"/>
      </w:r>
      <w:r w:rsidRPr="006B3A24">
        <w:rPr>
          <w:rFonts w:ascii="Times New Roman" w:eastAsia="Times New Roman" w:hAnsi="Times New Roman" w:cs="Times New Roman"/>
          <w:sz w:val="24"/>
          <w:szCs w:val="24"/>
          <w:shd w:val="clear" w:color="auto" w:fill="FFFFFF"/>
          <w:lang w:val="en-US"/>
        </w:rPr>
        <w:t>, which brings together economic and fiscal policymakers from 100 countries worldwide to shape the global climate response and support a just transition towards low-carbon and climate-resilient development. The Coalition provides a continuous platform for cooperation on fiscal responses to climate change and offers extensive research, analytical resources, publications, training, and exchanges of experience and good practices.</w:t>
      </w:r>
    </w:p>
    <w:p w14:paraId="5C8C1E36" w14:textId="47D3FAD4"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 xml:space="preserve">In addition, since 2023 Serbia has been implementing the </w:t>
      </w:r>
      <w:r w:rsidR="00060B65">
        <w:rPr>
          <w:rFonts w:ascii="Times New Roman" w:eastAsia="Times New Roman" w:hAnsi="Times New Roman" w:cs="Times New Roman"/>
          <w:sz w:val="24"/>
          <w:szCs w:val="24"/>
          <w:shd w:val="clear" w:color="auto" w:fill="FFFFFF"/>
          <w:lang w:val="en-US"/>
        </w:rPr>
        <w:t>Improving</w:t>
      </w:r>
      <w:r w:rsidRPr="00626226">
        <w:rPr>
          <w:rFonts w:ascii="Times New Roman" w:eastAsia="Times New Roman" w:hAnsi="Times New Roman" w:cs="Times New Roman"/>
          <w:sz w:val="24"/>
          <w:szCs w:val="24"/>
          <w:shd w:val="clear" w:color="auto" w:fill="FFFFFF"/>
          <w:lang w:val="en-US"/>
        </w:rPr>
        <w:t xml:space="preserve"> Public Financial Management for the Green Transition</w:t>
      </w:r>
      <w:r w:rsidRPr="006B3A24">
        <w:rPr>
          <w:rFonts w:ascii="Times New Roman" w:eastAsia="Times New Roman" w:hAnsi="Times New Roman" w:cs="Times New Roman"/>
          <w:sz w:val="24"/>
          <w:szCs w:val="24"/>
          <w:shd w:val="clear" w:color="auto" w:fill="FFFFFF"/>
          <w:lang w:val="en-US"/>
        </w:rPr>
        <w:t xml:space="preserve"> operation</w:t>
      </w:r>
      <w:r w:rsidR="00DE7C20">
        <w:rPr>
          <w:rStyle w:val="FootnoteReference"/>
          <w:rFonts w:ascii="Times New Roman" w:eastAsia="Times New Roman" w:hAnsi="Times New Roman" w:cs="Times New Roman"/>
          <w:sz w:val="24"/>
          <w:szCs w:val="24"/>
          <w:shd w:val="clear" w:color="auto" w:fill="FFFFFF"/>
          <w:lang w:val="en-US"/>
        </w:rPr>
        <w:footnoteReference w:id="7"/>
      </w:r>
      <w:r w:rsidRPr="006B3A24">
        <w:rPr>
          <w:rFonts w:ascii="Times New Roman" w:eastAsia="Times New Roman" w:hAnsi="Times New Roman" w:cs="Times New Roman"/>
          <w:sz w:val="24"/>
          <w:szCs w:val="24"/>
          <w:shd w:val="clear" w:color="auto" w:fill="FFFFFF"/>
          <w:lang w:val="en-US"/>
        </w:rPr>
        <w:t>, supported by financing from the World Bank and the French Development Agency (AFD). This operation promotes the introduction and strengthening of green elements in public policies, budgeting, fiscal risk management, capital investments, public assets, and public procurement, in line with international good practices. Since the operation itself requires reporting on agreed reform objectives twice annually, these objectives are not duplicated in the PFM Reform Program</w:t>
      </w:r>
      <w:r w:rsidR="005F2F41">
        <w:rPr>
          <w:rFonts w:ascii="Times New Roman" w:eastAsia="Times New Roman" w:hAnsi="Times New Roman" w:cs="Times New Roman"/>
          <w:sz w:val="24"/>
          <w:szCs w:val="24"/>
          <w:shd w:val="clear" w:color="auto" w:fill="FFFFFF"/>
          <w:lang w:val="en-US"/>
        </w:rPr>
        <w:t>me</w:t>
      </w:r>
      <w:r w:rsidRPr="006B3A24">
        <w:rPr>
          <w:rFonts w:ascii="Times New Roman" w:eastAsia="Times New Roman" w:hAnsi="Times New Roman" w:cs="Times New Roman"/>
          <w:sz w:val="24"/>
          <w:szCs w:val="24"/>
          <w:shd w:val="clear" w:color="auto" w:fill="FFFFFF"/>
          <w:lang w:val="en-US"/>
        </w:rPr>
        <w:t>, although they remain highly relevant for strengthening climate-related public finance policies.</w:t>
      </w:r>
    </w:p>
    <w:p w14:paraId="0BE012B9" w14:textId="2A4A7BCC"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In addition to the PEFA and SIGMA</w:t>
      </w:r>
      <w:r w:rsidR="0026707E">
        <w:rPr>
          <w:rStyle w:val="FootnoteReference"/>
          <w:rFonts w:ascii="Times New Roman" w:eastAsia="Times New Roman" w:hAnsi="Times New Roman" w:cs="Times New Roman"/>
          <w:sz w:val="24"/>
          <w:szCs w:val="24"/>
          <w:shd w:val="clear" w:color="auto" w:fill="FFFFFF"/>
          <w:lang w:val="en-US"/>
        </w:rPr>
        <w:footnoteReference w:id="8"/>
      </w:r>
      <w:r w:rsidRPr="006B3A24">
        <w:rPr>
          <w:rFonts w:ascii="Times New Roman" w:eastAsia="Times New Roman" w:hAnsi="Times New Roman" w:cs="Times New Roman"/>
          <w:sz w:val="24"/>
          <w:szCs w:val="24"/>
          <w:shd w:val="clear" w:color="auto" w:fill="FFFFFF"/>
          <w:lang w:val="en-US"/>
        </w:rPr>
        <w:t xml:space="preserve"> methodological frameworks, the PFM Reform Program</w:t>
      </w:r>
      <w:r w:rsidR="005F2F41">
        <w:rPr>
          <w:rFonts w:ascii="Times New Roman" w:eastAsia="Times New Roman" w:hAnsi="Times New Roman" w:cs="Times New Roman"/>
          <w:sz w:val="24"/>
          <w:szCs w:val="24"/>
          <w:shd w:val="clear" w:color="auto" w:fill="FFFFFF"/>
          <w:lang w:val="en-US"/>
        </w:rPr>
        <w:t>me</w:t>
      </w:r>
      <w:r w:rsidRPr="006B3A24">
        <w:rPr>
          <w:rFonts w:ascii="Times New Roman" w:eastAsia="Times New Roman" w:hAnsi="Times New Roman" w:cs="Times New Roman"/>
          <w:sz w:val="24"/>
          <w:szCs w:val="24"/>
          <w:shd w:val="clear" w:color="auto" w:fill="FFFFFF"/>
          <w:lang w:val="en-US"/>
        </w:rPr>
        <w:t xml:space="preserve"> 2026–2030 also takes into account alignment with other international standards in specific areas, including IPSAS, ISSAI, BEPS and others. IPSAS supports the application of international public sector accounting standards, while BEPS is relevant in the field of tax policy. ISSAI standards (International Standards of Supreme Audit Institutions), together with cooperation with supreme audit institutions through INTOSAI and EUROSAI, ensure that public sector auditing practices in Serbia are aligned with international good practice.</w:t>
      </w:r>
    </w:p>
    <w:p w14:paraId="205E1F87" w14:textId="067C005A" w:rsidR="006B3A24" w:rsidRPr="006B3A24" w:rsidRDefault="006B3A24" w:rsidP="00626226">
      <w:pPr>
        <w:ind w:firstLine="708"/>
        <w:jc w:val="both"/>
        <w:rPr>
          <w:rFonts w:ascii="Times New Roman" w:eastAsia="Times New Roman" w:hAnsi="Times New Roman" w:cs="Times New Roman"/>
          <w:sz w:val="24"/>
          <w:szCs w:val="24"/>
          <w:shd w:val="clear" w:color="auto" w:fill="FFFFFF"/>
          <w:lang w:val="en-US"/>
        </w:rPr>
      </w:pPr>
      <w:r w:rsidRPr="006B3A24">
        <w:rPr>
          <w:rFonts w:ascii="Times New Roman" w:eastAsia="Times New Roman" w:hAnsi="Times New Roman" w:cs="Times New Roman"/>
          <w:sz w:val="24"/>
          <w:szCs w:val="24"/>
          <w:shd w:val="clear" w:color="auto" w:fill="FFFFFF"/>
          <w:lang w:val="en-US"/>
        </w:rPr>
        <w:t>Taking all these aspects into account, the PFM Reform Program</w:t>
      </w:r>
      <w:r w:rsidR="005F2F41">
        <w:rPr>
          <w:rFonts w:ascii="Times New Roman" w:eastAsia="Times New Roman" w:hAnsi="Times New Roman" w:cs="Times New Roman"/>
          <w:sz w:val="24"/>
          <w:szCs w:val="24"/>
          <w:shd w:val="clear" w:color="auto" w:fill="FFFFFF"/>
          <w:lang w:val="en-US"/>
        </w:rPr>
        <w:t>me</w:t>
      </w:r>
      <w:r w:rsidRPr="006B3A24">
        <w:rPr>
          <w:rFonts w:ascii="Times New Roman" w:eastAsia="Times New Roman" w:hAnsi="Times New Roman" w:cs="Times New Roman"/>
          <w:sz w:val="24"/>
          <w:szCs w:val="24"/>
          <w:shd w:val="clear" w:color="auto" w:fill="FFFFFF"/>
          <w:lang w:val="en-US"/>
        </w:rPr>
        <w:t xml:space="preserve"> 2026–2030 represents a key step towards the further </w:t>
      </w:r>
      <w:proofErr w:type="spellStart"/>
      <w:r w:rsidRPr="006B3A24">
        <w:rPr>
          <w:rFonts w:ascii="Times New Roman" w:eastAsia="Times New Roman" w:hAnsi="Times New Roman" w:cs="Times New Roman"/>
          <w:sz w:val="24"/>
          <w:szCs w:val="24"/>
          <w:shd w:val="clear" w:color="auto" w:fill="FFFFFF"/>
          <w:lang w:val="en-US"/>
        </w:rPr>
        <w:t>modernisation</w:t>
      </w:r>
      <w:proofErr w:type="spellEnd"/>
      <w:r w:rsidRPr="006B3A24">
        <w:rPr>
          <w:rFonts w:ascii="Times New Roman" w:eastAsia="Times New Roman" w:hAnsi="Times New Roman" w:cs="Times New Roman"/>
          <w:sz w:val="24"/>
          <w:szCs w:val="24"/>
          <w:shd w:val="clear" w:color="auto" w:fill="FFFFFF"/>
          <w:lang w:val="en-US"/>
        </w:rPr>
        <w:t xml:space="preserve"> and more effective management of public finances in the Republic of Serbia. The Program not only aligns public financial management standards with European and international good practices, but also provides a solid foundation for sustainable economic development and deeper integration into the European Union.</w:t>
      </w:r>
    </w:p>
    <w:p w14:paraId="42323485" w14:textId="77777777" w:rsidR="007577D3" w:rsidRPr="006B3A24" w:rsidRDefault="007577D3" w:rsidP="00634002">
      <w:pPr>
        <w:spacing w:after="0" w:line="240" w:lineRule="auto"/>
        <w:contextualSpacing/>
        <w:jc w:val="both"/>
        <w:rPr>
          <w:rFonts w:ascii="Times New Roman" w:eastAsia="Calibri" w:hAnsi="Times New Roman" w:cs="Times New Roman"/>
          <w:sz w:val="24"/>
          <w:szCs w:val="24"/>
          <w:lang w:val="en-US"/>
        </w:rPr>
        <w:sectPr w:rsidR="007577D3" w:rsidRPr="006B3A24" w:rsidSect="00956ED9">
          <w:headerReference w:type="default" r:id="rId8"/>
          <w:footerReference w:type="default" r:id="rId9"/>
          <w:headerReference w:type="first" r:id="rId10"/>
          <w:pgSz w:w="11906" w:h="16838"/>
          <w:pgMar w:top="1440" w:right="1440" w:bottom="1440" w:left="1440" w:header="720" w:footer="720" w:gutter="0"/>
          <w:cols w:space="720"/>
          <w:docGrid w:linePitch="360"/>
        </w:sectPr>
      </w:pPr>
    </w:p>
    <w:tbl>
      <w:tblPr>
        <w:tblpPr w:leftFromText="180" w:rightFromText="180" w:vertAnchor="page" w:horzAnchor="margin" w:tblpXSpec="center" w:tblpY="1491"/>
        <w:tblW w:w="4828" w:type="pct"/>
        <w:tblCellMar>
          <w:left w:w="58" w:type="dxa"/>
          <w:right w:w="58" w:type="dxa"/>
        </w:tblCellMar>
        <w:tblLook w:val="04A0" w:firstRow="1" w:lastRow="0" w:firstColumn="1" w:lastColumn="0" w:noHBand="0" w:noVBand="1"/>
      </w:tblPr>
      <w:tblGrid>
        <w:gridCol w:w="1345"/>
        <w:gridCol w:w="1114"/>
        <w:gridCol w:w="1601"/>
        <w:gridCol w:w="1423"/>
        <w:gridCol w:w="1157"/>
        <w:gridCol w:w="968"/>
        <w:gridCol w:w="1151"/>
        <w:gridCol w:w="1259"/>
        <w:gridCol w:w="1730"/>
        <w:gridCol w:w="1720"/>
      </w:tblGrid>
      <w:tr w:rsidR="00D30238" w:rsidRPr="001053DB" w14:paraId="3FFBC864" w14:textId="77777777" w:rsidTr="003F5EF0">
        <w:trPr>
          <w:trHeight w:val="264"/>
        </w:trPr>
        <w:tc>
          <w:tcPr>
            <w:tcW w:w="505" w:type="pct"/>
            <w:tcBorders>
              <w:top w:val="single" w:sz="4" w:space="0" w:color="auto"/>
              <w:left w:val="single" w:sz="4" w:space="0" w:color="auto"/>
              <w:bottom w:val="single" w:sz="4" w:space="0" w:color="auto"/>
              <w:right w:val="single" w:sz="4" w:space="0" w:color="auto"/>
            </w:tcBorders>
            <w:shd w:val="clear" w:color="000000" w:fill="2F75B5"/>
            <w:noWrap/>
            <w:vAlign w:val="center"/>
            <w:hideMark/>
          </w:tcPr>
          <w:p w14:paraId="1B159BD3" w14:textId="4ACEE145" w:rsidR="003F5EF0" w:rsidRPr="001053DB" w:rsidRDefault="006F6702" w:rsidP="003F5EF0">
            <w:pPr>
              <w:spacing w:after="0" w:line="240" w:lineRule="auto"/>
              <w:rPr>
                <w:rFonts w:ascii="Times New Roman" w:eastAsia="Times New Roman" w:hAnsi="Times New Roman" w:cs="Times New Roman"/>
                <w:b/>
                <w:bCs/>
                <w:sz w:val="14"/>
                <w:szCs w:val="14"/>
                <w:lang w:val="sr-Cyrl-CS"/>
              </w:rPr>
            </w:pPr>
            <w:r>
              <w:rPr>
                <w:rFonts w:ascii="Times New Roman" w:eastAsia="Times New Roman" w:hAnsi="Times New Roman" w:cs="Times New Roman"/>
                <w:b/>
                <w:bCs/>
                <w:sz w:val="14"/>
                <w:szCs w:val="14"/>
                <w:lang w:val="en-US"/>
              </w:rPr>
              <w:lastRenderedPageBreak/>
              <w:t>Specific objective</w:t>
            </w:r>
            <w:r w:rsidR="003F5EF0" w:rsidRPr="001053DB">
              <w:rPr>
                <w:rFonts w:ascii="Times New Roman" w:eastAsia="Times New Roman" w:hAnsi="Times New Roman" w:cs="Times New Roman"/>
                <w:b/>
                <w:bCs/>
                <w:sz w:val="14"/>
                <w:szCs w:val="14"/>
                <w:lang w:val="sr-Cyrl-CS"/>
              </w:rPr>
              <w:t xml:space="preserve"> 1</w:t>
            </w:r>
          </w:p>
        </w:tc>
        <w:tc>
          <w:tcPr>
            <w:tcW w:w="1988" w:type="pct"/>
            <w:gridSpan w:val="4"/>
            <w:tcBorders>
              <w:top w:val="single" w:sz="4" w:space="0" w:color="auto"/>
              <w:left w:val="nil"/>
              <w:bottom w:val="single" w:sz="4" w:space="0" w:color="auto"/>
              <w:right w:val="single" w:sz="4" w:space="0" w:color="000000"/>
            </w:tcBorders>
            <w:shd w:val="clear" w:color="000000" w:fill="2F75B5"/>
            <w:noWrap/>
            <w:vAlign w:val="center"/>
            <w:hideMark/>
          </w:tcPr>
          <w:p w14:paraId="2707A866" w14:textId="5DDA54F8" w:rsidR="003F5EF0" w:rsidRPr="001053DB" w:rsidRDefault="006F6702" w:rsidP="003F5EF0">
            <w:pPr>
              <w:spacing w:after="0" w:line="240" w:lineRule="auto"/>
              <w:jc w:val="center"/>
              <w:rPr>
                <w:rFonts w:ascii="Times New Roman" w:eastAsia="Times New Roman" w:hAnsi="Times New Roman" w:cs="Times New Roman"/>
                <w:b/>
                <w:bCs/>
                <w:sz w:val="14"/>
                <w:szCs w:val="14"/>
                <w:lang w:val="sr-Cyrl-CS"/>
              </w:rPr>
            </w:pPr>
            <w:r>
              <w:rPr>
                <w:rFonts w:ascii="Times New Roman" w:eastAsia="Times New Roman" w:hAnsi="Times New Roman" w:cs="Times New Roman"/>
                <w:b/>
                <w:bCs/>
                <w:sz w:val="14"/>
                <w:szCs w:val="14"/>
                <w:lang w:val="en-US"/>
              </w:rPr>
              <w:t>Specific objective</w:t>
            </w:r>
            <w:r w:rsidRPr="001053DB">
              <w:rPr>
                <w:rFonts w:ascii="Times New Roman" w:eastAsia="Times New Roman" w:hAnsi="Times New Roman" w:cs="Times New Roman"/>
                <w:b/>
                <w:bCs/>
                <w:sz w:val="14"/>
                <w:szCs w:val="14"/>
                <w:lang w:val="sr-Cyrl-CS"/>
              </w:rPr>
              <w:t xml:space="preserve"> </w:t>
            </w:r>
            <w:r w:rsidR="003F5EF0" w:rsidRPr="001053DB">
              <w:rPr>
                <w:rFonts w:ascii="Times New Roman" w:eastAsia="Times New Roman" w:hAnsi="Times New Roman" w:cs="Times New Roman"/>
                <w:b/>
                <w:bCs/>
                <w:sz w:val="14"/>
                <w:szCs w:val="14"/>
                <w:lang w:val="sr-Cyrl-CS"/>
              </w:rPr>
              <w:t>2</w:t>
            </w:r>
          </w:p>
        </w:tc>
        <w:tc>
          <w:tcPr>
            <w:tcW w:w="798" w:type="pct"/>
            <w:gridSpan w:val="2"/>
            <w:tcBorders>
              <w:top w:val="single" w:sz="4" w:space="0" w:color="auto"/>
              <w:left w:val="nil"/>
              <w:bottom w:val="single" w:sz="4" w:space="0" w:color="auto"/>
              <w:right w:val="single" w:sz="4" w:space="0" w:color="auto"/>
            </w:tcBorders>
            <w:shd w:val="clear" w:color="000000" w:fill="2F75B5"/>
            <w:noWrap/>
            <w:vAlign w:val="center"/>
            <w:hideMark/>
          </w:tcPr>
          <w:p w14:paraId="6BD4141D" w14:textId="6566FBD7" w:rsidR="003F5EF0" w:rsidRPr="001053DB" w:rsidRDefault="006F6702" w:rsidP="003F5EF0">
            <w:pPr>
              <w:spacing w:after="0" w:line="240" w:lineRule="auto"/>
              <w:jc w:val="center"/>
              <w:rPr>
                <w:rFonts w:ascii="Times New Roman" w:eastAsia="Times New Roman" w:hAnsi="Times New Roman" w:cs="Times New Roman"/>
                <w:b/>
                <w:bCs/>
                <w:sz w:val="14"/>
                <w:szCs w:val="14"/>
                <w:lang w:val="sr-Cyrl-CS"/>
              </w:rPr>
            </w:pPr>
            <w:r>
              <w:rPr>
                <w:rFonts w:ascii="Times New Roman" w:eastAsia="Times New Roman" w:hAnsi="Times New Roman" w:cs="Times New Roman"/>
                <w:b/>
                <w:bCs/>
                <w:sz w:val="14"/>
                <w:szCs w:val="14"/>
                <w:lang w:val="en-US"/>
              </w:rPr>
              <w:t>Specific objective</w:t>
            </w:r>
            <w:r w:rsidRPr="001053DB">
              <w:rPr>
                <w:rFonts w:ascii="Times New Roman" w:eastAsia="Times New Roman" w:hAnsi="Times New Roman" w:cs="Times New Roman"/>
                <w:b/>
                <w:bCs/>
                <w:sz w:val="14"/>
                <w:szCs w:val="14"/>
                <w:lang w:val="sr-Cyrl-CS"/>
              </w:rPr>
              <w:t xml:space="preserve"> </w:t>
            </w:r>
            <w:r w:rsidR="003F5EF0" w:rsidRPr="001053DB">
              <w:rPr>
                <w:rFonts w:ascii="Times New Roman" w:eastAsia="Times New Roman" w:hAnsi="Times New Roman" w:cs="Times New Roman"/>
                <w:b/>
                <w:bCs/>
                <w:sz w:val="14"/>
                <w:szCs w:val="14"/>
                <w:lang w:val="sr-Cyrl-CS"/>
              </w:rPr>
              <w:t xml:space="preserve"> 3</w:t>
            </w:r>
          </w:p>
        </w:tc>
        <w:tc>
          <w:tcPr>
            <w:tcW w:w="417" w:type="pct"/>
            <w:tcBorders>
              <w:top w:val="single" w:sz="4" w:space="0" w:color="auto"/>
              <w:left w:val="nil"/>
              <w:bottom w:val="single" w:sz="4" w:space="0" w:color="auto"/>
              <w:right w:val="single" w:sz="4" w:space="0" w:color="auto"/>
            </w:tcBorders>
            <w:shd w:val="clear" w:color="000000" w:fill="2F75B5"/>
            <w:noWrap/>
            <w:vAlign w:val="center"/>
            <w:hideMark/>
          </w:tcPr>
          <w:p w14:paraId="42148C2E" w14:textId="0110EB82" w:rsidR="003F5EF0" w:rsidRPr="001053DB" w:rsidRDefault="006F6702" w:rsidP="003F5EF0">
            <w:pPr>
              <w:spacing w:after="0" w:line="240" w:lineRule="auto"/>
              <w:jc w:val="center"/>
              <w:rPr>
                <w:rFonts w:ascii="Times New Roman" w:eastAsia="Times New Roman" w:hAnsi="Times New Roman" w:cs="Times New Roman"/>
                <w:b/>
                <w:bCs/>
                <w:sz w:val="14"/>
                <w:szCs w:val="14"/>
                <w:lang w:val="sr-Cyrl-CS"/>
              </w:rPr>
            </w:pPr>
            <w:r>
              <w:rPr>
                <w:rFonts w:ascii="Times New Roman" w:eastAsia="Times New Roman" w:hAnsi="Times New Roman" w:cs="Times New Roman"/>
                <w:b/>
                <w:bCs/>
                <w:sz w:val="14"/>
                <w:szCs w:val="14"/>
                <w:lang w:val="en-US"/>
              </w:rPr>
              <w:t>Specific objective</w:t>
            </w:r>
            <w:r w:rsidRPr="001053DB">
              <w:rPr>
                <w:rFonts w:ascii="Times New Roman" w:eastAsia="Times New Roman" w:hAnsi="Times New Roman" w:cs="Times New Roman"/>
                <w:b/>
                <w:bCs/>
                <w:sz w:val="14"/>
                <w:szCs w:val="14"/>
                <w:lang w:val="sr-Cyrl-CS"/>
              </w:rPr>
              <w:t xml:space="preserve"> </w:t>
            </w:r>
            <w:r w:rsidR="003F5EF0" w:rsidRPr="001053DB">
              <w:rPr>
                <w:rFonts w:ascii="Times New Roman" w:eastAsia="Times New Roman" w:hAnsi="Times New Roman" w:cs="Times New Roman"/>
                <w:b/>
                <w:bCs/>
                <w:sz w:val="14"/>
                <w:szCs w:val="14"/>
                <w:lang w:val="sr-Cyrl-CS"/>
              </w:rPr>
              <w:t>4</w:t>
            </w:r>
          </w:p>
        </w:tc>
        <w:tc>
          <w:tcPr>
            <w:tcW w:w="648" w:type="pct"/>
            <w:tcBorders>
              <w:top w:val="single" w:sz="4" w:space="0" w:color="auto"/>
              <w:left w:val="nil"/>
              <w:bottom w:val="single" w:sz="4" w:space="0" w:color="auto"/>
              <w:right w:val="single" w:sz="4" w:space="0" w:color="auto"/>
            </w:tcBorders>
            <w:shd w:val="clear" w:color="000000" w:fill="2F75B5"/>
            <w:noWrap/>
            <w:vAlign w:val="center"/>
            <w:hideMark/>
          </w:tcPr>
          <w:p w14:paraId="29528D11" w14:textId="40DD1393" w:rsidR="003F5EF0" w:rsidRPr="001053DB" w:rsidRDefault="006F6702" w:rsidP="003F5EF0">
            <w:pPr>
              <w:spacing w:after="0" w:line="240" w:lineRule="auto"/>
              <w:jc w:val="center"/>
              <w:rPr>
                <w:rFonts w:ascii="Times New Roman" w:eastAsia="Times New Roman" w:hAnsi="Times New Roman" w:cs="Times New Roman"/>
                <w:b/>
                <w:bCs/>
                <w:sz w:val="14"/>
                <w:szCs w:val="14"/>
                <w:lang w:val="sr-Cyrl-CS"/>
              </w:rPr>
            </w:pPr>
            <w:r>
              <w:rPr>
                <w:rFonts w:ascii="Times New Roman" w:eastAsia="Times New Roman" w:hAnsi="Times New Roman" w:cs="Times New Roman"/>
                <w:b/>
                <w:bCs/>
                <w:sz w:val="14"/>
                <w:szCs w:val="14"/>
                <w:lang w:val="en-US"/>
              </w:rPr>
              <w:t>Specific objective</w:t>
            </w:r>
            <w:r w:rsidRPr="001053DB">
              <w:rPr>
                <w:rFonts w:ascii="Times New Roman" w:eastAsia="Times New Roman" w:hAnsi="Times New Roman" w:cs="Times New Roman"/>
                <w:b/>
                <w:bCs/>
                <w:sz w:val="14"/>
                <w:szCs w:val="14"/>
                <w:lang w:val="sr-Cyrl-CS"/>
              </w:rPr>
              <w:t xml:space="preserve"> </w:t>
            </w:r>
            <w:r w:rsidR="003F5EF0" w:rsidRPr="001053DB">
              <w:rPr>
                <w:rFonts w:ascii="Times New Roman" w:eastAsia="Times New Roman" w:hAnsi="Times New Roman" w:cs="Times New Roman"/>
                <w:b/>
                <w:bCs/>
                <w:sz w:val="14"/>
                <w:szCs w:val="14"/>
                <w:lang w:val="sr-Cyrl-CS"/>
              </w:rPr>
              <w:t xml:space="preserve"> 5</w:t>
            </w:r>
          </w:p>
        </w:tc>
        <w:tc>
          <w:tcPr>
            <w:tcW w:w="644" w:type="pct"/>
            <w:tcBorders>
              <w:top w:val="single" w:sz="4" w:space="0" w:color="auto"/>
              <w:left w:val="nil"/>
              <w:bottom w:val="single" w:sz="4" w:space="0" w:color="auto"/>
              <w:right w:val="single" w:sz="4" w:space="0" w:color="auto"/>
            </w:tcBorders>
            <w:shd w:val="clear" w:color="000000" w:fill="2F75B5"/>
          </w:tcPr>
          <w:p w14:paraId="5EFA7C2C" w14:textId="77777777" w:rsidR="003F5EF0" w:rsidRPr="001053DB" w:rsidRDefault="003F5EF0" w:rsidP="003F5EF0">
            <w:pPr>
              <w:spacing w:after="0" w:line="240" w:lineRule="auto"/>
              <w:jc w:val="center"/>
              <w:rPr>
                <w:rFonts w:ascii="Times New Roman" w:eastAsia="Times New Roman" w:hAnsi="Times New Roman" w:cs="Times New Roman"/>
                <w:b/>
                <w:bCs/>
                <w:sz w:val="14"/>
                <w:szCs w:val="14"/>
                <w:lang w:val="sr-Cyrl-CS"/>
              </w:rPr>
            </w:pPr>
          </w:p>
          <w:p w14:paraId="4A7A8A43" w14:textId="557BBBA7" w:rsidR="003F5EF0" w:rsidRPr="001053DB" w:rsidRDefault="006F6702" w:rsidP="003F5EF0">
            <w:pPr>
              <w:spacing w:after="0" w:line="240" w:lineRule="auto"/>
              <w:jc w:val="center"/>
              <w:rPr>
                <w:rFonts w:ascii="Times New Roman" w:eastAsia="Times New Roman" w:hAnsi="Times New Roman" w:cs="Times New Roman"/>
                <w:b/>
                <w:bCs/>
                <w:sz w:val="14"/>
                <w:szCs w:val="14"/>
                <w:lang w:val="sr-Cyrl-CS"/>
              </w:rPr>
            </w:pPr>
            <w:r>
              <w:rPr>
                <w:rFonts w:ascii="Times New Roman" w:eastAsia="Times New Roman" w:hAnsi="Times New Roman" w:cs="Times New Roman"/>
                <w:b/>
                <w:bCs/>
                <w:sz w:val="14"/>
                <w:szCs w:val="14"/>
                <w:lang w:val="en-US"/>
              </w:rPr>
              <w:t>Specific objective</w:t>
            </w:r>
            <w:r w:rsidRPr="001053DB">
              <w:rPr>
                <w:rFonts w:ascii="Times New Roman" w:eastAsia="Times New Roman" w:hAnsi="Times New Roman" w:cs="Times New Roman"/>
                <w:b/>
                <w:bCs/>
                <w:sz w:val="14"/>
                <w:szCs w:val="14"/>
                <w:lang w:val="sr-Cyrl-CS"/>
              </w:rPr>
              <w:t xml:space="preserve"> </w:t>
            </w:r>
            <w:r w:rsidR="003F5EF0" w:rsidRPr="001053DB">
              <w:rPr>
                <w:rFonts w:ascii="Times New Roman" w:eastAsia="Times New Roman" w:hAnsi="Times New Roman" w:cs="Times New Roman"/>
                <w:b/>
                <w:bCs/>
                <w:sz w:val="14"/>
                <w:szCs w:val="14"/>
                <w:lang w:val="sr-Cyrl-CS"/>
              </w:rPr>
              <w:t xml:space="preserve"> 6</w:t>
            </w:r>
          </w:p>
          <w:p w14:paraId="5A1703DB" w14:textId="77777777" w:rsidR="003F5EF0" w:rsidRPr="001053DB" w:rsidRDefault="003F5EF0" w:rsidP="003F5EF0">
            <w:pPr>
              <w:spacing w:after="0" w:line="240" w:lineRule="auto"/>
              <w:rPr>
                <w:rFonts w:ascii="Times New Roman" w:eastAsia="Times New Roman" w:hAnsi="Times New Roman" w:cs="Times New Roman"/>
                <w:b/>
                <w:bCs/>
                <w:sz w:val="14"/>
                <w:szCs w:val="14"/>
                <w:lang w:val="sr-Cyrl-CS"/>
              </w:rPr>
            </w:pPr>
          </w:p>
        </w:tc>
      </w:tr>
      <w:tr w:rsidR="00D30238" w:rsidRPr="001053DB" w14:paraId="064E878E" w14:textId="77777777" w:rsidTr="003F5EF0">
        <w:trPr>
          <w:trHeight w:val="1342"/>
        </w:trPr>
        <w:tc>
          <w:tcPr>
            <w:tcW w:w="505" w:type="pct"/>
            <w:tcBorders>
              <w:top w:val="nil"/>
              <w:left w:val="single" w:sz="4" w:space="0" w:color="auto"/>
              <w:bottom w:val="single" w:sz="4" w:space="0" w:color="auto"/>
              <w:right w:val="single" w:sz="4" w:space="0" w:color="auto"/>
            </w:tcBorders>
            <w:shd w:val="clear" w:color="auto" w:fill="FFE599" w:themeFill="accent4" w:themeFillTint="66"/>
            <w:vAlign w:val="center"/>
            <w:hideMark/>
          </w:tcPr>
          <w:p w14:paraId="39438A62" w14:textId="392851C1" w:rsidR="003F5EF0" w:rsidRPr="00C65593" w:rsidRDefault="003F5EF0" w:rsidP="003F5EF0">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pacing w:after="0" w:line="240" w:lineRule="auto"/>
              <w:jc w:val="center"/>
              <w:rPr>
                <w:rFonts w:ascii="Times New Roman" w:eastAsia="Times New Roman" w:hAnsi="Times New Roman" w:cs="Times New Roman"/>
                <w:sz w:val="14"/>
                <w:szCs w:val="14"/>
                <w:lang w:val="en-US"/>
              </w:rPr>
            </w:pPr>
            <w:r w:rsidRPr="001053DB">
              <w:rPr>
                <w:rFonts w:ascii="Times New Roman" w:eastAsia="Times New Roman" w:hAnsi="Times New Roman" w:cs="Times New Roman"/>
                <w:sz w:val="14"/>
                <w:szCs w:val="14"/>
                <w:lang w:val="sr-Cyrl-CS"/>
              </w:rPr>
              <w:t xml:space="preserve"> </w:t>
            </w:r>
            <w:r w:rsidR="00B80DDD">
              <w:rPr>
                <w:rFonts w:ascii="Times New Roman" w:eastAsia="Times New Roman" w:hAnsi="Times New Roman" w:cs="Times New Roman"/>
                <w:sz w:val="14"/>
                <w:szCs w:val="14"/>
                <w:lang w:val="en-US"/>
              </w:rPr>
              <w:t>CAPACITY FOR BUDGET PLANNING AND PUBLIC INVESTMENT MANAGEMENT IMPROVED</w:t>
            </w:r>
          </w:p>
          <w:p w14:paraId="6F209436" w14:textId="77777777" w:rsidR="003F5EF0" w:rsidRPr="001053DB" w:rsidRDefault="003F5EF0" w:rsidP="003F5EF0">
            <w:pPr>
              <w:spacing w:after="0" w:line="240" w:lineRule="auto"/>
              <w:jc w:val="center"/>
              <w:rPr>
                <w:rFonts w:ascii="Times New Roman" w:eastAsia="Times New Roman" w:hAnsi="Times New Roman" w:cs="Times New Roman"/>
                <w:sz w:val="14"/>
                <w:szCs w:val="14"/>
                <w:lang w:val="sr-Cyrl-CS"/>
              </w:rPr>
            </w:pPr>
          </w:p>
        </w:tc>
        <w:tc>
          <w:tcPr>
            <w:tcW w:w="1988" w:type="pct"/>
            <w:gridSpan w:val="4"/>
            <w:tcBorders>
              <w:top w:val="single" w:sz="4" w:space="0" w:color="auto"/>
              <w:left w:val="nil"/>
              <w:bottom w:val="single" w:sz="4" w:space="0" w:color="auto"/>
              <w:right w:val="single" w:sz="4" w:space="0" w:color="000000"/>
            </w:tcBorders>
            <w:shd w:val="clear" w:color="auto" w:fill="FFE599" w:themeFill="accent4" w:themeFillTint="66"/>
            <w:vAlign w:val="center"/>
            <w:hideMark/>
          </w:tcPr>
          <w:p w14:paraId="4FE2C7D0" w14:textId="483B417F" w:rsidR="003F5EF0" w:rsidRPr="00C65593" w:rsidRDefault="00C65593" w:rsidP="003F5EF0">
            <w:pPr>
              <w:spacing w:after="0" w:line="240" w:lineRule="auto"/>
              <w:jc w:val="center"/>
              <w:rPr>
                <w:rFonts w:ascii="Times New Roman" w:eastAsia="Times New Roman" w:hAnsi="Times New Roman" w:cs="Times New Roman"/>
                <w:sz w:val="14"/>
                <w:szCs w:val="14"/>
                <w:lang w:val="en-US"/>
              </w:rPr>
            </w:pPr>
            <w:r>
              <w:rPr>
                <w:rFonts w:ascii="Times New Roman" w:eastAsia="Calibri" w:hAnsi="Times New Roman" w:cs="Times New Roman"/>
                <w:caps/>
                <w:spacing w:val="15"/>
                <w:sz w:val="14"/>
                <w:szCs w:val="14"/>
                <w:lang w:val="en-US"/>
              </w:rPr>
              <w:t>EFFICIENT COLLECTION AND MANAGEMENT OF BUDGET FUNDS</w:t>
            </w:r>
          </w:p>
        </w:tc>
        <w:tc>
          <w:tcPr>
            <w:tcW w:w="798" w:type="pct"/>
            <w:gridSpan w:val="2"/>
            <w:tcBorders>
              <w:top w:val="single" w:sz="4" w:space="0" w:color="auto"/>
              <w:left w:val="nil"/>
              <w:bottom w:val="single" w:sz="4" w:space="0" w:color="auto"/>
              <w:right w:val="single" w:sz="4" w:space="0" w:color="000000"/>
            </w:tcBorders>
            <w:shd w:val="clear" w:color="000000" w:fill="FFE699"/>
            <w:vAlign w:val="center"/>
            <w:hideMark/>
          </w:tcPr>
          <w:p w14:paraId="4A185B7E" w14:textId="674EB7D5" w:rsidR="003F5EF0" w:rsidRPr="00C65593" w:rsidRDefault="00B80DDD" w:rsidP="003F5EF0">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en-US"/>
              </w:rPr>
              <w:t>IMPROVING BUDGET DISCIPLINE AND MORE TRANSPARENT USE OF PUBLIC FUNDS</w:t>
            </w:r>
          </w:p>
        </w:tc>
        <w:tc>
          <w:tcPr>
            <w:tcW w:w="417" w:type="pct"/>
            <w:tcBorders>
              <w:top w:val="nil"/>
              <w:left w:val="nil"/>
              <w:bottom w:val="single" w:sz="4" w:space="0" w:color="auto"/>
              <w:right w:val="nil"/>
            </w:tcBorders>
            <w:shd w:val="clear" w:color="000000" w:fill="FFE699"/>
            <w:vAlign w:val="center"/>
            <w:hideMark/>
          </w:tcPr>
          <w:p w14:paraId="237ABDF4" w14:textId="7E8F50EC" w:rsidR="003F5EF0" w:rsidRPr="00B80DDD" w:rsidRDefault="00B80DDD" w:rsidP="003F5EF0">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en-US"/>
              </w:rPr>
              <w:t>IMPROVEMENT OF THE APPLICATION OF PUBLIC FINANCIAL CONTROL SYSTEM IN PUBLIC SECTOR</w:t>
            </w:r>
          </w:p>
        </w:tc>
        <w:tc>
          <w:tcPr>
            <w:tcW w:w="648" w:type="pct"/>
            <w:tcBorders>
              <w:top w:val="nil"/>
              <w:left w:val="single" w:sz="4" w:space="0" w:color="auto"/>
              <w:bottom w:val="single" w:sz="4" w:space="0" w:color="auto"/>
              <w:right w:val="single" w:sz="4" w:space="0" w:color="auto"/>
            </w:tcBorders>
            <w:shd w:val="clear" w:color="000000" w:fill="FFE699"/>
            <w:vAlign w:val="center"/>
            <w:hideMark/>
          </w:tcPr>
          <w:p w14:paraId="36D5F090" w14:textId="28620470" w:rsidR="003F5EF0" w:rsidRPr="00B80DDD" w:rsidRDefault="00B80DDD" w:rsidP="003F5EF0">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en-US"/>
              </w:rPr>
              <w:t>IMPROVED ACCOUNTING IN THE PUBLIC SECTOR THROUGH APPLICATION OF INTERNATIONAL PUBLIC SECTOR ACCOUNTING STANDARDS (IPSAS)</w:t>
            </w:r>
          </w:p>
        </w:tc>
        <w:tc>
          <w:tcPr>
            <w:tcW w:w="644" w:type="pct"/>
            <w:tcBorders>
              <w:top w:val="nil"/>
              <w:left w:val="single" w:sz="4" w:space="0" w:color="auto"/>
              <w:bottom w:val="single" w:sz="4" w:space="0" w:color="auto"/>
              <w:right w:val="single" w:sz="4" w:space="0" w:color="auto"/>
            </w:tcBorders>
            <w:shd w:val="clear" w:color="000000" w:fill="FFE699"/>
          </w:tcPr>
          <w:p w14:paraId="7171EAD0" w14:textId="77777777" w:rsidR="00B80DDD" w:rsidRDefault="00B80DDD" w:rsidP="003F5EF0">
            <w:pPr>
              <w:spacing w:after="0" w:line="240" w:lineRule="auto"/>
              <w:jc w:val="center"/>
              <w:rPr>
                <w:rFonts w:ascii="Times New Roman" w:eastAsia="Times New Roman" w:hAnsi="Times New Roman" w:cs="Times New Roman"/>
                <w:sz w:val="14"/>
                <w:szCs w:val="14"/>
                <w:lang w:val="en-US"/>
              </w:rPr>
            </w:pPr>
          </w:p>
          <w:p w14:paraId="4988986F" w14:textId="77777777" w:rsidR="00B80DDD" w:rsidRDefault="00B80DDD" w:rsidP="003F5EF0">
            <w:pPr>
              <w:spacing w:after="0" w:line="240" w:lineRule="auto"/>
              <w:jc w:val="center"/>
              <w:rPr>
                <w:rFonts w:ascii="Times New Roman" w:eastAsia="Times New Roman" w:hAnsi="Times New Roman" w:cs="Times New Roman"/>
                <w:sz w:val="14"/>
                <w:szCs w:val="14"/>
                <w:lang w:val="en-US"/>
              </w:rPr>
            </w:pPr>
          </w:p>
          <w:p w14:paraId="2B08A92A" w14:textId="14314518" w:rsidR="003F5EF0" w:rsidRPr="00B80DDD" w:rsidRDefault="00B80DDD" w:rsidP="003F5EF0">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en-US"/>
              </w:rPr>
              <w:t>EXTERNAL OVERSIGHT OF PUBLIC FINANCES ENHANCED</w:t>
            </w:r>
          </w:p>
        </w:tc>
      </w:tr>
      <w:tr w:rsidR="00D30238" w:rsidRPr="001053DB" w14:paraId="39924849" w14:textId="77777777" w:rsidTr="008B3BCD">
        <w:trPr>
          <w:trHeight w:val="168"/>
        </w:trPr>
        <w:tc>
          <w:tcPr>
            <w:tcW w:w="505" w:type="pct"/>
            <w:tcBorders>
              <w:top w:val="nil"/>
              <w:left w:val="single" w:sz="4" w:space="0" w:color="auto"/>
              <w:bottom w:val="single" w:sz="4" w:space="0" w:color="auto"/>
              <w:right w:val="single" w:sz="4" w:space="0" w:color="auto"/>
            </w:tcBorders>
            <w:shd w:val="clear" w:color="auto" w:fill="4472C4" w:themeFill="accent5"/>
            <w:vAlign w:val="center"/>
            <w:hideMark/>
          </w:tcPr>
          <w:p w14:paraId="0DB2F728" w14:textId="1478E928" w:rsidR="00D87A52" w:rsidRPr="00B80DDD" w:rsidRDefault="00B80DDD" w:rsidP="001053DB">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sr-Cyrl-CS"/>
              </w:rPr>
              <w:t>Fiscal strategy for</w:t>
            </w:r>
            <w:r w:rsidR="00D87A52" w:rsidRPr="001053DB">
              <w:rPr>
                <w:rFonts w:ascii="Times New Roman" w:eastAsia="Times New Roman" w:hAnsi="Times New Roman" w:cs="Times New Roman"/>
                <w:sz w:val="14"/>
                <w:szCs w:val="14"/>
                <w:lang w:val="sr-Cyrl-CS"/>
              </w:rPr>
              <w:t xml:space="preserve"> 2025 </w:t>
            </w:r>
            <w:r>
              <w:rPr>
                <w:rFonts w:ascii="Times New Roman" w:eastAsia="Times New Roman" w:hAnsi="Times New Roman" w:cs="Times New Roman"/>
                <w:sz w:val="14"/>
                <w:szCs w:val="14"/>
                <w:lang w:val="en-US"/>
              </w:rPr>
              <w:t>with projections for</w:t>
            </w:r>
            <w:r w:rsidR="00D87A52" w:rsidRPr="001053DB">
              <w:rPr>
                <w:rFonts w:ascii="Times New Roman" w:eastAsia="Times New Roman" w:hAnsi="Times New Roman" w:cs="Times New Roman"/>
                <w:sz w:val="14"/>
                <w:szCs w:val="14"/>
                <w:lang w:val="sr-Cyrl-CS"/>
              </w:rPr>
              <w:t xml:space="preserve"> 2026 </w:t>
            </w:r>
            <w:r>
              <w:rPr>
                <w:rFonts w:ascii="Times New Roman" w:eastAsia="Times New Roman" w:hAnsi="Times New Roman" w:cs="Times New Roman"/>
                <w:sz w:val="14"/>
                <w:szCs w:val="14"/>
                <w:lang w:val="en-US"/>
              </w:rPr>
              <w:t>and</w:t>
            </w:r>
            <w:r w:rsidR="00D87A52" w:rsidRPr="001053DB">
              <w:rPr>
                <w:rFonts w:ascii="Times New Roman" w:eastAsia="Times New Roman" w:hAnsi="Times New Roman" w:cs="Times New Roman"/>
                <w:sz w:val="14"/>
                <w:szCs w:val="14"/>
                <w:lang w:val="sr-Cyrl-CS"/>
              </w:rPr>
              <w:t xml:space="preserve"> 2027</w:t>
            </w:r>
          </w:p>
        </w:tc>
        <w:tc>
          <w:tcPr>
            <w:tcW w:w="419" w:type="pct"/>
            <w:vMerge w:val="restart"/>
            <w:tcBorders>
              <w:top w:val="nil"/>
              <w:left w:val="nil"/>
              <w:right w:val="single" w:sz="4" w:space="0" w:color="auto"/>
            </w:tcBorders>
            <w:shd w:val="clear" w:color="000000" w:fill="9BC2E6"/>
            <w:vAlign w:val="center"/>
            <w:hideMark/>
          </w:tcPr>
          <w:p w14:paraId="25C05F39" w14:textId="201818EC" w:rsidR="0071442D" w:rsidRPr="008F12BC" w:rsidRDefault="008F12BC" w:rsidP="003F5EF0">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en-US"/>
              </w:rPr>
              <w:t>Reform Agenda for RS</w:t>
            </w:r>
          </w:p>
          <w:p w14:paraId="6011CF31" w14:textId="77777777" w:rsidR="0071442D" w:rsidRPr="001053DB" w:rsidRDefault="0071442D" w:rsidP="003F5EF0">
            <w:pPr>
              <w:spacing w:after="0" w:line="240" w:lineRule="auto"/>
              <w:jc w:val="center"/>
              <w:rPr>
                <w:rFonts w:ascii="Times New Roman" w:eastAsia="Times New Roman" w:hAnsi="Times New Roman" w:cs="Times New Roman"/>
                <w:sz w:val="14"/>
                <w:szCs w:val="14"/>
                <w:lang w:val="sr-Cyrl-CS"/>
              </w:rPr>
            </w:pPr>
            <w:r w:rsidRPr="001053DB">
              <w:rPr>
                <w:rFonts w:ascii="Times New Roman" w:eastAsia="Times New Roman" w:hAnsi="Times New Roman" w:cs="Times New Roman"/>
                <w:sz w:val="14"/>
                <w:szCs w:val="14"/>
                <w:lang w:val="sr-Cyrl-CS"/>
              </w:rPr>
              <w:t xml:space="preserve"> </w:t>
            </w:r>
          </w:p>
          <w:p w14:paraId="26468190" w14:textId="77777777" w:rsidR="0071442D" w:rsidRPr="001053DB" w:rsidRDefault="0071442D" w:rsidP="003F5EF0">
            <w:pPr>
              <w:spacing w:after="0" w:line="240" w:lineRule="auto"/>
              <w:jc w:val="center"/>
              <w:rPr>
                <w:rFonts w:ascii="Times New Roman" w:eastAsia="Times New Roman" w:hAnsi="Times New Roman" w:cs="Times New Roman"/>
                <w:sz w:val="14"/>
                <w:szCs w:val="14"/>
                <w:lang w:val="sr-Cyrl-CS"/>
              </w:rPr>
            </w:pPr>
          </w:p>
          <w:p w14:paraId="79E54754" w14:textId="36346657" w:rsidR="00D87A52" w:rsidRPr="001053DB" w:rsidRDefault="008F12BC"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Economic Reform Program</w:t>
            </w:r>
            <w:r w:rsidR="005F2F41">
              <w:rPr>
                <w:rFonts w:ascii="Times New Roman" w:eastAsia="Times New Roman" w:hAnsi="Times New Roman" w:cs="Times New Roman"/>
                <w:sz w:val="14"/>
                <w:szCs w:val="14"/>
                <w:lang w:val="en-US"/>
              </w:rPr>
              <w:t>me</w:t>
            </w:r>
            <w:r w:rsidR="00D87A52" w:rsidRPr="001053DB">
              <w:rPr>
                <w:rFonts w:ascii="Times New Roman" w:eastAsia="Times New Roman" w:hAnsi="Times New Roman" w:cs="Times New Roman"/>
                <w:sz w:val="14"/>
                <w:szCs w:val="14"/>
                <w:lang w:val="sr-Cyrl-CS"/>
              </w:rPr>
              <w:t xml:space="preserve"> 2026-2028 (</w:t>
            </w:r>
            <w:r w:rsidR="00084B75" w:rsidRPr="001053DB">
              <w:rPr>
                <w:rFonts w:ascii="Times New Roman" w:eastAsia="Times New Roman" w:hAnsi="Times New Roman" w:cs="Times New Roman"/>
                <w:i/>
                <w:iCs/>
                <w:sz w:val="14"/>
                <w:szCs w:val="14"/>
                <w:lang w:val="sr-Cyrl-CS"/>
              </w:rPr>
              <w:t>ERP</w:t>
            </w:r>
            <w:r w:rsidR="00D87A52" w:rsidRPr="001053DB">
              <w:rPr>
                <w:rFonts w:ascii="Times New Roman" w:eastAsia="Times New Roman" w:hAnsi="Times New Roman" w:cs="Times New Roman"/>
                <w:sz w:val="14"/>
                <w:szCs w:val="14"/>
                <w:lang w:val="sr-Cyrl-CS"/>
              </w:rPr>
              <w:t xml:space="preserve">) </w:t>
            </w:r>
          </w:p>
          <w:p w14:paraId="6BEE4F6F"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p w14:paraId="306A4126" w14:textId="0A464676" w:rsidR="008B3BCD" w:rsidRPr="008F12BC" w:rsidRDefault="008F12BC" w:rsidP="003F5EF0">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en-US"/>
              </w:rPr>
              <w:t>Program with IMF</w:t>
            </w:r>
          </w:p>
        </w:tc>
        <w:tc>
          <w:tcPr>
            <w:tcW w:w="600" w:type="pct"/>
            <w:vMerge w:val="restart"/>
            <w:tcBorders>
              <w:top w:val="nil"/>
              <w:left w:val="nil"/>
              <w:right w:val="single" w:sz="4" w:space="0" w:color="auto"/>
            </w:tcBorders>
            <w:shd w:val="clear" w:color="000000" w:fill="9BC2E6"/>
            <w:vAlign w:val="center"/>
            <w:hideMark/>
          </w:tcPr>
          <w:p w14:paraId="775210F7" w14:textId="0A47F887" w:rsidR="00D87A52" w:rsidRPr="008F12BC" w:rsidRDefault="008F12BC" w:rsidP="001B0AA3">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en-US"/>
              </w:rPr>
              <w:t>Business plan for improving the organization and work of the customs service of the Ministry of Finance</w:t>
            </w:r>
            <w:r w:rsidR="00ED10B6" w:rsidRPr="001053DB">
              <w:rPr>
                <w:rFonts w:ascii="Times New Roman" w:eastAsia="Times New Roman" w:hAnsi="Times New Roman" w:cs="Times New Roman"/>
                <w:sz w:val="14"/>
                <w:szCs w:val="14"/>
                <w:lang w:val="sr-Cyrl-CS"/>
              </w:rPr>
              <w:t xml:space="preserve"> 2025-2029</w:t>
            </w:r>
          </w:p>
          <w:p w14:paraId="2261BC7B" w14:textId="77777777" w:rsidR="003B0E29" w:rsidRPr="001053DB" w:rsidRDefault="003B0E29" w:rsidP="001B0AA3">
            <w:pPr>
              <w:spacing w:after="0" w:line="240" w:lineRule="auto"/>
              <w:jc w:val="center"/>
              <w:rPr>
                <w:rFonts w:ascii="Times New Roman" w:eastAsia="Times New Roman" w:hAnsi="Times New Roman" w:cs="Times New Roman"/>
                <w:sz w:val="14"/>
                <w:szCs w:val="14"/>
                <w:lang w:val="sr-Cyrl-CS"/>
              </w:rPr>
            </w:pPr>
          </w:p>
          <w:p w14:paraId="1A889221" w14:textId="6B5B345D" w:rsidR="003B0E29" w:rsidRPr="001053DB" w:rsidRDefault="008F12BC" w:rsidP="001B0AA3">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 xml:space="preserve">Work plan for development and use of electronic systems of customs service of the Ministry of Finance </w:t>
            </w:r>
            <w:r w:rsidR="003B0E29" w:rsidRPr="001053DB">
              <w:rPr>
                <w:rFonts w:ascii="Times New Roman" w:eastAsia="Times New Roman" w:hAnsi="Times New Roman" w:cs="Times New Roman"/>
                <w:sz w:val="14"/>
                <w:szCs w:val="14"/>
                <w:lang w:val="sr-Cyrl-CS"/>
              </w:rPr>
              <w:t>2025-2029</w:t>
            </w:r>
          </w:p>
        </w:tc>
        <w:tc>
          <w:tcPr>
            <w:tcW w:w="534" w:type="pct"/>
            <w:tcBorders>
              <w:top w:val="single" w:sz="4" w:space="0" w:color="auto"/>
              <w:left w:val="single" w:sz="4" w:space="0" w:color="auto"/>
              <w:bottom w:val="single" w:sz="4" w:space="0" w:color="auto"/>
              <w:right w:val="single" w:sz="4" w:space="0" w:color="auto"/>
            </w:tcBorders>
            <w:shd w:val="clear" w:color="auto" w:fill="4472C4" w:themeFill="accent5"/>
            <w:vAlign w:val="center"/>
            <w:hideMark/>
          </w:tcPr>
          <w:p w14:paraId="045AAE7E" w14:textId="64EA3F96" w:rsidR="00D87A52" w:rsidRPr="001053DB" w:rsidRDefault="008F12BC" w:rsidP="001053DB">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Fiscal strategy</w:t>
            </w:r>
            <w:r w:rsidR="00D87A52" w:rsidRPr="001053DB">
              <w:rPr>
                <w:rFonts w:ascii="Times New Roman" w:eastAsia="Times New Roman" w:hAnsi="Times New Roman" w:cs="Times New Roman"/>
                <w:sz w:val="14"/>
                <w:szCs w:val="14"/>
                <w:lang w:val="sr-Cyrl-CS"/>
              </w:rPr>
              <w:t xml:space="preserve"> </w:t>
            </w:r>
          </w:p>
        </w:tc>
        <w:tc>
          <w:tcPr>
            <w:tcW w:w="435" w:type="pct"/>
            <w:tcBorders>
              <w:top w:val="nil"/>
              <w:left w:val="nil"/>
              <w:bottom w:val="single" w:sz="4" w:space="0" w:color="auto"/>
              <w:right w:val="single" w:sz="4" w:space="0" w:color="auto"/>
            </w:tcBorders>
            <w:shd w:val="clear" w:color="auto" w:fill="4472C4" w:themeFill="accent5"/>
            <w:vAlign w:val="center"/>
            <w:hideMark/>
          </w:tcPr>
          <w:p w14:paraId="25E4DB96" w14:textId="55A9F64D" w:rsidR="00104810" w:rsidRPr="001053DB" w:rsidRDefault="0017590B" w:rsidP="0010481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Program for Development of Public Procurement in Republic of Serbia</w:t>
            </w:r>
            <w:r w:rsidR="00D87A52" w:rsidRPr="001053DB">
              <w:rPr>
                <w:rFonts w:ascii="Times New Roman" w:eastAsia="Times New Roman" w:hAnsi="Times New Roman" w:cs="Times New Roman"/>
                <w:sz w:val="14"/>
                <w:szCs w:val="14"/>
                <w:lang w:val="sr-Cyrl-CS"/>
              </w:rPr>
              <w:t xml:space="preserve"> 2024-2028</w:t>
            </w:r>
            <w:r w:rsidR="00104810" w:rsidRPr="001053DB">
              <w:rPr>
                <w:rFonts w:ascii="Times New Roman" w:eastAsia="Times New Roman" w:hAnsi="Times New Roman" w:cs="Times New Roman"/>
                <w:sz w:val="14"/>
                <w:szCs w:val="14"/>
                <w:lang w:val="sr-Cyrl-CS"/>
              </w:rPr>
              <w:t xml:space="preserve"> </w:t>
            </w:r>
          </w:p>
          <w:p w14:paraId="57C8CBBA" w14:textId="77777777" w:rsidR="00104810" w:rsidRPr="001053DB" w:rsidRDefault="00104810" w:rsidP="00104810">
            <w:pPr>
              <w:spacing w:after="0" w:line="240" w:lineRule="auto"/>
              <w:jc w:val="center"/>
              <w:rPr>
                <w:rFonts w:ascii="Times New Roman" w:eastAsia="Times New Roman" w:hAnsi="Times New Roman" w:cs="Times New Roman"/>
                <w:sz w:val="14"/>
                <w:szCs w:val="14"/>
                <w:lang w:val="sr-Cyrl-CS"/>
              </w:rPr>
            </w:pPr>
          </w:p>
          <w:p w14:paraId="4D3C8E4A" w14:textId="0A11CD8F" w:rsidR="00104810" w:rsidRPr="0017590B" w:rsidRDefault="0017590B" w:rsidP="00104810">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en-US"/>
              </w:rPr>
              <w:t>Reform Agenda for RS</w:t>
            </w:r>
          </w:p>
          <w:p w14:paraId="272B800E"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tc>
        <w:tc>
          <w:tcPr>
            <w:tcW w:w="365" w:type="pct"/>
            <w:vMerge w:val="restart"/>
            <w:tcBorders>
              <w:top w:val="single" w:sz="4" w:space="0" w:color="auto"/>
              <w:left w:val="single" w:sz="4" w:space="0" w:color="auto"/>
              <w:right w:val="single" w:sz="4" w:space="0" w:color="auto"/>
            </w:tcBorders>
            <w:shd w:val="clear" w:color="auto" w:fill="F4B083" w:themeFill="accent2" w:themeFillTint="99"/>
            <w:vAlign w:val="center"/>
            <w:hideMark/>
          </w:tcPr>
          <w:p w14:paraId="4ADC6463" w14:textId="03197B24" w:rsidR="00D87A52" w:rsidRPr="0017590B" w:rsidRDefault="0017590B" w:rsidP="003F5EF0">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en-US"/>
              </w:rPr>
              <w:t>Reform Agenda for RS</w:t>
            </w:r>
          </w:p>
          <w:p w14:paraId="040418DD" w14:textId="77777777" w:rsidR="0071442D" w:rsidRPr="001053DB" w:rsidRDefault="0071442D" w:rsidP="003F5EF0">
            <w:pPr>
              <w:spacing w:after="0" w:line="240" w:lineRule="auto"/>
              <w:jc w:val="center"/>
              <w:rPr>
                <w:rFonts w:ascii="Times New Roman" w:eastAsia="Times New Roman" w:hAnsi="Times New Roman" w:cs="Times New Roman"/>
                <w:sz w:val="14"/>
                <w:szCs w:val="14"/>
                <w:lang w:val="sr-Cyrl-CS"/>
              </w:rPr>
            </w:pPr>
          </w:p>
          <w:p w14:paraId="2C3A832B" w14:textId="77777777" w:rsidR="0071442D" w:rsidRPr="001053DB" w:rsidRDefault="0071442D" w:rsidP="003F5EF0">
            <w:pPr>
              <w:spacing w:after="0" w:line="240" w:lineRule="auto"/>
              <w:jc w:val="center"/>
              <w:rPr>
                <w:rFonts w:ascii="Times New Roman" w:eastAsia="Times New Roman" w:hAnsi="Times New Roman" w:cs="Times New Roman"/>
                <w:sz w:val="14"/>
                <w:szCs w:val="14"/>
                <w:lang w:val="sr-Cyrl-CS"/>
              </w:rPr>
            </w:pPr>
          </w:p>
          <w:p w14:paraId="5BC6DAE4" w14:textId="77777777" w:rsidR="0071442D" w:rsidRPr="001053DB" w:rsidRDefault="0071442D" w:rsidP="003F5EF0">
            <w:pPr>
              <w:spacing w:after="0" w:line="240" w:lineRule="auto"/>
              <w:jc w:val="center"/>
              <w:rPr>
                <w:rFonts w:ascii="Times New Roman" w:eastAsia="Times New Roman" w:hAnsi="Times New Roman" w:cs="Times New Roman"/>
                <w:sz w:val="14"/>
                <w:szCs w:val="14"/>
                <w:lang w:val="sr-Cyrl-CS"/>
              </w:rPr>
            </w:pPr>
          </w:p>
          <w:p w14:paraId="76C84799" w14:textId="21EFAFE6" w:rsidR="00D87A52" w:rsidRPr="001053DB" w:rsidRDefault="0017590B"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Action plan for Chapter</w:t>
            </w:r>
            <w:r w:rsidR="00D87A52" w:rsidRPr="001053DB">
              <w:rPr>
                <w:rFonts w:ascii="Times New Roman" w:eastAsia="Times New Roman" w:hAnsi="Times New Roman" w:cs="Times New Roman"/>
                <w:sz w:val="14"/>
                <w:szCs w:val="14"/>
                <w:lang w:val="sr-Cyrl-CS"/>
              </w:rPr>
              <w:t xml:space="preserve"> 22</w:t>
            </w:r>
          </w:p>
        </w:tc>
        <w:tc>
          <w:tcPr>
            <w:tcW w:w="433" w:type="pct"/>
            <w:vMerge w:val="restart"/>
            <w:tcBorders>
              <w:top w:val="nil"/>
              <w:left w:val="nil"/>
              <w:right w:val="single" w:sz="4" w:space="0" w:color="auto"/>
            </w:tcBorders>
            <w:shd w:val="clear" w:color="000000" w:fill="9BC2E6"/>
            <w:vAlign w:val="center"/>
            <w:hideMark/>
          </w:tcPr>
          <w:p w14:paraId="7C6FB290" w14:textId="4DF86273" w:rsidR="00D87A52" w:rsidRPr="001053DB" w:rsidRDefault="0017590B"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 xml:space="preserve">Strategic plan of the Ministry of Finance Budget Inspection </w:t>
            </w:r>
            <w:r w:rsidR="00A70B7F" w:rsidRPr="001053DB">
              <w:rPr>
                <w:rFonts w:ascii="Times New Roman" w:eastAsia="Times New Roman" w:hAnsi="Times New Roman" w:cs="Times New Roman"/>
                <w:sz w:val="14"/>
                <w:szCs w:val="14"/>
                <w:lang w:val="sr-Cyrl-CS"/>
              </w:rPr>
              <w:t>2026-2030</w:t>
            </w:r>
            <w:r w:rsidR="00713D3C" w:rsidRPr="001053DB">
              <w:rPr>
                <w:rFonts w:ascii="Times New Roman" w:eastAsia="Times New Roman" w:hAnsi="Times New Roman" w:cs="Times New Roman"/>
                <w:sz w:val="14"/>
                <w:szCs w:val="14"/>
                <w:lang w:val="sr-Cyrl-CS"/>
              </w:rPr>
              <w:t>.</w:t>
            </w:r>
          </w:p>
          <w:p w14:paraId="6422336C" w14:textId="77777777" w:rsidR="00D87A52" w:rsidRPr="001053DB" w:rsidRDefault="00D87A52" w:rsidP="003F5EF0">
            <w:pPr>
              <w:spacing w:after="0" w:line="240" w:lineRule="auto"/>
              <w:jc w:val="center"/>
              <w:rPr>
                <w:rFonts w:ascii="Times New Roman" w:eastAsia="Times New Roman" w:hAnsi="Times New Roman" w:cs="Times New Roman"/>
                <w:sz w:val="14"/>
                <w:szCs w:val="14"/>
                <w:highlight w:val="green"/>
                <w:lang w:val="sr-Cyrl-CS"/>
              </w:rPr>
            </w:pPr>
          </w:p>
          <w:p w14:paraId="0F1BB2D8" w14:textId="4FC9993C" w:rsidR="00D87A52" w:rsidRPr="0017590B" w:rsidRDefault="0017590B" w:rsidP="003F5EF0">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en-US"/>
              </w:rPr>
              <w:t>Strategy for fighting against Frauds and Irregularity Management of EU funds in the Republic of Serbia</w:t>
            </w:r>
            <w:r w:rsidR="00D87A52" w:rsidRPr="001053DB">
              <w:rPr>
                <w:rFonts w:ascii="Times New Roman" w:eastAsia="Times New Roman" w:hAnsi="Times New Roman" w:cs="Times New Roman"/>
                <w:sz w:val="14"/>
                <w:szCs w:val="14"/>
                <w:lang w:val="sr-Cyrl-CS"/>
              </w:rPr>
              <w:t xml:space="preserve"> 2024-2026</w:t>
            </w:r>
          </w:p>
        </w:tc>
        <w:tc>
          <w:tcPr>
            <w:tcW w:w="417" w:type="pct"/>
            <w:tcBorders>
              <w:top w:val="nil"/>
              <w:left w:val="nil"/>
              <w:bottom w:val="single" w:sz="4" w:space="0" w:color="auto"/>
              <w:right w:val="single" w:sz="4" w:space="0" w:color="auto"/>
            </w:tcBorders>
            <w:shd w:val="clear" w:color="auto" w:fill="4472C4" w:themeFill="accent5"/>
            <w:vAlign w:val="center"/>
            <w:hideMark/>
          </w:tcPr>
          <w:p w14:paraId="34A8BE91" w14:textId="00538E5E" w:rsidR="00D87A52" w:rsidRPr="001053DB" w:rsidRDefault="0017590B" w:rsidP="001053DB">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PAR Strategy</w:t>
            </w:r>
            <w:r w:rsidR="00D87A52" w:rsidRPr="001053DB">
              <w:rPr>
                <w:rFonts w:ascii="Times New Roman" w:eastAsia="Times New Roman" w:hAnsi="Times New Roman" w:cs="Times New Roman"/>
                <w:sz w:val="14"/>
                <w:szCs w:val="14"/>
                <w:lang w:val="sr-Cyrl-CS"/>
              </w:rPr>
              <w:t xml:space="preserve"> 2021-2030</w:t>
            </w:r>
            <w:r w:rsidR="00713D3C" w:rsidRPr="001053DB">
              <w:rPr>
                <w:rFonts w:ascii="Times New Roman" w:eastAsia="Times New Roman" w:hAnsi="Times New Roman" w:cs="Times New Roman"/>
                <w:sz w:val="14"/>
                <w:szCs w:val="14"/>
                <w:lang w:val="sr-Cyrl-CS"/>
              </w:rPr>
              <w:t>.</w:t>
            </w:r>
          </w:p>
        </w:tc>
        <w:tc>
          <w:tcPr>
            <w:tcW w:w="648" w:type="pct"/>
            <w:tcBorders>
              <w:top w:val="nil"/>
              <w:left w:val="nil"/>
              <w:bottom w:val="single" w:sz="4" w:space="0" w:color="auto"/>
              <w:right w:val="single" w:sz="4" w:space="0" w:color="auto"/>
            </w:tcBorders>
            <w:shd w:val="clear" w:color="auto" w:fill="4472C4" w:themeFill="accent5"/>
            <w:vAlign w:val="center"/>
            <w:hideMark/>
          </w:tcPr>
          <w:p w14:paraId="48A3A00F" w14:textId="03DC857E" w:rsidR="00D87A52" w:rsidRPr="001053DB" w:rsidRDefault="0017590B" w:rsidP="003B0E29">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Fiscal strategy</w:t>
            </w:r>
            <w:r w:rsidR="00D87A52" w:rsidRPr="001053DB">
              <w:rPr>
                <w:rFonts w:ascii="Times New Roman" w:eastAsia="Times New Roman" w:hAnsi="Times New Roman" w:cs="Times New Roman"/>
                <w:sz w:val="14"/>
                <w:szCs w:val="14"/>
                <w:lang w:val="sr-Cyrl-CS"/>
              </w:rPr>
              <w:t xml:space="preserve"> </w:t>
            </w:r>
          </w:p>
        </w:tc>
        <w:tc>
          <w:tcPr>
            <w:tcW w:w="644" w:type="pct"/>
            <w:tcBorders>
              <w:top w:val="nil"/>
              <w:left w:val="nil"/>
              <w:bottom w:val="single" w:sz="4" w:space="0" w:color="auto"/>
              <w:right w:val="single" w:sz="4" w:space="0" w:color="auto"/>
            </w:tcBorders>
            <w:shd w:val="clear" w:color="auto" w:fill="9CC2E5" w:themeFill="accent1" w:themeFillTint="99"/>
          </w:tcPr>
          <w:p w14:paraId="4840420E"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p w14:paraId="6432EE6C"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p w14:paraId="10F18F30"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p w14:paraId="1E0ED1C6" w14:textId="237059CA" w:rsidR="00D87A52" w:rsidRPr="001053DB" w:rsidRDefault="0017590B"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Strategic plan of State Audit Institution</w:t>
            </w:r>
            <w:r w:rsidR="00D87A52" w:rsidRPr="001053DB">
              <w:rPr>
                <w:rFonts w:ascii="Times New Roman" w:eastAsia="Times New Roman" w:hAnsi="Times New Roman" w:cs="Times New Roman"/>
                <w:sz w:val="14"/>
                <w:szCs w:val="14"/>
                <w:lang w:val="sr-Cyrl-CS"/>
              </w:rPr>
              <w:t xml:space="preserve"> 2024-2028</w:t>
            </w:r>
          </w:p>
        </w:tc>
      </w:tr>
      <w:tr w:rsidR="00D30238" w:rsidRPr="001053DB" w14:paraId="417D9108" w14:textId="77777777" w:rsidTr="008B3BCD">
        <w:trPr>
          <w:trHeight w:val="739"/>
        </w:trPr>
        <w:tc>
          <w:tcPr>
            <w:tcW w:w="505" w:type="pct"/>
            <w:tcBorders>
              <w:top w:val="nil"/>
              <w:left w:val="single" w:sz="4" w:space="0" w:color="auto"/>
              <w:bottom w:val="single" w:sz="4" w:space="0" w:color="auto"/>
              <w:right w:val="single" w:sz="4" w:space="0" w:color="auto"/>
            </w:tcBorders>
            <w:shd w:val="clear" w:color="auto" w:fill="4472C4" w:themeFill="accent5"/>
            <w:vAlign w:val="center"/>
            <w:hideMark/>
          </w:tcPr>
          <w:p w14:paraId="3BEBEA91" w14:textId="5C2D6982" w:rsidR="00D87A52" w:rsidRPr="001053DB" w:rsidRDefault="00B80DDD"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Economic Reform Program</w:t>
            </w:r>
            <w:r w:rsidR="00D87A52" w:rsidRPr="001053DB">
              <w:rPr>
                <w:rFonts w:ascii="Times New Roman" w:eastAsia="Times New Roman" w:hAnsi="Times New Roman" w:cs="Times New Roman"/>
                <w:sz w:val="14"/>
                <w:szCs w:val="14"/>
                <w:lang w:val="sr-Cyrl-CS"/>
              </w:rPr>
              <w:t xml:space="preserve"> 2026-2028 (</w:t>
            </w:r>
            <w:r w:rsidR="00084B75" w:rsidRPr="001053DB">
              <w:rPr>
                <w:rFonts w:ascii="Times New Roman" w:eastAsia="Times New Roman" w:hAnsi="Times New Roman" w:cs="Times New Roman"/>
                <w:i/>
                <w:iCs/>
                <w:sz w:val="14"/>
                <w:szCs w:val="14"/>
                <w:lang w:val="sr-Cyrl-CS"/>
              </w:rPr>
              <w:t>ERP</w:t>
            </w:r>
            <w:r w:rsidR="00D87A52" w:rsidRPr="001053DB">
              <w:rPr>
                <w:rFonts w:ascii="Times New Roman" w:eastAsia="Times New Roman" w:hAnsi="Times New Roman" w:cs="Times New Roman"/>
                <w:sz w:val="14"/>
                <w:szCs w:val="14"/>
                <w:lang w:val="sr-Cyrl-CS"/>
              </w:rPr>
              <w:t>)</w:t>
            </w:r>
          </w:p>
          <w:p w14:paraId="6492928B"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r w:rsidRPr="001053DB">
              <w:rPr>
                <w:rFonts w:ascii="Times New Roman" w:eastAsia="Times New Roman" w:hAnsi="Times New Roman" w:cs="Times New Roman"/>
                <w:sz w:val="14"/>
                <w:szCs w:val="14"/>
                <w:lang w:val="sr-Cyrl-CS"/>
              </w:rPr>
              <w:t xml:space="preserve"> </w:t>
            </w:r>
          </w:p>
          <w:p w14:paraId="660CBE7A"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tc>
        <w:tc>
          <w:tcPr>
            <w:tcW w:w="419" w:type="pct"/>
            <w:vMerge/>
            <w:tcBorders>
              <w:left w:val="nil"/>
              <w:right w:val="single" w:sz="4" w:space="0" w:color="auto"/>
            </w:tcBorders>
            <w:shd w:val="clear" w:color="auto" w:fill="4472C4" w:themeFill="accent5"/>
            <w:vAlign w:val="center"/>
            <w:hideMark/>
          </w:tcPr>
          <w:p w14:paraId="11F44250"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tc>
        <w:tc>
          <w:tcPr>
            <w:tcW w:w="600" w:type="pct"/>
            <w:vMerge/>
            <w:tcBorders>
              <w:left w:val="nil"/>
              <w:right w:val="single" w:sz="4" w:space="0" w:color="auto"/>
            </w:tcBorders>
            <w:shd w:val="clear" w:color="000000" w:fill="9BC2E6"/>
            <w:vAlign w:val="center"/>
            <w:hideMark/>
          </w:tcPr>
          <w:p w14:paraId="62A0B16E" w14:textId="77777777" w:rsidR="00D87A52" w:rsidRPr="001053DB" w:rsidRDefault="00D87A52" w:rsidP="00D87A52">
            <w:pPr>
              <w:spacing w:after="0" w:line="240" w:lineRule="auto"/>
              <w:jc w:val="center"/>
              <w:rPr>
                <w:rFonts w:ascii="Times New Roman" w:eastAsia="Times New Roman" w:hAnsi="Times New Roman" w:cs="Times New Roman"/>
                <w:sz w:val="14"/>
                <w:szCs w:val="14"/>
                <w:lang w:val="sr-Cyrl-CS"/>
              </w:rPr>
            </w:pPr>
          </w:p>
        </w:tc>
        <w:tc>
          <w:tcPr>
            <w:tcW w:w="534" w:type="pct"/>
            <w:vMerge w:val="restart"/>
            <w:tcBorders>
              <w:top w:val="single" w:sz="4" w:space="0" w:color="auto"/>
              <w:left w:val="single" w:sz="4" w:space="0" w:color="auto"/>
              <w:right w:val="single" w:sz="4" w:space="0" w:color="auto"/>
            </w:tcBorders>
            <w:shd w:val="clear" w:color="000000" w:fill="9BC2E6"/>
            <w:vAlign w:val="center"/>
            <w:hideMark/>
          </w:tcPr>
          <w:p w14:paraId="49C3B5E8" w14:textId="03208D75" w:rsidR="00D87A52" w:rsidRPr="001053DB" w:rsidRDefault="008F12BC"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Public debt management strategy</w:t>
            </w:r>
            <w:r w:rsidR="00D87A52" w:rsidRPr="001053DB">
              <w:rPr>
                <w:rFonts w:ascii="Times New Roman" w:eastAsia="Times New Roman" w:hAnsi="Times New Roman" w:cs="Times New Roman"/>
                <w:sz w:val="14"/>
                <w:szCs w:val="14"/>
                <w:lang w:val="sr-Cyrl-CS"/>
              </w:rPr>
              <w:t xml:space="preserve"> 2026-2028 </w:t>
            </w:r>
            <w:r>
              <w:rPr>
                <w:rFonts w:ascii="Times New Roman" w:eastAsia="Times New Roman" w:hAnsi="Times New Roman" w:cs="Times New Roman"/>
                <w:sz w:val="14"/>
                <w:szCs w:val="14"/>
                <w:lang w:val="en-US"/>
              </w:rPr>
              <w:t>within the Fiscal strategy</w:t>
            </w:r>
            <w:r w:rsidR="00D87A52" w:rsidRPr="001053DB">
              <w:rPr>
                <w:rFonts w:ascii="Times New Roman" w:eastAsia="Times New Roman" w:hAnsi="Times New Roman" w:cs="Times New Roman"/>
                <w:sz w:val="14"/>
                <w:szCs w:val="14"/>
                <w:lang w:val="sr-Cyrl-CS"/>
              </w:rPr>
              <w:t xml:space="preserve"> </w:t>
            </w:r>
          </w:p>
          <w:p w14:paraId="7426632A" w14:textId="77777777" w:rsidR="00D87A52" w:rsidRPr="001053DB" w:rsidRDefault="00D87A52" w:rsidP="003F5EF0">
            <w:pPr>
              <w:spacing w:after="0" w:line="240" w:lineRule="auto"/>
              <w:rPr>
                <w:rFonts w:ascii="Times New Roman" w:eastAsia="Times New Roman" w:hAnsi="Times New Roman" w:cs="Times New Roman"/>
                <w:sz w:val="14"/>
                <w:szCs w:val="14"/>
                <w:lang w:val="sr-Cyrl-CS"/>
              </w:rPr>
            </w:pPr>
          </w:p>
        </w:tc>
        <w:tc>
          <w:tcPr>
            <w:tcW w:w="435" w:type="pct"/>
            <w:vMerge w:val="restart"/>
            <w:tcBorders>
              <w:top w:val="nil"/>
              <w:left w:val="single" w:sz="4" w:space="0" w:color="auto"/>
              <w:right w:val="single" w:sz="4" w:space="0" w:color="auto"/>
            </w:tcBorders>
            <w:shd w:val="clear" w:color="auto" w:fill="F4B083" w:themeFill="accent2" w:themeFillTint="99"/>
            <w:vAlign w:val="center"/>
            <w:hideMark/>
          </w:tcPr>
          <w:p w14:paraId="7FB732F2" w14:textId="77777777" w:rsidR="0071442D" w:rsidRPr="001053DB" w:rsidRDefault="0071442D" w:rsidP="003F5EF0">
            <w:pPr>
              <w:spacing w:after="0" w:line="240" w:lineRule="auto"/>
              <w:jc w:val="center"/>
              <w:rPr>
                <w:rFonts w:ascii="Times New Roman" w:eastAsia="Times New Roman" w:hAnsi="Times New Roman" w:cs="Times New Roman"/>
                <w:sz w:val="14"/>
                <w:szCs w:val="14"/>
                <w:lang w:val="sr-Cyrl-CS"/>
              </w:rPr>
            </w:pPr>
          </w:p>
          <w:p w14:paraId="322A7550" w14:textId="6F57EFFB" w:rsidR="00D87A52" w:rsidRPr="001053DB" w:rsidRDefault="008F12BC"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Negotiation Chapter</w:t>
            </w:r>
            <w:r w:rsidR="00D87A52" w:rsidRPr="001053DB">
              <w:rPr>
                <w:rFonts w:ascii="Times New Roman" w:eastAsia="Times New Roman" w:hAnsi="Times New Roman" w:cs="Times New Roman"/>
                <w:sz w:val="14"/>
                <w:szCs w:val="14"/>
                <w:lang w:val="sr-Cyrl-CS"/>
              </w:rPr>
              <w:t xml:space="preserve"> 5</w:t>
            </w:r>
          </w:p>
        </w:tc>
        <w:tc>
          <w:tcPr>
            <w:tcW w:w="365" w:type="pct"/>
            <w:vMerge/>
            <w:tcBorders>
              <w:left w:val="single" w:sz="4" w:space="0" w:color="auto"/>
              <w:right w:val="single" w:sz="4" w:space="0" w:color="auto"/>
            </w:tcBorders>
            <w:shd w:val="clear" w:color="auto" w:fill="F4B083" w:themeFill="accent2" w:themeFillTint="99"/>
            <w:vAlign w:val="center"/>
            <w:hideMark/>
          </w:tcPr>
          <w:p w14:paraId="21E33A3B" w14:textId="77777777" w:rsidR="00D87A52" w:rsidRPr="001053DB" w:rsidRDefault="00D87A52" w:rsidP="003F5EF0">
            <w:pPr>
              <w:spacing w:after="0" w:line="240" w:lineRule="auto"/>
              <w:rPr>
                <w:rFonts w:ascii="Times New Roman" w:eastAsia="Times New Roman" w:hAnsi="Times New Roman" w:cs="Times New Roman"/>
                <w:sz w:val="14"/>
                <w:szCs w:val="14"/>
                <w:lang w:val="sr-Cyrl-CS"/>
              </w:rPr>
            </w:pPr>
          </w:p>
        </w:tc>
        <w:tc>
          <w:tcPr>
            <w:tcW w:w="433" w:type="pct"/>
            <w:vMerge/>
            <w:tcBorders>
              <w:left w:val="single" w:sz="4" w:space="0" w:color="auto"/>
              <w:right w:val="single" w:sz="4" w:space="0" w:color="auto"/>
            </w:tcBorders>
            <w:shd w:val="clear" w:color="auto" w:fill="9CC2E5" w:themeFill="accent1" w:themeFillTint="99"/>
            <w:vAlign w:val="center"/>
            <w:hideMark/>
          </w:tcPr>
          <w:p w14:paraId="253DBDCE"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tc>
        <w:tc>
          <w:tcPr>
            <w:tcW w:w="417" w:type="pct"/>
            <w:vMerge w:val="restart"/>
            <w:tcBorders>
              <w:top w:val="nil"/>
              <w:left w:val="single" w:sz="4" w:space="0" w:color="auto"/>
              <w:right w:val="single" w:sz="4" w:space="0" w:color="auto"/>
            </w:tcBorders>
            <w:shd w:val="clear" w:color="auto" w:fill="F4B083" w:themeFill="accent2" w:themeFillTint="99"/>
            <w:vAlign w:val="center"/>
            <w:hideMark/>
          </w:tcPr>
          <w:p w14:paraId="4CA74F8B" w14:textId="21D1993E" w:rsidR="00D87A52" w:rsidRPr="0017590B" w:rsidRDefault="0017590B" w:rsidP="0017590B">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en-US"/>
              </w:rPr>
              <w:t>Reform Agenda for RS</w:t>
            </w:r>
          </w:p>
          <w:p w14:paraId="49A35AD1"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p w14:paraId="1ADFDD2B" w14:textId="77777777" w:rsidR="008B3BCD" w:rsidRPr="001053DB" w:rsidRDefault="008B3BCD" w:rsidP="008B3BCD">
            <w:pPr>
              <w:spacing w:after="0" w:line="240" w:lineRule="auto"/>
              <w:rPr>
                <w:rFonts w:ascii="Times New Roman" w:eastAsia="Times New Roman" w:hAnsi="Times New Roman" w:cs="Times New Roman"/>
                <w:sz w:val="14"/>
                <w:szCs w:val="14"/>
                <w:lang w:val="sr-Cyrl-CS"/>
              </w:rPr>
            </w:pPr>
          </w:p>
          <w:p w14:paraId="19347AEA"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p w14:paraId="0D5C10A4" w14:textId="65290F82" w:rsidR="00D87A52" w:rsidRPr="001053DB" w:rsidRDefault="0017590B"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Negotiation Chapters</w:t>
            </w:r>
            <w:r w:rsidR="00D87A52" w:rsidRPr="001053DB">
              <w:rPr>
                <w:rFonts w:ascii="Times New Roman" w:eastAsia="Times New Roman" w:hAnsi="Times New Roman" w:cs="Times New Roman"/>
                <w:sz w:val="14"/>
                <w:szCs w:val="14"/>
                <w:lang w:val="sr-Cyrl-CS"/>
              </w:rPr>
              <w:t xml:space="preserve"> 32 </w:t>
            </w:r>
            <w:r>
              <w:rPr>
                <w:rFonts w:ascii="Times New Roman" w:eastAsia="Times New Roman" w:hAnsi="Times New Roman" w:cs="Times New Roman"/>
                <w:sz w:val="14"/>
                <w:szCs w:val="14"/>
                <w:lang w:val="en-US"/>
              </w:rPr>
              <w:t>and</w:t>
            </w:r>
            <w:r w:rsidR="00D87A52" w:rsidRPr="001053DB">
              <w:rPr>
                <w:rFonts w:ascii="Times New Roman" w:eastAsia="Times New Roman" w:hAnsi="Times New Roman" w:cs="Times New Roman"/>
                <w:sz w:val="14"/>
                <w:szCs w:val="14"/>
                <w:lang w:val="sr-Cyrl-CS"/>
              </w:rPr>
              <w:t xml:space="preserve"> 22</w:t>
            </w:r>
          </w:p>
          <w:p w14:paraId="1FF72ECF"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p w14:paraId="68CB7CC2"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p w14:paraId="617E1C34" w14:textId="7989C529" w:rsidR="00D87A52" w:rsidRPr="001053DB" w:rsidRDefault="0017590B"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Negotiation Chapter</w:t>
            </w:r>
            <w:r w:rsidR="00D87A52" w:rsidRPr="001053DB">
              <w:rPr>
                <w:rFonts w:ascii="Times New Roman" w:eastAsia="Times New Roman" w:hAnsi="Times New Roman" w:cs="Times New Roman"/>
                <w:sz w:val="14"/>
                <w:szCs w:val="14"/>
                <w:lang w:val="sr-Cyrl-CS"/>
              </w:rPr>
              <w:t xml:space="preserve"> 23</w:t>
            </w:r>
          </w:p>
          <w:p w14:paraId="3E0CEF27"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tc>
        <w:tc>
          <w:tcPr>
            <w:tcW w:w="648" w:type="pct"/>
            <w:vMerge w:val="restart"/>
            <w:tcBorders>
              <w:top w:val="nil"/>
              <w:left w:val="nil"/>
              <w:right w:val="single" w:sz="4" w:space="0" w:color="auto"/>
            </w:tcBorders>
            <w:shd w:val="clear" w:color="auto" w:fill="4472C4" w:themeFill="accent5"/>
            <w:vAlign w:val="center"/>
            <w:hideMark/>
          </w:tcPr>
          <w:p w14:paraId="113F731A" w14:textId="565B0F2D" w:rsidR="00104810" w:rsidRPr="0017590B" w:rsidRDefault="0017590B" w:rsidP="002E7C72">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en-US"/>
              </w:rPr>
              <w:t>Reform Agenda for RS</w:t>
            </w:r>
          </w:p>
          <w:p w14:paraId="4A2F6E4F" w14:textId="77777777" w:rsidR="00D87A52" w:rsidRPr="001053DB" w:rsidRDefault="00D87A52" w:rsidP="002E7C72">
            <w:pPr>
              <w:spacing w:after="0" w:line="240" w:lineRule="auto"/>
              <w:jc w:val="center"/>
              <w:rPr>
                <w:rFonts w:ascii="Times New Roman" w:eastAsia="Times New Roman" w:hAnsi="Times New Roman" w:cs="Times New Roman"/>
                <w:sz w:val="14"/>
                <w:szCs w:val="14"/>
                <w:lang w:val="sr-Cyrl-CS"/>
              </w:rPr>
            </w:pPr>
          </w:p>
          <w:p w14:paraId="18A79994" w14:textId="32B24F52" w:rsidR="00D87A52" w:rsidRPr="0017590B" w:rsidRDefault="0017590B" w:rsidP="003F5EF0">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en-US"/>
              </w:rPr>
              <w:t>Program with IMF</w:t>
            </w:r>
          </w:p>
        </w:tc>
        <w:tc>
          <w:tcPr>
            <w:tcW w:w="644" w:type="pct"/>
            <w:vMerge w:val="restart"/>
            <w:tcBorders>
              <w:top w:val="nil"/>
              <w:left w:val="nil"/>
              <w:right w:val="single" w:sz="4" w:space="0" w:color="auto"/>
            </w:tcBorders>
            <w:shd w:val="clear" w:color="auto" w:fill="F4B083" w:themeFill="accent2" w:themeFillTint="99"/>
          </w:tcPr>
          <w:p w14:paraId="70BB842D"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p w14:paraId="64CAA224"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p w14:paraId="4CBB1937"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p w14:paraId="40C34087"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p w14:paraId="1D8F43F3"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p w14:paraId="1C2E9101" w14:textId="34116358" w:rsidR="00D87A52" w:rsidRPr="001053DB" w:rsidRDefault="0017590B"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Negotiation Chapter</w:t>
            </w:r>
            <w:r w:rsidRPr="001053DB">
              <w:rPr>
                <w:rFonts w:ascii="Times New Roman" w:eastAsia="Times New Roman" w:hAnsi="Times New Roman" w:cs="Times New Roman"/>
                <w:sz w:val="14"/>
                <w:szCs w:val="14"/>
                <w:lang w:val="sr-Cyrl-CS"/>
              </w:rPr>
              <w:t xml:space="preserve"> </w:t>
            </w:r>
            <w:r w:rsidR="00D87A52" w:rsidRPr="001053DB">
              <w:rPr>
                <w:rFonts w:ascii="Times New Roman" w:eastAsia="Times New Roman" w:hAnsi="Times New Roman" w:cs="Times New Roman"/>
                <w:sz w:val="14"/>
                <w:szCs w:val="14"/>
                <w:lang w:val="sr-Cyrl-CS"/>
              </w:rPr>
              <w:t>32</w:t>
            </w:r>
          </w:p>
        </w:tc>
      </w:tr>
      <w:tr w:rsidR="00D30238" w:rsidRPr="001053DB" w14:paraId="2CBEAF2A" w14:textId="77777777" w:rsidTr="008B3BCD">
        <w:trPr>
          <w:trHeight w:val="739"/>
        </w:trPr>
        <w:tc>
          <w:tcPr>
            <w:tcW w:w="505" w:type="pct"/>
            <w:tcBorders>
              <w:top w:val="nil"/>
              <w:left w:val="single" w:sz="4" w:space="0" w:color="auto"/>
              <w:bottom w:val="single" w:sz="4" w:space="0" w:color="auto"/>
              <w:right w:val="single" w:sz="4" w:space="0" w:color="auto"/>
            </w:tcBorders>
            <w:shd w:val="clear" w:color="auto" w:fill="4472C4" w:themeFill="accent5"/>
            <w:vAlign w:val="center"/>
          </w:tcPr>
          <w:p w14:paraId="0931A631" w14:textId="5927AC48" w:rsidR="00D87A52" w:rsidRPr="00B80DDD" w:rsidRDefault="00B80DDD" w:rsidP="003F5EF0">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en-US"/>
              </w:rPr>
              <w:t>Reform Agenda for RS</w:t>
            </w:r>
          </w:p>
          <w:p w14:paraId="50C167D0" w14:textId="77777777" w:rsidR="008B3BCD" w:rsidRPr="001053DB" w:rsidRDefault="008B3BCD" w:rsidP="003F5EF0">
            <w:pPr>
              <w:spacing w:after="0" w:line="240" w:lineRule="auto"/>
              <w:jc w:val="center"/>
              <w:rPr>
                <w:rFonts w:ascii="Times New Roman" w:eastAsia="Times New Roman" w:hAnsi="Times New Roman" w:cs="Times New Roman"/>
                <w:sz w:val="14"/>
                <w:szCs w:val="14"/>
                <w:lang w:val="sr-Cyrl-CS"/>
              </w:rPr>
            </w:pPr>
          </w:p>
          <w:p w14:paraId="26B87161" w14:textId="63F91FEF" w:rsidR="008B3BCD" w:rsidRPr="00B80DDD" w:rsidRDefault="00B80DDD" w:rsidP="003F5EF0">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en-US"/>
              </w:rPr>
              <w:t>Program with IMF</w:t>
            </w:r>
          </w:p>
        </w:tc>
        <w:tc>
          <w:tcPr>
            <w:tcW w:w="419" w:type="pct"/>
            <w:vMerge/>
            <w:tcBorders>
              <w:left w:val="nil"/>
              <w:bottom w:val="single" w:sz="4" w:space="0" w:color="auto"/>
              <w:right w:val="single" w:sz="4" w:space="0" w:color="auto"/>
            </w:tcBorders>
            <w:shd w:val="clear" w:color="auto" w:fill="4472C4" w:themeFill="accent5"/>
            <w:vAlign w:val="center"/>
          </w:tcPr>
          <w:p w14:paraId="0CE24F69"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tc>
        <w:tc>
          <w:tcPr>
            <w:tcW w:w="600" w:type="pct"/>
            <w:vMerge/>
            <w:tcBorders>
              <w:left w:val="nil"/>
              <w:bottom w:val="single" w:sz="4" w:space="0" w:color="auto"/>
              <w:right w:val="single" w:sz="4" w:space="0" w:color="auto"/>
            </w:tcBorders>
            <w:shd w:val="clear" w:color="000000" w:fill="9BC2E6"/>
            <w:vAlign w:val="center"/>
          </w:tcPr>
          <w:p w14:paraId="610D3952"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tc>
        <w:tc>
          <w:tcPr>
            <w:tcW w:w="534" w:type="pct"/>
            <w:vMerge/>
            <w:tcBorders>
              <w:left w:val="single" w:sz="4" w:space="0" w:color="auto"/>
              <w:right w:val="single" w:sz="4" w:space="0" w:color="auto"/>
            </w:tcBorders>
            <w:shd w:val="clear" w:color="000000" w:fill="9BC2E6"/>
            <w:vAlign w:val="center"/>
          </w:tcPr>
          <w:p w14:paraId="535CF83F"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tc>
        <w:tc>
          <w:tcPr>
            <w:tcW w:w="435" w:type="pct"/>
            <w:vMerge/>
            <w:tcBorders>
              <w:left w:val="single" w:sz="4" w:space="0" w:color="auto"/>
              <w:right w:val="single" w:sz="4" w:space="0" w:color="auto"/>
            </w:tcBorders>
            <w:shd w:val="clear" w:color="auto" w:fill="F4B083" w:themeFill="accent2" w:themeFillTint="99"/>
            <w:vAlign w:val="center"/>
          </w:tcPr>
          <w:p w14:paraId="30AC7396"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tc>
        <w:tc>
          <w:tcPr>
            <w:tcW w:w="365" w:type="pct"/>
            <w:vMerge/>
            <w:tcBorders>
              <w:left w:val="single" w:sz="4" w:space="0" w:color="auto"/>
              <w:right w:val="single" w:sz="4" w:space="0" w:color="auto"/>
            </w:tcBorders>
            <w:shd w:val="clear" w:color="auto" w:fill="F4B083" w:themeFill="accent2" w:themeFillTint="99"/>
            <w:vAlign w:val="center"/>
          </w:tcPr>
          <w:p w14:paraId="62DB0E24" w14:textId="77777777" w:rsidR="00D87A52" w:rsidRPr="001053DB" w:rsidRDefault="00D87A52" w:rsidP="003F5EF0">
            <w:pPr>
              <w:spacing w:after="0" w:line="240" w:lineRule="auto"/>
              <w:rPr>
                <w:rFonts w:ascii="Times New Roman" w:eastAsia="Times New Roman" w:hAnsi="Times New Roman" w:cs="Times New Roman"/>
                <w:sz w:val="14"/>
                <w:szCs w:val="14"/>
                <w:lang w:val="sr-Cyrl-CS"/>
              </w:rPr>
            </w:pPr>
          </w:p>
        </w:tc>
        <w:tc>
          <w:tcPr>
            <w:tcW w:w="433" w:type="pct"/>
            <w:vMerge/>
            <w:tcBorders>
              <w:left w:val="single" w:sz="4" w:space="0" w:color="auto"/>
              <w:right w:val="single" w:sz="4" w:space="0" w:color="auto"/>
            </w:tcBorders>
            <w:shd w:val="clear" w:color="auto" w:fill="9CC2E5" w:themeFill="accent1" w:themeFillTint="99"/>
            <w:vAlign w:val="center"/>
          </w:tcPr>
          <w:p w14:paraId="08BA7451"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tc>
        <w:tc>
          <w:tcPr>
            <w:tcW w:w="417" w:type="pct"/>
            <w:vMerge/>
            <w:tcBorders>
              <w:left w:val="single" w:sz="4" w:space="0" w:color="auto"/>
              <w:right w:val="single" w:sz="4" w:space="0" w:color="auto"/>
            </w:tcBorders>
            <w:shd w:val="clear" w:color="auto" w:fill="F4B083" w:themeFill="accent2" w:themeFillTint="99"/>
            <w:vAlign w:val="center"/>
          </w:tcPr>
          <w:p w14:paraId="740CF6DA" w14:textId="77777777" w:rsidR="00D87A52" w:rsidRPr="001053DB" w:rsidRDefault="00D87A52" w:rsidP="003F5EF0">
            <w:pPr>
              <w:spacing w:after="0" w:line="240" w:lineRule="auto"/>
              <w:rPr>
                <w:rFonts w:ascii="Times New Roman" w:eastAsia="Times New Roman" w:hAnsi="Times New Roman" w:cs="Times New Roman"/>
                <w:sz w:val="14"/>
                <w:szCs w:val="14"/>
                <w:lang w:val="sr-Cyrl-CS"/>
              </w:rPr>
            </w:pPr>
          </w:p>
        </w:tc>
        <w:tc>
          <w:tcPr>
            <w:tcW w:w="648" w:type="pct"/>
            <w:vMerge/>
            <w:tcBorders>
              <w:left w:val="nil"/>
              <w:bottom w:val="single" w:sz="4" w:space="0" w:color="auto"/>
              <w:right w:val="single" w:sz="4" w:space="0" w:color="auto"/>
            </w:tcBorders>
            <w:shd w:val="clear" w:color="auto" w:fill="4472C4" w:themeFill="accent5"/>
            <w:vAlign w:val="center"/>
          </w:tcPr>
          <w:p w14:paraId="30670893"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tc>
        <w:tc>
          <w:tcPr>
            <w:tcW w:w="644" w:type="pct"/>
            <w:vMerge/>
            <w:tcBorders>
              <w:left w:val="nil"/>
              <w:bottom w:val="single" w:sz="4" w:space="0" w:color="auto"/>
              <w:right w:val="single" w:sz="4" w:space="0" w:color="auto"/>
            </w:tcBorders>
            <w:shd w:val="clear" w:color="auto" w:fill="F4B083" w:themeFill="accent2" w:themeFillTint="99"/>
          </w:tcPr>
          <w:p w14:paraId="7BC0C125" w14:textId="77777777" w:rsidR="00D87A52" w:rsidRPr="001053DB" w:rsidRDefault="00D87A52" w:rsidP="003F5EF0">
            <w:pPr>
              <w:spacing w:after="0" w:line="240" w:lineRule="auto"/>
              <w:jc w:val="center"/>
              <w:rPr>
                <w:rFonts w:ascii="Times New Roman" w:eastAsia="Times New Roman" w:hAnsi="Times New Roman" w:cs="Times New Roman"/>
                <w:sz w:val="14"/>
                <w:szCs w:val="14"/>
                <w:lang w:val="sr-Cyrl-CS"/>
              </w:rPr>
            </w:pPr>
          </w:p>
        </w:tc>
      </w:tr>
      <w:tr w:rsidR="00D30238" w:rsidRPr="001053DB" w14:paraId="08D49F4B" w14:textId="77777777" w:rsidTr="008B3BCD">
        <w:trPr>
          <w:trHeight w:val="1034"/>
        </w:trPr>
        <w:tc>
          <w:tcPr>
            <w:tcW w:w="505" w:type="pct"/>
            <w:tcBorders>
              <w:top w:val="nil"/>
              <w:left w:val="single" w:sz="4" w:space="0" w:color="auto"/>
              <w:bottom w:val="single" w:sz="4" w:space="0" w:color="auto"/>
              <w:right w:val="single" w:sz="4" w:space="0" w:color="auto"/>
            </w:tcBorders>
            <w:shd w:val="clear" w:color="auto" w:fill="F4B083" w:themeFill="accent2" w:themeFillTint="99"/>
            <w:vAlign w:val="center"/>
            <w:hideMark/>
          </w:tcPr>
          <w:p w14:paraId="2A52A883" w14:textId="4F1994D5" w:rsidR="00C74B3F" w:rsidRPr="001053DB" w:rsidRDefault="00B80DDD"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Negotiation Chapters 17 and 23</w:t>
            </w:r>
            <w:r w:rsidR="00C74B3F" w:rsidRPr="001053DB">
              <w:rPr>
                <w:rFonts w:ascii="Times New Roman" w:eastAsia="Times New Roman" w:hAnsi="Times New Roman" w:cs="Times New Roman"/>
                <w:sz w:val="14"/>
                <w:szCs w:val="14"/>
                <w:lang w:val="sr-Cyrl-CS"/>
              </w:rPr>
              <w:t xml:space="preserve"> </w:t>
            </w:r>
          </w:p>
        </w:tc>
        <w:tc>
          <w:tcPr>
            <w:tcW w:w="419" w:type="pct"/>
            <w:tcBorders>
              <w:top w:val="nil"/>
              <w:left w:val="nil"/>
              <w:bottom w:val="single" w:sz="4" w:space="0" w:color="auto"/>
              <w:right w:val="single" w:sz="4" w:space="0" w:color="auto"/>
            </w:tcBorders>
            <w:shd w:val="clear" w:color="auto" w:fill="4472C4" w:themeFill="accent5"/>
            <w:vAlign w:val="center"/>
            <w:hideMark/>
          </w:tcPr>
          <w:p w14:paraId="401783A7" w14:textId="6AB4B9FB" w:rsidR="00C74B3F" w:rsidRPr="008F12BC" w:rsidRDefault="008F12BC" w:rsidP="003F5EF0">
            <w:pPr>
              <w:spacing w:after="0" w:line="240" w:lineRule="auto"/>
              <w:jc w:val="center"/>
              <w:rPr>
                <w:rFonts w:ascii="Times New Roman" w:eastAsia="Times New Roman" w:hAnsi="Times New Roman" w:cs="Times New Roman"/>
                <w:sz w:val="14"/>
                <w:szCs w:val="14"/>
                <w:lang w:val="en-US"/>
              </w:rPr>
            </w:pPr>
            <w:r>
              <w:rPr>
                <w:rFonts w:ascii="Times New Roman" w:eastAsia="Times New Roman" w:hAnsi="Times New Roman" w:cs="Times New Roman"/>
                <w:sz w:val="14"/>
                <w:szCs w:val="14"/>
                <w:lang w:val="en-US"/>
              </w:rPr>
              <w:t>Action Plan for implementation of Government Program</w:t>
            </w:r>
          </w:p>
          <w:p w14:paraId="6122843E" w14:textId="77777777" w:rsidR="00C74B3F" w:rsidRPr="001053DB" w:rsidRDefault="00C74B3F" w:rsidP="003F5EF0">
            <w:pPr>
              <w:spacing w:after="0" w:line="240" w:lineRule="auto"/>
              <w:jc w:val="center"/>
              <w:rPr>
                <w:rFonts w:ascii="Times New Roman" w:eastAsia="Times New Roman" w:hAnsi="Times New Roman" w:cs="Times New Roman"/>
                <w:sz w:val="14"/>
                <w:szCs w:val="14"/>
                <w:lang w:val="sr-Cyrl-CS"/>
              </w:rPr>
            </w:pPr>
          </w:p>
          <w:p w14:paraId="043831EB" w14:textId="15C94686" w:rsidR="00C74B3F" w:rsidRPr="001053DB" w:rsidRDefault="008F12BC" w:rsidP="0071442D">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Annual Work Plan of the Government</w:t>
            </w:r>
            <w:r w:rsidR="00C74B3F" w:rsidRPr="001053DB">
              <w:rPr>
                <w:rFonts w:ascii="Times New Roman" w:eastAsia="Times New Roman" w:hAnsi="Times New Roman" w:cs="Times New Roman"/>
                <w:sz w:val="14"/>
                <w:szCs w:val="14"/>
                <w:lang w:val="sr-Cyrl-CS"/>
              </w:rPr>
              <w:t xml:space="preserve"> </w:t>
            </w:r>
            <w:r w:rsidR="0071442D" w:rsidRPr="001053DB">
              <w:rPr>
                <w:rFonts w:ascii="Times New Roman" w:eastAsia="Times New Roman" w:hAnsi="Times New Roman" w:cs="Times New Roman"/>
                <w:sz w:val="14"/>
                <w:szCs w:val="14"/>
                <w:lang w:val="sr-Cyrl-CS"/>
              </w:rPr>
              <w:t xml:space="preserve"> </w:t>
            </w:r>
          </w:p>
        </w:tc>
        <w:tc>
          <w:tcPr>
            <w:tcW w:w="600" w:type="pct"/>
            <w:tcBorders>
              <w:top w:val="nil"/>
              <w:left w:val="nil"/>
              <w:bottom w:val="single" w:sz="4" w:space="0" w:color="auto"/>
              <w:right w:val="single" w:sz="4" w:space="0" w:color="auto"/>
            </w:tcBorders>
            <w:shd w:val="clear" w:color="auto" w:fill="F4B083" w:themeFill="accent2" w:themeFillTint="99"/>
            <w:vAlign w:val="center"/>
            <w:hideMark/>
          </w:tcPr>
          <w:p w14:paraId="7ADFAD5B" w14:textId="50B6A81F" w:rsidR="00C74B3F" w:rsidRPr="001053DB" w:rsidRDefault="008F12BC"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Negotiation Chapters</w:t>
            </w:r>
            <w:r w:rsidR="00C74B3F" w:rsidRPr="001053DB">
              <w:rPr>
                <w:rFonts w:ascii="Times New Roman" w:eastAsia="Times New Roman" w:hAnsi="Times New Roman" w:cs="Times New Roman"/>
                <w:sz w:val="14"/>
                <w:szCs w:val="14"/>
                <w:lang w:val="sr-Cyrl-CS"/>
              </w:rPr>
              <w:t xml:space="preserve"> 29, 33 </w:t>
            </w:r>
            <w:r>
              <w:rPr>
                <w:rFonts w:ascii="Times New Roman" w:eastAsia="Times New Roman" w:hAnsi="Times New Roman" w:cs="Times New Roman"/>
                <w:sz w:val="14"/>
                <w:szCs w:val="14"/>
                <w:lang w:val="en-US"/>
              </w:rPr>
              <w:t>and</w:t>
            </w:r>
            <w:r w:rsidR="00C74B3F" w:rsidRPr="001053DB">
              <w:rPr>
                <w:rFonts w:ascii="Times New Roman" w:eastAsia="Times New Roman" w:hAnsi="Times New Roman" w:cs="Times New Roman"/>
                <w:sz w:val="14"/>
                <w:szCs w:val="14"/>
                <w:lang w:val="sr-Cyrl-CS"/>
              </w:rPr>
              <w:t xml:space="preserve"> 17</w:t>
            </w:r>
          </w:p>
          <w:p w14:paraId="720A639B" w14:textId="77777777" w:rsidR="00C74B3F" w:rsidRPr="001053DB" w:rsidRDefault="00C74B3F" w:rsidP="003F5EF0">
            <w:pPr>
              <w:spacing w:after="0" w:line="240" w:lineRule="auto"/>
              <w:jc w:val="center"/>
              <w:rPr>
                <w:rFonts w:ascii="Times New Roman" w:eastAsia="Times New Roman" w:hAnsi="Times New Roman" w:cs="Times New Roman"/>
                <w:sz w:val="14"/>
                <w:szCs w:val="14"/>
                <w:lang w:val="sr-Cyrl-CS"/>
              </w:rPr>
            </w:pPr>
          </w:p>
        </w:tc>
        <w:tc>
          <w:tcPr>
            <w:tcW w:w="534" w:type="pct"/>
            <w:vMerge/>
            <w:tcBorders>
              <w:left w:val="single" w:sz="4" w:space="0" w:color="auto"/>
              <w:bottom w:val="single" w:sz="4" w:space="0" w:color="auto"/>
              <w:right w:val="single" w:sz="4" w:space="0" w:color="auto"/>
            </w:tcBorders>
            <w:shd w:val="clear" w:color="000000" w:fill="9BC2E6"/>
            <w:vAlign w:val="center"/>
            <w:hideMark/>
          </w:tcPr>
          <w:p w14:paraId="139C32B6" w14:textId="77777777" w:rsidR="00C74B3F" w:rsidRPr="001053DB" w:rsidRDefault="00C74B3F" w:rsidP="00C74B3F">
            <w:pPr>
              <w:spacing w:after="0" w:line="240" w:lineRule="auto"/>
              <w:jc w:val="center"/>
              <w:rPr>
                <w:rFonts w:ascii="Times New Roman" w:eastAsia="Times New Roman" w:hAnsi="Times New Roman" w:cs="Times New Roman"/>
                <w:sz w:val="14"/>
                <w:szCs w:val="14"/>
                <w:lang w:val="sr-Cyrl-CS"/>
              </w:rPr>
            </w:pPr>
          </w:p>
        </w:tc>
        <w:tc>
          <w:tcPr>
            <w:tcW w:w="435" w:type="pct"/>
            <w:vMerge/>
            <w:tcBorders>
              <w:left w:val="single" w:sz="4" w:space="0" w:color="auto"/>
              <w:bottom w:val="single" w:sz="4" w:space="0" w:color="000000"/>
              <w:right w:val="single" w:sz="4" w:space="0" w:color="auto"/>
            </w:tcBorders>
            <w:shd w:val="clear" w:color="auto" w:fill="F4B083" w:themeFill="accent2" w:themeFillTint="99"/>
            <w:vAlign w:val="center"/>
            <w:hideMark/>
          </w:tcPr>
          <w:p w14:paraId="6A523E44" w14:textId="77777777" w:rsidR="00C74B3F" w:rsidRPr="001053DB" w:rsidRDefault="00C74B3F" w:rsidP="003F5EF0">
            <w:pPr>
              <w:spacing w:after="0" w:line="240" w:lineRule="auto"/>
              <w:rPr>
                <w:rFonts w:ascii="Times New Roman" w:eastAsia="Times New Roman" w:hAnsi="Times New Roman" w:cs="Times New Roman"/>
                <w:sz w:val="14"/>
                <w:szCs w:val="14"/>
                <w:lang w:val="sr-Cyrl-CS"/>
              </w:rPr>
            </w:pPr>
          </w:p>
        </w:tc>
        <w:tc>
          <w:tcPr>
            <w:tcW w:w="365" w:type="pct"/>
            <w:vMerge/>
            <w:tcBorders>
              <w:left w:val="single" w:sz="4" w:space="0" w:color="auto"/>
              <w:right w:val="single" w:sz="4" w:space="0" w:color="auto"/>
            </w:tcBorders>
            <w:shd w:val="clear" w:color="auto" w:fill="F4B083" w:themeFill="accent2" w:themeFillTint="99"/>
            <w:vAlign w:val="center"/>
            <w:hideMark/>
          </w:tcPr>
          <w:p w14:paraId="702BA1D9" w14:textId="77777777" w:rsidR="00C74B3F" w:rsidRPr="001053DB" w:rsidRDefault="00C74B3F" w:rsidP="003F5EF0">
            <w:pPr>
              <w:spacing w:after="0" w:line="240" w:lineRule="auto"/>
              <w:rPr>
                <w:rFonts w:ascii="Times New Roman" w:eastAsia="Times New Roman" w:hAnsi="Times New Roman" w:cs="Times New Roman"/>
                <w:sz w:val="14"/>
                <w:szCs w:val="14"/>
                <w:lang w:val="sr-Cyrl-CS"/>
              </w:rPr>
            </w:pPr>
          </w:p>
        </w:tc>
        <w:tc>
          <w:tcPr>
            <w:tcW w:w="433" w:type="pct"/>
            <w:vMerge/>
            <w:tcBorders>
              <w:left w:val="single" w:sz="4" w:space="0" w:color="auto"/>
              <w:bottom w:val="single" w:sz="4" w:space="0" w:color="auto"/>
              <w:right w:val="single" w:sz="4" w:space="0" w:color="auto"/>
            </w:tcBorders>
            <w:shd w:val="clear" w:color="auto" w:fill="9CC2E5" w:themeFill="accent1" w:themeFillTint="99"/>
            <w:vAlign w:val="center"/>
            <w:hideMark/>
          </w:tcPr>
          <w:p w14:paraId="54ECF84B" w14:textId="77777777" w:rsidR="00C74B3F" w:rsidRPr="001053DB" w:rsidRDefault="00C74B3F" w:rsidP="003F5EF0">
            <w:pPr>
              <w:spacing w:after="0" w:line="240" w:lineRule="auto"/>
              <w:rPr>
                <w:rFonts w:ascii="Times New Roman" w:eastAsia="Times New Roman" w:hAnsi="Times New Roman" w:cs="Times New Roman"/>
                <w:sz w:val="14"/>
                <w:szCs w:val="14"/>
                <w:lang w:val="sr-Cyrl-CS"/>
              </w:rPr>
            </w:pPr>
          </w:p>
        </w:tc>
        <w:tc>
          <w:tcPr>
            <w:tcW w:w="417" w:type="pct"/>
            <w:vMerge/>
            <w:tcBorders>
              <w:left w:val="single" w:sz="4" w:space="0" w:color="auto"/>
              <w:bottom w:val="single" w:sz="4" w:space="0" w:color="auto"/>
              <w:right w:val="single" w:sz="4" w:space="0" w:color="auto"/>
            </w:tcBorders>
            <w:shd w:val="clear" w:color="auto" w:fill="F4B083" w:themeFill="accent2" w:themeFillTint="99"/>
            <w:vAlign w:val="center"/>
            <w:hideMark/>
          </w:tcPr>
          <w:p w14:paraId="21FE35D5" w14:textId="77777777" w:rsidR="00C74B3F" w:rsidRPr="001053DB" w:rsidRDefault="00C74B3F" w:rsidP="003F5EF0">
            <w:pPr>
              <w:spacing w:after="0" w:line="240" w:lineRule="auto"/>
              <w:rPr>
                <w:rFonts w:ascii="Times New Roman" w:eastAsia="Times New Roman" w:hAnsi="Times New Roman" w:cs="Times New Roman"/>
                <w:sz w:val="14"/>
                <w:szCs w:val="14"/>
                <w:lang w:val="sr-Cyrl-CS"/>
              </w:rPr>
            </w:pPr>
          </w:p>
        </w:tc>
        <w:tc>
          <w:tcPr>
            <w:tcW w:w="648" w:type="pct"/>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3063E507" w14:textId="65303C42" w:rsidR="00C74B3F" w:rsidRPr="001053DB" w:rsidRDefault="0017590B"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Negotiation Chapter</w:t>
            </w:r>
            <w:r w:rsidR="00C74B3F" w:rsidRPr="001053DB">
              <w:rPr>
                <w:rFonts w:ascii="Times New Roman" w:eastAsia="Times New Roman" w:hAnsi="Times New Roman" w:cs="Times New Roman"/>
                <w:sz w:val="14"/>
                <w:szCs w:val="14"/>
                <w:lang w:val="sr-Cyrl-CS"/>
              </w:rPr>
              <w:t xml:space="preserve"> 17</w:t>
            </w:r>
          </w:p>
        </w:tc>
        <w:tc>
          <w:tcPr>
            <w:tcW w:w="644" w:type="pct"/>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0355FD50" w14:textId="77777777" w:rsidR="00C74B3F" w:rsidRPr="001053DB" w:rsidRDefault="00C74B3F" w:rsidP="003F5EF0">
            <w:pPr>
              <w:spacing w:after="0" w:line="240" w:lineRule="auto"/>
              <w:jc w:val="center"/>
              <w:rPr>
                <w:rFonts w:ascii="Times New Roman" w:eastAsia="Times New Roman" w:hAnsi="Times New Roman" w:cs="Times New Roman"/>
                <w:sz w:val="14"/>
                <w:szCs w:val="14"/>
                <w:lang w:val="sr-Cyrl-CS"/>
              </w:rPr>
            </w:pPr>
          </w:p>
          <w:p w14:paraId="14E38948" w14:textId="77777777" w:rsidR="00C74B3F" w:rsidRPr="001053DB" w:rsidRDefault="00C74B3F" w:rsidP="003F5EF0">
            <w:pPr>
              <w:spacing w:after="0" w:line="240" w:lineRule="auto"/>
              <w:jc w:val="center"/>
              <w:rPr>
                <w:rFonts w:ascii="Times New Roman" w:eastAsia="Times New Roman" w:hAnsi="Times New Roman" w:cs="Times New Roman"/>
                <w:sz w:val="14"/>
                <w:szCs w:val="14"/>
                <w:lang w:val="sr-Cyrl-CS"/>
              </w:rPr>
            </w:pPr>
          </w:p>
          <w:p w14:paraId="781650DE" w14:textId="77777777" w:rsidR="00C74B3F" w:rsidRPr="001053DB" w:rsidRDefault="00C74B3F" w:rsidP="003F5EF0">
            <w:pPr>
              <w:spacing w:after="0" w:line="240" w:lineRule="auto"/>
              <w:jc w:val="center"/>
              <w:rPr>
                <w:rFonts w:ascii="Times New Roman" w:eastAsia="Times New Roman" w:hAnsi="Times New Roman" w:cs="Times New Roman"/>
                <w:sz w:val="14"/>
                <w:szCs w:val="14"/>
                <w:lang w:val="sr-Cyrl-CS"/>
              </w:rPr>
            </w:pPr>
          </w:p>
          <w:p w14:paraId="0B2939F4" w14:textId="07F60463" w:rsidR="00C74B3F" w:rsidRPr="001053DB" w:rsidRDefault="0017590B"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Negotiation Chapter</w:t>
            </w:r>
            <w:r w:rsidR="00C74B3F" w:rsidRPr="001053DB">
              <w:rPr>
                <w:rFonts w:ascii="Times New Roman" w:eastAsia="Times New Roman" w:hAnsi="Times New Roman" w:cs="Times New Roman"/>
                <w:sz w:val="14"/>
                <w:szCs w:val="14"/>
                <w:lang w:val="sr-Cyrl-CS"/>
              </w:rPr>
              <w:t xml:space="preserve"> 23</w:t>
            </w:r>
          </w:p>
          <w:p w14:paraId="47A10F4C" w14:textId="77777777" w:rsidR="00C74B3F" w:rsidRPr="001053DB" w:rsidRDefault="00C74B3F" w:rsidP="003F5EF0">
            <w:pPr>
              <w:spacing w:after="0" w:line="240" w:lineRule="auto"/>
              <w:rPr>
                <w:rFonts w:ascii="Times New Roman" w:eastAsia="Times New Roman" w:hAnsi="Times New Roman" w:cs="Times New Roman"/>
                <w:sz w:val="14"/>
                <w:szCs w:val="14"/>
                <w:lang w:val="sr-Cyrl-CS"/>
              </w:rPr>
            </w:pPr>
          </w:p>
        </w:tc>
      </w:tr>
      <w:tr w:rsidR="00D30238" w:rsidRPr="001053DB" w14:paraId="0659B2BC" w14:textId="77777777" w:rsidTr="008B3BCD">
        <w:trPr>
          <w:trHeight w:val="935"/>
        </w:trPr>
        <w:tc>
          <w:tcPr>
            <w:tcW w:w="505" w:type="pct"/>
            <w:vMerge w:val="restart"/>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5FEFBB10" w14:textId="172A6583" w:rsidR="003F5EF0" w:rsidRPr="001053DB" w:rsidRDefault="008F12BC"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Action plan for Chapter</w:t>
            </w:r>
            <w:r w:rsidR="003F5EF0" w:rsidRPr="001053DB">
              <w:rPr>
                <w:rFonts w:ascii="Times New Roman" w:eastAsia="Times New Roman" w:hAnsi="Times New Roman" w:cs="Times New Roman"/>
                <w:sz w:val="14"/>
                <w:szCs w:val="14"/>
                <w:lang w:val="sr-Cyrl-CS"/>
              </w:rPr>
              <w:t xml:space="preserve"> 22</w:t>
            </w:r>
          </w:p>
          <w:p w14:paraId="0AE84535" w14:textId="77777777" w:rsidR="003F5EF0" w:rsidRPr="001053DB" w:rsidRDefault="003F5EF0" w:rsidP="003F5EF0">
            <w:pPr>
              <w:spacing w:after="0" w:line="240" w:lineRule="auto"/>
              <w:jc w:val="center"/>
              <w:rPr>
                <w:rFonts w:ascii="Times New Roman" w:eastAsia="Times New Roman" w:hAnsi="Times New Roman" w:cs="Times New Roman"/>
                <w:sz w:val="14"/>
                <w:szCs w:val="14"/>
                <w:lang w:val="sr-Cyrl-CS"/>
              </w:rPr>
            </w:pPr>
          </w:p>
          <w:p w14:paraId="0BB3C76B" w14:textId="77777777" w:rsidR="003F5EF0" w:rsidRPr="001053DB" w:rsidRDefault="003F5EF0" w:rsidP="003F5EF0">
            <w:pPr>
              <w:spacing w:after="0" w:line="240" w:lineRule="auto"/>
              <w:jc w:val="center"/>
              <w:rPr>
                <w:rFonts w:ascii="Times New Roman" w:eastAsia="Times New Roman" w:hAnsi="Times New Roman" w:cs="Times New Roman"/>
                <w:sz w:val="14"/>
                <w:szCs w:val="14"/>
                <w:lang w:val="sr-Cyrl-CS"/>
              </w:rPr>
            </w:pPr>
          </w:p>
          <w:p w14:paraId="0AF5FA17" w14:textId="31A241CD" w:rsidR="003F5EF0" w:rsidRPr="001053DB" w:rsidRDefault="008F12BC"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Negotiation Chapter</w:t>
            </w:r>
            <w:r w:rsidR="003F5EF0" w:rsidRPr="001053DB">
              <w:rPr>
                <w:rFonts w:ascii="Times New Roman" w:eastAsia="Times New Roman" w:hAnsi="Times New Roman" w:cs="Times New Roman"/>
                <w:sz w:val="14"/>
                <w:szCs w:val="14"/>
                <w:lang w:val="sr-Cyrl-CS"/>
              </w:rPr>
              <w:t xml:space="preserve"> 23</w:t>
            </w:r>
          </w:p>
        </w:tc>
        <w:tc>
          <w:tcPr>
            <w:tcW w:w="419" w:type="pct"/>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1987E9E6" w14:textId="77777777" w:rsidR="003F5EF0" w:rsidRPr="001053DB" w:rsidRDefault="003F5EF0" w:rsidP="003F5EF0">
            <w:pPr>
              <w:spacing w:after="0" w:line="240" w:lineRule="auto"/>
              <w:jc w:val="center"/>
              <w:rPr>
                <w:rFonts w:ascii="Times New Roman" w:eastAsia="Times New Roman" w:hAnsi="Times New Roman" w:cs="Times New Roman"/>
                <w:sz w:val="14"/>
                <w:szCs w:val="14"/>
                <w:lang w:val="sr-Cyrl-CS"/>
              </w:rPr>
            </w:pPr>
          </w:p>
          <w:p w14:paraId="0E24D01C" w14:textId="77777777" w:rsidR="0071442D" w:rsidRPr="001053DB" w:rsidRDefault="0071442D" w:rsidP="003F5EF0">
            <w:pPr>
              <w:spacing w:after="0" w:line="240" w:lineRule="auto"/>
              <w:jc w:val="center"/>
              <w:rPr>
                <w:rFonts w:ascii="Times New Roman" w:eastAsia="Times New Roman" w:hAnsi="Times New Roman" w:cs="Times New Roman"/>
                <w:sz w:val="14"/>
                <w:szCs w:val="14"/>
                <w:lang w:val="sr-Cyrl-CS"/>
              </w:rPr>
            </w:pPr>
          </w:p>
          <w:p w14:paraId="35507473" w14:textId="7BCDB06C" w:rsidR="003F5EF0" w:rsidRPr="001053DB" w:rsidRDefault="008F12BC"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Negotiation Chapter</w:t>
            </w:r>
            <w:r w:rsidR="003F5EF0" w:rsidRPr="001053DB">
              <w:rPr>
                <w:rFonts w:ascii="Times New Roman" w:eastAsia="Times New Roman" w:hAnsi="Times New Roman" w:cs="Times New Roman"/>
                <w:sz w:val="14"/>
                <w:szCs w:val="14"/>
                <w:lang w:val="sr-Cyrl-CS"/>
              </w:rPr>
              <w:t xml:space="preserve"> 16</w:t>
            </w:r>
          </w:p>
          <w:p w14:paraId="6A90350B" w14:textId="77777777" w:rsidR="003F5EF0" w:rsidRPr="001053DB" w:rsidRDefault="003F5EF0" w:rsidP="003F5EF0">
            <w:pPr>
              <w:spacing w:after="0" w:line="240" w:lineRule="auto"/>
              <w:jc w:val="center"/>
              <w:rPr>
                <w:rFonts w:ascii="Times New Roman" w:eastAsia="Times New Roman" w:hAnsi="Times New Roman" w:cs="Times New Roman"/>
                <w:sz w:val="14"/>
                <w:szCs w:val="14"/>
                <w:lang w:val="sr-Cyrl-CS"/>
              </w:rPr>
            </w:pPr>
          </w:p>
          <w:p w14:paraId="394FDBF6" w14:textId="24C6F090" w:rsidR="003F5EF0" w:rsidRPr="001053DB" w:rsidRDefault="008F12BC"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Action plan for Chapter</w:t>
            </w:r>
            <w:r w:rsidR="003F5EF0" w:rsidRPr="001053DB">
              <w:rPr>
                <w:rFonts w:ascii="Times New Roman" w:eastAsia="Times New Roman" w:hAnsi="Times New Roman" w:cs="Times New Roman"/>
                <w:sz w:val="14"/>
                <w:szCs w:val="14"/>
                <w:lang w:val="sr-Cyrl-CS"/>
              </w:rPr>
              <w:t xml:space="preserve"> 23</w:t>
            </w:r>
          </w:p>
        </w:tc>
        <w:tc>
          <w:tcPr>
            <w:tcW w:w="600" w:type="pct"/>
            <w:vMerge w:val="restart"/>
            <w:tcBorders>
              <w:top w:val="single" w:sz="4" w:space="0" w:color="auto"/>
              <w:left w:val="nil"/>
              <w:bottom w:val="single" w:sz="4" w:space="0" w:color="auto"/>
              <w:right w:val="single" w:sz="4" w:space="0" w:color="auto"/>
            </w:tcBorders>
            <w:shd w:val="clear" w:color="auto" w:fill="F4B083" w:themeFill="accent2" w:themeFillTint="99"/>
            <w:vAlign w:val="center"/>
            <w:hideMark/>
          </w:tcPr>
          <w:p w14:paraId="47B63499" w14:textId="33822402" w:rsidR="003F5EF0" w:rsidRPr="001053DB" w:rsidRDefault="008F12BC" w:rsidP="000D0D8F">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Negotiation Chapters</w:t>
            </w:r>
            <w:r w:rsidR="003F5EF0" w:rsidRPr="001053DB">
              <w:rPr>
                <w:rFonts w:ascii="Times New Roman" w:eastAsia="Times New Roman" w:hAnsi="Times New Roman" w:cs="Times New Roman"/>
                <w:sz w:val="14"/>
                <w:szCs w:val="14"/>
                <w:lang w:val="sr-Cyrl-CS"/>
              </w:rPr>
              <w:t xml:space="preserve"> 23</w:t>
            </w:r>
            <w:r w:rsidR="003B0E29" w:rsidRPr="001053DB">
              <w:rPr>
                <w:rFonts w:ascii="Times New Roman" w:eastAsia="Times New Roman" w:hAnsi="Times New Roman" w:cs="Times New Roman"/>
                <w:sz w:val="14"/>
                <w:szCs w:val="14"/>
                <w:lang w:val="sr-Cyrl-CS"/>
              </w:rPr>
              <w:t xml:space="preserve"> </w:t>
            </w:r>
            <w:r>
              <w:rPr>
                <w:rFonts w:ascii="Times New Roman" w:eastAsia="Times New Roman" w:hAnsi="Times New Roman" w:cs="Times New Roman"/>
                <w:sz w:val="14"/>
                <w:szCs w:val="14"/>
                <w:lang w:val="en-US"/>
              </w:rPr>
              <w:t>and</w:t>
            </w:r>
            <w:r w:rsidR="000D0D8F" w:rsidRPr="001053DB">
              <w:rPr>
                <w:rFonts w:ascii="Times New Roman" w:eastAsia="Times New Roman" w:hAnsi="Times New Roman" w:cs="Times New Roman"/>
                <w:sz w:val="14"/>
                <w:szCs w:val="14"/>
                <w:lang w:val="sr-Cyrl-CS"/>
              </w:rPr>
              <w:t xml:space="preserve"> </w:t>
            </w:r>
            <w:r w:rsidR="003F5EF0" w:rsidRPr="001053DB">
              <w:rPr>
                <w:rFonts w:ascii="Times New Roman" w:eastAsia="Times New Roman" w:hAnsi="Times New Roman" w:cs="Times New Roman"/>
                <w:sz w:val="14"/>
                <w:szCs w:val="14"/>
                <w:lang w:val="sr-Cyrl-CS"/>
              </w:rPr>
              <w:t>24</w:t>
            </w:r>
          </w:p>
        </w:tc>
        <w:tc>
          <w:tcPr>
            <w:tcW w:w="534" w:type="pct"/>
            <w:vMerge w:val="restart"/>
            <w:tcBorders>
              <w:top w:val="single" w:sz="4" w:space="0" w:color="auto"/>
              <w:left w:val="single" w:sz="4" w:space="0" w:color="auto"/>
              <w:right w:val="single" w:sz="4" w:space="0" w:color="auto"/>
            </w:tcBorders>
            <w:shd w:val="clear" w:color="auto" w:fill="F4B083" w:themeFill="accent2" w:themeFillTint="99"/>
            <w:vAlign w:val="center"/>
            <w:hideMark/>
          </w:tcPr>
          <w:p w14:paraId="340CAF52" w14:textId="5C312F54" w:rsidR="003F5EF0" w:rsidRPr="001053DB" w:rsidRDefault="008F12BC" w:rsidP="003F5EF0">
            <w:pPr>
              <w:spacing w:after="0" w:line="240" w:lineRule="auto"/>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Negotiation Chapter</w:t>
            </w:r>
            <w:r w:rsidR="003F5EF0" w:rsidRPr="001053DB">
              <w:rPr>
                <w:rFonts w:ascii="Times New Roman" w:eastAsia="Times New Roman" w:hAnsi="Times New Roman" w:cs="Times New Roman"/>
                <w:sz w:val="14"/>
                <w:szCs w:val="14"/>
                <w:lang w:val="sr-Cyrl-CS"/>
              </w:rPr>
              <w:t xml:space="preserve"> 17</w:t>
            </w:r>
          </w:p>
          <w:p w14:paraId="65AE992E" w14:textId="77777777" w:rsidR="003F5EF0" w:rsidRPr="001053DB" w:rsidRDefault="003F5EF0" w:rsidP="003F5EF0">
            <w:pPr>
              <w:spacing w:after="0" w:line="240" w:lineRule="auto"/>
              <w:rPr>
                <w:rFonts w:ascii="Times New Roman" w:eastAsia="Times New Roman" w:hAnsi="Times New Roman" w:cs="Times New Roman"/>
                <w:sz w:val="14"/>
                <w:szCs w:val="14"/>
                <w:lang w:val="sr-Cyrl-CS"/>
              </w:rPr>
            </w:pPr>
          </w:p>
        </w:tc>
        <w:tc>
          <w:tcPr>
            <w:tcW w:w="435" w:type="pct"/>
            <w:vMerge w:val="restart"/>
            <w:tcBorders>
              <w:top w:val="nil"/>
              <w:left w:val="single" w:sz="4" w:space="0" w:color="auto"/>
              <w:right w:val="single" w:sz="4" w:space="0" w:color="auto"/>
            </w:tcBorders>
            <w:shd w:val="clear" w:color="auto" w:fill="F4B083" w:themeFill="accent2" w:themeFillTint="99"/>
            <w:vAlign w:val="center"/>
            <w:hideMark/>
          </w:tcPr>
          <w:p w14:paraId="763762FB" w14:textId="03BE8A92" w:rsidR="003F5EF0" w:rsidRPr="001053DB" w:rsidRDefault="008F12BC"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Action plan for Chapter</w:t>
            </w:r>
            <w:r w:rsidR="003F5EF0" w:rsidRPr="001053DB">
              <w:rPr>
                <w:rFonts w:ascii="Times New Roman" w:eastAsia="Times New Roman" w:hAnsi="Times New Roman" w:cs="Times New Roman"/>
                <w:sz w:val="14"/>
                <w:szCs w:val="14"/>
                <w:lang w:val="sr-Cyrl-CS"/>
              </w:rPr>
              <w:t xml:space="preserve"> 22</w:t>
            </w:r>
          </w:p>
        </w:tc>
        <w:tc>
          <w:tcPr>
            <w:tcW w:w="365" w:type="pct"/>
            <w:vMerge/>
            <w:tcBorders>
              <w:left w:val="single" w:sz="4" w:space="0" w:color="auto"/>
              <w:right w:val="single" w:sz="4" w:space="0" w:color="auto"/>
            </w:tcBorders>
            <w:shd w:val="clear" w:color="auto" w:fill="F4B083" w:themeFill="accent2" w:themeFillTint="99"/>
            <w:vAlign w:val="center"/>
            <w:hideMark/>
          </w:tcPr>
          <w:p w14:paraId="45DD3F41" w14:textId="77777777" w:rsidR="003F5EF0" w:rsidRPr="001053DB" w:rsidRDefault="003F5EF0" w:rsidP="003F5EF0">
            <w:pPr>
              <w:spacing w:after="0" w:line="240" w:lineRule="auto"/>
              <w:jc w:val="center"/>
              <w:rPr>
                <w:rFonts w:ascii="Times New Roman" w:eastAsia="Times New Roman" w:hAnsi="Times New Roman" w:cs="Times New Roman"/>
                <w:sz w:val="14"/>
                <w:szCs w:val="14"/>
                <w:lang w:val="sr-Cyrl-CS"/>
              </w:rPr>
            </w:pPr>
          </w:p>
        </w:tc>
        <w:tc>
          <w:tcPr>
            <w:tcW w:w="433" w:type="pct"/>
            <w:vMerge w:val="restart"/>
            <w:tcBorders>
              <w:top w:val="single" w:sz="4" w:space="0" w:color="auto"/>
              <w:left w:val="single" w:sz="4" w:space="0" w:color="auto"/>
              <w:bottom w:val="single" w:sz="4" w:space="0" w:color="auto"/>
              <w:right w:val="single" w:sz="4" w:space="0" w:color="auto"/>
            </w:tcBorders>
            <w:shd w:val="clear" w:color="000000" w:fill="F4B084"/>
            <w:vAlign w:val="center"/>
            <w:hideMark/>
          </w:tcPr>
          <w:p w14:paraId="53D0750E" w14:textId="2AFD9802" w:rsidR="003F5EF0" w:rsidRPr="001053DB" w:rsidRDefault="0017590B" w:rsidP="003F5EF0">
            <w:pPr>
              <w:spacing w:after="0" w:line="240" w:lineRule="auto"/>
              <w:jc w:val="center"/>
              <w:rPr>
                <w:rFonts w:ascii="Times New Roman" w:eastAsia="Times New Roman" w:hAnsi="Times New Roman" w:cs="Times New Roman"/>
                <w:sz w:val="14"/>
                <w:szCs w:val="14"/>
                <w:lang w:val="sr-Cyrl-CS"/>
              </w:rPr>
            </w:pPr>
            <w:r>
              <w:rPr>
                <w:rFonts w:ascii="Times New Roman" w:eastAsia="Times New Roman" w:hAnsi="Times New Roman" w:cs="Times New Roman"/>
                <w:sz w:val="14"/>
                <w:szCs w:val="14"/>
                <w:lang w:val="en-US"/>
              </w:rPr>
              <w:t>Negotiation Chapter</w:t>
            </w:r>
            <w:r w:rsidR="003F5EF0" w:rsidRPr="001053DB">
              <w:rPr>
                <w:rFonts w:ascii="Times New Roman" w:eastAsia="Times New Roman" w:hAnsi="Times New Roman" w:cs="Times New Roman"/>
                <w:sz w:val="14"/>
                <w:szCs w:val="14"/>
                <w:lang w:val="sr-Cyrl-CS"/>
              </w:rPr>
              <w:t xml:space="preserve"> 32</w:t>
            </w:r>
          </w:p>
          <w:p w14:paraId="7F278F1F" w14:textId="77777777" w:rsidR="003F5EF0" w:rsidRPr="001053DB" w:rsidRDefault="003F5EF0" w:rsidP="003F5EF0">
            <w:pPr>
              <w:spacing w:after="0" w:line="240" w:lineRule="auto"/>
              <w:rPr>
                <w:rFonts w:ascii="Times New Roman" w:eastAsia="Times New Roman" w:hAnsi="Times New Roman" w:cs="Times New Roman"/>
                <w:sz w:val="14"/>
                <w:szCs w:val="14"/>
                <w:lang w:val="sr-Cyrl-CS"/>
              </w:rPr>
            </w:pPr>
          </w:p>
        </w:tc>
        <w:tc>
          <w:tcPr>
            <w:tcW w:w="417" w:type="pc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2BAA8DD3" w14:textId="77777777" w:rsidR="003F5EF0" w:rsidRPr="001053DB" w:rsidRDefault="003F5EF0" w:rsidP="003F5EF0">
            <w:pPr>
              <w:spacing w:after="0" w:line="240" w:lineRule="auto"/>
              <w:rPr>
                <w:rFonts w:ascii="Times New Roman" w:eastAsia="Times New Roman" w:hAnsi="Times New Roman" w:cs="Times New Roman"/>
                <w:i/>
                <w:sz w:val="14"/>
                <w:szCs w:val="14"/>
                <w:lang w:val="sr-Cyrl-CS"/>
              </w:rPr>
            </w:pPr>
          </w:p>
          <w:p w14:paraId="490FB157" w14:textId="73FC3682" w:rsidR="003F5EF0" w:rsidRPr="0017590B" w:rsidRDefault="003F5EF0" w:rsidP="003F5EF0">
            <w:pPr>
              <w:spacing w:after="0" w:line="240" w:lineRule="auto"/>
              <w:rPr>
                <w:rFonts w:ascii="Times New Roman" w:eastAsia="Times New Roman" w:hAnsi="Times New Roman" w:cs="Times New Roman"/>
                <w:i/>
                <w:sz w:val="14"/>
                <w:szCs w:val="14"/>
                <w:lang w:val="en-US"/>
              </w:rPr>
            </w:pPr>
            <w:r w:rsidRPr="001053DB">
              <w:rPr>
                <w:rFonts w:ascii="Times New Roman" w:eastAsia="Times New Roman" w:hAnsi="Times New Roman" w:cs="Times New Roman"/>
                <w:i/>
                <w:sz w:val="14"/>
                <w:szCs w:val="14"/>
                <w:lang w:val="sr-Cyrl-CS"/>
              </w:rPr>
              <w:t xml:space="preserve">COSO </w:t>
            </w:r>
            <w:r w:rsidR="0017590B">
              <w:rPr>
                <w:rFonts w:ascii="Times New Roman" w:eastAsia="Times New Roman" w:hAnsi="Times New Roman" w:cs="Times New Roman"/>
                <w:i/>
                <w:sz w:val="14"/>
                <w:szCs w:val="14"/>
                <w:lang w:val="en-US"/>
              </w:rPr>
              <w:t>framework</w:t>
            </w:r>
          </w:p>
        </w:tc>
        <w:tc>
          <w:tcPr>
            <w:tcW w:w="648" w:type="pct"/>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7A1340B3" w14:textId="169BF85D" w:rsidR="003F5EF0" w:rsidRPr="001053DB" w:rsidRDefault="003F5EF0" w:rsidP="003F5EF0">
            <w:pPr>
              <w:spacing w:after="0" w:line="240" w:lineRule="auto"/>
              <w:rPr>
                <w:rFonts w:ascii="Times New Roman" w:eastAsia="Times New Roman" w:hAnsi="Times New Roman" w:cs="Times New Roman"/>
                <w:i/>
                <w:sz w:val="14"/>
                <w:szCs w:val="14"/>
                <w:lang w:val="sr-Cyrl-CS"/>
              </w:rPr>
            </w:pPr>
            <w:r w:rsidRPr="001053DB">
              <w:rPr>
                <w:rFonts w:ascii="Times New Roman" w:eastAsia="Times New Roman" w:hAnsi="Times New Roman" w:cs="Times New Roman"/>
                <w:i/>
                <w:sz w:val="14"/>
                <w:szCs w:val="14"/>
                <w:lang w:val="sr-Cyrl-CS"/>
              </w:rPr>
              <w:t>IPSAS (</w:t>
            </w:r>
            <w:r w:rsidR="0017590B">
              <w:rPr>
                <w:rFonts w:ascii="Times New Roman" w:eastAsia="Times New Roman" w:hAnsi="Times New Roman" w:cs="Times New Roman"/>
                <w:i/>
                <w:sz w:val="14"/>
                <w:szCs w:val="14"/>
                <w:lang w:val="en-US"/>
              </w:rPr>
              <w:t>International Public Sector Accounting Standards</w:t>
            </w:r>
            <w:r w:rsidRPr="001053DB">
              <w:rPr>
                <w:rFonts w:ascii="Times New Roman" w:eastAsia="Times New Roman" w:hAnsi="Times New Roman" w:cs="Times New Roman"/>
                <w:i/>
                <w:sz w:val="14"/>
                <w:szCs w:val="14"/>
                <w:lang w:val="sr-Cyrl-CS"/>
              </w:rPr>
              <w:t>)</w:t>
            </w:r>
          </w:p>
        </w:tc>
        <w:tc>
          <w:tcPr>
            <w:tcW w:w="644"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4FA61B06" w14:textId="77777777" w:rsidR="003F5EF0" w:rsidRPr="001053DB" w:rsidRDefault="003F5EF0" w:rsidP="003F5EF0">
            <w:pPr>
              <w:spacing w:after="0" w:line="240" w:lineRule="auto"/>
              <w:rPr>
                <w:rFonts w:ascii="Times New Roman" w:eastAsia="Times New Roman" w:hAnsi="Times New Roman" w:cs="Times New Roman"/>
                <w:i/>
                <w:sz w:val="14"/>
                <w:szCs w:val="14"/>
                <w:lang w:val="sr-Cyrl-CS"/>
              </w:rPr>
            </w:pPr>
          </w:p>
          <w:p w14:paraId="326782BB" w14:textId="77777777" w:rsidR="003F5EF0" w:rsidRPr="001053DB" w:rsidRDefault="003F5EF0" w:rsidP="003F5EF0">
            <w:pPr>
              <w:spacing w:after="0" w:line="240" w:lineRule="auto"/>
              <w:rPr>
                <w:rFonts w:ascii="Times New Roman" w:eastAsia="Times New Roman" w:hAnsi="Times New Roman" w:cs="Times New Roman"/>
                <w:i/>
                <w:sz w:val="14"/>
                <w:szCs w:val="14"/>
                <w:lang w:val="sr-Cyrl-CS"/>
              </w:rPr>
            </w:pPr>
          </w:p>
          <w:p w14:paraId="480F19B3" w14:textId="210D7F37" w:rsidR="003F5EF0" w:rsidRPr="0017590B" w:rsidRDefault="003F5EF0" w:rsidP="003F5EF0">
            <w:pPr>
              <w:spacing w:after="0" w:line="240" w:lineRule="auto"/>
              <w:rPr>
                <w:rFonts w:ascii="Times New Roman" w:eastAsia="Times New Roman" w:hAnsi="Times New Roman" w:cs="Times New Roman"/>
                <w:i/>
                <w:sz w:val="14"/>
                <w:szCs w:val="14"/>
                <w:lang w:val="en-US"/>
              </w:rPr>
            </w:pPr>
            <w:r w:rsidRPr="001053DB">
              <w:rPr>
                <w:rFonts w:ascii="Times New Roman" w:eastAsia="Times New Roman" w:hAnsi="Times New Roman" w:cs="Times New Roman"/>
                <w:i/>
                <w:sz w:val="14"/>
                <w:szCs w:val="14"/>
                <w:lang w:val="sr-Cyrl-CS"/>
              </w:rPr>
              <w:t>INTOSAI (</w:t>
            </w:r>
            <w:r w:rsidR="0017590B">
              <w:rPr>
                <w:rFonts w:ascii="Times New Roman" w:eastAsia="Times New Roman" w:hAnsi="Times New Roman" w:cs="Times New Roman"/>
                <w:i/>
                <w:sz w:val="14"/>
                <w:szCs w:val="14"/>
                <w:lang w:val="en-US"/>
              </w:rPr>
              <w:t>International Organization for Supreme Audit Institutions</w:t>
            </w:r>
            <w:r w:rsidR="0017590B" w:rsidRPr="001053DB">
              <w:rPr>
                <w:rFonts w:ascii="Times New Roman" w:eastAsia="Times New Roman" w:hAnsi="Times New Roman" w:cs="Times New Roman"/>
                <w:i/>
                <w:sz w:val="14"/>
                <w:szCs w:val="14"/>
                <w:lang w:val="sr-Cyrl-CS"/>
              </w:rPr>
              <w:t>)</w:t>
            </w:r>
          </w:p>
        </w:tc>
      </w:tr>
      <w:tr w:rsidR="00D30238" w:rsidRPr="001053DB" w14:paraId="5D55BF62" w14:textId="77777777" w:rsidTr="008B3BCD">
        <w:trPr>
          <w:trHeight w:val="709"/>
        </w:trPr>
        <w:tc>
          <w:tcPr>
            <w:tcW w:w="505" w:type="pct"/>
            <w:vMerge/>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3A2A8D72" w14:textId="77777777" w:rsidR="003F5EF0" w:rsidRPr="001053DB" w:rsidRDefault="003F5EF0" w:rsidP="003F5EF0">
            <w:pPr>
              <w:spacing w:after="0" w:line="240" w:lineRule="auto"/>
              <w:jc w:val="center"/>
              <w:rPr>
                <w:rFonts w:ascii="Times New Roman" w:eastAsia="Times New Roman" w:hAnsi="Times New Roman" w:cs="Times New Roman"/>
                <w:sz w:val="14"/>
                <w:szCs w:val="14"/>
                <w:lang w:val="sr-Cyrl-CS"/>
              </w:rPr>
            </w:pPr>
          </w:p>
        </w:tc>
        <w:tc>
          <w:tcPr>
            <w:tcW w:w="419" w:type="pct"/>
            <w:tcBorders>
              <w:top w:val="single" w:sz="4" w:space="0" w:color="auto"/>
              <w:left w:val="single" w:sz="4" w:space="0" w:color="auto"/>
              <w:bottom w:val="single" w:sz="4" w:space="0" w:color="000000"/>
              <w:right w:val="single" w:sz="4" w:space="0" w:color="auto"/>
            </w:tcBorders>
            <w:shd w:val="clear" w:color="auto" w:fill="A8D08D" w:themeFill="accent6" w:themeFillTint="99"/>
            <w:vAlign w:val="center"/>
          </w:tcPr>
          <w:p w14:paraId="0D811C45" w14:textId="04496172" w:rsidR="003F5EF0" w:rsidRPr="001053DB" w:rsidRDefault="003F5EF0" w:rsidP="003F5EF0">
            <w:pPr>
              <w:spacing w:after="0" w:line="240" w:lineRule="auto"/>
              <w:jc w:val="center"/>
              <w:rPr>
                <w:rFonts w:ascii="Times New Roman" w:eastAsia="Times New Roman" w:hAnsi="Times New Roman" w:cs="Times New Roman"/>
                <w:i/>
                <w:sz w:val="14"/>
                <w:szCs w:val="14"/>
                <w:lang w:val="sr-Cyrl-CS"/>
              </w:rPr>
            </w:pPr>
            <w:r w:rsidRPr="001053DB">
              <w:rPr>
                <w:rFonts w:ascii="Times New Roman" w:eastAsia="Times New Roman" w:hAnsi="Times New Roman" w:cs="Times New Roman"/>
                <w:i/>
                <w:sz w:val="14"/>
                <w:szCs w:val="14"/>
                <w:lang w:val="sr-Cyrl-CS"/>
              </w:rPr>
              <w:t>BEPS (</w:t>
            </w:r>
            <w:r w:rsidR="008F12BC">
              <w:rPr>
                <w:rFonts w:ascii="Times New Roman" w:eastAsia="Times New Roman" w:hAnsi="Times New Roman" w:cs="Times New Roman"/>
                <w:i/>
                <w:sz w:val="14"/>
                <w:szCs w:val="14"/>
                <w:lang w:val="en-US"/>
              </w:rPr>
              <w:t>x base erosion and profit shifting</w:t>
            </w:r>
            <w:r w:rsidRPr="001053DB">
              <w:rPr>
                <w:rFonts w:ascii="Times New Roman" w:eastAsia="Times New Roman" w:hAnsi="Times New Roman" w:cs="Times New Roman"/>
                <w:i/>
                <w:sz w:val="14"/>
                <w:szCs w:val="14"/>
                <w:lang w:val="sr-Cyrl-CS"/>
              </w:rPr>
              <w:t>)</w:t>
            </w:r>
          </w:p>
        </w:tc>
        <w:tc>
          <w:tcPr>
            <w:tcW w:w="600" w:type="pct"/>
            <w:vMerge/>
            <w:tcBorders>
              <w:top w:val="single" w:sz="4" w:space="0" w:color="auto"/>
              <w:left w:val="nil"/>
              <w:right w:val="single" w:sz="4" w:space="0" w:color="auto"/>
            </w:tcBorders>
            <w:shd w:val="clear" w:color="auto" w:fill="F4B083" w:themeFill="accent2" w:themeFillTint="99"/>
            <w:vAlign w:val="center"/>
          </w:tcPr>
          <w:p w14:paraId="2D262BFB" w14:textId="77777777" w:rsidR="003F5EF0" w:rsidRPr="001053DB" w:rsidRDefault="003F5EF0" w:rsidP="003F5EF0">
            <w:pPr>
              <w:spacing w:after="0" w:line="240" w:lineRule="auto"/>
              <w:jc w:val="center"/>
              <w:rPr>
                <w:rFonts w:ascii="Times New Roman" w:eastAsia="Times New Roman" w:hAnsi="Times New Roman" w:cs="Times New Roman"/>
                <w:sz w:val="14"/>
                <w:szCs w:val="14"/>
                <w:lang w:val="sr-Cyrl-CS"/>
              </w:rPr>
            </w:pPr>
          </w:p>
        </w:tc>
        <w:tc>
          <w:tcPr>
            <w:tcW w:w="534" w:type="pct"/>
            <w:vMerge/>
            <w:tcBorders>
              <w:left w:val="single" w:sz="4" w:space="0" w:color="auto"/>
              <w:bottom w:val="single" w:sz="4" w:space="0" w:color="auto"/>
              <w:right w:val="single" w:sz="4" w:space="0" w:color="auto"/>
            </w:tcBorders>
            <w:shd w:val="clear" w:color="auto" w:fill="F4B083" w:themeFill="accent2" w:themeFillTint="99"/>
            <w:vAlign w:val="center"/>
          </w:tcPr>
          <w:p w14:paraId="2C71F668" w14:textId="77777777" w:rsidR="003F5EF0" w:rsidRPr="001053DB" w:rsidRDefault="003F5EF0" w:rsidP="003F5EF0">
            <w:pPr>
              <w:spacing w:after="0" w:line="240" w:lineRule="auto"/>
              <w:rPr>
                <w:rFonts w:ascii="Times New Roman" w:eastAsia="Times New Roman" w:hAnsi="Times New Roman" w:cs="Times New Roman"/>
                <w:sz w:val="14"/>
                <w:szCs w:val="14"/>
                <w:lang w:val="sr-Cyrl-CS"/>
              </w:rPr>
            </w:pPr>
          </w:p>
        </w:tc>
        <w:tc>
          <w:tcPr>
            <w:tcW w:w="435" w:type="pct"/>
            <w:vMerge/>
            <w:tcBorders>
              <w:left w:val="single" w:sz="4" w:space="0" w:color="auto"/>
              <w:bottom w:val="single" w:sz="4" w:space="0" w:color="auto"/>
              <w:right w:val="single" w:sz="4" w:space="0" w:color="auto"/>
            </w:tcBorders>
            <w:shd w:val="clear" w:color="auto" w:fill="F4B083" w:themeFill="accent2" w:themeFillTint="99"/>
            <w:vAlign w:val="center"/>
          </w:tcPr>
          <w:p w14:paraId="2B06AC6E" w14:textId="77777777" w:rsidR="003F5EF0" w:rsidRPr="001053DB" w:rsidRDefault="003F5EF0" w:rsidP="003F5EF0">
            <w:pPr>
              <w:spacing w:after="0" w:line="240" w:lineRule="auto"/>
              <w:jc w:val="center"/>
              <w:rPr>
                <w:rFonts w:ascii="Times New Roman" w:eastAsia="Times New Roman" w:hAnsi="Times New Roman" w:cs="Times New Roman"/>
                <w:sz w:val="14"/>
                <w:szCs w:val="14"/>
                <w:lang w:val="sr-Cyrl-CS"/>
              </w:rPr>
            </w:pPr>
          </w:p>
        </w:tc>
        <w:tc>
          <w:tcPr>
            <w:tcW w:w="365" w:type="pct"/>
            <w:vMerge/>
            <w:tcBorders>
              <w:left w:val="single" w:sz="4" w:space="0" w:color="auto"/>
              <w:bottom w:val="single" w:sz="4" w:space="0" w:color="auto"/>
              <w:right w:val="single" w:sz="4" w:space="0" w:color="auto"/>
            </w:tcBorders>
            <w:shd w:val="clear" w:color="auto" w:fill="F4B083" w:themeFill="accent2" w:themeFillTint="99"/>
            <w:vAlign w:val="center"/>
          </w:tcPr>
          <w:p w14:paraId="3A11B7BA" w14:textId="77777777" w:rsidR="003F5EF0" w:rsidRPr="001053DB" w:rsidRDefault="003F5EF0" w:rsidP="003F5EF0">
            <w:pPr>
              <w:spacing w:after="0" w:line="240" w:lineRule="auto"/>
              <w:jc w:val="center"/>
              <w:rPr>
                <w:rFonts w:ascii="Times New Roman" w:eastAsia="Times New Roman" w:hAnsi="Times New Roman" w:cs="Times New Roman"/>
                <w:sz w:val="14"/>
                <w:szCs w:val="14"/>
                <w:lang w:val="sr-Cyrl-CS"/>
              </w:rPr>
            </w:pPr>
          </w:p>
        </w:tc>
        <w:tc>
          <w:tcPr>
            <w:tcW w:w="433" w:type="pct"/>
            <w:vMerge/>
            <w:tcBorders>
              <w:top w:val="single" w:sz="4" w:space="0" w:color="auto"/>
              <w:left w:val="single" w:sz="4" w:space="0" w:color="auto"/>
              <w:bottom w:val="single" w:sz="4" w:space="0" w:color="auto"/>
              <w:right w:val="single" w:sz="4" w:space="0" w:color="auto"/>
            </w:tcBorders>
            <w:vAlign w:val="center"/>
          </w:tcPr>
          <w:p w14:paraId="54C22426" w14:textId="77777777" w:rsidR="003F5EF0" w:rsidRPr="001053DB" w:rsidRDefault="003F5EF0" w:rsidP="003F5EF0">
            <w:pPr>
              <w:spacing w:after="0" w:line="240" w:lineRule="auto"/>
              <w:rPr>
                <w:rFonts w:ascii="Times New Roman" w:eastAsia="Times New Roman" w:hAnsi="Times New Roman" w:cs="Times New Roman"/>
                <w:sz w:val="14"/>
                <w:szCs w:val="14"/>
                <w:lang w:val="sr-Cyrl-CS"/>
              </w:rPr>
            </w:pPr>
          </w:p>
        </w:tc>
        <w:tc>
          <w:tcPr>
            <w:tcW w:w="417" w:type="pc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36F1ADE2" w14:textId="5CAA78FD" w:rsidR="003F5EF0" w:rsidRPr="001053DB" w:rsidRDefault="00DC6ED1" w:rsidP="003F5EF0">
            <w:pPr>
              <w:spacing w:after="0" w:line="240" w:lineRule="auto"/>
              <w:rPr>
                <w:rFonts w:ascii="Times New Roman" w:eastAsia="Times New Roman" w:hAnsi="Times New Roman" w:cs="Times New Roman"/>
                <w:sz w:val="14"/>
                <w:szCs w:val="14"/>
                <w:lang w:val="sr-Cyrl-CS"/>
              </w:rPr>
            </w:pPr>
            <w:r w:rsidRPr="001053DB">
              <w:rPr>
                <w:rFonts w:ascii="Times New Roman" w:eastAsia="Times New Roman" w:hAnsi="Times New Roman" w:cs="Times New Roman"/>
                <w:i/>
                <w:sz w:val="14"/>
                <w:szCs w:val="14"/>
                <w:lang w:val="sr-Cyrl-CS"/>
              </w:rPr>
              <w:t>I</w:t>
            </w:r>
            <w:r w:rsidR="003F5EF0" w:rsidRPr="001053DB">
              <w:rPr>
                <w:rFonts w:ascii="Times New Roman" w:eastAsia="Times New Roman" w:hAnsi="Times New Roman" w:cs="Times New Roman"/>
                <w:i/>
                <w:sz w:val="14"/>
                <w:szCs w:val="14"/>
                <w:lang w:val="sr-Cyrl-CS"/>
              </w:rPr>
              <w:t>NTOSAI (</w:t>
            </w:r>
            <w:r w:rsidR="0017590B">
              <w:rPr>
                <w:rFonts w:ascii="Times New Roman" w:eastAsia="Times New Roman" w:hAnsi="Times New Roman" w:cs="Times New Roman"/>
                <w:i/>
                <w:sz w:val="14"/>
                <w:szCs w:val="14"/>
                <w:lang w:val="en-US"/>
              </w:rPr>
              <w:t>International Organization for Supreme Audit Institutions</w:t>
            </w:r>
            <w:r w:rsidR="003F5EF0" w:rsidRPr="001053DB">
              <w:rPr>
                <w:rFonts w:ascii="Times New Roman" w:eastAsia="Times New Roman" w:hAnsi="Times New Roman" w:cs="Times New Roman"/>
                <w:i/>
                <w:sz w:val="14"/>
                <w:szCs w:val="14"/>
                <w:lang w:val="sr-Cyrl-CS"/>
              </w:rPr>
              <w:t>)</w:t>
            </w:r>
          </w:p>
        </w:tc>
        <w:tc>
          <w:tcPr>
            <w:tcW w:w="648" w:type="pct"/>
            <w:vMerge/>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70A8760A" w14:textId="77777777" w:rsidR="003F5EF0" w:rsidRPr="001053DB" w:rsidRDefault="003F5EF0" w:rsidP="003F5EF0">
            <w:pPr>
              <w:spacing w:after="0" w:line="240" w:lineRule="auto"/>
              <w:rPr>
                <w:rFonts w:ascii="Times New Roman" w:eastAsia="Times New Roman" w:hAnsi="Times New Roman" w:cs="Times New Roman"/>
                <w:sz w:val="14"/>
                <w:szCs w:val="14"/>
                <w:lang w:val="sr-Cyrl-CS"/>
              </w:rPr>
            </w:pPr>
          </w:p>
        </w:tc>
        <w:tc>
          <w:tcPr>
            <w:tcW w:w="644"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09C54DA7" w14:textId="77777777" w:rsidR="003F5EF0" w:rsidRPr="001053DB" w:rsidRDefault="003F5EF0" w:rsidP="003F5EF0">
            <w:pPr>
              <w:spacing w:after="0" w:line="240" w:lineRule="auto"/>
              <w:rPr>
                <w:rFonts w:ascii="Times New Roman" w:eastAsia="Times New Roman" w:hAnsi="Times New Roman" w:cs="Times New Roman"/>
                <w:sz w:val="14"/>
                <w:szCs w:val="14"/>
                <w:lang w:val="sr-Cyrl-CS"/>
              </w:rPr>
            </w:pPr>
          </w:p>
          <w:p w14:paraId="7140C86C" w14:textId="161A5FD1" w:rsidR="003F5EF0" w:rsidRPr="001053DB" w:rsidRDefault="003F5EF0" w:rsidP="003F5EF0">
            <w:pPr>
              <w:spacing w:after="0" w:line="240" w:lineRule="auto"/>
              <w:rPr>
                <w:rFonts w:ascii="Times New Roman" w:eastAsia="Times New Roman" w:hAnsi="Times New Roman" w:cs="Times New Roman"/>
                <w:sz w:val="14"/>
                <w:szCs w:val="14"/>
                <w:lang w:val="sr-Cyrl-CS"/>
              </w:rPr>
            </w:pPr>
            <w:r w:rsidRPr="001053DB">
              <w:rPr>
                <w:rFonts w:ascii="Times New Roman" w:eastAsia="Times New Roman" w:hAnsi="Times New Roman" w:cs="Times New Roman"/>
                <w:i/>
                <w:sz w:val="14"/>
                <w:szCs w:val="14"/>
                <w:lang w:val="sr-Cyrl-CS"/>
              </w:rPr>
              <w:t>EUROSAI (</w:t>
            </w:r>
            <w:r w:rsidR="0017590B">
              <w:rPr>
                <w:rFonts w:ascii="Times New Roman" w:eastAsia="Times New Roman" w:hAnsi="Times New Roman" w:cs="Times New Roman"/>
                <w:i/>
                <w:sz w:val="14"/>
                <w:szCs w:val="14"/>
                <w:lang w:val="en-US"/>
              </w:rPr>
              <w:t>European Organization of Supreme Audit Institutions</w:t>
            </w:r>
            <w:r w:rsidRPr="001053DB">
              <w:rPr>
                <w:rFonts w:ascii="Times New Roman" w:eastAsia="Times New Roman" w:hAnsi="Times New Roman" w:cs="Times New Roman"/>
                <w:i/>
                <w:sz w:val="14"/>
                <w:szCs w:val="14"/>
                <w:lang w:val="sr-Cyrl-CS"/>
              </w:rPr>
              <w:t>)</w:t>
            </w:r>
          </w:p>
        </w:tc>
      </w:tr>
    </w:tbl>
    <w:p w14:paraId="3D9BFF06" w14:textId="44C337AF" w:rsidR="00960332" w:rsidRPr="006F6702" w:rsidRDefault="003F5EF0" w:rsidP="003F5EF0">
      <w:pPr>
        <w:spacing w:after="0" w:line="240" w:lineRule="auto"/>
        <w:ind w:left="426"/>
        <w:jc w:val="center"/>
        <w:rPr>
          <w:rFonts w:ascii="Times New Roman" w:eastAsia="Calibri" w:hAnsi="Times New Roman" w:cs="Times New Roman"/>
          <w:b/>
          <w:bCs/>
          <w:lang w:val="en-US"/>
        </w:rPr>
      </w:pPr>
      <w:r w:rsidRPr="001053DB">
        <w:rPr>
          <w:rFonts w:ascii="Times New Roman" w:eastAsia="Times New Roman" w:hAnsi="Times New Roman" w:cs="Times New Roman"/>
          <w:noProof/>
          <w:lang w:val="en-US"/>
        </w:rPr>
        <mc:AlternateContent>
          <mc:Choice Requires="wps">
            <w:drawing>
              <wp:anchor distT="0" distB="0" distL="114300" distR="114300" simplePos="0" relativeHeight="251697152" behindDoc="0" locked="0" layoutInCell="1" allowOverlap="1" wp14:anchorId="5DAB10A2" wp14:editId="06A9FEC8">
                <wp:simplePos x="0" y="0"/>
                <wp:positionH relativeFrom="column">
                  <wp:posOffset>436217</wp:posOffset>
                </wp:positionH>
                <wp:positionV relativeFrom="paragraph">
                  <wp:posOffset>-680775</wp:posOffset>
                </wp:positionV>
                <wp:extent cx="1155065" cy="679257"/>
                <wp:effectExtent l="0" t="0" r="6985" b="6985"/>
                <wp:wrapNone/>
                <wp:docPr id="1"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5065" cy="679257"/>
                        </a:xfrm>
                        <a:custGeom>
                          <a:avLst/>
                          <a:gdLst>
                            <a:gd name="T0" fmla="*/ 1205 w 1205"/>
                            <a:gd name="T1" fmla="*/ 0 h 1746"/>
                            <a:gd name="T2" fmla="*/ 1205 w 1205"/>
                            <a:gd name="T3" fmla="*/ 1136 h 1746"/>
                            <a:gd name="T4" fmla="*/ 602 w 1205"/>
                            <a:gd name="T5" fmla="*/ 1746 h 1746"/>
                            <a:gd name="T6" fmla="*/ 0 w 1205"/>
                            <a:gd name="T7" fmla="*/ 1136 h 1746"/>
                            <a:gd name="T8" fmla="*/ 0 w 1205"/>
                            <a:gd name="T9" fmla="*/ 0 h 1746"/>
                            <a:gd name="T10" fmla="*/ 602 w 1205"/>
                            <a:gd name="T11" fmla="*/ 611 h 1746"/>
                            <a:gd name="T12" fmla="*/ 1205 w 1205"/>
                            <a:gd name="T13" fmla="*/ 0 h 1746"/>
                          </a:gdLst>
                          <a:ahLst/>
                          <a:cxnLst>
                            <a:cxn ang="0">
                              <a:pos x="T0" y="T1"/>
                            </a:cxn>
                            <a:cxn ang="0">
                              <a:pos x="T2" y="T3"/>
                            </a:cxn>
                            <a:cxn ang="0">
                              <a:pos x="T4" y="T5"/>
                            </a:cxn>
                            <a:cxn ang="0">
                              <a:pos x="T6" y="T7"/>
                            </a:cxn>
                            <a:cxn ang="0">
                              <a:pos x="T8" y="T9"/>
                            </a:cxn>
                            <a:cxn ang="0">
                              <a:pos x="T10" y="T11"/>
                            </a:cxn>
                            <a:cxn ang="0">
                              <a:pos x="T12" y="T13"/>
                            </a:cxn>
                          </a:cxnLst>
                          <a:rect l="0" t="0" r="r" b="b"/>
                          <a:pathLst>
                            <a:path w="1205" h="1746">
                              <a:moveTo>
                                <a:pt x="1205" y="0"/>
                              </a:moveTo>
                              <a:lnTo>
                                <a:pt x="1205" y="1136"/>
                              </a:lnTo>
                              <a:lnTo>
                                <a:pt x="602" y="1746"/>
                              </a:lnTo>
                              <a:lnTo>
                                <a:pt x="0" y="1136"/>
                              </a:lnTo>
                              <a:lnTo>
                                <a:pt x="0" y="0"/>
                              </a:lnTo>
                              <a:lnTo>
                                <a:pt x="602" y="611"/>
                              </a:lnTo>
                              <a:lnTo>
                                <a:pt x="1205" y="0"/>
                              </a:lnTo>
                              <a:close/>
                            </a:path>
                          </a:pathLst>
                        </a:custGeom>
                        <a:solidFill>
                          <a:srgbClr val="5B9BD5"/>
                        </a:solidFill>
                        <a:ln>
                          <a:noFill/>
                        </a:ln>
                      </wps:spPr>
                      <wps:txbx>
                        <w:txbxContent>
                          <w:p w14:paraId="2F6FA652" w14:textId="6186273B" w:rsidR="001053DB" w:rsidRPr="006F6702" w:rsidRDefault="006F6702" w:rsidP="0046021B">
                            <w:pPr>
                              <w:rPr>
                                <w:rFonts w:ascii="Times New Roman" w:hAnsi="Times New Roman" w:cs="Times New Roman"/>
                                <w:sz w:val="16"/>
                                <w:szCs w:val="16"/>
                                <w:lang w:val="en-US"/>
                              </w:rPr>
                            </w:pPr>
                            <w:r>
                              <w:rPr>
                                <w:rFonts w:ascii="Times New Roman" w:hAnsi="Times New Roman" w:cs="Times New Roman"/>
                                <w:sz w:val="16"/>
                                <w:szCs w:val="16"/>
                                <w:lang w:val="en-US"/>
                              </w:rPr>
                              <w:t>Specific objective for improving public financial management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DAB10A2" id="Freeform: Shape 14" o:spid="_x0000_s1026" style="position:absolute;left:0;text-align:left;margin-left:34.35pt;margin-top:-53.6pt;width:90.95pt;height:5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205,174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" adj="-11796480,,5400" path="m1205,r,1136l602,1746,,1136,,,602,611,1205,xe" fillcolor="#5b9bd5" stroked="f">
                <v:stroke joinstyle="miter"/>
                <v:formulas/>
                <v:path arrowok="t" o:connecttype="custom" o:connectlocs="1155065,0;1155065,441945;577053,679257;0,441945;0,0;577053,237701;1155065,0" o:connectangles="0,0,0,0,0,0,0" textboxrect="0,0,1205,1746"/>
                <v:textbox>
                  <w:txbxContent>
                    <w:p w14:paraId="2F6FA652" w14:textId="6186273B" w:rsidR="001053DB" w:rsidRPr="006F6702" w:rsidRDefault="006F6702" w:rsidP="0046021B">
                      <w:pPr>
                        <w:rPr>
                          <w:rFonts w:ascii="Times New Roman" w:hAnsi="Times New Roman" w:cs="Times New Roman"/>
                          <w:sz w:val="16"/>
                          <w:szCs w:val="16"/>
                          <w:lang w:val="en-US"/>
                        </w:rPr>
                      </w:pPr>
                      <w:r>
                        <w:rPr>
                          <w:rFonts w:ascii="Times New Roman" w:hAnsi="Times New Roman" w:cs="Times New Roman"/>
                          <w:sz w:val="16"/>
                          <w:szCs w:val="16"/>
                          <w:lang w:val="en-US"/>
                        </w:rPr>
                        <w:t>Specific objective for improving public financial management</w:t>
                      </w:r>
                    </w:p>
                  </w:txbxContent>
                </v:textbox>
              </v:shape>
            </w:pict>
          </mc:Fallback>
        </mc:AlternateContent>
      </w:r>
      <w:r w:rsidR="00461F64" w:rsidRPr="001053DB">
        <w:rPr>
          <w:rFonts w:ascii="Times New Roman" w:hAnsi="Times New Roman"/>
          <w:noProof/>
          <w:lang w:val="en-US"/>
        </w:rPr>
        <mc:AlternateContent>
          <mc:Choice Requires="wps">
            <w:drawing>
              <wp:anchor distT="0" distB="0" distL="114300" distR="114300" simplePos="0" relativeHeight="251694080" behindDoc="0" locked="0" layoutInCell="1" allowOverlap="1" wp14:anchorId="429FEFA9" wp14:editId="0CB9F84B">
                <wp:simplePos x="0" y="0"/>
                <wp:positionH relativeFrom="margin">
                  <wp:posOffset>246490</wp:posOffset>
                </wp:positionH>
                <wp:positionV relativeFrom="paragraph">
                  <wp:posOffset>-715617</wp:posOffset>
                </wp:positionV>
                <wp:extent cx="8362950" cy="712911"/>
                <wp:effectExtent l="0" t="0" r="0" b="0"/>
                <wp:wrapNone/>
                <wp:docPr id="2" name="Rectangle: Rounded Corners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62950" cy="712911"/>
                        </a:xfrm>
                        <a:prstGeom prst="roundRect">
                          <a:avLst/>
                        </a:prstGeom>
                        <a:solidFill>
                          <a:srgbClr val="70AD47">
                            <a:lumMod val="60000"/>
                            <a:lumOff val="40000"/>
                          </a:srgbClr>
                        </a:solidFill>
                        <a:ln w="12700" cap="flat" cmpd="sng" algn="ctr">
                          <a:noFill/>
                          <a:prstDash val="solid"/>
                          <a:miter lim="800000"/>
                        </a:ln>
                        <a:effectLst/>
                      </wps:spPr>
                      <wps:txbx>
                        <w:txbxContent>
                          <w:p w14:paraId="327C9882" w14:textId="2F20A2F8" w:rsidR="001053DB" w:rsidRPr="006F6702" w:rsidRDefault="006F6702" w:rsidP="002D3FF7">
                            <w:pPr>
                              <w:spacing w:after="0" w:line="240" w:lineRule="auto"/>
                              <w:jc w:val="center"/>
                              <w:rPr>
                                <w:rFonts w:ascii="Times New Roman" w:hAnsi="Times New Roman"/>
                                <w:b/>
                                <w:color w:val="000000"/>
                                <w:sz w:val="28"/>
                                <w:lang w:val="en-US"/>
                              </w:rPr>
                            </w:pPr>
                            <w:r>
                              <w:rPr>
                                <w:rFonts w:ascii="Times New Roman" w:hAnsi="Times New Roman"/>
                                <w:b/>
                                <w:color w:val="000000"/>
                                <w:sz w:val="28"/>
                                <w:lang w:val="en-US"/>
                              </w:rPr>
                              <w:t>2021-2030 Public Administration Reform Strategy</w:t>
                            </w:r>
                          </w:p>
                          <w:p w14:paraId="70F38EB6" w14:textId="15320E69" w:rsidR="001053DB" w:rsidRPr="006F6702" w:rsidRDefault="006F6702" w:rsidP="002D3FF7">
                            <w:pPr>
                              <w:spacing w:after="0" w:line="240" w:lineRule="auto"/>
                              <w:jc w:val="center"/>
                              <w:rPr>
                                <w:rFonts w:ascii="Times New Roman" w:hAnsi="Times New Roman"/>
                                <w:b/>
                                <w:color w:val="000000"/>
                                <w:sz w:val="24"/>
                                <w:szCs w:val="24"/>
                                <w:lang w:val="en-US"/>
                              </w:rPr>
                            </w:pPr>
                            <w:r>
                              <w:rPr>
                                <w:rFonts w:ascii="Times New Roman" w:hAnsi="Times New Roman"/>
                                <w:b/>
                                <w:color w:val="000000"/>
                                <w:sz w:val="28"/>
                                <w:lang w:val="en-US"/>
                              </w:rPr>
                              <w:t>2026-2030 Public Finance Management Reform Program</w:t>
                            </w:r>
                            <w:r w:rsidR="005F2F41">
                              <w:rPr>
                                <w:rFonts w:ascii="Times New Roman" w:hAnsi="Times New Roman"/>
                                <w:b/>
                                <w:color w:val="000000"/>
                                <w:sz w:val="28"/>
                                <w:lang w:val="en-US"/>
                              </w:rPr>
                              <w:t>me</w:t>
                            </w:r>
                          </w:p>
                          <w:p w14:paraId="4AB6D401" w14:textId="77777777" w:rsidR="001053DB" w:rsidRPr="008F3809" w:rsidRDefault="001053DB" w:rsidP="002D3FF7">
                            <w:pPr>
                              <w:spacing w:after="0" w:line="240" w:lineRule="auto"/>
                              <w:jc w:val="center"/>
                              <w:rPr>
                                <w:rFonts w:ascii="Times New Roman" w:hAnsi="Times New Roman"/>
                                <w:b/>
                                <w:color w:val="000000"/>
                                <w:sz w:val="28"/>
                              </w:rPr>
                            </w:pPr>
                          </w:p>
                          <w:p w14:paraId="62EFF5D0" w14:textId="77777777" w:rsidR="001053DB" w:rsidRPr="008F3809" w:rsidRDefault="001053DB" w:rsidP="002D3FF7">
                            <w:pPr>
                              <w:spacing w:after="0" w:line="240" w:lineRule="auto"/>
                              <w:jc w:val="center"/>
                              <w:rPr>
                                <w:rFonts w:ascii="Times New Roman" w:hAnsi="Times New Roman"/>
                                <w:b/>
                                <w:color w:val="000000"/>
                                <w:sz w:val="28"/>
                              </w:rPr>
                            </w:pPr>
                          </w:p>
                          <w:p w14:paraId="2AB62965" w14:textId="77777777" w:rsidR="001053DB" w:rsidRPr="008F3809" w:rsidRDefault="001053DB" w:rsidP="002D3FF7">
                            <w:pPr>
                              <w:spacing w:after="0" w:line="240" w:lineRule="auto"/>
                              <w:jc w:val="center"/>
                              <w:rPr>
                                <w:rFonts w:ascii="Times New Roman" w:hAnsi="Times New Roman"/>
                                <w:sz w:val="28"/>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29FEFA9" id="Rectangle: Rounded Corners 11" o:spid="_x0000_s1027" style="position:absolute;left:0;text-align:left;margin-left:19.4pt;margin-top:-56.35pt;width:658.5pt;height:56.1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" fillcolor="#a9d18e" stroked="f" strokeweight="1pt">
                <v:stroke joinstyle="miter"/>
                <v:textbox>
                  <w:txbxContent>
                    <w:p w14:paraId="327C9882" w14:textId="2F20A2F8" w:rsidR="001053DB" w:rsidRPr="006F6702" w:rsidRDefault="006F6702" w:rsidP="002D3FF7">
                      <w:pPr>
                        <w:spacing w:after="0" w:line="240" w:lineRule="auto"/>
                        <w:jc w:val="center"/>
                        <w:rPr>
                          <w:rFonts w:ascii="Times New Roman" w:hAnsi="Times New Roman"/>
                          <w:b/>
                          <w:color w:val="000000"/>
                          <w:sz w:val="28"/>
                          <w:lang w:val="en-US"/>
                        </w:rPr>
                      </w:pPr>
                      <w:r>
                        <w:rPr>
                          <w:rFonts w:ascii="Times New Roman" w:hAnsi="Times New Roman"/>
                          <w:b/>
                          <w:color w:val="000000"/>
                          <w:sz w:val="28"/>
                          <w:lang w:val="en-US"/>
                        </w:rPr>
                        <w:t>2021-2030 Public Administration Reform Strategy</w:t>
                      </w:r>
                    </w:p>
                    <w:p w14:paraId="70F38EB6" w14:textId="15320E69" w:rsidR="001053DB" w:rsidRPr="006F6702" w:rsidRDefault="006F6702" w:rsidP="002D3FF7">
                      <w:pPr>
                        <w:spacing w:after="0" w:line="240" w:lineRule="auto"/>
                        <w:jc w:val="center"/>
                        <w:rPr>
                          <w:rFonts w:ascii="Times New Roman" w:hAnsi="Times New Roman"/>
                          <w:b/>
                          <w:color w:val="000000"/>
                          <w:sz w:val="24"/>
                          <w:szCs w:val="24"/>
                          <w:lang w:val="en-US"/>
                        </w:rPr>
                      </w:pPr>
                      <w:r>
                        <w:rPr>
                          <w:rFonts w:ascii="Times New Roman" w:hAnsi="Times New Roman"/>
                          <w:b/>
                          <w:color w:val="000000"/>
                          <w:sz w:val="28"/>
                          <w:lang w:val="en-US"/>
                        </w:rPr>
                        <w:t>2026-2030 Public Finance Management Reform Program</w:t>
                      </w:r>
                      <w:r w:rsidR="005F2F41">
                        <w:rPr>
                          <w:rFonts w:ascii="Times New Roman" w:hAnsi="Times New Roman"/>
                          <w:b/>
                          <w:color w:val="000000"/>
                          <w:sz w:val="28"/>
                          <w:lang w:val="en-US"/>
                        </w:rPr>
                        <w:t>me</w:t>
                      </w:r>
                    </w:p>
                    <w:p w14:paraId="4AB6D401" w14:textId="77777777" w:rsidR="001053DB" w:rsidRPr="008F3809" w:rsidRDefault="001053DB" w:rsidP="002D3FF7">
                      <w:pPr>
                        <w:spacing w:after="0" w:line="240" w:lineRule="auto"/>
                        <w:jc w:val="center"/>
                        <w:rPr>
                          <w:rFonts w:ascii="Times New Roman" w:hAnsi="Times New Roman"/>
                          <w:b/>
                          <w:color w:val="000000"/>
                          <w:sz w:val="28"/>
                        </w:rPr>
                      </w:pPr>
                    </w:p>
                    <w:p w14:paraId="62EFF5D0" w14:textId="77777777" w:rsidR="001053DB" w:rsidRPr="008F3809" w:rsidRDefault="001053DB" w:rsidP="002D3FF7">
                      <w:pPr>
                        <w:spacing w:after="0" w:line="240" w:lineRule="auto"/>
                        <w:jc w:val="center"/>
                        <w:rPr>
                          <w:rFonts w:ascii="Times New Roman" w:hAnsi="Times New Roman"/>
                          <w:b/>
                          <w:color w:val="000000"/>
                          <w:sz w:val="28"/>
                        </w:rPr>
                      </w:pPr>
                    </w:p>
                    <w:p w14:paraId="2AB62965" w14:textId="77777777" w:rsidR="001053DB" w:rsidRPr="008F3809" w:rsidRDefault="001053DB" w:rsidP="002D3FF7">
                      <w:pPr>
                        <w:spacing w:after="0" w:line="240" w:lineRule="auto"/>
                        <w:jc w:val="center"/>
                        <w:rPr>
                          <w:rFonts w:ascii="Times New Roman" w:hAnsi="Times New Roman"/>
                          <w:sz w:val="28"/>
                        </w:rPr>
                      </w:pPr>
                    </w:p>
                  </w:txbxContent>
                </v:textbox>
                <w10:wrap anchorx="margin"/>
              </v:roundrect>
            </w:pict>
          </mc:Fallback>
        </mc:AlternateContent>
      </w:r>
      <w:r w:rsidR="002D3FF7" w:rsidRPr="001053DB">
        <w:rPr>
          <w:rFonts w:ascii="Times New Roman" w:eastAsia="Times New Roman" w:hAnsi="Times New Roman" w:cs="Times New Roman"/>
          <w:noProof/>
          <w:lang w:val="en-US"/>
        </w:rPr>
        <mc:AlternateContent>
          <mc:Choice Requires="wps">
            <w:drawing>
              <wp:anchor distT="0" distB="0" distL="114300" distR="114300" simplePos="0" relativeHeight="251695104" behindDoc="0" locked="0" layoutInCell="1" allowOverlap="1" wp14:anchorId="55771D2D" wp14:editId="7A673575">
                <wp:simplePos x="0" y="0"/>
                <wp:positionH relativeFrom="column">
                  <wp:posOffset>-7590790</wp:posOffset>
                </wp:positionH>
                <wp:positionV relativeFrom="paragraph">
                  <wp:posOffset>-965835</wp:posOffset>
                </wp:positionV>
                <wp:extent cx="1155065" cy="959485"/>
                <wp:effectExtent l="0" t="0" r="6985" b="0"/>
                <wp:wrapNone/>
                <wp:docPr id="6"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5065" cy="959485"/>
                        </a:xfrm>
                        <a:custGeom>
                          <a:avLst/>
                          <a:gdLst>
                            <a:gd name="T0" fmla="*/ 1205 w 1205"/>
                            <a:gd name="T1" fmla="*/ 0 h 1746"/>
                            <a:gd name="T2" fmla="*/ 1205 w 1205"/>
                            <a:gd name="T3" fmla="*/ 1136 h 1746"/>
                            <a:gd name="T4" fmla="*/ 602 w 1205"/>
                            <a:gd name="T5" fmla="*/ 1746 h 1746"/>
                            <a:gd name="T6" fmla="*/ 0 w 1205"/>
                            <a:gd name="T7" fmla="*/ 1136 h 1746"/>
                            <a:gd name="T8" fmla="*/ 0 w 1205"/>
                            <a:gd name="T9" fmla="*/ 0 h 1746"/>
                            <a:gd name="T10" fmla="*/ 602 w 1205"/>
                            <a:gd name="T11" fmla="*/ 611 h 1746"/>
                            <a:gd name="T12" fmla="*/ 1205 w 1205"/>
                            <a:gd name="T13" fmla="*/ 0 h 1746"/>
                          </a:gdLst>
                          <a:ahLst/>
                          <a:cxnLst>
                            <a:cxn ang="0">
                              <a:pos x="T0" y="T1"/>
                            </a:cxn>
                            <a:cxn ang="0">
                              <a:pos x="T2" y="T3"/>
                            </a:cxn>
                            <a:cxn ang="0">
                              <a:pos x="T4" y="T5"/>
                            </a:cxn>
                            <a:cxn ang="0">
                              <a:pos x="T6" y="T7"/>
                            </a:cxn>
                            <a:cxn ang="0">
                              <a:pos x="T8" y="T9"/>
                            </a:cxn>
                            <a:cxn ang="0">
                              <a:pos x="T10" y="T11"/>
                            </a:cxn>
                            <a:cxn ang="0">
                              <a:pos x="T12" y="T13"/>
                            </a:cxn>
                          </a:cxnLst>
                          <a:rect l="0" t="0" r="r" b="b"/>
                          <a:pathLst>
                            <a:path w="1205" h="1746">
                              <a:moveTo>
                                <a:pt x="1205" y="0"/>
                              </a:moveTo>
                              <a:lnTo>
                                <a:pt x="1205" y="1136"/>
                              </a:lnTo>
                              <a:lnTo>
                                <a:pt x="602" y="1746"/>
                              </a:lnTo>
                              <a:lnTo>
                                <a:pt x="0" y="1136"/>
                              </a:lnTo>
                              <a:lnTo>
                                <a:pt x="0" y="0"/>
                              </a:lnTo>
                              <a:lnTo>
                                <a:pt x="602" y="611"/>
                              </a:lnTo>
                              <a:lnTo>
                                <a:pt x="1205" y="0"/>
                              </a:lnTo>
                              <a:close/>
                            </a:path>
                          </a:pathLst>
                        </a:custGeom>
                        <a:solidFill>
                          <a:srgbClr val="5B9BD5"/>
                        </a:solidFill>
                        <a:ln>
                          <a:noFill/>
                        </a:ln>
                      </wps:spPr>
                      <wps:txbx>
                        <w:txbxContent>
                          <w:p w14:paraId="35C5C9B0" w14:textId="77777777" w:rsidR="001053DB" w:rsidRPr="008F3809" w:rsidRDefault="001053DB" w:rsidP="002D3FF7">
                            <w:pPr>
                              <w:jc w:val="center"/>
                              <w:rPr>
                                <w:rFonts w:ascii="Arial" w:hAnsi="Arial" w:cs="Arial"/>
                                <w:sz w:val="16"/>
                                <w:szCs w:val="16"/>
                              </w:rPr>
                            </w:pPr>
                          </w:p>
                          <w:p w14:paraId="7FD7224D" w14:textId="77777777" w:rsidR="001053DB" w:rsidRPr="008F3809" w:rsidRDefault="001053DB" w:rsidP="002D3FF7">
                            <w:pPr>
                              <w:jc w:val="center"/>
                              <w:rPr>
                                <w:rFonts w:ascii="Times New Roman" w:hAnsi="Times New Roman" w:cs="Times New Roman"/>
                                <w:sz w:val="16"/>
                                <w:szCs w:val="16"/>
                              </w:rPr>
                            </w:pPr>
                            <w:r w:rsidRPr="008F3809">
                              <w:rPr>
                                <w:rFonts w:ascii="Times New Roman" w:hAnsi="Times New Roman" w:cs="Times New Roman"/>
                                <w:sz w:val="16"/>
                                <w:szCs w:val="16"/>
                              </w:rPr>
                              <w:t>Посебни циљ за унапређење управљања јавним финансијама</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5771D2D" id="_x0000_s1028" style="position:absolute;left:0;text-align:left;margin-left:-597.7pt;margin-top:-76.05pt;width:90.95pt;height:75.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205,174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" adj="-11796480,,5400" path="m1205,r,1136l602,1746,,1136,,,602,611,1205,xe" fillcolor="#5b9bd5" stroked="f">
                <v:stroke joinstyle="miter"/>
                <v:formulas/>
                <v:path arrowok="t" o:connecttype="custom" o:connectlocs="1155065,0;1155065,624270;577053,959485;0,624270;0,0;577053,335765;1155065,0" o:connectangles="0,0,0,0,0,0,0" textboxrect="0,0,1205,1746"/>
                <v:textbox>
                  <w:txbxContent>
                    <w:p w14:paraId="35C5C9B0" w14:textId="77777777" w:rsidR="001053DB" w:rsidRPr="008F3809" w:rsidRDefault="001053DB" w:rsidP="002D3FF7">
                      <w:pPr>
                        <w:jc w:val="center"/>
                        <w:rPr>
                          <w:rFonts w:ascii="Arial" w:hAnsi="Arial" w:cs="Arial"/>
                          <w:sz w:val="16"/>
                          <w:szCs w:val="16"/>
                        </w:rPr>
                      </w:pPr>
                    </w:p>
                    <w:p w14:paraId="7FD7224D" w14:textId="77777777" w:rsidR="001053DB" w:rsidRPr="008F3809" w:rsidRDefault="001053DB" w:rsidP="002D3FF7">
                      <w:pPr>
                        <w:jc w:val="center"/>
                        <w:rPr>
                          <w:rFonts w:ascii="Times New Roman" w:hAnsi="Times New Roman" w:cs="Times New Roman"/>
                          <w:sz w:val="16"/>
                          <w:szCs w:val="16"/>
                        </w:rPr>
                      </w:pPr>
                      <w:r w:rsidRPr="008F3809">
                        <w:rPr>
                          <w:rFonts w:ascii="Times New Roman" w:hAnsi="Times New Roman" w:cs="Times New Roman"/>
                          <w:sz w:val="16"/>
                          <w:szCs w:val="16"/>
                        </w:rPr>
                        <w:t>Посебни циљ за унапређење управљања јавним финансијама</w:t>
                      </w:r>
                    </w:p>
                  </w:txbxContent>
                </v:textbox>
              </v:shape>
            </w:pict>
          </mc:Fallback>
        </mc:AlternateContent>
      </w:r>
      <w:r w:rsidR="006F6702">
        <w:rPr>
          <w:rFonts w:ascii="Times New Roman" w:eastAsia="Calibri" w:hAnsi="Times New Roman" w:cs="Times New Roman"/>
          <w:b/>
          <w:bCs/>
          <w:lang w:val="en-US"/>
        </w:rPr>
        <w:t>Figure</w:t>
      </w:r>
      <w:r w:rsidRPr="001053DB">
        <w:rPr>
          <w:rFonts w:ascii="Times New Roman" w:eastAsia="Calibri" w:hAnsi="Times New Roman" w:cs="Times New Roman"/>
          <w:b/>
          <w:bCs/>
          <w:lang w:val="sr-Cyrl-CS"/>
        </w:rPr>
        <w:t xml:space="preserve"> 1: </w:t>
      </w:r>
      <w:r w:rsidR="006F6702">
        <w:rPr>
          <w:rFonts w:ascii="Times New Roman" w:eastAsia="Calibri" w:hAnsi="Times New Roman" w:cs="Times New Roman"/>
          <w:b/>
          <w:bCs/>
          <w:lang w:val="en-US"/>
        </w:rPr>
        <w:t>Overview and interlinkages of the planning documents relevant for PFM</w:t>
      </w:r>
    </w:p>
    <w:p w14:paraId="24935CA7" w14:textId="77777777" w:rsidR="009D4114" w:rsidRPr="001053DB" w:rsidRDefault="009D4114" w:rsidP="00960332">
      <w:pPr>
        <w:spacing w:after="0" w:line="240" w:lineRule="auto"/>
        <w:ind w:left="426"/>
        <w:rPr>
          <w:rFonts w:ascii="Times New Roman" w:eastAsia="Calibri" w:hAnsi="Times New Roman" w:cs="Times New Roman"/>
          <w:b/>
          <w:bCs/>
          <w:lang w:val="sr-Cyrl-CS"/>
        </w:rPr>
      </w:pPr>
    </w:p>
    <w:p w14:paraId="16D5620C" w14:textId="77777777" w:rsidR="00382694" w:rsidRPr="001053DB" w:rsidRDefault="00382694" w:rsidP="00960332">
      <w:pPr>
        <w:spacing w:after="0" w:line="240" w:lineRule="auto"/>
        <w:ind w:left="426"/>
        <w:rPr>
          <w:rFonts w:ascii="Times New Roman" w:eastAsia="Calibri" w:hAnsi="Times New Roman" w:cs="Times New Roman"/>
          <w:b/>
          <w:bCs/>
          <w:lang w:val="sr-Cyrl-CS"/>
        </w:rPr>
        <w:sectPr w:rsidR="00382694" w:rsidRPr="001053DB" w:rsidSect="005B6C61">
          <w:headerReference w:type="even" r:id="rId11"/>
          <w:headerReference w:type="default" r:id="rId12"/>
          <w:footerReference w:type="default" r:id="rId13"/>
          <w:headerReference w:type="first" r:id="rId14"/>
          <w:pgSz w:w="16838" w:h="11906" w:orient="landscape"/>
          <w:pgMar w:top="1440" w:right="1440" w:bottom="1440" w:left="1440" w:header="576" w:footer="576" w:gutter="0"/>
          <w:cols w:space="720"/>
          <w:docGrid w:linePitch="360"/>
        </w:sectPr>
      </w:pPr>
    </w:p>
    <w:p w14:paraId="3DF20AC9" w14:textId="77777777" w:rsidR="003E3CF7" w:rsidRPr="001053DB" w:rsidRDefault="003E3CF7" w:rsidP="00960332">
      <w:pPr>
        <w:spacing w:after="0" w:line="240" w:lineRule="auto"/>
        <w:ind w:left="426"/>
        <w:rPr>
          <w:rFonts w:ascii="Times New Roman" w:eastAsia="Calibri" w:hAnsi="Times New Roman" w:cs="Times New Roman"/>
          <w:b/>
          <w:bCs/>
          <w:lang w:val="sr-Cyrl-CS"/>
        </w:rPr>
      </w:pPr>
    </w:p>
    <w:p w14:paraId="4456337B" w14:textId="5C279D82" w:rsidR="009D4114" w:rsidRDefault="00C65593"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INTERNATIONAL TRENDS AND COMPARATIVE PRACTICES IN PUBLIC FINANCIAL MANAGEMENT SYSTEMS</w:t>
      </w:r>
    </w:p>
    <w:p w14:paraId="035AB6B8" w14:textId="77777777" w:rsidR="00C65593" w:rsidRPr="00C65593" w:rsidRDefault="00C65593" w:rsidP="00C65593">
      <w:pPr>
        <w:rPr>
          <w:lang w:val="en-US"/>
        </w:rPr>
      </w:pPr>
    </w:p>
    <w:p w14:paraId="687F74F3" w14:textId="77777777" w:rsidR="00C65593" w:rsidRPr="00C65593" w:rsidRDefault="00C65593" w:rsidP="00C65593">
      <w:pPr>
        <w:ind w:firstLine="708"/>
        <w:jc w:val="both"/>
        <w:rPr>
          <w:rFonts w:ascii="Times New Roman" w:eastAsia="Times New Roman" w:hAnsi="Times New Roman" w:cs="Times New Roman"/>
          <w:sz w:val="24"/>
          <w:szCs w:val="24"/>
          <w:shd w:val="clear" w:color="auto" w:fill="FFFFFF"/>
          <w:lang w:val="en-US"/>
        </w:rPr>
      </w:pPr>
      <w:r w:rsidRPr="00C65593">
        <w:rPr>
          <w:rFonts w:ascii="Times New Roman" w:eastAsia="Times New Roman" w:hAnsi="Times New Roman" w:cs="Times New Roman"/>
          <w:sz w:val="24"/>
          <w:szCs w:val="24"/>
          <w:shd w:val="clear" w:color="auto" w:fill="FFFFFF"/>
          <w:lang w:val="en-US"/>
        </w:rPr>
        <w:t xml:space="preserve">Reform of the public financial management (PFM) system is essential for the effective management of public resources and the provision of quality public services to citizens. Public financial management systems vary across countries depending on their specific characteristics, including the nature of their administrative and legal systems, the size of the economy, the degree of international integration, </w:t>
      </w:r>
      <w:proofErr w:type="spellStart"/>
      <w:r w:rsidRPr="00C65593">
        <w:rPr>
          <w:rFonts w:ascii="Times New Roman" w:eastAsia="Times New Roman" w:hAnsi="Times New Roman" w:cs="Times New Roman"/>
          <w:sz w:val="24"/>
          <w:szCs w:val="24"/>
          <w:shd w:val="clear" w:color="auto" w:fill="FFFFFF"/>
          <w:lang w:val="en-US"/>
        </w:rPr>
        <w:t>decentralisation</w:t>
      </w:r>
      <w:proofErr w:type="spellEnd"/>
      <w:r w:rsidRPr="00C65593">
        <w:rPr>
          <w:rFonts w:ascii="Times New Roman" w:eastAsia="Times New Roman" w:hAnsi="Times New Roman" w:cs="Times New Roman"/>
          <w:sz w:val="24"/>
          <w:szCs w:val="24"/>
          <w:shd w:val="clear" w:color="auto" w:fill="FFFFFF"/>
          <w:lang w:val="en-US"/>
        </w:rPr>
        <w:t xml:space="preserve">, </w:t>
      </w:r>
      <w:proofErr w:type="spellStart"/>
      <w:r w:rsidRPr="00C65593">
        <w:rPr>
          <w:rFonts w:ascii="Times New Roman" w:eastAsia="Times New Roman" w:hAnsi="Times New Roman" w:cs="Times New Roman"/>
          <w:sz w:val="24"/>
          <w:szCs w:val="24"/>
          <w:shd w:val="clear" w:color="auto" w:fill="FFFFFF"/>
          <w:lang w:val="en-US"/>
        </w:rPr>
        <w:t>digitalisation</w:t>
      </w:r>
      <w:proofErr w:type="spellEnd"/>
      <w:r w:rsidRPr="00C65593">
        <w:rPr>
          <w:rFonts w:ascii="Times New Roman" w:eastAsia="Times New Roman" w:hAnsi="Times New Roman" w:cs="Times New Roman"/>
          <w:sz w:val="24"/>
          <w:szCs w:val="24"/>
          <w:shd w:val="clear" w:color="auto" w:fill="FFFFFF"/>
          <w:lang w:val="en-US"/>
        </w:rPr>
        <w:t>, and other relevant factors.</w:t>
      </w:r>
    </w:p>
    <w:p w14:paraId="7CB67FF1" w14:textId="74EF3AC2" w:rsidR="00C65593" w:rsidRPr="00C65593" w:rsidRDefault="00C65593" w:rsidP="00C65593">
      <w:pPr>
        <w:ind w:firstLine="708"/>
        <w:jc w:val="both"/>
        <w:rPr>
          <w:rFonts w:ascii="Times New Roman" w:eastAsia="Times New Roman" w:hAnsi="Times New Roman" w:cs="Times New Roman"/>
          <w:sz w:val="24"/>
          <w:szCs w:val="24"/>
          <w:shd w:val="clear" w:color="auto" w:fill="FFFFFF"/>
          <w:lang w:val="en-US"/>
        </w:rPr>
      </w:pPr>
      <w:r w:rsidRPr="00C65593">
        <w:rPr>
          <w:rFonts w:ascii="Times New Roman" w:eastAsia="Times New Roman" w:hAnsi="Times New Roman" w:cs="Times New Roman"/>
          <w:sz w:val="24"/>
          <w:szCs w:val="24"/>
          <w:shd w:val="clear" w:color="auto" w:fill="FFFFFF"/>
          <w:lang w:val="en-US"/>
        </w:rPr>
        <w:t>At the international level, a wide range of instruments and analytical frameworks are available for diagnosing either the entire public financial management system or its individual components</w:t>
      </w:r>
      <w:r w:rsidR="00B71777">
        <w:rPr>
          <w:rStyle w:val="FootnoteReference"/>
          <w:rFonts w:ascii="Times New Roman" w:eastAsia="Times New Roman" w:hAnsi="Times New Roman" w:cs="Times New Roman"/>
          <w:sz w:val="24"/>
          <w:szCs w:val="24"/>
          <w:shd w:val="clear" w:color="auto" w:fill="FFFFFF"/>
          <w:lang w:val="en-US"/>
        </w:rPr>
        <w:footnoteReference w:id="9"/>
      </w:r>
      <w:r w:rsidRPr="00C65593">
        <w:rPr>
          <w:rFonts w:ascii="Times New Roman" w:eastAsia="Times New Roman" w:hAnsi="Times New Roman" w:cs="Times New Roman"/>
          <w:sz w:val="24"/>
          <w:szCs w:val="24"/>
          <w:shd w:val="clear" w:color="auto" w:fill="FFFFFF"/>
          <w:lang w:val="en-US"/>
        </w:rPr>
        <w:t xml:space="preserve">. These are most commonly developed by international </w:t>
      </w:r>
      <w:proofErr w:type="spellStart"/>
      <w:r w:rsidRPr="00C65593">
        <w:rPr>
          <w:rFonts w:ascii="Times New Roman" w:eastAsia="Times New Roman" w:hAnsi="Times New Roman" w:cs="Times New Roman"/>
          <w:sz w:val="24"/>
          <w:szCs w:val="24"/>
          <w:shd w:val="clear" w:color="auto" w:fill="FFFFFF"/>
          <w:lang w:val="en-US"/>
        </w:rPr>
        <w:t>organisations</w:t>
      </w:r>
      <w:proofErr w:type="spellEnd"/>
      <w:r w:rsidRPr="00C65593">
        <w:rPr>
          <w:rFonts w:ascii="Times New Roman" w:eastAsia="Times New Roman" w:hAnsi="Times New Roman" w:cs="Times New Roman"/>
          <w:sz w:val="24"/>
          <w:szCs w:val="24"/>
          <w:shd w:val="clear" w:color="auto" w:fill="FFFFFF"/>
          <w:lang w:val="en-US"/>
        </w:rPr>
        <w:t xml:space="preserve"> such as the International Monetary Fund (IMF), the </w:t>
      </w:r>
      <w:proofErr w:type="spellStart"/>
      <w:r w:rsidRPr="00C65593">
        <w:rPr>
          <w:rFonts w:ascii="Times New Roman" w:eastAsia="Times New Roman" w:hAnsi="Times New Roman" w:cs="Times New Roman"/>
          <w:sz w:val="24"/>
          <w:szCs w:val="24"/>
          <w:shd w:val="clear" w:color="auto" w:fill="FFFFFF"/>
          <w:lang w:val="en-US"/>
        </w:rPr>
        <w:t>Organisation</w:t>
      </w:r>
      <w:proofErr w:type="spellEnd"/>
      <w:r w:rsidRPr="00C65593">
        <w:rPr>
          <w:rFonts w:ascii="Times New Roman" w:eastAsia="Times New Roman" w:hAnsi="Times New Roman" w:cs="Times New Roman"/>
          <w:sz w:val="24"/>
          <w:szCs w:val="24"/>
          <w:shd w:val="clear" w:color="auto" w:fill="FFFFFF"/>
          <w:lang w:val="en-US"/>
        </w:rPr>
        <w:t xml:space="preserve"> for Economic Co-operation and Development (OECD), the World Bank, the PEFA Secretariat, and others, based on established methodologies that are regularly updated to reflect the latest developments in the field. Given that the Republic of Serbia is in the process of accession to the European Union, many obligations arising from the European integration process effectively represent European standards that Serbia seeks to attain in further improving its public financial management system.</w:t>
      </w:r>
    </w:p>
    <w:p w14:paraId="2BC3FBA9" w14:textId="1346F92A" w:rsidR="00C65593" w:rsidRPr="00C65593" w:rsidRDefault="00C65593" w:rsidP="00B71777">
      <w:pPr>
        <w:ind w:firstLine="708"/>
        <w:jc w:val="both"/>
        <w:rPr>
          <w:rFonts w:ascii="Times New Roman" w:eastAsia="Times New Roman" w:hAnsi="Times New Roman" w:cs="Times New Roman"/>
          <w:sz w:val="24"/>
          <w:szCs w:val="24"/>
          <w:shd w:val="clear" w:color="auto" w:fill="FFFFFF"/>
          <w:lang w:val="en-US"/>
        </w:rPr>
      </w:pPr>
      <w:r w:rsidRPr="00C65593">
        <w:rPr>
          <w:rFonts w:ascii="Times New Roman" w:eastAsia="Times New Roman" w:hAnsi="Times New Roman" w:cs="Times New Roman"/>
          <w:sz w:val="24"/>
          <w:szCs w:val="24"/>
          <w:shd w:val="clear" w:color="auto" w:fill="FFFFFF"/>
          <w:lang w:val="en-US"/>
        </w:rPr>
        <w:t>Alignment with international standards and obligations stemming from the European integration process is of fundamental importance for the PFM Reform Program</w:t>
      </w:r>
      <w:r w:rsidR="005F2F41">
        <w:rPr>
          <w:rFonts w:ascii="Times New Roman" w:eastAsia="Times New Roman" w:hAnsi="Times New Roman" w:cs="Times New Roman"/>
          <w:sz w:val="24"/>
          <w:szCs w:val="24"/>
          <w:shd w:val="clear" w:color="auto" w:fill="FFFFFF"/>
          <w:lang w:val="en-US"/>
        </w:rPr>
        <w:t>me</w:t>
      </w:r>
      <w:r w:rsidRPr="00C65593">
        <w:rPr>
          <w:rFonts w:ascii="Times New Roman" w:eastAsia="Times New Roman" w:hAnsi="Times New Roman" w:cs="Times New Roman"/>
          <w:sz w:val="24"/>
          <w:szCs w:val="24"/>
          <w:shd w:val="clear" w:color="auto" w:fill="FFFFFF"/>
          <w:lang w:val="en-US"/>
        </w:rPr>
        <w:t xml:space="preserve">. In addition to being part of Cluster 1 </w:t>
      </w:r>
      <w:r w:rsidR="009E0767">
        <w:rPr>
          <w:rFonts w:ascii="Times New Roman" w:eastAsia="Times New Roman" w:hAnsi="Times New Roman" w:cs="Times New Roman"/>
          <w:sz w:val="24"/>
          <w:szCs w:val="24"/>
          <w:shd w:val="clear" w:color="auto" w:fill="FFFFFF"/>
          <w:lang w:val="en-US"/>
        </w:rPr>
        <w:t>-</w:t>
      </w:r>
      <w:r w:rsidRPr="00C65593">
        <w:rPr>
          <w:rFonts w:ascii="Times New Roman" w:eastAsia="Times New Roman" w:hAnsi="Times New Roman" w:cs="Times New Roman"/>
          <w:sz w:val="24"/>
          <w:szCs w:val="24"/>
          <w:shd w:val="clear" w:color="auto" w:fill="FFFFFF"/>
          <w:lang w:val="en-US"/>
        </w:rPr>
        <w:t xml:space="preserve"> Fundamentals within the public administration reform framework, public financial management is directly linked to commitments undertaken under Negotiating Chapters 5</w:t>
      </w:r>
      <w:r w:rsidR="009E0767">
        <w:rPr>
          <w:rFonts w:ascii="Times New Roman" w:eastAsia="Times New Roman" w:hAnsi="Times New Roman" w:cs="Times New Roman"/>
          <w:sz w:val="24"/>
          <w:szCs w:val="24"/>
          <w:shd w:val="clear" w:color="auto" w:fill="FFFFFF"/>
          <w:lang w:val="en-US"/>
        </w:rPr>
        <w:t xml:space="preserve"> -</w:t>
      </w:r>
      <w:r w:rsidRPr="00C65593">
        <w:rPr>
          <w:rFonts w:ascii="Times New Roman" w:eastAsia="Times New Roman" w:hAnsi="Times New Roman" w:cs="Times New Roman"/>
          <w:sz w:val="24"/>
          <w:szCs w:val="24"/>
          <w:shd w:val="clear" w:color="auto" w:fill="FFFFFF"/>
          <w:lang w:val="en-US"/>
        </w:rPr>
        <w:t xml:space="preserve"> Public Procurement, 16 </w:t>
      </w:r>
      <w:r w:rsidR="009E0767">
        <w:rPr>
          <w:rFonts w:ascii="Times New Roman" w:eastAsia="Times New Roman" w:hAnsi="Times New Roman" w:cs="Times New Roman"/>
          <w:sz w:val="24"/>
          <w:szCs w:val="24"/>
          <w:shd w:val="clear" w:color="auto" w:fill="FFFFFF"/>
          <w:lang w:val="en-US"/>
        </w:rPr>
        <w:t>-</w:t>
      </w:r>
      <w:r w:rsidRPr="00C65593">
        <w:rPr>
          <w:rFonts w:ascii="Times New Roman" w:eastAsia="Times New Roman" w:hAnsi="Times New Roman" w:cs="Times New Roman"/>
          <w:sz w:val="24"/>
          <w:szCs w:val="24"/>
          <w:shd w:val="clear" w:color="auto" w:fill="FFFFFF"/>
          <w:lang w:val="en-US"/>
        </w:rPr>
        <w:t xml:space="preserve"> Taxation, 17 </w:t>
      </w:r>
      <w:r w:rsidR="009E0767">
        <w:rPr>
          <w:rFonts w:ascii="Times New Roman" w:eastAsia="Times New Roman" w:hAnsi="Times New Roman" w:cs="Times New Roman"/>
          <w:sz w:val="24"/>
          <w:szCs w:val="24"/>
          <w:shd w:val="clear" w:color="auto" w:fill="FFFFFF"/>
          <w:lang w:val="en-US"/>
        </w:rPr>
        <w:t>-</w:t>
      </w:r>
      <w:r w:rsidRPr="00C65593">
        <w:rPr>
          <w:rFonts w:ascii="Times New Roman" w:eastAsia="Times New Roman" w:hAnsi="Times New Roman" w:cs="Times New Roman"/>
          <w:sz w:val="24"/>
          <w:szCs w:val="24"/>
          <w:shd w:val="clear" w:color="auto" w:fill="FFFFFF"/>
          <w:lang w:val="en-US"/>
        </w:rPr>
        <w:t xml:space="preserve"> Economic and Monetary Policy, 29 </w:t>
      </w:r>
      <w:r w:rsidR="009E0767">
        <w:rPr>
          <w:rFonts w:ascii="Times New Roman" w:eastAsia="Times New Roman" w:hAnsi="Times New Roman" w:cs="Times New Roman"/>
          <w:sz w:val="24"/>
          <w:szCs w:val="24"/>
          <w:shd w:val="clear" w:color="auto" w:fill="FFFFFF"/>
          <w:lang w:val="en-US"/>
        </w:rPr>
        <w:t>-</w:t>
      </w:r>
      <w:r w:rsidRPr="00C65593">
        <w:rPr>
          <w:rFonts w:ascii="Times New Roman" w:eastAsia="Times New Roman" w:hAnsi="Times New Roman" w:cs="Times New Roman"/>
          <w:sz w:val="24"/>
          <w:szCs w:val="24"/>
          <w:shd w:val="clear" w:color="auto" w:fill="FFFFFF"/>
          <w:lang w:val="en-US"/>
        </w:rPr>
        <w:t xml:space="preserve"> Customs Union, 32 </w:t>
      </w:r>
      <w:r w:rsidR="009E0767">
        <w:rPr>
          <w:rFonts w:ascii="Times New Roman" w:eastAsia="Times New Roman" w:hAnsi="Times New Roman" w:cs="Times New Roman"/>
          <w:sz w:val="24"/>
          <w:szCs w:val="24"/>
          <w:shd w:val="clear" w:color="auto" w:fill="FFFFFF"/>
          <w:lang w:val="en-US"/>
        </w:rPr>
        <w:t>-</w:t>
      </w:r>
      <w:r w:rsidRPr="00C65593">
        <w:rPr>
          <w:rFonts w:ascii="Times New Roman" w:eastAsia="Times New Roman" w:hAnsi="Times New Roman" w:cs="Times New Roman"/>
          <w:sz w:val="24"/>
          <w:szCs w:val="24"/>
          <w:shd w:val="clear" w:color="auto" w:fill="FFFFFF"/>
          <w:lang w:val="en-US"/>
        </w:rPr>
        <w:t xml:space="preserve"> Financial Control, and 33 </w:t>
      </w:r>
      <w:r w:rsidR="009E0767">
        <w:rPr>
          <w:rFonts w:ascii="Times New Roman" w:eastAsia="Times New Roman" w:hAnsi="Times New Roman" w:cs="Times New Roman"/>
          <w:sz w:val="24"/>
          <w:szCs w:val="24"/>
          <w:shd w:val="clear" w:color="auto" w:fill="FFFFFF"/>
          <w:lang w:val="en-US"/>
        </w:rPr>
        <w:t>-</w:t>
      </w:r>
      <w:r w:rsidRPr="00C65593">
        <w:rPr>
          <w:rFonts w:ascii="Times New Roman" w:eastAsia="Times New Roman" w:hAnsi="Times New Roman" w:cs="Times New Roman"/>
          <w:sz w:val="24"/>
          <w:szCs w:val="24"/>
          <w:shd w:val="clear" w:color="auto" w:fill="FFFFFF"/>
          <w:lang w:val="en-US"/>
        </w:rPr>
        <w:t xml:space="preserve"> Financial and Budgetary Provisions. The PFM Reform Program is also linked to Chapters 22 </w:t>
      </w:r>
      <w:r w:rsidR="009E0767">
        <w:rPr>
          <w:rFonts w:ascii="Times New Roman" w:eastAsia="Times New Roman" w:hAnsi="Times New Roman" w:cs="Times New Roman"/>
          <w:sz w:val="24"/>
          <w:szCs w:val="24"/>
          <w:shd w:val="clear" w:color="auto" w:fill="FFFFFF"/>
          <w:lang w:val="en-US"/>
        </w:rPr>
        <w:t>-</w:t>
      </w:r>
      <w:r w:rsidRPr="00C65593">
        <w:rPr>
          <w:rFonts w:ascii="Times New Roman" w:eastAsia="Times New Roman" w:hAnsi="Times New Roman" w:cs="Times New Roman"/>
          <w:sz w:val="24"/>
          <w:szCs w:val="24"/>
          <w:shd w:val="clear" w:color="auto" w:fill="FFFFFF"/>
          <w:lang w:val="en-US"/>
        </w:rPr>
        <w:t xml:space="preserve"> Regional Policy and Coordination of Structural Instruments, 23 </w:t>
      </w:r>
      <w:r w:rsidR="009E0767">
        <w:rPr>
          <w:rFonts w:ascii="Times New Roman" w:eastAsia="Times New Roman" w:hAnsi="Times New Roman" w:cs="Times New Roman"/>
          <w:sz w:val="24"/>
          <w:szCs w:val="24"/>
          <w:shd w:val="clear" w:color="auto" w:fill="FFFFFF"/>
          <w:lang w:val="en-US"/>
        </w:rPr>
        <w:t>-</w:t>
      </w:r>
      <w:r w:rsidRPr="00C65593">
        <w:rPr>
          <w:rFonts w:ascii="Times New Roman" w:eastAsia="Times New Roman" w:hAnsi="Times New Roman" w:cs="Times New Roman"/>
          <w:sz w:val="24"/>
          <w:szCs w:val="24"/>
          <w:shd w:val="clear" w:color="auto" w:fill="FFFFFF"/>
          <w:lang w:val="en-US"/>
        </w:rPr>
        <w:t xml:space="preserve"> Judiciary and Fundamental Rights, and 24 </w:t>
      </w:r>
      <w:r w:rsidR="009E0767">
        <w:rPr>
          <w:rFonts w:ascii="Times New Roman" w:eastAsia="Times New Roman" w:hAnsi="Times New Roman" w:cs="Times New Roman"/>
          <w:sz w:val="24"/>
          <w:szCs w:val="24"/>
          <w:shd w:val="clear" w:color="auto" w:fill="FFFFFF"/>
          <w:lang w:val="en-US"/>
        </w:rPr>
        <w:t>-</w:t>
      </w:r>
      <w:r w:rsidRPr="00C65593">
        <w:rPr>
          <w:rFonts w:ascii="Times New Roman" w:eastAsia="Times New Roman" w:hAnsi="Times New Roman" w:cs="Times New Roman"/>
          <w:sz w:val="24"/>
          <w:szCs w:val="24"/>
          <w:shd w:val="clear" w:color="auto" w:fill="FFFFFF"/>
          <w:lang w:val="en-US"/>
        </w:rPr>
        <w:t xml:space="preserve"> Justice, Freedom and Security, which address specific issues relevant to public financial management. The level of preparedness of the Republic of Serbia in these chapters, as well as annual progress achieved, is assessed by the European Commission as part of its ongoing dialogue with the competent institutions and represents an important indicator of developments in these policy areas.</w:t>
      </w:r>
      <w:r w:rsidR="00B71777">
        <w:rPr>
          <w:rFonts w:ascii="Times New Roman" w:eastAsia="Times New Roman" w:hAnsi="Times New Roman" w:cs="Times New Roman"/>
          <w:sz w:val="24"/>
          <w:szCs w:val="24"/>
          <w:shd w:val="clear" w:color="auto" w:fill="FFFFFF"/>
          <w:lang w:val="en-US"/>
        </w:rPr>
        <w:t xml:space="preserve"> </w:t>
      </w:r>
      <w:r w:rsidRPr="00C65593">
        <w:rPr>
          <w:rFonts w:ascii="Times New Roman" w:eastAsia="Times New Roman" w:hAnsi="Times New Roman" w:cs="Times New Roman"/>
          <w:sz w:val="24"/>
          <w:szCs w:val="24"/>
          <w:shd w:val="clear" w:color="auto" w:fill="FFFFFF"/>
          <w:lang w:val="en-US"/>
        </w:rPr>
        <w:t>According to the European Commission’s 2025 Serbia Report</w:t>
      </w:r>
      <w:r w:rsidR="00B71777">
        <w:rPr>
          <w:rStyle w:val="FootnoteReference"/>
          <w:rFonts w:ascii="Times New Roman" w:eastAsia="Times New Roman" w:hAnsi="Times New Roman" w:cs="Times New Roman"/>
          <w:sz w:val="24"/>
          <w:szCs w:val="24"/>
          <w:shd w:val="clear" w:color="auto" w:fill="FFFFFF"/>
          <w:lang w:val="en-US"/>
        </w:rPr>
        <w:footnoteReference w:id="10"/>
      </w:r>
      <w:r w:rsidRPr="00C65593">
        <w:rPr>
          <w:rFonts w:ascii="Times New Roman" w:eastAsia="Times New Roman" w:hAnsi="Times New Roman" w:cs="Times New Roman"/>
          <w:sz w:val="24"/>
          <w:szCs w:val="24"/>
          <w:shd w:val="clear" w:color="auto" w:fill="FFFFFF"/>
          <w:lang w:val="en-US"/>
        </w:rPr>
        <w:t>, the level of preparedness in the chapters under the responsibility of the Ministry of Finance was assessed as follows: a good level of preparedness in Chapter 29; between a moderate and good level of preparedness in Chapters 16 and 17; a moderate level of preparedness in Chapter 32; and some level of preparedness in Chapter 33. Particular attention has also been given to alignment with the European Union’s new instrument – the Growth Plan for the Western Balkans</w:t>
      </w:r>
      <w:r w:rsidR="00B71777">
        <w:rPr>
          <w:rStyle w:val="FootnoteReference"/>
          <w:rFonts w:ascii="Times New Roman" w:eastAsia="Times New Roman" w:hAnsi="Times New Roman" w:cs="Times New Roman"/>
          <w:sz w:val="24"/>
          <w:szCs w:val="24"/>
          <w:shd w:val="clear" w:color="auto" w:fill="FFFFFF"/>
          <w:lang w:val="en-US"/>
        </w:rPr>
        <w:footnoteReference w:id="11"/>
      </w:r>
      <w:r w:rsidRPr="00C65593">
        <w:rPr>
          <w:rFonts w:ascii="Times New Roman" w:eastAsia="Times New Roman" w:hAnsi="Times New Roman" w:cs="Times New Roman"/>
          <w:sz w:val="24"/>
          <w:szCs w:val="24"/>
          <w:shd w:val="clear" w:color="auto" w:fill="FFFFFF"/>
          <w:lang w:val="en-US"/>
        </w:rPr>
        <w:t xml:space="preserve">, which </w:t>
      </w:r>
      <w:r w:rsidRPr="00C65593">
        <w:rPr>
          <w:rFonts w:ascii="Times New Roman" w:eastAsia="Times New Roman" w:hAnsi="Times New Roman" w:cs="Times New Roman"/>
          <w:sz w:val="24"/>
          <w:szCs w:val="24"/>
          <w:shd w:val="clear" w:color="auto" w:fill="FFFFFF"/>
          <w:lang w:val="en-US"/>
        </w:rPr>
        <w:lastRenderedPageBreak/>
        <w:t>provides for semi-annual and annual reporting, as well as system audits, as key indicators of progress.</w:t>
      </w:r>
    </w:p>
    <w:p w14:paraId="189A54AC" w14:textId="30B0C5D7" w:rsidR="00C65593" w:rsidRPr="00C65593" w:rsidRDefault="00C65593" w:rsidP="00C65593">
      <w:pPr>
        <w:ind w:firstLine="708"/>
        <w:jc w:val="both"/>
        <w:rPr>
          <w:rFonts w:ascii="Times New Roman" w:eastAsia="Times New Roman" w:hAnsi="Times New Roman" w:cs="Times New Roman"/>
          <w:sz w:val="24"/>
          <w:szCs w:val="24"/>
          <w:shd w:val="clear" w:color="auto" w:fill="FFFFFF"/>
          <w:lang w:val="en-US"/>
        </w:rPr>
      </w:pPr>
      <w:r w:rsidRPr="00C65593">
        <w:rPr>
          <w:rFonts w:ascii="Times New Roman" w:eastAsia="Times New Roman" w:hAnsi="Times New Roman" w:cs="Times New Roman"/>
          <w:sz w:val="24"/>
          <w:szCs w:val="24"/>
          <w:shd w:val="clear" w:color="auto" w:fill="FFFFFF"/>
          <w:lang w:val="en-US"/>
        </w:rPr>
        <w:t xml:space="preserve">Furthermore, as an EU candidate country since 2015, the Republic of Serbia participates in the economic policy coordination process under the Light European Semester. Each year, the Government adopts the Economic Reform Programme </w:t>
      </w:r>
      <w:r w:rsidR="00B71777">
        <w:rPr>
          <w:rStyle w:val="FootnoteReference"/>
          <w:rFonts w:ascii="Times New Roman" w:eastAsia="Times New Roman" w:hAnsi="Times New Roman" w:cs="Times New Roman"/>
          <w:sz w:val="24"/>
          <w:szCs w:val="24"/>
          <w:shd w:val="clear" w:color="auto" w:fill="FFFFFF"/>
          <w:lang w:val="en-US"/>
        </w:rPr>
        <w:footnoteReference w:id="12"/>
      </w:r>
      <w:r w:rsidRPr="00C65593">
        <w:rPr>
          <w:rFonts w:ascii="Times New Roman" w:eastAsia="Times New Roman" w:hAnsi="Times New Roman" w:cs="Times New Roman"/>
          <w:sz w:val="24"/>
          <w:szCs w:val="24"/>
          <w:shd w:val="clear" w:color="auto" w:fill="FFFFFF"/>
          <w:lang w:val="en-US"/>
        </w:rPr>
        <w:t>(ERP) covering the subsequent three-year period. At the conclusion of each annual cycle, ministerial-level recommendations are adopted in the fields of macroeconomic, fiscal, and monetary policy, and their implementation is subsequently monitored. The ERP includes dedicated chapters addressing the quality of public finances and related reforms. This process facilitates continuous dialogue, benchmarking of results, and the exchange of good practices with EU Member States and other participating countries and is directly linked to Chapter 17.</w:t>
      </w:r>
    </w:p>
    <w:p w14:paraId="73AEF6EA" w14:textId="192FA1E0" w:rsidR="00C65593" w:rsidRPr="00C65593" w:rsidRDefault="00C65593" w:rsidP="00C65593">
      <w:pPr>
        <w:ind w:firstLine="708"/>
        <w:jc w:val="both"/>
        <w:rPr>
          <w:rFonts w:ascii="Times New Roman" w:eastAsia="Times New Roman" w:hAnsi="Times New Roman" w:cs="Times New Roman"/>
          <w:sz w:val="24"/>
          <w:szCs w:val="24"/>
          <w:shd w:val="clear" w:color="auto" w:fill="FFFFFF"/>
          <w:lang w:val="en-US"/>
        </w:rPr>
      </w:pPr>
      <w:r w:rsidRPr="00C65593">
        <w:rPr>
          <w:rFonts w:ascii="Times New Roman" w:eastAsia="Times New Roman" w:hAnsi="Times New Roman" w:cs="Times New Roman"/>
          <w:sz w:val="24"/>
          <w:szCs w:val="24"/>
          <w:shd w:val="clear" w:color="auto" w:fill="FFFFFF"/>
          <w:lang w:val="en-US"/>
        </w:rPr>
        <w:t>Regarding international diagnostic tools, Serbia regularly applies the SIGMA/OECD assessment of the Principles of Public Administration. In cooperation with the European Commission, SIGMA monitors public administration reform through a set of standard indicators based on the Principles of Public Administration. The SIGMA methodology extends beyond public financial management reform and assesses both the necessary enabling conditions</w:t>
      </w:r>
      <w:r w:rsidR="009E0767">
        <w:rPr>
          <w:rFonts w:ascii="Times New Roman" w:eastAsia="Times New Roman" w:hAnsi="Times New Roman" w:cs="Times New Roman"/>
          <w:sz w:val="24"/>
          <w:szCs w:val="24"/>
          <w:shd w:val="clear" w:color="auto" w:fill="FFFFFF"/>
          <w:lang w:val="en-US"/>
        </w:rPr>
        <w:t xml:space="preserve"> - </w:t>
      </w:r>
      <w:r w:rsidRPr="00C65593">
        <w:rPr>
          <w:rFonts w:ascii="Times New Roman" w:eastAsia="Times New Roman" w:hAnsi="Times New Roman" w:cs="Times New Roman"/>
          <w:sz w:val="24"/>
          <w:szCs w:val="24"/>
          <w:shd w:val="clear" w:color="auto" w:fill="FFFFFF"/>
          <w:lang w:val="en-US"/>
        </w:rPr>
        <w:t>such as legislation, policies, institutional structures, and procedures</w:t>
      </w:r>
      <w:r w:rsidR="009E0767">
        <w:rPr>
          <w:rFonts w:ascii="Times New Roman" w:eastAsia="Times New Roman" w:hAnsi="Times New Roman" w:cs="Times New Roman"/>
          <w:sz w:val="24"/>
          <w:szCs w:val="24"/>
          <w:shd w:val="clear" w:color="auto" w:fill="FFFFFF"/>
          <w:lang w:val="en-US"/>
        </w:rPr>
        <w:t xml:space="preserve"> - </w:t>
      </w:r>
      <w:r w:rsidRPr="00C65593">
        <w:rPr>
          <w:rFonts w:ascii="Times New Roman" w:eastAsia="Times New Roman" w:hAnsi="Times New Roman" w:cs="Times New Roman"/>
          <w:sz w:val="24"/>
          <w:szCs w:val="24"/>
          <w:shd w:val="clear" w:color="auto" w:fill="FFFFFF"/>
          <w:lang w:val="en-US"/>
        </w:rPr>
        <w:t xml:space="preserve">and their practical implementation and results. SIGMA also maintains an open database </w:t>
      </w:r>
      <w:r w:rsidR="00B71777">
        <w:rPr>
          <w:rStyle w:val="FootnoteReference"/>
          <w:rFonts w:ascii="Times New Roman" w:eastAsia="Times New Roman" w:hAnsi="Times New Roman" w:cs="Times New Roman"/>
          <w:sz w:val="24"/>
          <w:szCs w:val="24"/>
          <w:shd w:val="clear" w:color="auto" w:fill="FFFFFF"/>
          <w:lang w:val="en-US"/>
        </w:rPr>
        <w:footnoteReference w:id="13"/>
      </w:r>
      <w:r w:rsidRPr="00C65593">
        <w:rPr>
          <w:rFonts w:ascii="Times New Roman" w:eastAsia="Times New Roman" w:hAnsi="Times New Roman" w:cs="Times New Roman"/>
          <w:sz w:val="24"/>
          <w:szCs w:val="24"/>
          <w:shd w:val="clear" w:color="auto" w:fill="FFFFFF"/>
          <w:lang w:val="en-US"/>
        </w:rPr>
        <w:t>that provides access to the methodology, facilitates comparative analysis across the Western Balkans region, and offers interactive simulation of results. The most recent SIGMA assessment was conducted for 2024 (the results for Serbia in the area of public financial management reform are presented in the figure below), while the next assessment is scheduled for 2027. The strongest results were recorded in the areas of external oversight and public procurement, while weaker results were identified in internal control, particularly regarding the implementation of prescribed internal control standards at the level of individual institutions.</w:t>
      </w:r>
    </w:p>
    <w:p w14:paraId="1A436433" w14:textId="77777777" w:rsidR="00C65593" w:rsidRPr="00C65593" w:rsidRDefault="00C65593" w:rsidP="00C65593">
      <w:pPr>
        <w:ind w:firstLine="708"/>
        <w:jc w:val="both"/>
        <w:rPr>
          <w:rFonts w:ascii="Times New Roman" w:eastAsia="Times New Roman" w:hAnsi="Times New Roman" w:cs="Times New Roman"/>
          <w:sz w:val="24"/>
          <w:szCs w:val="24"/>
          <w:shd w:val="clear" w:color="auto" w:fill="FFFFFF"/>
          <w:lang w:val="en-US"/>
        </w:rPr>
      </w:pPr>
      <w:r w:rsidRPr="00C65593">
        <w:rPr>
          <w:rFonts w:ascii="Times New Roman" w:eastAsia="Times New Roman" w:hAnsi="Times New Roman" w:cs="Times New Roman"/>
          <w:sz w:val="24"/>
          <w:szCs w:val="24"/>
          <w:shd w:val="clear" w:color="auto" w:fill="FFFFFF"/>
          <w:lang w:val="en-US"/>
        </w:rPr>
        <w:t>Serbia also regularly conducts Public Expenditure and Financial Accountability (PEFA) assessments. PEFA provides a framework for assessing and reporting on the strengths and weaknesses of public financial management through quantitative performance indicators at both central and local government levels and has been applied in Serbia since 2021. The PEFA methodology is designed to provide a snapshot of PFM performance at specific points in time. It evaluates 94 dimensions across 31 key public financial management components (indicators), grouped into seven broad pillars, and maintains a comprehensive open database of assessment results.</w:t>
      </w:r>
    </w:p>
    <w:p w14:paraId="2667AF4D" w14:textId="24D186C4" w:rsidR="00C65593" w:rsidRPr="00C65593" w:rsidRDefault="00C65593" w:rsidP="00C65593">
      <w:pPr>
        <w:ind w:firstLine="708"/>
        <w:jc w:val="both"/>
        <w:rPr>
          <w:rFonts w:ascii="Times New Roman" w:eastAsia="Times New Roman" w:hAnsi="Times New Roman" w:cs="Times New Roman"/>
          <w:sz w:val="24"/>
          <w:szCs w:val="24"/>
          <w:shd w:val="clear" w:color="auto" w:fill="FFFFFF"/>
          <w:lang w:val="en-US"/>
        </w:rPr>
      </w:pPr>
      <w:r w:rsidRPr="00C65593">
        <w:rPr>
          <w:rFonts w:ascii="Times New Roman" w:eastAsia="Times New Roman" w:hAnsi="Times New Roman" w:cs="Times New Roman"/>
          <w:sz w:val="24"/>
          <w:szCs w:val="24"/>
          <w:shd w:val="clear" w:color="auto" w:fill="FFFFFF"/>
          <w:lang w:val="en-US"/>
        </w:rPr>
        <w:t>The latest PEFA assessment for Serbia was completed in 2025 and its official publication is expected shortly; the draft assessment served as an important input in the preparation of the PFM Reform Program</w:t>
      </w:r>
      <w:r w:rsidR="005F2F41">
        <w:rPr>
          <w:rFonts w:ascii="Times New Roman" w:eastAsia="Times New Roman" w:hAnsi="Times New Roman" w:cs="Times New Roman"/>
          <w:sz w:val="24"/>
          <w:szCs w:val="24"/>
          <w:shd w:val="clear" w:color="auto" w:fill="FFFFFF"/>
          <w:lang w:val="en-US"/>
        </w:rPr>
        <w:t>me</w:t>
      </w:r>
      <w:r w:rsidRPr="00C65593">
        <w:rPr>
          <w:rFonts w:ascii="Times New Roman" w:eastAsia="Times New Roman" w:hAnsi="Times New Roman" w:cs="Times New Roman"/>
          <w:sz w:val="24"/>
          <w:szCs w:val="24"/>
          <w:shd w:val="clear" w:color="auto" w:fill="FFFFFF"/>
          <w:lang w:val="en-US"/>
        </w:rPr>
        <w:t>. PEFA also analyses global trends in public financial management. The latest global report, covering 2022</w:t>
      </w:r>
      <w:r w:rsidR="00B71777">
        <w:rPr>
          <w:rStyle w:val="FootnoteReference"/>
          <w:rFonts w:ascii="Times New Roman" w:eastAsia="Times New Roman" w:hAnsi="Times New Roman" w:cs="Times New Roman"/>
          <w:sz w:val="24"/>
          <w:szCs w:val="24"/>
          <w:shd w:val="clear" w:color="auto" w:fill="FFFFFF"/>
          <w:lang w:val="en-US"/>
        </w:rPr>
        <w:footnoteReference w:id="14"/>
      </w:r>
      <w:r w:rsidRPr="00C65593">
        <w:rPr>
          <w:rFonts w:ascii="Times New Roman" w:eastAsia="Times New Roman" w:hAnsi="Times New Roman" w:cs="Times New Roman"/>
          <w:sz w:val="24"/>
          <w:szCs w:val="24"/>
          <w:shd w:val="clear" w:color="auto" w:fill="FFFFFF"/>
          <w:lang w:val="en-US"/>
        </w:rPr>
        <w:t xml:space="preserve">, identified budget execution as the most challenging area globally. The weakest areas were found to be public availability </w:t>
      </w:r>
      <w:r w:rsidRPr="00C65593">
        <w:rPr>
          <w:rFonts w:ascii="Times New Roman" w:eastAsia="Times New Roman" w:hAnsi="Times New Roman" w:cs="Times New Roman"/>
          <w:sz w:val="24"/>
          <w:szCs w:val="24"/>
          <w:shd w:val="clear" w:color="auto" w:fill="FFFFFF"/>
          <w:lang w:val="en-US"/>
        </w:rPr>
        <w:lastRenderedPageBreak/>
        <w:t>of fiscal information, fiscal risk reporting, public investment and public asset management, and arrears management. Conversely, the strongest global performance continues to be recorded in budget preparation, predictability of annual resource allocation, internal controls over non-salary expenditure, and public debt management. The report also highlights the need for greater flexibility in public financial management systems, taking into account lessons learned from the COVID-19 crisis.</w:t>
      </w:r>
    </w:p>
    <w:p w14:paraId="72BCEE58" w14:textId="24974544" w:rsidR="00C65593" w:rsidRPr="00C65593" w:rsidRDefault="00C65593" w:rsidP="00C65593">
      <w:pPr>
        <w:ind w:firstLine="708"/>
        <w:jc w:val="both"/>
        <w:rPr>
          <w:rFonts w:ascii="Times New Roman" w:eastAsia="Times New Roman" w:hAnsi="Times New Roman" w:cs="Times New Roman"/>
          <w:sz w:val="24"/>
          <w:szCs w:val="24"/>
          <w:shd w:val="clear" w:color="auto" w:fill="FFFFFF"/>
          <w:lang w:val="en-US"/>
        </w:rPr>
      </w:pPr>
      <w:r w:rsidRPr="00C65593">
        <w:rPr>
          <w:rFonts w:ascii="Times New Roman" w:eastAsia="Times New Roman" w:hAnsi="Times New Roman" w:cs="Times New Roman"/>
          <w:sz w:val="24"/>
          <w:szCs w:val="24"/>
          <w:shd w:val="clear" w:color="auto" w:fill="FFFFFF"/>
          <w:lang w:val="en-US"/>
        </w:rPr>
        <w:t xml:space="preserve">The Open Budget Index </w:t>
      </w:r>
      <w:r w:rsidR="00B71777">
        <w:rPr>
          <w:rStyle w:val="FootnoteReference"/>
          <w:rFonts w:ascii="Times New Roman" w:eastAsia="Times New Roman" w:hAnsi="Times New Roman" w:cs="Times New Roman"/>
          <w:sz w:val="24"/>
          <w:szCs w:val="24"/>
          <w:shd w:val="clear" w:color="auto" w:fill="FFFFFF"/>
          <w:lang w:val="en-US"/>
        </w:rPr>
        <w:footnoteReference w:id="15"/>
      </w:r>
      <w:r w:rsidRPr="00C65593">
        <w:rPr>
          <w:rFonts w:ascii="Times New Roman" w:eastAsia="Times New Roman" w:hAnsi="Times New Roman" w:cs="Times New Roman"/>
          <w:sz w:val="24"/>
          <w:szCs w:val="24"/>
          <w:shd w:val="clear" w:color="auto" w:fill="FFFFFF"/>
          <w:lang w:val="en-US"/>
        </w:rPr>
        <w:t>(OBI), launched in 2006 through the Open Budget Survey, is an independent, comparative, data-driven assessment tool that measures key aspects of governance and accountability through analysis of public participation, oversight and transparency of budget information. It is based on an established methodology under which each criterion is scored out of a maximum of 100 points. The latest OBI assessment, covering 2023, showed that Serbia achieved its strongest result in external oversight, scoring 56 points, with audit oversight receiving the highest score within that category (83 points). Serbia scored 51 points for budget transparency, compared with the global average of 45 points. The weakest result was recorded in public participation, with only 2 points compared to the global average of 15.</w:t>
      </w:r>
    </w:p>
    <w:p w14:paraId="551089D9" w14:textId="56A07C9A" w:rsidR="00C65593" w:rsidRPr="00C65593" w:rsidRDefault="00C65593" w:rsidP="00C65593">
      <w:pPr>
        <w:ind w:firstLine="708"/>
        <w:jc w:val="both"/>
        <w:rPr>
          <w:rFonts w:ascii="Times New Roman" w:eastAsia="Times New Roman" w:hAnsi="Times New Roman" w:cs="Times New Roman"/>
          <w:sz w:val="24"/>
          <w:szCs w:val="24"/>
          <w:shd w:val="clear" w:color="auto" w:fill="FFFFFF"/>
          <w:lang w:val="en-US"/>
        </w:rPr>
      </w:pPr>
      <w:r w:rsidRPr="00C65593">
        <w:rPr>
          <w:rFonts w:ascii="Times New Roman" w:eastAsia="Times New Roman" w:hAnsi="Times New Roman" w:cs="Times New Roman"/>
          <w:b/>
          <w:bCs/>
          <w:sz w:val="24"/>
          <w:szCs w:val="24"/>
          <w:shd w:val="clear" w:color="auto" w:fill="FFFFFF"/>
          <w:lang w:val="en-US"/>
        </w:rPr>
        <w:t>PIMA</w:t>
      </w:r>
      <w:r w:rsidR="00B71777">
        <w:rPr>
          <w:rStyle w:val="FootnoteReference"/>
          <w:rFonts w:ascii="Times New Roman" w:eastAsia="Times New Roman" w:hAnsi="Times New Roman" w:cs="Times New Roman"/>
          <w:b/>
          <w:bCs/>
          <w:sz w:val="24"/>
          <w:szCs w:val="24"/>
          <w:shd w:val="clear" w:color="auto" w:fill="FFFFFF"/>
          <w:lang w:val="en-US"/>
        </w:rPr>
        <w:footnoteReference w:id="16"/>
      </w:r>
      <w:r w:rsidRPr="00C65593">
        <w:rPr>
          <w:rFonts w:ascii="Times New Roman" w:eastAsia="Times New Roman" w:hAnsi="Times New Roman" w:cs="Times New Roman"/>
          <w:b/>
          <w:bCs/>
          <w:sz w:val="24"/>
          <w:szCs w:val="24"/>
          <w:shd w:val="clear" w:color="auto" w:fill="FFFFFF"/>
          <w:lang w:val="en-US"/>
        </w:rPr>
        <w:t xml:space="preserve"> – Public Investment Management Assessment</w:t>
      </w:r>
      <w:r w:rsidR="00B71777">
        <w:rPr>
          <w:rFonts w:ascii="Times New Roman" w:eastAsia="Times New Roman" w:hAnsi="Times New Roman" w:cs="Times New Roman"/>
          <w:sz w:val="24"/>
          <w:szCs w:val="24"/>
          <w:shd w:val="clear" w:color="auto" w:fill="FFFFFF"/>
          <w:lang w:val="en-US"/>
        </w:rPr>
        <w:t>.</w:t>
      </w:r>
    </w:p>
    <w:p w14:paraId="7685289D" w14:textId="2E9239C3" w:rsidR="00C65593" w:rsidRPr="00C65593" w:rsidRDefault="00C65593" w:rsidP="00C65593">
      <w:pPr>
        <w:ind w:firstLine="708"/>
        <w:jc w:val="both"/>
        <w:rPr>
          <w:rFonts w:ascii="Times New Roman" w:eastAsia="Times New Roman" w:hAnsi="Times New Roman" w:cs="Times New Roman"/>
          <w:sz w:val="24"/>
          <w:szCs w:val="24"/>
          <w:shd w:val="clear" w:color="auto" w:fill="FFFFFF"/>
          <w:lang w:val="en-US"/>
        </w:rPr>
      </w:pPr>
      <w:r w:rsidRPr="00C65593">
        <w:rPr>
          <w:rFonts w:ascii="Times New Roman" w:eastAsia="Times New Roman" w:hAnsi="Times New Roman" w:cs="Times New Roman"/>
          <w:b/>
          <w:bCs/>
          <w:sz w:val="24"/>
          <w:szCs w:val="24"/>
          <w:shd w:val="clear" w:color="auto" w:fill="FFFFFF"/>
          <w:lang w:val="en-US"/>
        </w:rPr>
        <w:t>TADAT</w:t>
      </w:r>
      <w:r w:rsidR="00B71777">
        <w:rPr>
          <w:rStyle w:val="FootnoteReference"/>
          <w:rFonts w:ascii="Times New Roman" w:eastAsia="Times New Roman" w:hAnsi="Times New Roman" w:cs="Times New Roman"/>
          <w:b/>
          <w:bCs/>
          <w:sz w:val="24"/>
          <w:szCs w:val="24"/>
          <w:shd w:val="clear" w:color="auto" w:fill="FFFFFF"/>
          <w:lang w:val="en-US"/>
        </w:rPr>
        <w:footnoteReference w:id="17"/>
      </w:r>
      <w:r w:rsidRPr="00C65593">
        <w:rPr>
          <w:rFonts w:ascii="Times New Roman" w:eastAsia="Times New Roman" w:hAnsi="Times New Roman" w:cs="Times New Roman"/>
          <w:b/>
          <w:bCs/>
          <w:sz w:val="24"/>
          <w:szCs w:val="24"/>
          <w:shd w:val="clear" w:color="auto" w:fill="FFFFFF"/>
          <w:lang w:val="en-US"/>
        </w:rPr>
        <w:t xml:space="preserve"> (Tax Administration Diagnostic Assessment Tool)</w:t>
      </w:r>
      <w:r w:rsidRPr="00C65593">
        <w:rPr>
          <w:rFonts w:ascii="Times New Roman" w:eastAsia="Times New Roman" w:hAnsi="Times New Roman" w:cs="Times New Roman"/>
          <w:sz w:val="24"/>
          <w:szCs w:val="24"/>
          <w:shd w:val="clear" w:color="auto" w:fill="FFFFFF"/>
          <w:lang w:val="en-US"/>
        </w:rPr>
        <w:t xml:space="preserve"> is a diagnostic assessment framework aimed at providing a </w:t>
      </w:r>
      <w:proofErr w:type="spellStart"/>
      <w:r w:rsidRPr="00C65593">
        <w:rPr>
          <w:rFonts w:ascii="Times New Roman" w:eastAsia="Times New Roman" w:hAnsi="Times New Roman" w:cs="Times New Roman"/>
          <w:sz w:val="24"/>
          <w:szCs w:val="24"/>
          <w:shd w:val="clear" w:color="auto" w:fill="FFFFFF"/>
          <w:lang w:val="en-US"/>
        </w:rPr>
        <w:t>standardised</w:t>
      </w:r>
      <w:proofErr w:type="spellEnd"/>
      <w:r w:rsidRPr="00C65593">
        <w:rPr>
          <w:rFonts w:ascii="Times New Roman" w:eastAsia="Times New Roman" w:hAnsi="Times New Roman" w:cs="Times New Roman"/>
          <w:sz w:val="24"/>
          <w:szCs w:val="24"/>
          <w:shd w:val="clear" w:color="auto" w:fill="FFFFFF"/>
          <w:lang w:val="en-US"/>
        </w:rPr>
        <w:t xml:space="preserve"> evaluation of the health of key components of a country’s tax administration system and its level of maturity against international good practice. TADAT assesses tax administration performance across nine outcome areas (Performance Outcome Areas </w:t>
      </w:r>
      <w:r w:rsidR="009E0767">
        <w:rPr>
          <w:rFonts w:ascii="Times New Roman" w:eastAsia="Times New Roman" w:hAnsi="Times New Roman" w:cs="Times New Roman"/>
          <w:sz w:val="24"/>
          <w:szCs w:val="24"/>
          <w:shd w:val="clear" w:color="auto" w:fill="FFFFFF"/>
          <w:lang w:val="en-US"/>
        </w:rPr>
        <w:t>-</w:t>
      </w:r>
      <w:r w:rsidRPr="00C65593">
        <w:rPr>
          <w:rFonts w:ascii="Times New Roman" w:eastAsia="Times New Roman" w:hAnsi="Times New Roman" w:cs="Times New Roman"/>
          <w:sz w:val="24"/>
          <w:szCs w:val="24"/>
          <w:shd w:val="clear" w:color="auto" w:fill="FFFFFF"/>
          <w:lang w:val="en-US"/>
        </w:rPr>
        <w:t xml:space="preserve"> POAs). A set of 32 high-level indicators, considered critical to tax administration performance, is linked to these outcome areas. The indicators are scored and reported based on a total of 55 measurement dimensions. Each measurement dimension is assessed individually, while the overall score for an indicator is derived from the assessment of its constituent dimensions. Each indicator comprises between one and five measurement dimensions. The assessment methodology follows an approach similar to that used in the PEFA framework, thereby facilitating comparability when both tools are applied.</w:t>
      </w:r>
    </w:p>
    <w:p w14:paraId="6D74069E" w14:textId="77777777" w:rsidR="00C65593" w:rsidRPr="00C65593" w:rsidRDefault="00C65593" w:rsidP="00C65593">
      <w:pPr>
        <w:ind w:firstLine="708"/>
        <w:jc w:val="both"/>
        <w:rPr>
          <w:rFonts w:ascii="Times New Roman" w:eastAsia="Times New Roman" w:hAnsi="Times New Roman" w:cs="Times New Roman"/>
          <w:sz w:val="24"/>
          <w:szCs w:val="24"/>
          <w:shd w:val="clear" w:color="auto" w:fill="FFFFFF"/>
          <w:lang w:val="en-US"/>
        </w:rPr>
      </w:pPr>
      <w:r w:rsidRPr="00C65593">
        <w:rPr>
          <w:rFonts w:ascii="Times New Roman" w:eastAsia="Times New Roman" w:hAnsi="Times New Roman" w:cs="Times New Roman"/>
          <w:sz w:val="24"/>
          <w:szCs w:val="24"/>
          <w:shd w:val="clear" w:color="auto" w:fill="FFFFFF"/>
          <w:lang w:val="en-US"/>
        </w:rPr>
        <w:t>TADAT assessments provide an overview of reform achievements and shortcomings, while also generating new information that can be used to identify reform priorities. In the Republic of Serbia, TADAT assessments were conducted in 2016 and again in 2022.</w:t>
      </w:r>
    </w:p>
    <w:p w14:paraId="172ED7B5" w14:textId="77777777" w:rsidR="00C65593" w:rsidRPr="00C65593" w:rsidRDefault="00C65593" w:rsidP="00C65593">
      <w:pPr>
        <w:ind w:firstLine="708"/>
        <w:jc w:val="both"/>
        <w:rPr>
          <w:rFonts w:ascii="Times New Roman" w:eastAsia="Times New Roman" w:hAnsi="Times New Roman" w:cs="Times New Roman"/>
          <w:sz w:val="24"/>
          <w:szCs w:val="24"/>
          <w:shd w:val="clear" w:color="auto" w:fill="FFFFFF"/>
          <w:lang w:val="en-US"/>
        </w:rPr>
      </w:pPr>
      <w:r w:rsidRPr="00C65593">
        <w:rPr>
          <w:rFonts w:ascii="Times New Roman" w:eastAsia="Times New Roman" w:hAnsi="Times New Roman" w:cs="Times New Roman"/>
          <w:sz w:val="24"/>
          <w:szCs w:val="24"/>
          <w:shd w:val="clear" w:color="auto" w:fill="FFFFFF"/>
          <w:lang w:val="en-US"/>
        </w:rPr>
        <w:t>The Tax Administration regularly collects information on activities implemented and progress achieved in the areas assessed during the 2022 TADAT mission, as well as information on activities planned through 2027. Analysis of the collected data is submitted to the IMF upon request.</w:t>
      </w:r>
    </w:p>
    <w:p w14:paraId="7B15FB6A" w14:textId="2D74983C" w:rsidR="00C65593" w:rsidRPr="00C65593" w:rsidRDefault="00C65593" w:rsidP="00C65593">
      <w:pPr>
        <w:ind w:firstLine="708"/>
        <w:jc w:val="both"/>
        <w:rPr>
          <w:rFonts w:ascii="Times New Roman" w:eastAsia="Times New Roman" w:hAnsi="Times New Roman" w:cs="Times New Roman"/>
          <w:sz w:val="24"/>
          <w:szCs w:val="24"/>
          <w:shd w:val="clear" w:color="auto" w:fill="FFFFFF"/>
          <w:lang w:val="en-US"/>
        </w:rPr>
      </w:pPr>
      <w:r w:rsidRPr="00C65593">
        <w:rPr>
          <w:rFonts w:ascii="Times New Roman" w:eastAsia="Times New Roman" w:hAnsi="Times New Roman" w:cs="Times New Roman"/>
          <w:sz w:val="24"/>
          <w:szCs w:val="24"/>
          <w:shd w:val="clear" w:color="auto" w:fill="FFFFFF"/>
          <w:lang w:val="en-US"/>
        </w:rPr>
        <w:lastRenderedPageBreak/>
        <w:t xml:space="preserve">The IMF report </w:t>
      </w:r>
      <w:r w:rsidRPr="00C65593">
        <w:rPr>
          <w:rFonts w:ascii="Times New Roman" w:eastAsia="Times New Roman" w:hAnsi="Times New Roman" w:cs="Times New Roman"/>
          <w:i/>
          <w:iCs/>
          <w:sz w:val="24"/>
          <w:szCs w:val="24"/>
          <w:shd w:val="clear" w:color="auto" w:fill="FFFFFF"/>
          <w:lang w:val="en-US"/>
        </w:rPr>
        <w:t>Republic of Serbia: Building a Framework for Tax Expenditures</w:t>
      </w:r>
      <w:r w:rsidR="0022497C">
        <w:rPr>
          <w:rFonts w:ascii="Times New Roman" w:eastAsia="Times New Roman" w:hAnsi="Times New Roman" w:cs="Times New Roman"/>
          <w:i/>
          <w:iCs/>
          <w:sz w:val="24"/>
          <w:szCs w:val="24"/>
          <w:shd w:val="clear" w:color="auto" w:fill="FFFFFF"/>
          <w:lang w:val="en-US"/>
        </w:rPr>
        <w:t xml:space="preserve"> Reporting</w:t>
      </w:r>
      <w:r w:rsidR="00B71777">
        <w:rPr>
          <w:rStyle w:val="FootnoteReference"/>
          <w:rFonts w:ascii="Times New Roman" w:eastAsia="Times New Roman" w:hAnsi="Times New Roman" w:cs="Times New Roman"/>
          <w:sz w:val="24"/>
          <w:szCs w:val="24"/>
          <w:shd w:val="clear" w:color="auto" w:fill="FFFFFF"/>
          <w:lang w:val="en-US"/>
        </w:rPr>
        <w:footnoteReference w:id="18"/>
      </w:r>
      <w:r w:rsidRPr="00C65593">
        <w:rPr>
          <w:rFonts w:ascii="Times New Roman" w:eastAsia="Times New Roman" w:hAnsi="Times New Roman" w:cs="Times New Roman"/>
          <w:sz w:val="24"/>
          <w:szCs w:val="24"/>
          <w:shd w:val="clear" w:color="auto" w:fill="FFFFFF"/>
          <w:lang w:val="en-US"/>
        </w:rPr>
        <w:t xml:space="preserve">, published in March 2026, analyses the development of a comprehensive framework for reporting tax expenditures related to personal income tax, corporate income tax, and value-added tax (VAT). The report proposes methodologies for estimating tax expenditures and presents preliminary findings. It concludes that VAT-related tax expenditures represent the largest category and recommends regular reporting, improved </w:t>
      </w:r>
      <w:proofErr w:type="spellStart"/>
      <w:r w:rsidRPr="00C65593">
        <w:rPr>
          <w:rFonts w:ascii="Times New Roman" w:eastAsia="Times New Roman" w:hAnsi="Times New Roman" w:cs="Times New Roman"/>
          <w:sz w:val="24"/>
          <w:szCs w:val="24"/>
          <w:shd w:val="clear" w:color="auto" w:fill="FFFFFF"/>
          <w:lang w:val="en-US"/>
        </w:rPr>
        <w:t>utilisation</w:t>
      </w:r>
      <w:proofErr w:type="spellEnd"/>
      <w:r w:rsidRPr="00C65593">
        <w:rPr>
          <w:rFonts w:ascii="Times New Roman" w:eastAsia="Times New Roman" w:hAnsi="Times New Roman" w:cs="Times New Roman"/>
          <w:sz w:val="24"/>
          <w:szCs w:val="24"/>
          <w:shd w:val="clear" w:color="auto" w:fill="FFFFFF"/>
          <w:lang w:val="en-US"/>
        </w:rPr>
        <w:t xml:space="preserve"> of available data and inter-institutional cooperation, strengthening of fiscal analysis capacities, and enhanced transparency.</w:t>
      </w:r>
    </w:p>
    <w:p w14:paraId="155B0859" w14:textId="2EF660D1" w:rsidR="00C65593" w:rsidRPr="00C65593" w:rsidRDefault="00C65593" w:rsidP="00C65593">
      <w:pPr>
        <w:ind w:firstLine="708"/>
        <w:jc w:val="both"/>
        <w:rPr>
          <w:rFonts w:ascii="Times New Roman" w:eastAsia="Times New Roman" w:hAnsi="Times New Roman" w:cs="Times New Roman"/>
          <w:sz w:val="24"/>
          <w:szCs w:val="24"/>
          <w:shd w:val="clear" w:color="auto" w:fill="FFFFFF"/>
          <w:lang w:val="en-US"/>
        </w:rPr>
      </w:pPr>
      <w:r w:rsidRPr="00C65593">
        <w:rPr>
          <w:rFonts w:ascii="Times New Roman" w:eastAsia="Times New Roman" w:hAnsi="Times New Roman" w:cs="Times New Roman"/>
          <w:b/>
          <w:bCs/>
          <w:sz w:val="24"/>
          <w:szCs w:val="24"/>
          <w:shd w:val="clear" w:color="auto" w:fill="FFFFFF"/>
          <w:lang w:val="en-US"/>
        </w:rPr>
        <w:t>MAPS</w:t>
      </w:r>
      <w:r w:rsidR="00B71777">
        <w:rPr>
          <w:rStyle w:val="FootnoteReference"/>
          <w:rFonts w:ascii="Times New Roman" w:eastAsia="Times New Roman" w:hAnsi="Times New Roman" w:cs="Times New Roman"/>
          <w:b/>
          <w:bCs/>
          <w:sz w:val="24"/>
          <w:szCs w:val="24"/>
          <w:shd w:val="clear" w:color="auto" w:fill="FFFFFF"/>
          <w:lang w:val="en-US"/>
        </w:rPr>
        <w:footnoteReference w:id="19"/>
      </w:r>
      <w:r w:rsidRPr="00C65593">
        <w:rPr>
          <w:rFonts w:ascii="Times New Roman" w:eastAsia="Times New Roman" w:hAnsi="Times New Roman" w:cs="Times New Roman"/>
          <w:b/>
          <w:bCs/>
          <w:sz w:val="24"/>
          <w:szCs w:val="24"/>
          <w:shd w:val="clear" w:color="auto" w:fill="FFFFFF"/>
          <w:lang w:val="en-US"/>
        </w:rPr>
        <w:t xml:space="preserve"> (Methodology for Assessing Procurement Systems)</w:t>
      </w:r>
      <w:r w:rsidRPr="00C65593">
        <w:rPr>
          <w:rFonts w:ascii="Times New Roman" w:eastAsia="Times New Roman" w:hAnsi="Times New Roman" w:cs="Times New Roman"/>
          <w:sz w:val="24"/>
          <w:szCs w:val="24"/>
          <w:shd w:val="clear" w:color="auto" w:fill="FFFFFF"/>
          <w:lang w:val="en-US"/>
        </w:rPr>
        <w:t xml:space="preserve"> is an internationally </w:t>
      </w:r>
      <w:proofErr w:type="spellStart"/>
      <w:r w:rsidRPr="00C65593">
        <w:rPr>
          <w:rFonts w:ascii="Times New Roman" w:eastAsia="Times New Roman" w:hAnsi="Times New Roman" w:cs="Times New Roman"/>
          <w:sz w:val="24"/>
          <w:szCs w:val="24"/>
          <w:shd w:val="clear" w:color="auto" w:fill="FFFFFF"/>
          <w:lang w:val="en-US"/>
        </w:rPr>
        <w:t>recognised</w:t>
      </w:r>
      <w:proofErr w:type="spellEnd"/>
      <w:r w:rsidRPr="00C65593">
        <w:rPr>
          <w:rFonts w:ascii="Times New Roman" w:eastAsia="Times New Roman" w:hAnsi="Times New Roman" w:cs="Times New Roman"/>
          <w:sz w:val="24"/>
          <w:szCs w:val="24"/>
          <w:shd w:val="clear" w:color="auto" w:fill="FFFFFF"/>
          <w:lang w:val="en-US"/>
        </w:rPr>
        <w:t xml:space="preserve"> standard and universal assessment framework for evaluating public procurement systems worldwide.</w:t>
      </w:r>
    </w:p>
    <w:p w14:paraId="605BF51A" w14:textId="7D266D8A" w:rsidR="00C65593" w:rsidRPr="00C65593" w:rsidRDefault="00C65593" w:rsidP="00C65593">
      <w:pPr>
        <w:ind w:firstLine="708"/>
        <w:jc w:val="both"/>
        <w:rPr>
          <w:rFonts w:ascii="Times New Roman" w:eastAsia="Times New Roman" w:hAnsi="Times New Roman" w:cs="Times New Roman"/>
          <w:sz w:val="24"/>
          <w:szCs w:val="24"/>
          <w:shd w:val="clear" w:color="auto" w:fill="FFFFFF"/>
          <w:lang w:val="en-US"/>
        </w:rPr>
      </w:pPr>
      <w:r w:rsidRPr="00C65593">
        <w:rPr>
          <w:rFonts w:ascii="Times New Roman" w:eastAsia="Times New Roman" w:hAnsi="Times New Roman" w:cs="Times New Roman"/>
          <w:b/>
          <w:bCs/>
          <w:sz w:val="24"/>
          <w:szCs w:val="24"/>
          <w:shd w:val="clear" w:color="auto" w:fill="FFFFFF"/>
          <w:lang w:val="en-US"/>
        </w:rPr>
        <w:t xml:space="preserve">SAI PMF </w:t>
      </w:r>
      <w:r w:rsidR="00B71777">
        <w:rPr>
          <w:rStyle w:val="FootnoteReference"/>
          <w:rFonts w:ascii="Times New Roman" w:eastAsia="Times New Roman" w:hAnsi="Times New Roman" w:cs="Times New Roman"/>
          <w:b/>
          <w:bCs/>
          <w:sz w:val="24"/>
          <w:szCs w:val="24"/>
          <w:shd w:val="clear" w:color="auto" w:fill="FFFFFF"/>
          <w:lang w:val="en-US"/>
        </w:rPr>
        <w:footnoteReference w:id="20"/>
      </w:r>
      <w:r w:rsidRPr="00C65593">
        <w:rPr>
          <w:rFonts w:ascii="Times New Roman" w:eastAsia="Times New Roman" w:hAnsi="Times New Roman" w:cs="Times New Roman"/>
          <w:b/>
          <w:bCs/>
          <w:sz w:val="24"/>
          <w:szCs w:val="24"/>
          <w:shd w:val="clear" w:color="auto" w:fill="FFFFFF"/>
          <w:lang w:val="en-US"/>
        </w:rPr>
        <w:t>(Supreme Audit Institution Performance Measurement Framework)</w:t>
      </w:r>
      <w:r w:rsidRPr="00C65593">
        <w:rPr>
          <w:rFonts w:ascii="Times New Roman" w:eastAsia="Times New Roman" w:hAnsi="Times New Roman" w:cs="Times New Roman"/>
          <w:sz w:val="24"/>
          <w:szCs w:val="24"/>
          <w:shd w:val="clear" w:color="auto" w:fill="FFFFFF"/>
          <w:lang w:val="en-US"/>
        </w:rPr>
        <w:t xml:space="preserve"> is an international framework for self-assessment, peer review, or external assessment of the performance of Supreme Audit Institutions (SAIs) against the International Standards of Supreme Audit Institutions (ISSAIs) and other </w:t>
      </w:r>
      <w:proofErr w:type="spellStart"/>
      <w:r w:rsidRPr="00C65593">
        <w:rPr>
          <w:rFonts w:ascii="Times New Roman" w:eastAsia="Times New Roman" w:hAnsi="Times New Roman" w:cs="Times New Roman"/>
          <w:sz w:val="24"/>
          <w:szCs w:val="24"/>
          <w:shd w:val="clear" w:color="auto" w:fill="FFFFFF"/>
          <w:lang w:val="en-US"/>
        </w:rPr>
        <w:t>recognised</w:t>
      </w:r>
      <w:proofErr w:type="spellEnd"/>
      <w:r w:rsidRPr="00C65593">
        <w:rPr>
          <w:rFonts w:ascii="Times New Roman" w:eastAsia="Times New Roman" w:hAnsi="Times New Roman" w:cs="Times New Roman"/>
          <w:sz w:val="24"/>
          <w:szCs w:val="24"/>
          <w:shd w:val="clear" w:color="auto" w:fill="FFFFFF"/>
          <w:lang w:val="en-US"/>
        </w:rPr>
        <w:t xml:space="preserve"> international good practices. The framework was adopted by the International Organization of Supreme Audit Institutions (INTOSAI) in 2016. It provides a comprehensive methodology for measuring institutional performance, identifying strengths and weaknesses, and supporting continuous improvement of supreme audit institutions.</w:t>
      </w:r>
    </w:p>
    <w:p w14:paraId="2F72F7B8" w14:textId="77777777" w:rsidR="00382694" w:rsidRPr="001053DB" w:rsidRDefault="00382694" w:rsidP="00382694">
      <w:pPr>
        <w:ind w:firstLine="708"/>
        <w:jc w:val="both"/>
        <w:rPr>
          <w:rFonts w:ascii="Times New Roman" w:eastAsia="Times New Roman" w:hAnsi="Times New Roman" w:cs="Times New Roman"/>
          <w:b/>
          <w:sz w:val="24"/>
          <w:szCs w:val="24"/>
          <w:shd w:val="clear" w:color="auto" w:fill="FFFFFF"/>
          <w:lang w:val="sr-Cyrl-CS"/>
        </w:rPr>
      </w:pPr>
    </w:p>
    <w:p w14:paraId="610D724F" w14:textId="77777777" w:rsidR="00382694" w:rsidRPr="001053DB" w:rsidRDefault="00382694" w:rsidP="00382694">
      <w:pPr>
        <w:ind w:firstLine="708"/>
        <w:jc w:val="both"/>
        <w:rPr>
          <w:rFonts w:ascii="Times New Roman" w:eastAsia="Times New Roman" w:hAnsi="Times New Roman" w:cs="Times New Roman"/>
          <w:b/>
          <w:sz w:val="24"/>
          <w:szCs w:val="24"/>
          <w:shd w:val="clear" w:color="auto" w:fill="FFFFFF"/>
          <w:lang w:val="sr-Cyrl-CS"/>
        </w:rPr>
      </w:pPr>
    </w:p>
    <w:p w14:paraId="5BE72600" w14:textId="77777777" w:rsidR="00382694" w:rsidRPr="001053DB" w:rsidRDefault="00382694" w:rsidP="00382694">
      <w:pPr>
        <w:rPr>
          <w:lang w:val="sr-Cyrl-CS"/>
        </w:rPr>
        <w:sectPr w:rsidR="00382694" w:rsidRPr="001053DB" w:rsidSect="00382694">
          <w:pgSz w:w="11906" w:h="16838"/>
          <w:pgMar w:top="1440" w:right="1440" w:bottom="1440" w:left="1440" w:header="576" w:footer="576" w:gutter="0"/>
          <w:cols w:space="720"/>
          <w:docGrid w:linePitch="360"/>
        </w:sectPr>
      </w:pPr>
    </w:p>
    <w:p w14:paraId="7A9A9DE1" w14:textId="77777777" w:rsidR="00382694" w:rsidRPr="001053DB" w:rsidRDefault="00382694" w:rsidP="00382694">
      <w:pPr>
        <w:rPr>
          <w:lang w:val="sr-Cyrl-CS"/>
        </w:rPr>
      </w:pPr>
    </w:p>
    <w:p w14:paraId="3A01D418" w14:textId="77777777" w:rsidR="00A0685E" w:rsidRPr="001053DB" w:rsidRDefault="00A0685E" w:rsidP="00A0685E">
      <w:pPr>
        <w:spacing w:beforeAutospacing="1" w:after="100" w:afterAutospacing="1" w:line="240" w:lineRule="auto"/>
        <w:rPr>
          <w:rFonts w:ascii="Times New Roman" w:eastAsia="Times New Roman" w:hAnsi="Times New Roman" w:cs="Times New Roman"/>
          <w:sz w:val="24"/>
          <w:szCs w:val="24"/>
          <w:lang w:val="sr-Cyrl-CS"/>
        </w:rPr>
      </w:pPr>
      <w:r w:rsidRPr="001053DB">
        <w:rPr>
          <w:rFonts w:ascii="Times New Roman" w:eastAsia="Times New Roman" w:hAnsi="Times New Roman" w:cs="Times New Roman"/>
          <w:noProof/>
          <w:sz w:val="24"/>
          <w:szCs w:val="24"/>
          <w:lang w:val="en-US"/>
        </w:rPr>
        <w:drawing>
          <wp:inline distT="0" distB="0" distL="0" distR="0" wp14:anchorId="254BD3CA" wp14:editId="2A459FC8">
            <wp:extent cx="8617326" cy="4838700"/>
            <wp:effectExtent l="0" t="0" r="0" b="0"/>
            <wp:docPr id="5" name="Picture 5" descr="C:\Users\verica.ignjatovic\Downloads\char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erica.ignjatovic\Downloads\chart.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667821" cy="4867053"/>
                    </a:xfrm>
                    <a:prstGeom prst="rect">
                      <a:avLst/>
                    </a:prstGeom>
                    <a:noFill/>
                    <a:ln>
                      <a:noFill/>
                    </a:ln>
                  </pic:spPr>
                </pic:pic>
              </a:graphicData>
            </a:graphic>
          </wp:inline>
        </w:drawing>
      </w:r>
    </w:p>
    <w:p w14:paraId="73327176" w14:textId="1DFFF33C" w:rsidR="00A0685E" w:rsidRPr="001053DB" w:rsidRDefault="004E25A2" w:rsidP="007D347A">
      <w:pPr>
        <w:spacing w:after="0" w:line="240" w:lineRule="auto"/>
        <w:jc w:val="center"/>
        <w:rPr>
          <w:rFonts w:ascii="Times New Roman" w:eastAsia="Calibri" w:hAnsi="Times New Roman" w:cs="Times New Roman"/>
          <w:bCs/>
          <w:lang w:val="sr-Cyrl-CS"/>
        </w:rPr>
      </w:pPr>
      <w:r>
        <w:rPr>
          <w:rFonts w:ascii="Times New Roman" w:eastAsia="Calibri" w:hAnsi="Times New Roman" w:cs="Times New Roman"/>
          <w:bCs/>
          <w:lang w:val="en-US"/>
        </w:rPr>
        <w:t>Figure</w:t>
      </w:r>
      <w:r w:rsidR="005E07AA" w:rsidRPr="001053DB">
        <w:rPr>
          <w:rFonts w:ascii="Times New Roman" w:eastAsia="Calibri" w:hAnsi="Times New Roman" w:cs="Times New Roman"/>
          <w:bCs/>
          <w:lang w:val="sr-Cyrl-CS"/>
        </w:rPr>
        <w:t xml:space="preserve"> 2</w:t>
      </w:r>
      <w:r w:rsidR="00A0685E" w:rsidRPr="001053DB">
        <w:rPr>
          <w:rFonts w:ascii="Times New Roman" w:eastAsia="Calibri" w:hAnsi="Times New Roman" w:cs="Times New Roman"/>
          <w:bCs/>
          <w:lang w:val="sr-Cyrl-CS"/>
        </w:rPr>
        <w:t xml:space="preserve"> : </w:t>
      </w:r>
      <w:r w:rsidR="00F406D9" w:rsidRPr="001053DB">
        <w:rPr>
          <w:rFonts w:ascii="Times New Roman" w:eastAsia="Calibri" w:hAnsi="Times New Roman" w:cs="Times New Roman"/>
          <w:bCs/>
          <w:i/>
          <w:iCs/>
          <w:lang w:val="sr-Cyrl-CS"/>
        </w:rPr>
        <w:t>SIGMA</w:t>
      </w:r>
      <w:r w:rsidR="00A0685E" w:rsidRPr="001053DB">
        <w:rPr>
          <w:rFonts w:ascii="Times New Roman" w:eastAsia="Calibri" w:hAnsi="Times New Roman" w:cs="Times New Roman"/>
          <w:bCs/>
          <w:lang w:val="sr-Cyrl-CS"/>
        </w:rPr>
        <w:t xml:space="preserve"> 2024 </w:t>
      </w:r>
      <w:r>
        <w:rPr>
          <w:rFonts w:ascii="Times New Roman" w:eastAsia="Calibri" w:hAnsi="Times New Roman" w:cs="Times New Roman"/>
          <w:bCs/>
          <w:lang w:val="en-US"/>
        </w:rPr>
        <w:t>results for Serbia in the PFM area</w:t>
      </w:r>
    </w:p>
    <w:p w14:paraId="7137A66A" w14:textId="77777777" w:rsidR="00A0685E" w:rsidRPr="001053DB" w:rsidRDefault="00A0685E" w:rsidP="009D4114">
      <w:pPr>
        <w:spacing w:after="0" w:line="240" w:lineRule="auto"/>
        <w:rPr>
          <w:rFonts w:ascii="Times New Roman" w:eastAsia="Calibri" w:hAnsi="Times New Roman" w:cs="Times New Roman"/>
          <w:b/>
          <w:bCs/>
          <w:lang w:val="sr-Cyrl-CS"/>
        </w:rPr>
      </w:pPr>
    </w:p>
    <w:p w14:paraId="6D1BB0D6" w14:textId="77777777" w:rsidR="0051453C" w:rsidRPr="001053DB" w:rsidRDefault="0051453C" w:rsidP="009D4114">
      <w:pPr>
        <w:spacing w:after="0" w:line="240" w:lineRule="auto"/>
        <w:rPr>
          <w:rFonts w:ascii="Times New Roman" w:eastAsia="Calibri" w:hAnsi="Times New Roman" w:cs="Times New Roman"/>
          <w:b/>
          <w:bCs/>
          <w:lang w:val="sr-Cyrl-CS"/>
        </w:rPr>
        <w:sectPr w:rsidR="0051453C" w:rsidRPr="001053DB" w:rsidSect="00382694">
          <w:pgSz w:w="16838" w:h="11906" w:orient="landscape"/>
          <w:pgMar w:top="1440" w:right="1440" w:bottom="1440" w:left="1440" w:header="576" w:footer="576" w:gutter="0"/>
          <w:cols w:space="720"/>
          <w:docGrid w:linePitch="360"/>
        </w:sectPr>
      </w:pPr>
    </w:p>
    <w:p w14:paraId="0E66B66D" w14:textId="0956E4BB" w:rsidR="0051453C" w:rsidRPr="001053DB" w:rsidRDefault="0051453C" w:rsidP="009D4114">
      <w:pPr>
        <w:spacing w:after="0" w:line="240" w:lineRule="auto"/>
        <w:rPr>
          <w:rFonts w:ascii="Times New Roman" w:eastAsia="Calibri" w:hAnsi="Times New Roman" w:cs="Times New Roman"/>
          <w:b/>
          <w:bCs/>
          <w:lang w:val="sr-Cyrl-CS"/>
        </w:rPr>
      </w:pPr>
    </w:p>
    <w:p w14:paraId="300EDFEC" w14:textId="1A496CF8" w:rsidR="009D4114" w:rsidRDefault="004E25A2"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r w:rsidRPr="004E25A2">
        <w:rPr>
          <w:rFonts w:ascii="Times New Roman" w:hAnsi="Times New Roman" w:cs="Times New Roman"/>
          <w:color w:val="auto"/>
          <w:sz w:val="24"/>
          <w:szCs w:val="24"/>
        </w:rPr>
        <w:t>IDENTIFICATION AND EXPLANATION OF THE SCOPE AND NATURE OF THE PROBLEM, ITS CAUSES AND CONSEQUENCES, AND OF CHANGES IN AREAS WHERE NO PROBLEM EXISTS</w:t>
      </w:r>
    </w:p>
    <w:p w14:paraId="2F004065" w14:textId="77777777" w:rsidR="004E25A2" w:rsidRPr="004E25A2" w:rsidRDefault="004E25A2" w:rsidP="004E25A2">
      <w:pPr>
        <w:rPr>
          <w:lang w:val="en-US"/>
        </w:rPr>
      </w:pPr>
    </w:p>
    <w:p w14:paraId="7A64236B" w14:textId="77777777" w:rsidR="007868B3" w:rsidRPr="007868B3" w:rsidRDefault="007868B3" w:rsidP="007868B3">
      <w:pPr>
        <w:ind w:firstLine="708"/>
        <w:jc w:val="both"/>
        <w:rPr>
          <w:rFonts w:ascii="Times New Roman" w:eastAsia="Times New Roman" w:hAnsi="Times New Roman" w:cs="Times New Roman"/>
          <w:sz w:val="24"/>
          <w:szCs w:val="24"/>
          <w:shd w:val="clear" w:color="auto" w:fill="FFFFFF"/>
          <w:lang w:val="en-US"/>
        </w:rPr>
      </w:pPr>
      <w:r w:rsidRPr="007868B3">
        <w:rPr>
          <w:rFonts w:ascii="Times New Roman" w:eastAsia="Times New Roman" w:hAnsi="Times New Roman" w:cs="Times New Roman"/>
          <w:sz w:val="24"/>
          <w:szCs w:val="24"/>
          <w:shd w:val="clear" w:color="auto" w:fill="FFFFFF"/>
          <w:lang w:val="en-US"/>
        </w:rPr>
        <w:t>For the purpose of defining priority reform interventions under the Public Financial Management Reform Programme 2026–2030, an analysis of the current state of the public financial management system in the Republic of Serbia was undertaken. The analysis covered the identification and assessment of the scope and nature of key challenges, their underlying causes and consequences, as well as the recognition of areas where significant progress has been achieved and where no major systemic weaknesses have been identified.</w:t>
      </w:r>
    </w:p>
    <w:p w14:paraId="6EAFC577" w14:textId="77777777" w:rsidR="007868B3" w:rsidRPr="007868B3" w:rsidRDefault="007868B3" w:rsidP="007868B3">
      <w:pPr>
        <w:ind w:firstLine="708"/>
        <w:jc w:val="both"/>
        <w:rPr>
          <w:rFonts w:ascii="Times New Roman" w:eastAsia="Times New Roman" w:hAnsi="Times New Roman" w:cs="Times New Roman"/>
          <w:sz w:val="24"/>
          <w:szCs w:val="24"/>
          <w:shd w:val="clear" w:color="auto" w:fill="FFFFFF"/>
          <w:lang w:val="en-US"/>
        </w:rPr>
      </w:pPr>
      <w:r w:rsidRPr="007868B3">
        <w:rPr>
          <w:rFonts w:ascii="Times New Roman" w:eastAsia="Times New Roman" w:hAnsi="Times New Roman" w:cs="Times New Roman"/>
          <w:sz w:val="24"/>
          <w:szCs w:val="24"/>
          <w:shd w:val="clear" w:color="auto" w:fill="FFFFFF"/>
          <w:lang w:val="en-US"/>
        </w:rPr>
        <w:t>As an analytical tool in this process, a problem tree analysis was also employed to provide a structured presentation of the interrelationships between the key weaknesses of the public financial management system, their root causes, and the effects they generate across individual PFM sub-systems. This approach enabled a comprehensive assessment of the identified challenges.</w:t>
      </w:r>
    </w:p>
    <w:p w14:paraId="68376156" w14:textId="77777777" w:rsidR="007868B3" w:rsidRPr="007868B3" w:rsidRDefault="007868B3" w:rsidP="007868B3">
      <w:pPr>
        <w:ind w:firstLine="708"/>
        <w:jc w:val="both"/>
        <w:rPr>
          <w:rFonts w:ascii="Times New Roman" w:eastAsia="Times New Roman" w:hAnsi="Times New Roman" w:cs="Times New Roman"/>
          <w:sz w:val="24"/>
          <w:szCs w:val="24"/>
          <w:shd w:val="clear" w:color="auto" w:fill="FFFFFF"/>
          <w:lang w:val="en-US"/>
        </w:rPr>
      </w:pPr>
      <w:r w:rsidRPr="007868B3">
        <w:rPr>
          <w:rFonts w:ascii="Times New Roman" w:eastAsia="Times New Roman" w:hAnsi="Times New Roman" w:cs="Times New Roman"/>
          <w:sz w:val="24"/>
          <w:szCs w:val="24"/>
          <w:shd w:val="clear" w:color="auto" w:fill="FFFFFF"/>
          <w:lang w:val="en-US"/>
        </w:rPr>
        <w:t>Based on this analytical framework, a gap analysis was prepared to link the identified weaknesses of the system with the specific objectives of the Public Financial Management Reform Programme 2026–2030. The gap analysis draws on a range of relevant sources, including annual reports on the implementation of the PFM Reform Programme, the ex-ante analysis prepared in June 2025 immediately prior to the commencement of drafting the new Programme, and the draft PEFA assessment presented by the World Bank to the Working Group in early September 2025. The analysis also incorporates recommendations of the SIGMA Initiative, as well as findings emerging from the European Union accession process.</w:t>
      </w:r>
    </w:p>
    <w:p w14:paraId="2F9E0ADE" w14:textId="77777777" w:rsidR="007868B3" w:rsidRPr="007868B3" w:rsidRDefault="007868B3" w:rsidP="007868B3">
      <w:pPr>
        <w:ind w:firstLine="708"/>
        <w:jc w:val="both"/>
        <w:rPr>
          <w:rFonts w:ascii="Times New Roman" w:eastAsia="Times New Roman" w:hAnsi="Times New Roman" w:cs="Times New Roman"/>
          <w:sz w:val="24"/>
          <w:szCs w:val="24"/>
          <w:shd w:val="clear" w:color="auto" w:fill="FFFFFF"/>
          <w:lang w:val="en-US"/>
        </w:rPr>
      </w:pPr>
      <w:r w:rsidRPr="007868B3">
        <w:rPr>
          <w:rFonts w:ascii="Times New Roman" w:eastAsia="Times New Roman" w:hAnsi="Times New Roman" w:cs="Times New Roman"/>
          <w:sz w:val="24"/>
          <w:szCs w:val="24"/>
          <w:shd w:val="clear" w:color="auto" w:fill="FFFFFF"/>
          <w:lang w:val="en-US"/>
        </w:rPr>
        <w:t>The conceptual and methodological preparation of this analysis was carried out within the Working Group responsible for the preparation of the PFM Reform Programme, comprising representatives of relevant institutions. Throughout the drafting process, all recommendations received through public consultations and the public consultation process were reviewed in terms of their strategic relevance, consistency with the hierarchy of public policy documents in this area, and the feasibility of their implementation within the envisaged timeframe. Based on this assessment, decisions were made regarding their inclusion among the Programme priorities and the activities set out in the Action Plan.</w:t>
      </w:r>
    </w:p>
    <w:p w14:paraId="44E97E88" w14:textId="77777777" w:rsidR="0051453C" w:rsidRPr="001053DB" w:rsidRDefault="0051453C" w:rsidP="00840D12">
      <w:pPr>
        <w:jc w:val="both"/>
        <w:rPr>
          <w:rFonts w:ascii="Times New Roman" w:eastAsia="Times New Roman" w:hAnsi="Times New Roman" w:cs="Times New Roman"/>
          <w:sz w:val="24"/>
          <w:szCs w:val="24"/>
          <w:highlight w:val="yellow"/>
          <w:shd w:val="clear" w:color="auto" w:fill="FFFFFF"/>
          <w:lang w:val="sr-Cyrl-CS"/>
        </w:rPr>
        <w:sectPr w:rsidR="0051453C" w:rsidRPr="001053DB" w:rsidSect="0051453C">
          <w:pgSz w:w="11906" w:h="16838"/>
          <w:pgMar w:top="1440" w:right="1440" w:bottom="1440" w:left="1440" w:header="576" w:footer="576" w:gutter="0"/>
          <w:cols w:space="720"/>
          <w:docGrid w:linePitch="360"/>
        </w:sectPr>
      </w:pPr>
    </w:p>
    <w:p w14:paraId="38B9C6C0" w14:textId="47DC35A1" w:rsidR="007C221A" w:rsidRPr="001053DB" w:rsidRDefault="00801D1C" w:rsidP="00801D1C">
      <w:pPr>
        <w:ind w:firstLine="708"/>
        <w:jc w:val="both"/>
        <w:rPr>
          <w:rFonts w:ascii="Times New Roman" w:eastAsia="Times New Roman" w:hAnsi="Times New Roman" w:cs="Times New Roman"/>
          <w:sz w:val="24"/>
          <w:szCs w:val="24"/>
          <w:highlight w:val="yellow"/>
          <w:shd w:val="clear" w:color="auto" w:fill="FFFFFF"/>
          <w:lang w:val="sr-Cyrl-CS"/>
        </w:rPr>
      </w:pPr>
      <w:r w:rsidRPr="001053DB">
        <w:rPr>
          <w:rFonts w:ascii="Times New Roman" w:eastAsia="Times New Roman" w:hAnsi="Times New Roman" w:cs="Times New Roman"/>
          <w:noProof/>
          <w:sz w:val="24"/>
          <w:szCs w:val="24"/>
          <w:highlight w:val="yellow"/>
          <w:shd w:val="clear" w:color="auto" w:fill="FFFFFF"/>
          <w:lang w:val="en-US"/>
        </w:rPr>
        <w:lastRenderedPageBreak/>
        <w:drawing>
          <wp:inline distT="0" distB="0" distL="0" distR="0" wp14:anchorId="23B317A8" wp14:editId="7321F856">
            <wp:extent cx="7827554" cy="54102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910920" cy="5467820"/>
                    </a:xfrm>
                    <a:prstGeom prst="rect">
                      <a:avLst/>
                    </a:prstGeom>
                    <a:noFill/>
                  </pic:spPr>
                </pic:pic>
              </a:graphicData>
            </a:graphic>
          </wp:inline>
        </w:drawing>
      </w:r>
    </w:p>
    <w:p w14:paraId="1B79AD3D" w14:textId="5DE0396E" w:rsidR="0051453C" w:rsidRPr="001053DB" w:rsidRDefault="001C5E53" w:rsidP="007C221A">
      <w:pPr>
        <w:pStyle w:val="Caption"/>
        <w:jc w:val="center"/>
        <w:rPr>
          <w:rFonts w:ascii="Times New Roman" w:eastAsia="Calibri" w:hAnsi="Times New Roman" w:cs="Times New Roman"/>
          <w:color w:val="auto"/>
          <w:sz w:val="20"/>
          <w:szCs w:val="20"/>
          <w:lang w:val="sr-Cyrl-CS"/>
        </w:rPr>
        <w:sectPr w:rsidR="0051453C" w:rsidRPr="001053DB" w:rsidSect="0051453C">
          <w:pgSz w:w="16838" w:h="11906" w:orient="landscape"/>
          <w:pgMar w:top="1440" w:right="1440" w:bottom="1440" w:left="1440" w:header="576" w:footer="576" w:gutter="0"/>
          <w:cols w:space="720"/>
          <w:docGrid w:linePitch="360"/>
        </w:sectPr>
      </w:pPr>
      <w:r>
        <w:rPr>
          <w:rFonts w:ascii="Times New Roman" w:eastAsia="Calibri" w:hAnsi="Times New Roman" w:cs="Times New Roman"/>
          <w:color w:val="auto"/>
          <w:sz w:val="20"/>
          <w:szCs w:val="20"/>
          <w:lang w:val="en-US"/>
        </w:rPr>
        <w:t>Graph</w:t>
      </w:r>
      <w:r w:rsidR="007C221A" w:rsidRPr="001053DB">
        <w:rPr>
          <w:rFonts w:ascii="Times New Roman" w:eastAsia="Calibri" w:hAnsi="Times New Roman" w:cs="Times New Roman"/>
          <w:color w:val="auto"/>
          <w:sz w:val="20"/>
          <w:szCs w:val="20"/>
          <w:lang w:val="sr-Cyrl-CS"/>
        </w:rPr>
        <w:t xml:space="preserve"> 1: </w:t>
      </w:r>
      <w:r>
        <w:rPr>
          <w:rFonts w:ascii="Times New Roman" w:eastAsia="Calibri" w:hAnsi="Times New Roman" w:cs="Times New Roman"/>
          <w:color w:val="auto"/>
          <w:sz w:val="20"/>
          <w:szCs w:val="20"/>
          <w:lang w:val="en-US"/>
        </w:rPr>
        <w:t>Problem tree -</w:t>
      </w:r>
      <w:r w:rsidR="007C221A" w:rsidRPr="001053DB">
        <w:rPr>
          <w:rFonts w:ascii="Times New Roman" w:eastAsia="Calibri" w:hAnsi="Times New Roman" w:cs="Times New Roman"/>
          <w:color w:val="auto"/>
          <w:sz w:val="20"/>
          <w:szCs w:val="20"/>
          <w:lang w:val="sr-Cyrl-CS"/>
        </w:rPr>
        <w:t xml:space="preserve"> </w:t>
      </w:r>
      <w:r>
        <w:rPr>
          <w:rFonts w:ascii="Times New Roman" w:eastAsia="Calibri" w:hAnsi="Times New Roman" w:cs="Times New Roman"/>
          <w:color w:val="auto"/>
          <w:sz w:val="20"/>
          <w:szCs w:val="20"/>
          <w:lang w:val="en-US"/>
        </w:rPr>
        <w:t>PFMRP</w:t>
      </w:r>
      <w:r w:rsidR="007C221A" w:rsidRPr="001053DB">
        <w:rPr>
          <w:rFonts w:ascii="Times New Roman" w:eastAsia="Calibri" w:hAnsi="Times New Roman" w:cs="Times New Roman"/>
          <w:color w:val="auto"/>
          <w:sz w:val="20"/>
          <w:szCs w:val="20"/>
          <w:lang w:val="sr-Cyrl-CS"/>
        </w:rPr>
        <w:t xml:space="preserve"> 2026-2030</w:t>
      </w:r>
      <w:r w:rsidR="00713D3C" w:rsidRPr="001053DB">
        <w:rPr>
          <w:rFonts w:ascii="Times New Roman" w:eastAsia="Calibri" w:hAnsi="Times New Roman" w:cs="Times New Roman"/>
          <w:color w:val="auto"/>
          <w:sz w:val="20"/>
          <w:szCs w:val="20"/>
          <w:lang w:val="sr-Cyrl-CS"/>
        </w:rPr>
        <w:t>.</w:t>
      </w:r>
    </w:p>
    <w:p w14:paraId="4CC25112" w14:textId="77777777" w:rsidR="005F2F41" w:rsidRPr="005F2F41" w:rsidRDefault="005F2F41" w:rsidP="005F2F41">
      <w:pPr>
        <w:ind w:firstLine="708"/>
        <w:jc w:val="both"/>
        <w:rPr>
          <w:rFonts w:ascii="Times New Roman" w:eastAsia="Times New Roman" w:hAnsi="Times New Roman" w:cs="Times New Roman"/>
          <w:sz w:val="24"/>
          <w:szCs w:val="24"/>
          <w:shd w:val="clear" w:color="auto" w:fill="FFFFFF"/>
          <w:lang w:val="en-US"/>
        </w:rPr>
      </w:pPr>
      <w:r w:rsidRPr="005F2F41">
        <w:rPr>
          <w:rFonts w:ascii="Times New Roman" w:eastAsia="Times New Roman" w:hAnsi="Times New Roman" w:cs="Times New Roman"/>
          <w:sz w:val="24"/>
          <w:szCs w:val="24"/>
          <w:shd w:val="clear" w:color="auto" w:fill="FFFFFF"/>
          <w:lang w:val="en-US"/>
        </w:rPr>
        <w:lastRenderedPageBreak/>
        <w:t>Below is the gap analysis, presented in tabular form, linking the identified key weaknesses of the public financial management system with the specific objectives of the Public Financial Management Reform Programme (PFMRP) 2026–2030.</w:t>
      </w:r>
    </w:p>
    <w:p w14:paraId="55ACEBF7" w14:textId="77777777" w:rsidR="005F2F41" w:rsidRPr="005F2F41" w:rsidRDefault="005F2F41" w:rsidP="005F2F41">
      <w:pPr>
        <w:ind w:firstLine="708"/>
        <w:jc w:val="both"/>
        <w:rPr>
          <w:rFonts w:ascii="Times New Roman" w:eastAsia="Times New Roman" w:hAnsi="Times New Roman" w:cs="Times New Roman"/>
          <w:sz w:val="24"/>
          <w:szCs w:val="24"/>
          <w:shd w:val="clear" w:color="auto" w:fill="FFFFFF"/>
          <w:lang w:val="en-US"/>
        </w:rPr>
      </w:pPr>
      <w:r w:rsidRPr="005F2F41">
        <w:rPr>
          <w:rFonts w:ascii="Times New Roman" w:eastAsia="Times New Roman" w:hAnsi="Times New Roman" w:cs="Times New Roman"/>
          <w:sz w:val="24"/>
          <w:szCs w:val="24"/>
          <w:shd w:val="clear" w:color="auto" w:fill="FFFFFF"/>
          <w:lang w:val="en-US"/>
        </w:rPr>
        <w:t>The conclusions presented are based on:</w:t>
      </w:r>
    </w:p>
    <w:p w14:paraId="65E5470F" w14:textId="77777777" w:rsidR="005F2F41" w:rsidRPr="001C5E53" w:rsidRDefault="005F2F41">
      <w:pPr>
        <w:pStyle w:val="ListParagraph"/>
        <w:numPr>
          <w:ilvl w:val="0"/>
          <w:numId w:val="4"/>
        </w:numPr>
        <w:tabs>
          <w:tab w:val="num" w:pos="720"/>
        </w:tabs>
        <w:jc w:val="both"/>
        <w:rPr>
          <w:rFonts w:ascii="Times New Roman" w:eastAsia="Times New Roman" w:hAnsi="Times New Roman" w:cs="Times New Roman"/>
          <w:sz w:val="24"/>
          <w:szCs w:val="24"/>
          <w:shd w:val="clear" w:color="auto" w:fill="FFFFFF"/>
          <w:lang w:val="en-US"/>
        </w:rPr>
      </w:pPr>
      <w:r w:rsidRPr="001C5E53">
        <w:rPr>
          <w:rFonts w:ascii="Times New Roman" w:eastAsia="Times New Roman" w:hAnsi="Times New Roman" w:cs="Times New Roman"/>
          <w:sz w:val="24"/>
          <w:szCs w:val="24"/>
          <w:shd w:val="clear" w:color="auto" w:fill="FFFFFF"/>
          <w:lang w:val="en-US"/>
        </w:rPr>
        <w:t>Annual Reports on the Implementation of the PFMRP, prepared and published in accordance with the Law on the Planning System of the Republic of Serbia within 120 days from the beginning of the year for the previous year;</w:t>
      </w:r>
    </w:p>
    <w:p w14:paraId="27E3EC9B" w14:textId="77777777" w:rsidR="005F2F41" w:rsidRPr="001C5E53" w:rsidRDefault="005F2F41">
      <w:pPr>
        <w:pStyle w:val="ListParagraph"/>
        <w:numPr>
          <w:ilvl w:val="0"/>
          <w:numId w:val="4"/>
        </w:numPr>
        <w:tabs>
          <w:tab w:val="num" w:pos="720"/>
        </w:tabs>
        <w:jc w:val="both"/>
        <w:rPr>
          <w:rFonts w:ascii="Times New Roman" w:eastAsia="Times New Roman" w:hAnsi="Times New Roman" w:cs="Times New Roman"/>
          <w:sz w:val="24"/>
          <w:szCs w:val="24"/>
          <w:shd w:val="clear" w:color="auto" w:fill="FFFFFF"/>
          <w:lang w:val="en-US"/>
        </w:rPr>
      </w:pPr>
      <w:r w:rsidRPr="001C5E53">
        <w:rPr>
          <w:rFonts w:ascii="Times New Roman" w:eastAsia="Times New Roman" w:hAnsi="Times New Roman" w:cs="Times New Roman"/>
          <w:sz w:val="24"/>
          <w:szCs w:val="24"/>
          <w:shd w:val="clear" w:color="auto" w:fill="FFFFFF"/>
          <w:lang w:val="en-US"/>
        </w:rPr>
        <w:t>the ex-ante analysis prepared in June 2025, immediately prior to the commencement of work on the preparation of the PFMRP 2026–2030;</w:t>
      </w:r>
    </w:p>
    <w:p w14:paraId="6DF8CE32" w14:textId="77777777" w:rsidR="005F2F41" w:rsidRPr="001C5E53" w:rsidRDefault="005F2F41">
      <w:pPr>
        <w:pStyle w:val="ListParagraph"/>
        <w:numPr>
          <w:ilvl w:val="0"/>
          <w:numId w:val="4"/>
        </w:numPr>
        <w:tabs>
          <w:tab w:val="num" w:pos="720"/>
        </w:tabs>
        <w:jc w:val="both"/>
        <w:rPr>
          <w:rFonts w:ascii="Times New Roman" w:eastAsia="Times New Roman" w:hAnsi="Times New Roman" w:cs="Times New Roman"/>
          <w:sz w:val="24"/>
          <w:szCs w:val="24"/>
          <w:shd w:val="clear" w:color="auto" w:fill="FFFFFF"/>
          <w:lang w:val="en-US"/>
        </w:rPr>
      </w:pPr>
      <w:r w:rsidRPr="001C5E53">
        <w:rPr>
          <w:rFonts w:ascii="Times New Roman" w:eastAsia="Times New Roman" w:hAnsi="Times New Roman" w:cs="Times New Roman"/>
          <w:sz w:val="24"/>
          <w:szCs w:val="24"/>
          <w:shd w:val="clear" w:color="auto" w:fill="FFFFFF"/>
          <w:lang w:val="en-US"/>
        </w:rPr>
        <w:t>the draft PEFA assessment prepared by the World Bank and presented to the Working Group in early September 2025;</w:t>
      </w:r>
    </w:p>
    <w:p w14:paraId="7D0B56D6" w14:textId="77777777" w:rsidR="005F2F41" w:rsidRPr="001C5E53" w:rsidRDefault="005F2F41">
      <w:pPr>
        <w:pStyle w:val="ListParagraph"/>
        <w:numPr>
          <w:ilvl w:val="0"/>
          <w:numId w:val="4"/>
        </w:numPr>
        <w:tabs>
          <w:tab w:val="num" w:pos="720"/>
        </w:tabs>
        <w:jc w:val="both"/>
        <w:rPr>
          <w:rFonts w:ascii="Times New Roman" w:eastAsia="Times New Roman" w:hAnsi="Times New Roman" w:cs="Times New Roman"/>
          <w:sz w:val="24"/>
          <w:szCs w:val="24"/>
          <w:shd w:val="clear" w:color="auto" w:fill="FFFFFF"/>
          <w:lang w:val="en-US"/>
        </w:rPr>
      </w:pPr>
      <w:r w:rsidRPr="001C5E53">
        <w:rPr>
          <w:rFonts w:ascii="Times New Roman" w:eastAsia="Times New Roman" w:hAnsi="Times New Roman" w:cs="Times New Roman"/>
          <w:sz w:val="24"/>
          <w:szCs w:val="24"/>
          <w:shd w:val="clear" w:color="auto" w:fill="FFFFFF"/>
          <w:lang w:val="en-US"/>
        </w:rPr>
        <w:t>SIGMA recommendations.</w:t>
      </w:r>
    </w:p>
    <w:p w14:paraId="370F478E" w14:textId="77777777" w:rsidR="005F2F41" w:rsidRPr="005F2F41" w:rsidRDefault="005F2F41" w:rsidP="005F2F41">
      <w:pPr>
        <w:ind w:firstLine="708"/>
        <w:jc w:val="both"/>
        <w:rPr>
          <w:rFonts w:ascii="Times New Roman" w:eastAsia="Times New Roman" w:hAnsi="Times New Roman" w:cs="Times New Roman"/>
          <w:sz w:val="24"/>
          <w:szCs w:val="24"/>
          <w:shd w:val="clear" w:color="auto" w:fill="FFFFFF"/>
          <w:lang w:val="en-US"/>
        </w:rPr>
      </w:pPr>
      <w:r w:rsidRPr="005F2F41">
        <w:rPr>
          <w:rFonts w:ascii="Times New Roman" w:eastAsia="Times New Roman" w:hAnsi="Times New Roman" w:cs="Times New Roman"/>
          <w:sz w:val="24"/>
          <w:szCs w:val="24"/>
          <w:shd w:val="clear" w:color="auto" w:fill="FFFFFF"/>
          <w:lang w:val="en-US"/>
        </w:rPr>
        <w:t xml:space="preserve">The sources underpinning the gap analysis also include various strategic documents described in the previous chapter; obligations arising from the EU accession negotiation process as defined in negotiation positions and screening reports for chapters covering elements of the PFMRP system; obligations set out in the Plan for Fulfilling the Most Important Obligations from the Accession Negotiation Process of the Republic of Serbia with the European Union by the End of 2026; the National Programme for the Adoption of the Acquis (NPAA); annual European Commission reports on Serbia; minutes of meetings of the relevant subcommittees and of the </w:t>
      </w:r>
      <w:proofErr w:type="spellStart"/>
      <w:r w:rsidRPr="005F2F41">
        <w:rPr>
          <w:rFonts w:ascii="Times New Roman" w:eastAsia="Times New Roman" w:hAnsi="Times New Roman" w:cs="Times New Roman"/>
          <w:sz w:val="24"/>
          <w:szCs w:val="24"/>
          <w:shd w:val="clear" w:color="auto" w:fill="FFFFFF"/>
          <w:lang w:val="en-US"/>
        </w:rPr>
        <w:t>Stabilisation</w:t>
      </w:r>
      <w:proofErr w:type="spellEnd"/>
      <w:r w:rsidRPr="005F2F41">
        <w:rPr>
          <w:rFonts w:ascii="Times New Roman" w:eastAsia="Times New Roman" w:hAnsi="Times New Roman" w:cs="Times New Roman"/>
          <w:sz w:val="24"/>
          <w:szCs w:val="24"/>
          <w:shd w:val="clear" w:color="auto" w:fill="FFFFFF"/>
          <w:lang w:val="en-US"/>
        </w:rPr>
        <w:t xml:space="preserve"> and Association Agreement Implementation Committee, particularly the conclusions of the Special Group on Public Administration Reform; conclusions of the High-Level Dialogue on Public Administration Reform; conclusions of the Public Administration Reform Council; programme documents arising from cooperation with the IMF and other financial institutions; as well as the results of projects implemented in the field of public financial management reform.</w:t>
      </w:r>
    </w:p>
    <w:p w14:paraId="57F2CAEB" w14:textId="77777777" w:rsidR="009D4114" w:rsidRPr="001053DB" w:rsidRDefault="009D4114" w:rsidP="00960332">
      <w:pPr>
        <w:spacing w:after="0" w:line="240" w:lineRule="auto"/>
        <w:ind w:left="426"/>
        <w:rPr>
          <w:rFonts w:ascii="Times New Roman" w:eastAsia="Calibri" w:hAnsi="Times New Roman" w:cs="Times New Roman"/>
          <w:b/>
          <w:bCs/>
          <w:lang w:val="sr-Cyrl-CS"/>
        </w:rPr>
        <w:sectPr w:rsidR="009D4114" w:rsidRPr="001053DB" w:rsidSect="0051453C">
          <w:pgSz w:w="11906" w:h="16838"/>
          <w:pgMar w:top="1440" w:right="1440" w:bottom="1440" w:left="1440" w:header="576" w:footer="576" w:gutter="0"/>
          <w:cols w:space="720"/>
          <w:docGrid w:linePitch="360"/>
        </w:sectPr>
      </w:pPr>
    </w:p>
    <w:tbl>
      <w:tblPr>
        <w:tblStyle w:val="TableGrid91"/>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113" w:type="dxa"/>
          <w:left w:w="142" w:type="dxa"/>
          <w:bottom w:w="113" w:type="dxa"/>
          <w:right w:w="142" w:type="dxa"/>
        </w:tblCellMar>
        <w:tblLook w:val="04A0" w:firstRow="1" w:lastRow="0" w:firstColumn="1" w:lastColumn="0" w:noHBand="0" w:noVBand="1"/>
      </w:tblPr>
      <w:tblGrid>
        <w:gridCol w:w="4061"/>
        <w:gridCol w:w="9797"/>
      </w:tblGrid>
      <w:tr w:rsidR="00D30238" w:rsidRPr="001053DB" w14:paraId="444972D1" w14:textId="77777777" w:rsidTr="007066D1">
        <w:trPr>
          <w:trHeight w:val="567"/>
        </w:trPr>
        <w:tc>
          <w:tcPr>
            <w:tcW w:w="4061" w:type="dxa"/>
            <w:tcMar>
              <w:top w:w="113" w:type="dxa"/>
            </w:tcMar>
            <w:vAlign w:val="center"/>
            <w:hideMark/>
          </w:tcPr>
          <w:p w14:paraId="185F8A24" w14:textId="0661817F" w:rsidR="002D155B" w:rsidRPr="001C5E53" w:rsidRDefault="001C5E53" w:rsidP="007066D1">
            <w:pPr>
              <w:jc w:val="center"/>
              <w:rPr>
                <w:rFonts w:ascii="Times New Roman" w:eastAsia="Times New Roman" w:hAnsi="Times New Roman"/>
                <w:b/>
                <w:bCs/>
                <w:sz w:val="24"/>
                <w:szCs w:val="24"/>
                <w:lang w:val="en-US"/>
              </w:rPr>
            </w:pPr>
            <w:r>
              <w:rPr>
                <w:rFonts w:ascii="Times New Roman" w:eastAsia="Times New Roman" w:hAnsi="Times New Roman"/>
                <w:b/>
                <w:bCs/>
                <w:sz w:val="24"/>
                <w:szCs w:val="24"/>
                <w:lang w:val="en-US"/>
              </w:rPr>
              <w:lastRenderedPageBreak/>
              <w:t>Specific objective</w:t>
            </w:r>
          </w:p>
        </w:tc>
        <w:tc>
          <w:tcPr>
            <w:tcW w:w="9797" w:type="dxa"/>
            <w:tcMar>
              <w:top w:w="113" w:type="dxa"/>
            </w:tcMar>
            <w:vAlign w:val="center"/>
            <w:hideMark/>
          </w:tcPr>
          <w:p w14:paraId="244348B8" w14:textId="4D6BCAB2" w:rsidR="002D155B" w:rsidRPr="001C5E53" w:rsidRDefault="001C5E53" w:rsidP="007066D1">
            <w:pPr>
              <w:jc w:val="center"/>
              <w:rPr>
                <w:rFonts w:ascii="Times New Roman" w:eastAsia="Times New Roman" w:hAnsi="Times New Roman"/>
                <w:b/>
                <w:bCs/>
                <w:sz w:val="24"/>
                <w:szCs w:val="24"/>
                <w:lang w:val="en-US"/>
              </w:rPr>
            </w:pPr>
            <w:r>
              <w:rPr>
                <w:rFonts w:ascii="Times New Roman" w:eastAsia="Times New Roman" w:hAnsi="Times New Roman"/>
                <w:b/>
                <w:bCs/>
                <w:sz w:val="24"/>
                <w:szCs w:val="24"/>
                <w:lang w:val="en-US"/>
              </w:rPr>
              <w:t>Key weaknesses and identified gap</w:t>
            </w:r>
          </w:p>
        </w:tc>
      </w:tr>
      <w:tr w:rsidR="00D30238" w:rsidRPr="001053DB" w14:paraId="64A4B522" w14:textId="77777777" w:rsidTr="007066D1">
        <w:tc>
          <w:tcPr>
            <w:tcW w:w="4061" w:type="dxa"/>
            <w:tcMar>
              <w:top w:w="113" w:type="dxa"/>
            </w:tcMar>
            <w:hideMark/>
          </w:tcPr>
          <w:p w14:paraId="50C689B3" w14:textId="387983B8" w:rsidR="002D155B" w:rsidRPr="001C5E53" w:rsidRDefault="001C5E53" w:rsidP="0076183B">
            <w:pPr>
              <w:rPr>
                <w:rFonts w:ascii="Times New Roman" w:eastAsia="Times New Roman" w:hAnsi="Times New Roman"/>
                <w:sz w:val="24"/>
                <w:szCs w:val="24"/>
                <w:lang w:val="en-US"/>
              </w:rPr>
            </w:pPr>
            <w:r>
              <w:rPr>
                <w:rFonts w:ascii="Times New Roman" w:eastAsia="Times New Roman" w:hAnsi="Times New Roman"/>
                <w:sz w:val="24"/>
                <w:szCs w:val="24"/>
                <w:lang w:val="en-US"/>
              </w:rPr>
              <w:t>Specific objective</w:t>
            </w:r>
            <w:r w:rsidR="002D155B" w:rsidRPr="001053DB">
              <w:rPr>
                <w:rFonts w:ascii="Times New Roman" w:eastAsia="Times New Roman" w:hAnsi="Times New Roman"/>
                <w:sz w:val="24"/>
                <w:szCs w:val="24"/>
                <w:lang w:val="sr-Cyrl-CS"/>
              </w:rPr>
              <w:t xml:space="preserve"> I: </w:t>
            </w:r>
            <w:r>
              <w:rPr>
                <w:rFonts w:ascii="Times New Roman" w:eastAsia="Times New Roman" w:hAnsi="Times New Roman"/>
                <w:sz w:val="24"/>
                <w:szCs w:val="24"/>
                <w:lang w:val="en-US"/>
              </w:rPr>
              <w:t>Capacity for budget planning and public investment management improved</w:t>
            </w:r>
          </w:p>
        </w:tc>
        <w:tc>
          <w:tcPr>
            <w:tcW w:w="9797" w:type="dxa"/>
            <w:tcMar>
              <w:top w:w="113" w:type="dxa"/>
            </w:tcMar>
            <w:hideMark/>
          </w:tcPr>
          <w:p w14:paraId="0941652F" w14:textId="13ED4E8D" w:rsidR="001C5E53" w:rsidRPr="001C5E53" w:rsidRDefault="001C5E53">
            <w:pPr>
              <w:pStyle w:val="ListParagraph"/>
              <w:numPr>
                <w:ilvl w:val="0"/>
                <w:numId w:val="5"/>
              </w:numPr>
              <w:jc w:val="both"/>
              <w:rPr>
                <w:rFonts w:ascii="Times New Roman" w:eastAsia="Times New Roman" w:hAnsi="Times New Roman"/>
                <w:sz w:val="24"/>
                <w:szCs w:val="24"/>
                <w:lang w:val="en-US"/>
              </w:rPr>
            </w:pPr>
            <w:r w:rsidRPr="001C5E53">
              <w:rPr>
                <w:rFonts w:ascii="Times New Roman" w:eastAsia="Times New Roman" w:hAnsi="Times New Roman"/>
                <w:sz w:val="24"/>
                <w:szCs w:val="24"/>
                <w:lang w:val="en-US"/>
              </w:rPr>
              <w:t xml:space="preserve">Budget planning continues to face challenges in fully linking public policy priorities, programme objectives, and resource allocation. Although programme budgeting has been established, its implementation remains uneven across sectors, budget users, and levels of government, while the use of performance information in budget decision-making remains limited. </w:t>
            </w:r>
          </w:p>
          <w:p w14:paraId="2CD36656" w14:textId="6BF592CC" w:rsidR="001C5E53" w:rsidRPr="001C5E53" w:rsidRDefault="001C5E53">
            <w:pPr>
              <w:pStyle w:val="ListParagraph"/>
              <w:numPr>
                <w:ilvl w:val="0"/>
                <w:numId w:val="5"/>
              </w:numPr>
              <w:jc w:val="both"/>
              <w:rPr>
                <w:rFonts w:ascii="Times New Roman" w:eastAsia="Times New Roman" w:hAnsi="Times New Roman"/>
                <w:sz w:val="24"/>
                <w:szCs w:val="24"/>
                <w:lang w:val="en-US"/>
              </w:rPr>
            </w:pPr>
            <w:r w:rsidRPr="001C5E53">
              <w:rPr>
                <w:rFonts w:ascii="Times New Roman" w:eastAsia="Times New Roman" w:hAnsi="Times New Roman"/>
                <w:sz w:val="24"/>
                <w:szCs w:val="24"/>
                <w:lang w:val="en-US"/>
              </w:rPr>
              <w:t xml:space="preserve">The introduction of programme budgeting in the health sector represents a complex and large-scale reform, given the size of the sector, institutional fragmentation, and expenditure structure. Strengthening this area could generate significant benefits for the state, the health sector, and the population as a whole. </w:t>
            </w:r>
          </w:p>
          <w:p w14:paraId="4509B5CD" w14:textId="36606483" w:rsidR="001C5E53" w:rsidRPr="001C5E53" w:rsidRDefault="001C5E53">
            <w:pPr>
              <w:pStyle w:val="ListParagraph"/>
              <w:numPr>
                <w:ilvl w:val="0"/>
                <w:numId w:val="5"/>
              </w:numPr>
              <w:jc w:val="both"/>
              <w:rPr>
                <w:rFonts w:ascii="Times New Roman" w:eastAsia="Times New Roman" w:hAnsi="Times New Roman"/>
                <w:sz w:val="24"/>
                <w:szCs w:val="24"/>
                <w:lang w:val="en-US"/>
              </w:rPr>
            </w:pPr>
            <w:r w:rsidRPr="001C5E53">
              <w:rPr>
                <w:rFonts w:ascii="Times New Roman" w:eastAsia="Times New Roman" w:hAnsi="Times New Roman"/>
                <w:sz w:val="24"/>
                <w:szCs w:val="24"/>
                <w:lang w:val="en-US"/>
              </w:rPr>
              <w:t xml:space="preserve">Green budgeting has been introduced; however, institutional capacities, methodological coverage, and practical implementation remain insufficient. The existing framework does not yet enable the systematic identification, classification, and monitoring of environment- and climate-related expenditures, thereby limiting the integration of environmental objectives into fiscal policy. Furthermore, this area requires continuous monitoring of the implementation of the adopted methodology and its ongoing refinement in line with emerging knowledge, practical experience, and evolving EU standards. </w:t>
            </w:r>
          </w:p>
          <w:p w14:paraId="20905B08" w14:textId="0F215F1D" w:rsidR="001C5E53" w:rsidRPr="001C5E53" w:rsidRDefault="001C5E53">
            <w:pPr>
              <w:pStyle w:val="ListParagraph"/>
              <w:numPr>
                <w:ilvl w:val="0"/>
                <w:numId w:val="5"/>
              </w:numPr>
              <w:jc w:val="both"/>
              <w:rPr>
                <w:rFonts w:ascii="Times New Roman" w:eastAsia="Times New Roman" w:hAnsi="Times New Roman"/>
                <w:sz w:val="24"/>
                <w:szCs w:val="24"/>
                <w:lang w:val="en-US"/>
              </w:rPr>
            </w:pPr>
            <w:r w:rsidRPr="001C5E53">
              <w:rPr>
                <w:rFonts w:ascii="Times New Roman" w:eastAsia="Times New Roman" w:hAnsi="Times New Roman"/>
                <w:sz w:val="24"/>
                <w:szCs w:val="24"/>
                <w:lang w:val="en-US"/>
              </w:rPr>
              <w:t xml:space="preserve">Alignment of the national budget process with EU budgeting standards and practices requires further development in the context of EU accession and future participation in EU fiscal coordination mechanisms (obligations arising from Negotiating Chapter 17 – Economic and Monetary Policy). </w:t>
            </w:r>
          </w:p>
          <w:p w14:paraId="5D01086A" w14:textId="462D3A91" w:rsidR="001C5E53" w:rsidRPr="001C5E53" w:rsidRDefault="001C5E53">
            <w:pPr>
              <w:pStyle w:val="ListParagraph"/>
              <w:numPr>
                <w:ilvl w:val="0"/>
                <w:numId w:val="5"/>
              </w:numPr>
              <w:jc w:val="both"/>
              <w:rPr>
                <w:rFonts w:ascii="Times New Roman" w:eastAsia="Times New Roman" w:hAnsi="Times New Roman"/>
                <w:sz w:val="24"/>
                <w:szCs w:val="24"/>
                <w:lang w:val="en-US"/>
              </w:rPr>
            </w:pPr>
            <w:r w:rsidRPr="001C5E53">
              <w:rPr>
                <w:rFonts w:ascii="Times New Roman" w:eastAsia="Times New Roman" w:hAnsi="Times New Roman"/>
                <w:sz w:val="24"/>
                <w:szCs w:val="24"/>
                <w:lang w:val="en-US"/>
              </w:rPr>
              <w:t xml:space="preserve">Public investment management continues to exhibit weaknesses in the consistency and transparency of project appraisal, </w:t>
            </w:r>
            <w:proofErr w:type="spellStart"/>
            <w:r w:rsidRPr="001C5E53">
              <w:rPr>
                <w:rFonts w:ascii="Times New Roman" w:eastAsia="Times New Roman" w:hAnsi="Times New Roman"/>
                <w:sz w:val="24"/>
                <w:szCs w:val="24"/>
                <w:lang w:val="en-US"/>
              </w:rPr>
              <w:t>prioritisation</w:t>
            </w:r>
            <w:proofErr w:type="spellEnd"/>
            <w:r w:rsidRPr="001C5E53">
              <w:rPr>
                <w:rFonts w:ascii="Times New Roman" w:eastAsia="Times New Roman" w:hAnsi="Times New Roman"/>
                <w:sz w:val="24"/>
                <w:szCs w:val="24"/>
                <w:lang w:val="en-US"/>
              </w:rPr>
              <w:t xml:space="preserve">, and monitoring. Not all capital projects included in the budget are subject to a uniform methodological assessment, while public reporting on the status and performance of capital projects remains fragmented, limiting accountability and evidence-based decision-making. This area is also specifically covered by the Reform Agenda of the Republic of Serbia. Further improvements are needed in public investment management practices, particularly regarding public-private partnership (PPP) </w:t>
            </w:r>
            <w:r w:rsidRPr="001C5E53">
              <w:rPr>
                <w:rFonts w:ascii="Times New Roman" w:eastAsia="Times New Roman" w:hAnsi="Times New Roman"/>
                <w:sz w:val="24"/>
                <w:szCs w:val="24"/>
                <w:lang w:val="en-US"/>
              </w:rPr>
              <w:lastRenderedPageBreak/>
              <w:t xml:space="preserve">projects, the development of cost estimation models for capital expenditures, and other methodological tools. </w:t>
            </w:r>
          </w:p>
          <w:p w14:paraId="0BACA16E" w14:textId="43F1F419" w:rsidR="001C5E53" w:rsidRPr="001C5E53" w:rsidRDefault="001C5E53">
            <w:pPr>
              <w:pStyle w:val="ListParagraph"/>
              <w:numPr>
                <w:ilvl w:val="0"/>
                <w:numId w:val="5"/>
              </w:numPr>
              <w:jc w:val="both"/>
              <w:rPr>
                <w:rFonts w:ascii="Times New Roman" w:eastAsia="Times New Roman" w:hAnsi="Times New Roman"/>
                <w:sz w:val="24"/>
                <w:szCs w:val="24"/>
                <w:lang w:val="en-US"/>
              </w:rPr>
            </w:pPr>
            <w:r w:rsidRPr="001C5E53">
              <w:rPr>
                <w:rFonts w:ascii="Times New Roman" w:eastAsia="Times New Roman" w:hAnsi="Times New Roman"/>
                <w:sz w:val="24"/>
                <w:szCs w:val="24"/>
                <w:lang w:val="en-US"/>
              </w:rPr>
              <w:t xml:space="preserve">Fiscal risk management remains under development, with limited systematic identification, quantification, and reporting of risks related to state-owned enterprises, local self-government units, public investment projects, and emerging risks such as climate change. Despite significant progress in this area, fiscal risks are not yet sufficiently integrated into budget planning and fiscal policy decision-making processes. </w:t>
            </w:r>
          </w:p>
          <w:p w14:paraId="78B9A10B" w14:textId="6539E519" w:rsidR="001C5E53" w:rsidRPr="001C5E53" w:rsidRDefault="001C5E53">
            <w:pPr>
              <w:pStyle w:val="ListParagraph"/>
              <w:numPr>
                <w:ilvl w:val="0"/>
                <w:numId w:val="5"/>
              </w:numPr>
              <w:jc w:val="both"/>
              <w:rPr>
                <w:rFonts w:ascii="Times New Roman" w:eastAsia="Times New Roman" w:hAnsi="Times New Roman"/>
                <w:sz w:val="24"/>
                <w:szCs w:val="24"/>
                <w:lang w:val="en-US"/>
              </w:rPr>
            </w:pPr>
            <w:r w:rsidRPr="001C5E53">
              <w:rPr>
                <w:rFonts w:ascii="Times New Roman" w:eastAsia="Times New Roman" w:hAnsi="Times New Roman"/>
                <w:sz w:val="24"/>
                <w:szCs w:val="24"/>
                <w:lang w:val="en-US"/>
              </w:rPr>
              <w:t xml:space="preserve">Coordination mechanisms and administrative capacities related to the management of European Union own resources and obligations under Chapter 33 – Financial and Budgetary Provisions have not yet been fully established. Data exchange arrangements, procedures, and institutional responsibilities require further clarification, establishment, and strengthening in order to ensure timely, accurate, and reliable reporting in accordance with EU requirements. In this context, technical assistance from the European Commission has been absent since 2018, when the chapter was opened in the accession negotiations. Such support is necessary to enable a comprehensive assessment of all obligations related to the management of EU own resources and to facilitate the preparation of an action plan for strengthening the system. </w:t>
            </w:r>
          </w:p>
          <w:p w14:paraId="4403E63E" w14:textId="2198D0E6" w:rsidR="002D155B" w:rsidRPr="001C5E53" w:rsidRDefault="001C5E53">
            <w:pPr>
              <w:pStyle w:val="ListParagraph"/>
              <w:numPr>
                <w:ilvl w:val="0"/>
                <w:numId w:val="5"/>
              </w:numPr>
              <w:jc w:val="both"/>
              <w:rPr>
                <w:rFonts w:ascii="Times New Roman" w:eastAsia="Times New Roman" w:hAnsi="Times New Roman"/>
                <w:sz w:val="24"/>
                <w:szCs w:val="24"/>
                <w:lang w:val="sr-Cyrl-CS"/>
              </w:rPr>
            </w:pPr>
            <w:r w:rsidRPr="001C5E53">
              <w:rPr>
                <w:rFonts w:ascii="Times New Roman" w:eastAsia="Times New Roman" w:hAnsi="Times New Roman"/>
                <w:sz w:val="24"/>
                <w:szCs w:val="24"/>
                <w:lang w:val="en-US"/>
              </w:rPr>
              <w:t>Medium-term planning remains uneven in terms of quality and consistency across institutions, particularly given the varying complexity of policy areas under their responsibility, which is directly reflected in the content of medium-term plans, as well as differences in administrative capacities for carrying out these activities. Although formal requirements are in place, full alignment between medium-term plans and annual budgets has not yet been achieved, and coordination among institutions responsible for policy planning requires further strengthening.</w:t>
            </w:r>
          </w:p>
        </w:tc>
      </w:tr>
      <w:tr w:rsidR="00D30238" w:rsidRPr="001053DB" w14:paraId="06229749" w14:textId="77777777" w:rsidTr="007066D1">
        <w:tc>
          <w:tcPr>
            <w:tcW w:w="4061" w:type="dxa"/>
            <w:tcMar>
              <w:top w:w="113" w:type="dxa"/>
            </w:tcMar>
            <w:hideMark/>
          </w:tcPr>
          <w:p w14:paraId="1DC5C6AD" w14:textId="56A858F6" w:rsidR="002D155B" w:rsidRPr="001C5E53" w:rsidRDefault="001C5E53" w:rsidP="0076183B">
            <w:pPr>
              <w:rPr>
                <w:rFonts w:ascii="Times New Roman" w:eastAsia="Times New Roman" w:hAnsi="Times New Roman"/>
                <w:sz w:val="24"/>
                <w:szCs w:val="24"/>
                <w:lang w:val="en-US"/>
              </w:rPr>
            </w:pPr>
            <w:r>
              <w:rPr>
                <w:rFonts w:ascii="Times New Roman" w:eastAsia="Times New Roman" w:hAnsi="Times New Roman"/>
                <w:sz w:val="24"/>
                <w:szCs w:val="24"/>
                <w:lang w:val="en-US"/>
              </w:rPr>
              <w:lastRenderedPageBreak/>
              <w:t>Specific objective</w:t>
            </w:r>
            <w:r w:rsidR="002D155B" w:rsidRPr="001053DB">
              <w:rPr>
                <w:rFonts w:ascii="Times New Roman" w:eastAsia="Times New Roman" w:hAnsi="Times New Roman"/>
                <w:sz w:val="24"/>
                <w:szCs w:val="24"/>
                <w:lang w:val="sr-Cyrl-CS"/>
              </w:rPr>
              <w:t xml:space="preserve"> II: </w:t>
            </w:r>
            <w:r>
              <w:rPr>
                <w:rFonts w:ascii="Times New Roman" w:eastAsia="Times New Roman" w:hAnsi="Times New Roman"/>
                <w:sz w:val="24"/>
                <w:szCs w:val="24"/>
                <w:lang w:val="en-US"/>
              </w:rPr>
              <w:t>Efficient collection and management of budget funds</w:t>
            </w:r>
          </w:p>
        </w:tc>
        <w:tc>
          <w:tcPr>
            <w:tcW w:w="9797" w:type="dxa"/>
            <w:tcMar>
              <w:top w:w="113" w:type="dxa"/>
            </w:tcMar>
            <w:hideMark/>
          </w:tcPr>
          <w:p w14:paraId="2321DDFC" w14:textId="53DDC247" w:rsidR="00DE0BC9" w:rsidRPr="00DE0BC9" w:rsidRDefault="00DE0BC9">
            <w:pPr>
              <w:pStyle w:val="ListParagraph"/>
              <w:numPr>
                <w:ilvl w:val="0"/>
                <w:numId w:val="6"/>
              </w:numPr>
              <w:jc w:val="both"/>
              <w:rPr>
                <w:rFonts w:ascii="Times New Roman" w:eastAsia="Times New Roman" w:hAnsi="Times New Roman"/>
                <w:sz w:val="24"/>
                <w:szCs w:val="24"/>
                <w:lang w:val="en-US"/>
              </w:rPr>
            </w:pPr>
            <w:r w:rsidRPr="00DE0BC9">
              <w:rPr>
                <w:rFonts w:ascii="Times New Roman" w:eastAsia="Times New Roman" w:hAnsi="Times New Roman"/>
                <w:sz w:val="24"/>
                <w:szCs w:val="24"/>
                <w:lang w:val="en-US"/>
              </w:rPr>
              <w:t>Revenue collection and public revenue management systems continue to face structural and</w:t>
            </w:r>
            <w:r>
              <w:rPr>
                <w:rFonts w:ascii="Times New Roman" w:eastAsia="Times New Roman" w:hAnsi="Times New Roman"/>
                <w:sz w:val="24"/>
                <w:szCs w:val="24"/>
                <w:lang w:val="en-US"/>
              </w:rPr>
              <w:t xml:space="preserve"> </w:t>
            </w:r>
            <w:r w:rsidRPr="00DE0BC9">
              <w:rPr>
                <w:rFonts w:ascii="Times New Roman" w:eastAsia="Times New Roman" w:hAnsi="Times New Roman"/>
                <w:sz w:val="24"/>
                <w:szCs w:val="24"/>
                <w:lang w:val="en-US"/>
              </w:rPr>
              <w:t xml:space="preserve">operational challenges despite stable aggregate revenue collection outcomes. These challenges affect the efficiency and predictability of revenue collection. </w:t>
            </w:r>
          </w:p>
          <w:p w14:paraId="654DC68A" w14:textId="5057824A" w:rsidR="00DE0BC9" w:rsidRPr="00DE0BC9" w:rsidRDefault="00DE0BC9">
            <w:pPr>
              <w:pStyle w:val="ListParagraph"/>
              <w:numPr>
                <w:ilvl w:val="0"/>
                <w:numId w:val="6"/>
              </w:numPr>
              <w:jc w:val="both"/>
              <w:rPr>
                <w:rFonts w:ascii="Times New Roman" w:eastAsia="Times New Roman" w:hAnsi="Times New Roman"/>
                <w:sz w:val="24"/>
                <w:szCs w:val="24"/>
                <w:lang w:val="en-US"/>
              </w:rPr>
            </w:pPr>
            <w:r w:rsidRPr="00DE0BC9">
              <w:rPr>
                <w:rFonts w:ascii="Times New Roman" w:eastAsia="Times New Roman" w:hAnsi="Times New Roman"/>
                <w:sz w:val="24"/>
                <w:szCs w:val="24"/>
                <w:lang w:val="en-US"/>
              </w:rPr>
              <w:t xml:space="preserve">Revenue administration processes remain partially fragmented, with outdated IT systems and limited interoperability constraining comprehensive risk analysis, integrated case management, and real-time monitoring of tax and customs obligations. </w:t>
            </w:r>
          </w:p>
          <w:p w14:paraId="73C68C99" w14:textId="20DEF8D1" w:rsidR="00DE0BC9" w:rsidRPr="00DE0BC9" w:rsidRDefault="00DE0BC9">
            <w:pPr>
              <w:pStyle w:val="ListParagraph"/>
              <w:numPr>
                <w:ilvl w:val="0"/>
                <w:numId w:val="6"/>
              </w:numPr>
              <w:jc w:val="both"/>
              <w:rPr>
                <w:rFonts w:ascii="Times New Roman" w:eastAsia="Times New Roman" w:hAnsi="Times New Roman"/>
                <w:sz w:val="24"/>
                <w:szCs w:val="24"/>
                <w:lang w:val="en-US"/>
              </w:rPr>
            </w:pPr>
            <w:r w:rsidRPr="00DE0BC9">
              <w:rPr>
                <w:rFonts w:ascii="Times New Roman" w:eastAsia="Times New Roman" w:hAnsi="Times New Roman"/>
                <w:sz w:val="24"/>
                <w:szCs w:val="24"/>
                <w:lang w:val="en-US"/>
              </w:rPr>
              <w:lastRenderedPageBreak/>
              <w:t xml:space="preserve">The Tax Administration's capacity to fully implement modern, risk-based compliance management continues to be under development. </w:t>
            </w:r>
          </w:p>
          <w:p w14:paraId="230CBC13" w14:textId="058AB0E5" w:rsidR="00DE0BC9" w:rsidRPr="00DE0BC9" w:rsidRDefault="00DE0BC9">
            <w:pPr>
              <w:pStyle w:val="ListParagraph"/>
              <w:numPr>
                <w:ilvl w:val="0"/>
                <w:numId w:val="6"/>
              </w:numPr>
              <w:jc w:val="both"/>
              <w:rPr>
                <w:rFonts w:ascii="Times New Roman" w:eastAsia="Times New Roman" w:hAnsi="Times New Roman"/>
                <w:sz w:val="24"/>
                <w:szCs w:val="24"/>
                <w:lang w:val="en-US"/>
              </w:rPr>
            </w:pPr>
            <w:proofErr w:type="spellStart"/>
            <w:r w:rsidRPr="00DE0BC9">
              <w:rPr>
                <w:rFonts w:ascii="Times New Roman" w:eastAsia="Times New Roman" w:hAnsi="Times New Roman"/>
                <w:sz w:val="24"/>
                <w:szCs w:val="24"/>
                <w:lang w:val="en-US"/>
              </w:rPr>
              <w:t>Digitalisation</w:t>
            </w:r>
            <w:proofErr w:type="spellEnd"/>
            <w:r w:rsidRPr="00DE0BC9">
              <w:rPr>
                <w:rFonts w:ascii="Times New Roman" w:eastAsia="Times New Roman" w:hAnsi="Times New Roman"/>
                <w:sz w:val="24"/>
                <w:szCs w:val="24"/>
                <w:lang w:val="en-US"/>
              </w:rPr>
              <w:t xml:space="preserve"> of tax processes and taxpayer services is progressing; however, their scope and functionality have not yet been fully developed. Key systems such as e-invoicing, electronic excise systems, and electronic delivery notes (e-delivery notes) are being expanded, but further enhancements and integration are required to reduce administrative burdens, improve compliance, and strengthen control mechanisms. A particular challenge is the development of IT systems necessary for integration into the European Union, as envisaged under Negotiating Chapters 16 – Taxation and 29 – Customs Union. </w:t>
            </w:r>
          </w:p>
          <w:p w14:paraId="3A97ED5C" w14:textId="4F5662BB" w:rsidR="00DE0BC9" w:rsidRPr="00DE0BC9" w:rsidRDefault="00DE0BC9">
            <w:pPr>
              <w:pStyle w:val="ListParagraph"/>
              <w:numPr>
                <w:ilvl w:val="0"/>
                <w:numId w:val="6"/>
              </w:numPr>
              <w:jc w:val="both"/>
              <w:rPr>
                <w:rFonts w:ascii="Times New Roman" w:eastAsia="Times New Roman" w:hAnsi="Times New Roman"/>
                <w:sz w:val="24"/>
                <w:szCs w:val="24"/>
                <w:lang w:val="en-US"/>
              </w:rPr>
            </w:pPr>
            <w:r w:rsidRPr="00DE0BC9">
              <w:rPr>
                <w:rFonts w:ascii="Times New Roman" w:eastAsia="Times New Roman" w:hAnsi="Times New Roman"/>
                <w:sz w:val="24"/>
                <w:szCs w:val="24"/>
                <w:lang w:val="en-US"/>
              </w:rPr>
              <w:t xml:space="preserve">Alignment of the legal framework in the field of tax policy with the EU acquis under Chapter 16 – Taxation remains insufficient and requires further advancement. </w:t>
            </w:r>
          </w:p>
          <w:p w14:paraId="7179AEB2" w14:textId="4B1CC511" w:rsidR="00DE0BC9" w:rsidRPr="00DE0BC9" w:rsidRDefault="00DE0BC9">
            <w:pPr>
              <w:pStyle w:val="ListParagraph"/>
              <w:numPr>
                <w:ilvl w:val="0"/>
                <w:numId w:val="6"/>
              </w:numPr>
              <w:jc w:val="both"/>
              <w:rPr>
                <w:rFonts w:ascii="Times New Roman" w:eastAsia="Times New Roman" w:hAnsi="Times New Roman"/>
                <w:sz w:val="24"/>
                <w:szCs w:val="24"/>
                <w:lang w:val="en-US"/>
              </w:rPr>
            </w:pPr>
            <w:r w:rsidRPr="00DE0BC9">
              <w:rPr>
                <w:rFonts w:ascii="Times New Roman" w:eastAsia="Times New Roman" w:hAnsi="Times New Roman"/>
                <w:sz w:val="24"/>
                <w:szCs w:val="24"/>
                <w:lang w:val="en-US"/>
              </w:rPr>
              <w:t xml:space="preserve">The Customs Administration continues to face challenges related to complex procedures, EU requirements, and the need for a </w:t>
            </w:r>
            <w:proofErr w:type="spellStart"/>
            <w:r w:rsidRPr="00DE0BC9">
              <w:rPr>
                <w:rFonts w:ascii="Times New Roman" w:eastAsia="Times New Roman" w:hAnsi="Times New Roman"/>
                <w:sz w:val="24"/>
                <w:szCs w:val="24"/>
                <w:lang w:val="en-US"/>
              </w:rPr>
              <w:t>modernised</w:t>
            </w:r>
            <w:proofErr w:type="spellEnd"/>
            <w:r w:rsidRPr="00DE0BC9">
              <w:rPr>
                <w:rFonts w:ascii="Times New Roman" w:eastAsia="Times New Roman" w:hAnsi="Times New Roman"/>
                <w:sz w:val="24"/>
                <w:szCs w:val="24"/>
                <w:lang w:val="en-US"/>
              </w:rPr>
              <w:t xml:space="preserve"> IT infrastructure. Capacities for post-clearance controls, customs valuation, verification of origin, and tariff management require further strengthening, alongside the full implementation and integration of automated customs systems. In addition, the completion of systems necessary for integration into the EU customs environment, in line with the obligations arising from Negotiating Chapter 29 – Customs Union, remains a key priority. </w:t>
            </w:r>
          </w:p>
          <w:p w14:paraId="642FDF6B" w14:textId="7586F87C" w:rsidR="00DE0BC9" w:rsidRPr="00DE0BC9" w:rsidRDefault="00DE0BC9">
            <w:pPr>
              <w:pStyle w:val="ListParagraph"/>
              <w:numPr>
                <w:ilvl w:val="0"/>
                <w:numId w:val="6"/>
              </w:numPr>
              <w:jc w:val="both"/>
              <w:rPr>
                <w:rFonts w:ascii="Times New Roman" w:eastAsia="Times New Roman" w:hAnsi="Times New Roman"/>
                <w:sz w:val="24"/>
                <w:szCs w:val="24"/>
                <w:lang w:val="en-US"/>
              </w:rPr>
            </w:pPr>
            <w:r w:rsidRPr="00DE0BC9">
              <w:rPr>
                <w:rFonts w:ascii="Times New Roman" w:eastAsia="Times New Roman" w:hAnsi="Times New Roman"/>
                <w:sz w:val="24"/>
                <w:szCs w:val="24"/>
                <w:lang w:val="en-US"/>
              </w:rPr>
              <w:t xml:space="preserve">Public debt management requires further strengthening despite the significant achievements made in recent years. Analytical, reporting, and IT capacities require additional enhancement, including the diversification of financing instruments and improvements in transparency. Expanding the scope of reporting and increasing the use of advanced analytical tools are necessary to ensure effective monitoring of debt sustainability and to </w:t>
            </w:r>
            <w:proofErr w:type="spellStart"/>
            <w:r w:rsidRPr="00DE0BC9">
              <w:rPr>
                <w:rFonts w:ascii="Times New Roman" w:eastAsia="Times New Roman" w:hAnsi="Times New Roman"/>
                <w:sz w:val="24"/>
                <w:szCs w:val="24"/>
                <w:lang w:val="en-US"/>
              </w:rPr>
              <w:t>maximise</w:t>
            </w:r>
            <w:proofErr w:type="spellEnd"/>
            <w:r w:rsidRPr="00DE0BC9">
              <w:rPr>
                <w:rFonts w:ascii="Times New Roman" w:eastAsia="Times New Roman" w:hAnsi="Times New Roman"/>
                <w:sz w:val="24"/>
                <w:szCs w:val="24"/>
                <w:lang w:val="en-US"/>
              </w:rPr>
              <w:t xml:space="preserve"> the use of available technological solutions. </w:t>
            </w:r>
          </w:p>
          <w:p w14:paraId="6FF431AC" w14:textId="1DBED9C3" w:rsidR="002D155B" w:rsidRPr="00DE0BC9" w:rsidRDefault="00DE0BC9">
            <w:pPr>
              <w:pStyle w:val="ListParagraph"/>
              <w:numPr>
                <w:ilvl w:val="0"/>
                <w:numId w:val="6"/>
              </w:numPr>
              <w:jc w:val="both"/>
              <w:rPr>
                <w:rFonts w:ascii="Times New Roman" w:eastAsia="Times New Roman" w:hAnsi="Times New Roman"/>
                <w:sz w:val="24"/>
                <w:szCs w:val="24"/>
                <w:lang w:val="sr-Cyrl-CS"/>
              </w:rPr>
            </w:pPr>
            <w:r w:rsidRPr="00DE0BC9">
              <w:rPr>
                <w:rFonts w:ascii="Times New Roman" w:eastAsia="Times New Roman" w:hAnsi="Times New Roman"/>
                <w:sz w:val="24"/>
                <w:szCs w:val="24"/>
                <w:lang w:val="en-US"/>
              </w:rPr>
              <w:t xml:space="preserve">The legal and regulatory framework for public procurement, as well as the Public Procurement Portal, have been established, and the development of green public procurement is progressing. However, comprehensive and systematic implementation remains a challenge. Uneven professional capacities among public procurement officers limit the effective application of procurement procedures, strategic procurement planning, and the prevention of irregularities, particularly in complex procurement processes. Other </w:t>
            </w:r>
            <w:r w:rsidRPr="00DE0BC9">
              <w:rPr>
                <w:rFonts w:ascii="Times New Roman" w:eastAsia="Times New Roman" w:hAnsi="Times New Roman"/>
                <w:sz w:val="24"/>
                <w:szCs w:val="24"/>
                <w:lang w:val="en-US"/>
              </w:rPr>
              <w:lastRenderedPageBreak/>
              <w:t>aspects of this area are addressed through a dedicated programme, as well as through the Reform Agenda.</w:t>
            </w:r>
          </w:p>
        </w:tc>
      </w:tr>
      <w:tr w:rsidR="00D30238" w:rsidRPr="001053DB" w14:paraId="15D05676" w14:textId="77777777" w:rsidTr="007066D1">
        <w:tc>
          <w:tcPr>
            <w:tcW w:w="4061" w:type="dxa"/>
            <w:tcMar>
              <w:top w:w="113" w:type="dxa"/>
            </w:tcMar>
          </w:tcPr>
          <w:p w14:paraId="78129279" w14:textId="5FC0956D" w:rsidR="002D155B" w:rsidRPr="001C5E53" w:rsidRDefault="001C5E53" w:rsidP="0076183B">
            <w:pPr>
              <w:rPr>
                <w:rFonts w:ascii="Times New Roman" w:eastAsia="Times New Roman" w:hAnsi="Times New Roman"/>
                <w:sz w:val="24"/>
                <w:szCs w:val="24"/>
                <w:lang w:val="en-US"/>
              </w:rPr>
            </w:pPr>
            <w:r>
              <w:rPr>
                <w:rFonts w:ascii="Times New Roman" w:eastAsia="Times New Roman" w:hAnsi="Times New Roman"/>
                <w:sz w:val="24"/>
                <w:szCs w:val="24"/>
                <w:lang w:val="en-US"/>
              </w:rPr>
              <w:lastRenderedPageBreak/>
              <w:t>Specific objective</w:t>
            </w:r>
            <w:r w:rsidR="002D155B" w:rsidRPr="001053DB">
              <w:rPr>
                <w:rFonts w:ascii="Times New Roman" w:eastAsia="Times New Roman" w:hAnsi="Times New Roman"/>
                <w:sz w:val="24"/>
                <w:szCs w:val="24"/>
                <w:lang w:val="sr-Cyrl-CS"/>
              </w:rPr>
              <w:t xml:space="preserve"> III: </w:t>
            </w:r>
            <w:r>
              <w:rPr>
                <w:rFonts w:ascii="Times New Roman" w:eastAsia="Times New Roman" w:hAnsi="Times New Roman"/>
                <w:sz w:val="24"/>
                <w:szCs w:val="24"/>
                <w:lang w:val="en-US"/>
              </w:rPr>
              <w:t>Improving budget discipline and more transparent use of public funds</w:t>
            </w:r>
          </w:p>
        </w:tc>
        <w:tc>
          <w:tcPr>
            <w:tcW w:w="9797" w:type="dxa"/>
            <w:tcMar>
              <w:top w:w="113" w:type="dxa"/>
            </w:tcMar>
          </w:tcPr>
          <w:p w14:paraId="6E940D78" w14:textId="54E50147" w:rsidR="00DE0BC9" w:rsidRPr="00DE0BC9" w:rsidRDefault="00DE0BC9">
            <w:pPr>
              <w:pStyle w:val="ListParagraph"/>
              <w:numPr>
                <w:ilvl w:val="0"/>
                <w:numId w:val="7"/>
              </w:numPr>
              <w:jc w:val="both"/>
              <w:rPr>
                <w:rFonts w:ascii="Times New Roman" w:eastAsia="Times New Roman" w:hAnsi="Times New Roman"/>
                <w:sz w:val="24"/>
                <w:szCs w:val="24"/>
                <w:lang w:val="en-US"/>
              </w:rPr>
            </w:pPr>
            <w:r w:rsidRPr="00DE0BC9">
              <w:rPr>
                <w:rFonts w:ascii="Times New Roman" w:eastAsia="Times New Roman" w:hAnsi="Times New Roman"/>
                <w:sz w:val="24"/>
                <w:szCs w:val="24"/>
                <w:lang w:val="en-US"/>
              </w:rPr>
              <w:t xml:space="preserve">Although significant progress has been achieved in recent years in establishing budgetary discipline and enhancing the transparency of public expenditure, a need has been identified to strengthen information-sharing mechanisms among institutions with oversight and control functions. </w:t>
            </w:r>
          </w:p>
          <w:p w14:paraId="40D5A1FD" w14:textId="706ED3D0" w:rsidR="00DE0BC9" w:rsidRPr="00DE0BC9" w:rsidRDefault="00DE0BC9">
            <w:pPr>
              <w:pStyle w:val="ListParagraph"/>
              <w:numPr>
                <w:ilvl w:val="0"/>
                <w:numId w:val="7"/>
              </w:numPr>
              <w:jc w:val="both"/>
              <w:rPr>
                <w:rFonts w:ascii="Times New Roman" w:eastAsia="Times New Roman" w:hAnsi="Times New Roman"/>
                <w:sz w:val="24"/>
                <w:szCs w:val="24"/>
                <w:lang w:val="en-US"/>
              </w:rPr>
            </w:pPr>
            <w:r w:rsidRPr="00DE0BC9">
              <w:rPr>
                <w:rFonts w:ascii="Times New Roman" w:eastAsia="Times New Roman" w:hAnsi="Times New Roman"/>
                <w:sz w:val="24"/>
                <w:szCs w:val="24"/>
                <w:lang w:val="en-US"/>
              </w:rPr>
              <w:t xml:space="preserve">Coordination among institutions responsible for control, audit, and the protection of financial interests, particularly in relation to European Union funds, requires further strengthening in order to ensure a coherent and effective oversight framework. </w:t>
            </w:r>
          </w:p>
          <w:p w14:paraId="5EB4483E" w14:textId="66C0B64A" w:rsidR="00DE0BC9" w:rsidRPr="00DE0BC9" w:rsidRDefault="00DE0BC9">
            <w:pPr>
              <w:pStyle w:val="ListParagraph"/>
              <w:numPr>
                <w:ilvl w:val="0"/>
                <w:numId w:val="7"/>
              </w:numPr>
              <w:jc w:val="both"/>
              <w:rPr>
                <w:rFonts w:ascii="Times New Roman" w:eastAsia="Times New Roman" w:hAnsi="Times New Roman"/>
                <w:sz w:val="24"/>
                <w:szCs w:val="24"/>
                <w:lang w:val="en-US"/>
              </w:rPr>
            </w:pPr>
            <w:r w:rsidRPr="00DE0BC9">
              <w:rPr>
                <w:rFonts w:ascii="Times New Roman" w:eastAsia="Times New Roman" w:hAnsi="Times New Roman"/>
                <w:sz w:val="24"/>
                <w:szCs w:val="24"/>
                <w:lang w:val="en-US"/>
              </w:rPr>
              <w:t xml:space="preserve">The scope and methodological coverage of audit activities related to the management of EU funds have not yet been fully adapted to the development of new EU instruments and requirements. New financing mechanisms, such as the Reform and Growth Facility and the expanded scope of IPARD III, require updated audit methodologies, strengthened analytical capacities, implementation of training programmes and recommendations, and an adequate level of human resources. These activities are also directly linked to obligations under Negotiating Chapter 32 – Financial Control. </w:t>
            </w:r>
          </w:p>
          <w:p w14:paraId="45444A7D" w14:textId="0A1E2C19" w:rsidR="00DE0BC9" w:rsidRPr="00DE0BC9" w:rsidRDefault="00DE0BC9">
            <w:pPr>
              <w:pStyle w:val="ListParagraph"/>
              <w:numPr>
                <w:ilvl w:val="0"/>
                <w:numId w:val="7"/>
              </w:numPr>
              <w:jc w:val="both"/>
              <w:rPr>
                <w:rFonts w:ascii="Times New Roman" w:eastAsia="Times New Roman" w:hAnsi="Times New Roman"/>
                <w:sz w:val="24"/>
                <w:szCs w:val="24"/>
                <w:lang w:val="en-US"/>
              </w:rPr>
            </w:pPr>
            <w:r w:rsidRPr="00DE0BC9">
              <w:rPr>
                <w:rFonts w:ascii="Times New Roman" w:eastAsia="Times New Roman" w:hAnsi="Times New Roman"/>
                <w:sz w:val="24"/>
                <w:szCs w:val="24"/>
                <w:lang w:val="en-US"/>
              </w:rPr>
              <w:t xml:space="preserve">Institutional capacities for the prevention, detection, and correction of irregularities and fraud affecting EU funds remain uneven. Although the necessary systems and procedures have been established, administrative capacities, professional skills, and coordination mechanisms within the AFCOS network and other relevant institutions require further strengthening, particularly in light of the introduction of new EU financial instruments. </w:t>
            </w:r>
          </w:p>
          <w:p w14:paraId="67EA80B0" w14:textId="5F99DCB2" w:rsidR="00DE0BC9" w:rsidRPr="00DE0BC9" w:rsidRDefault="00DE0BC9">
            <w:pPr>
              <w:pStyle w:val="ListParagraph"/>
              <w:numPr>
                <w:ilvl w:val="0"/>
                <w:numId w:val="7"/>
              </w:numPr>
              <w:jc w:val="both"/>
              <w:rPr>
                <w:rFonts w:ascii="Times New Roman" w:eastAsia="Times New Roman" w:hAnsi="Times New Roman"/>
                <w:sz w:val="24"/>
                <w:szCs w:val="24"/>
                <w:lang w:val="en-US"/>
              </w:rPr>
            </w:pPr>
            <w:r w:rsidRPr="00DE0BC9">
              <w:rPr>
                <w:rFonts w:ascii="Times New Roman" w:eastAsia="Times New Roman" w:hAnsi="Times New Roman"/>
                <w:sz w:val="24"/>
                <w:szCs w:val="24"/>
                <w:lang w:val="en-US"/>
              </w:rPr>
              <w:t xml:space="preserve">In addition to the successful implementation of inspection mechanisms and established inspection practices to date, the Budget Inspection function continues to face challenges related to the disparity between available human resources and the breadth of its mandate. To further improve the effectiveness of oversight, there is a </w:t>
            </w:r>
            <w:proofErr w:type="spellStart"/>
            <w:r w:rsidRPr="00DE0BC9">
              <w:rPr>
                <w:rFonts w:ascii="Times New Roman" w:eastAsia="Times New Roman" w:hAnsi="Times New Roman"/>
                <w:sz w:val="24"/>
                <w:szCs w:val="24"/>
                <w:lang w:val="en-US"/>
              </w:rPr>
              <w:t>recognised</w:t>
            </w:r>
            <w:proofErr w:type="spellEnd"/>
            <w:r w:rsidRPr="00DE0BC9">
              <w:rPr>
                <w:rFonts w:ascii="Times New Roman" w:eastAsia="Times New Roman" w:hAnsi="Times New Roman"/>
                <w:sz w:val="24"/>
                <w:szCs w:val="24"/>
                <w:lang w:val="en-US"/>
              </w:rPr>
              <w:t xml:space="preserve"> need to better align the number of highly </w:t>
            </w:r>
            <w:proofErr w:type="spellStart"/>
            <w:r w:rsidRPr="00DE0BC9">
              <w:rPr>
                <w:rFonts w:ascii="Times New Roman" w:eastAsia="Times New Roman" w:hAnsi="Times New Roman"/>
                <w:sz w:val="24"/>
                <w:szCs w:val="24"/>
                <w:lang w:val="en-US"/>
              </w:rPr>
              <w:t>specialised</w:t>
            </w:r>
            <w:proofErr w:type="spellEnd"/>
            <w:r w:rsidRPr="00DE0BC9">
              <w:rPr>
                <w:rFonts w:ascii="Times New Roman" w:eastAsia="Times New Roman" w:hAnsi="Times New Roman"/>
                <w:sz w:val="24"/>
                <w:szCs w:val="24"/>
                <w:lang w:val="en-US"/>
              </w:rPr>
              <w:t xml:space="preserve"> inspectors with the number of entities subject to inspection, taking into account the volume and diversity of inspection cases. </w:t>
            </w:r>
          </w:p>
          <w:p w14:paraId="1B33304A" w14:textId="1E9C04DD" w:rsidR="002D155B" w:rsidRPr="00DE0BC9" w:rsidRDefault="00DE0BC9">
            <w:pPr>
              <w:pStyle w:val="ListParagraph"/>
              <w:numPr>
                <w:ilvl w:val="0"/>
                <w:numId w:val="7"/>
              </w:numPr>
              <w:jc w:val="both"/>
              <w:rPr>
                <w:rFonts w:ascii="Times New Roman" w:eastAsia="Times New Roman" w:hAnsi="Times New Roman"/>
                <w:sz w:val="24"/>
                <w:szCs w:val="24"/>
                <w:lang w:val="sr-Cyrl-CS"/>
              </w:rPr>
            </w:pPr>
            <w:r w:rsidRPr="00DE0BC9">
              <w:rPr>
                <w:rFonts w:ascii="Times New Roman" w:eastAsia="Times New Roman" w:hAnsi="Times New Roman"/>
                <w:sz w:val="24"/>
                <w:szCs w:val="24"/>
                <w:lang w:val="en-US"/>
              </w:rPr>
              <w:t>Transparency in the use of public and EU funds can be further enhanced through improved reporting, greater standardisation of procedures, and more consistent implementation across institutions.</w:t>
            </w:r>
          </w:p>
        </w:tc>
      </w:tr>
      <w:tr w:rsidR="00D30238" w:rsidRPr="001053DB" w14:paraId="4D47EFF3" w14:textId="77777777" w:rsidTr="007066D1">
        <w:tc>
          <w:tcPr>
            <w:tcW w:w="4061" w:type="dxa"/>
            <w:tcMar>
              <w:top w:w="113" w:type="dxa"/>
            </w:tcMar>
          </w:tcPr>
          <w:p w14:paraId="74919C98" w14:textId="71A8D5F9" w:rsidR="002D155B" w:rsidRPr="001C5E53" w:rsidRDefault="001C5E53" w:rsidP="0076183B">
            <w:pPr>
              <w:rPr>
                <w:rFonts w:ascii="Times New Roman" w:eastAsia="Times New Roman" w:hAnsi="Times New Roman"/>
                <w:sz w:val="24"/>
                <w:szCs w:val="24"/>
                <w:lang w:val="en-US"/>
              </w:rPr>
            </w:pPr>
            <w:r>
              <w:rPr>
                <w:rFonts w:ascii="Times New Roman" w:eastAsia="Times New Roman" w:hAnsi="Times New Roman"/>
                <w:sz w:val="24"/>
                <w:szCs w:val="24"/>
                <w:lang w:val="en-US"/>
              </w:rPr>
              <w:lastRenderedPageBreak/>
              <w:t>Specific objective</w:t>
            </w:r>
            <w:r w:rsidR="002D155B" w:rsidRPr="001053DB">
              <w:rPr>
                <w:rFonts w:ascii="Times New Roman" w:eastAsia="Times New Roman" w:hAnsi="Times New Roman"/>
                <w:sz w:val="24"/>
                <w:szCs w:val="24"/>
                <w:lang w:val="sr-Cyrl-CS"/>
              </w:rPr>
              <w:t xml:space="preserve"> IV: </w:t>
            </w:r>
            <w:r>
              <w:rPr>
                <w:rFonts w:ascii="Times New Roman" w:eastAsia="Times New Roman" w:hAnsi="Times New Roman"/>
                <w:sz w:val="24"/>
                <w:szCs w:val="24"/>
                <w:lang w:val="en-US"/>
              </w:rPr>
              <w:t>Improvement of the application of public financial control system in public sector</w:t>
            </w:r>
          </w:p>
        </w:tc>
        <w:tc>
          <w:tcPr>
            <w:tcW w:w="9797" w:type="dxa"/>
            <w:tcMar>
              <w:top w:w="113" w:type="dxa"/>
            </w:tcMar>
          </w:tcPr>
          <w:p w14:paraId="07FFE55F" w14:textId="555061F7" w:rsidR="00CC42FC" w:rsidRPr="00CC42FC" w:rsidRDefault="00CC42FC">
            <w:pPr>
              <w:pStyle w:val="ListParagraph"/>
              <w:numPr>
                <w:ilvl w:val="0"/>
                <w:numId w:val="8"/>
              </w:numPr>
              <w:jc w:val="both"/>
              <w:rPr>
                <w:rFonts w:ascii="Times New Roman" w:eastAsia="Times New Roman" w:hAnsi="Times New Roman"/>
                <w:sz w:val="24"/>
                <w:szCs w:val="24"/>
                <w:lang w:val="en-US"/>
              </w:rPr>
            </w:pPr>
            <w:r w:rsidRPr="00CC42FC">
              <w:rPr>
                <w:rFonts w:ascii="Times New Roman" w:eastAsia="Times New Roman" w:hAnsi="Times New Roman"/>
                <w:sz w:val="24"/>
                <w:szCs w:val="24"/>
                <w:lang w:val="en-US"/>
              </w:rPr>
              <w:t xml:space="preserve">The regulatory framework for financial management and control (FMC) has been established; however, the level of maturity in its practical implementation varies significantly among public sector entities. Internal control is often perceived as a formal compliance requirement rather than as an integral component of management and decision-making processes. </w:t>
            </w:r>
          </w:p>
          <w:p w14:paraId="7F0F1F69" w14:textId="0146D925" w:rsidR="00CC42FC" w:rsidRPr="00CC42FC" w:rsidRDefault="00CC42FC">
            <w:pPr>
              <w:pStyle w:val="ListParagraph"/>
              <w:numPr>
                <w:ilvl w:val="0"/>
                <w:numId w:val="8"/>
              </w:numPr>
              <w:jc w:val="both"/>
              <w:rPr>
                <w:rFonts w:ascii="Times New Roman" w:eastAsia="Times New Roman" w:hAnsi="Times New Roman"/>
                <w:sz w:val="24"/>
                <w:szCs w:val="24"/>
                <w:lang w:val="en-US"/>
              </w:rPr>
            </w:pPr>
            <w:r w:rsidRPr="00CC42FC">
              <w:rPr>
                <w:rFonts w:ascii="Times New Roman" w:eastAsia="Times New Roman" w:hAnsi="Times New Roman"/>
                <w:sz w:val="24"/>
                <w:szCs w:val="24"/>
                <w:lang w:val="en-US"/>
              </w:rPr>
              <w:t xml:space="preserve">Risk management practices are unevenly developed and insufficiently integrated into day-to-day operations. Although an increasing number of institutions have established risk registers, the quality, relevance, and regular use of risk information for planning, control, and management purposes remain limited. </w:t>
            </w:r>
          </w:p>
          <w:p w14:paraId="0234FE4D" w14:textId="43847D45" w:rsidR="00CC42FC" w:rsidRPr="00CC42FC" w:rsidRDefault="00CC42FC">
            <w:pPr>
              <w:pStyle w:val="ListParagraph"/>
              <w:numPr>
                <w:ilvl w:val="0"/>
                <w:numId w:val="8"/>
              </w:numPr>
              <w:jc w:val="both"/>
              <w:rPr>
                <w:rFonts w:ascii="Times New Roman" w:eastAsia="Times New Roman" w:hAnsi="Times New Roman"/>
                <w:sz w:val="24"/>
                <w:szCs w:val="24"/>
                <w:lang w:val="en-US"/>
              </w:rPr>
            </w:pPr>
            <w:r w:rsidRPr="00CC42FC">
              <w:rPr>
                <w:rFonts w:ascii="Times New Roman" w:eastAsia="Times New Roman" w:hAnsi="Times New Roman"/>
                <w:sz w:val="24"/>
                <w:szCs w:val="24"/>
                <w:lang w:val="en-US"/>
              </w:rPr>
              <w:t xml:space="preserve">The internal audit function in the public sector continues to face challenges related to capacity and quality. Not all institutions required to establish internal audit functions have done so, while the professional capacity of existing internal audit units remains uneven. There is a need for additional methodological guidance, standardisation of planning and reporting practices, and stronger alignment with international standards to enable internal audit to contribute effectively to managerial accountability. </w:t>
            </w:r>
          </w:p>
          <w:p w14:paraId="460C8CE4" w14:textId="2174939C" w:rsidR="00CC42FC" w:rsidRPr="00CC42FC" w:rsidRDefault="00CC42FC">
            <w:pPr>
              <w:pStyle w:val="ListParagraph"/>
              <w:numPr>
                <w:ilvl w:val="0"/>
                <w:numId w:val="8"/>
              </w:numPr>
              <w:jc w:val="both"/>
              <w:rPr>
                <w:rFonts w:ascii="Times New Roman" w:eastAsia="Times New Roman" w:hAnsi="Times New Roman"/>
                <w:sz w:val="24"/>
                <w:szCs w:val="24"/>
                <w:lang w:val="en-US"/>
              </w:rPr>
            </w:pPr>
            <w:r w:rsidRPr="00CC42FC">
              <w:rPr>
                <w:rFonts w:ascii="Times New Roman" w:eastAsia="Times New Roman" w:hAnsi="Times New Roman"/>
                <w:sz w:val="24"/>
                <w:szCs w:val="24"/>
                <w:lang w:val="en-US"/>
              </w:rPr>
              <w:t xml:space="preserve">Professional capacities within line institutions and the Central </w:t>
            </w:r>
            <w:proofErr w:type="spellStart"/>
            <w:r w:rsidRPr="00CC42FC">
              <w:rPr>
                <w:rFonts w:ascii="Times New Roman" w:eastAsia="Times New Roman" w:hAnsi="Times New Roman"/>
                <w:sz w:val="24"/>
                <w:szCs w:val="24"/>
                <w:lang w:val="en-US"/>
              </w:rPr>
              <w:t>Harmonisation</w:t>
            </w:r>
            <w:proofErr w:type="spellEnd"/>
            <w:r w:rsidRPr="00CC42FC">
              <w:rPr>
                <w:rFonts w:ascii="Times New Roman" w:eastAsia="Times New Roman" w:hAnsi="Times New Roman"/>
                <w:sz w:val="24"/>
                <w:szCs w:val="24"/>
                <w:lang w:val="en-US"/>
              </w:rPr>
              <w:t xml:space="preserve"> Unit (CHU) require further strengthening through continuous training, mentoring, and methodological and regulatory support. </w:t>
            </w:r>
            <w:proofErr w:type="spellStart"/>
            <w:r w:rsidRPr="00CC42FC">
              <w:rPr>
                <w:rFonts w:ascii="Times New Roman" w:eastAsia="Times New Roman" w:hAnsi="Times New Roman"/>
                <w:sz w:val="24"/>
                <w:szCs w:val="24"/>
                <w:lang w:val="en-US"/>
              </w:rPr>
              <w:t>Harmonisation</w:t>
            </w:r>
            <w:proofErr w:type="spellEnd"/>
            <w:r w:rsidRPr="00CC42FC">
              <w:rPr>
                <w:rFonts w:ascii="Times New Roman" w:eastAsia="Times New Roman" w:hAnsi="Times New Roman"/>
                <w:sz w:val="24"/>
                <w:szCs w:val="24"/>
                <w:lang w:val="en-US"/>
              </w:rPr>
              <w:t xml:space="preserve"> efforts are primarily linked to the fulfilment of obligations under Negotiating Chapter 32 – Financial Control. </w:t>
            </w:r>
          </w:p>
          <w:p w14:paraId="6A85D427" w14:textId="3E1C5057" w:rsidR="00CC42FC" w:rsidRPr="00CC42FC" w:rsidRDefault="00CC42FC">
            <w:pPr>
              <w:pStyle w:val="ListParagraph"/>
              <w:numPr>
                <w:ilvl w:val="0"/>
                <w:numId w:val="8"/>
              </w:numPr>
              <w:jc w:val="both"/>
              <w:rPr>
                <w:rFonts w:ascii="Times New Roman" w:eastAsia="Times New Roman" w:hAnsi="Times New Roman"/>
                <w:sz w:val="24"/>
                <w:szCs w:val="24"/>
                <w:lang w:val="en-US"/>
              </w:rPr>
            </w:pPr>
            <w:r w:rsidRPr="00CC42FC">
              <w:rPr>
                <w:rFonts w:ascii="Times New Roman" w:eastAsia="Times New Roman" w:hAnsi="Times New Roman"/>
                <w:sz w:val="24"/>
                <w:szCs w:val="24"/>
                <w:lang w:val="en-US"/>
              </w:rPr>
              <w:t xml:space="preserve">Existing IT solutions provide significant support for the implementation, monitoring, and reporting of internal financial control and internal audit activities. Nevertheless, there remains scope for further enhancement to improve efficiency and expand the scope and quality of available data. </w:t>
            </w:r>
          </w:p>
          <w:p w14:paraId="2B28DE65" w14:textId="18C00D75" w:rsidR="00CC42FC" w:rsidRPr="00CC42FC" w:rsidRDefault="00CC42FC">
            <w:pPr>
              <w:pStyle w:val="ListParagraph"/>
              <w:numPr>
                <w:ilvl w:val="0"/>
                <w:numId w:val="8"/>
              </w:numPr>
              <w:jc w:val="both"/>
              <w:rPr>
                <w:rFonts w:ascii="Times New Roman" w:eastAsia="Times New Roman" w:hAnsi="Times New Roman"/>
                <w:sz w:val="24"/>
                <w:szCs w:val="24"/>
                <w:lang w:val="en-US"/>
              </w:rPr>
            </w:pPr>
            <w:r w:rsidRPr="00CC42FC">
              <w:rPr>
                <w:rFonts w:ascii="Times New Roman" w:eastAsia="Times New Roman" w:hAnsi="Times New Roman"/>
                <w:sz w:val="24"/>
                <w:szCs w:val="24"/>
                <w:lang w:val="en-US"/>
              </w:rPr>
              <w:t xml:space="preserve">Certain progress was achieved during the previous programming period with regard to the application of risk assessment principles; however, there is still considerable room for improvement. Risk management is a continuous process, yet in some cases it is still perceived as a one-off exercise, without appropriate updates or adjustments and without the necessary responses to internal and external changes. Through annual reporting and assessments of the quality of FMC systems, it has been observed that risk registers are not sufficiently used in practice as a management tool in the day-to-day operations of </w:t>
            </w:r>
            <w:proofErr w:type="spellStart"/>
            <w:r w:rsidRPr="00CC42FC">
              <w:rPr>
                <w:rFonts w:ascii="Times New Roman" w:eastAsia="Times New Roman" w:hAnsi="Times New Roman"/>
                <w:sz w:val="24"/>
                <w:szCs w:val="24"/>
                <w:lang w:val="en-US"/>
              </w:rPr>
              <w:t>organisations</w:t>
            </w:r>
            <w:proofErr w:type="spellEnd"/>
            <w:r w:rsidRPr="00CC42FC">
              <w:rPr>
                <w:rFonts w:ascii="Times New Roman" w:eastAsia="Times New Roman" w:hAnsi="Times New Roman"/>
                <w:sz w:val="24"/>
                <w:szCs w:val="24"/>
                <w:lang w:val="en-US"/>
              </w:rPr>
              <w:t xml:space="preserve">. Public sector entities have largely not defined risk mitigation measures, and </w:t>
            </w:r>
            <w:r w:rsidRPr="00CC42FC">
              <w:rPr>
                <w:rFonts w:ascii="Times New Roman" w:eastAsia="Times New Roman" w:hAnsi="Times New Roman"/>
                <w:sz w:val="24"/>
                <w:szCs w:val="24"/>
                <w:lang w:val="en-US"/>
              </w:rPr>
              <w:lastRenderedPageBreak/>
              <w:t xml:space="preserve">where such measures have been established, they are often neither implemented nor updated on a regular basis. </w:t>
            </w:r>
          </w:p>
          <w:p w14:paraId="59E896B1" w14:textId="0FE2A24D" w:rsidR="00CC42FC" w:rsidRPr="00CC42FC" w:rsidRDefault="00CC42FC">
            <w:pPr>
              <w:pStyle w:val="ListParagraph"/>
              <w:numPr>
                <w:ilvl w:val="0"/>
                <w:numId w:val="8"/>
              </w:numPr>
              <w:jc w:val="both"/>
              <w:rPr>
                <w:rFonts w:ascii="Times New Roman" w:eastAsia="Times New Roman" w:hAnsi="Times New Roman"/>
                <w:sz w:val="24"/>
                <w:szCs w:val="24"/>
                <w:lang w:val="en-US"/>
              </w:rPr>
            </w:pPr>
            <w:r w:rsidRPr="00CC42FC">
              <w:rPr>
                <w:rFonts w:ascii="Times New Roman" w:eastAsia="Times New Roman" w:hAnsi="Times New Roman"/>
                <w:sz w:val="24"/>
                <w:szCs w:val="24"/>
                <w:lang w:val="en-US"/>
              </w:rPr>
              <w:t xml:space="preserve">With regard to irregularity management, the assessment indicates that adequate mechanisms have not yet been established for the reporting, </w:t>
            </w:r>
            <w:proofErr w:type="spellStart"/>
            <w:r w:rsidRPr="00CC42FC">
              <w:rPr>
                <w:rFonts w:ascii="Times New Roman" w:eastAsia="Times New Roman" w:hAnsi="Times New Roman"/>
                <w:sz w:val="24"/>
                <w:szCs w:val="24"/>
                <w:lang w:val="en-US"/>
              </w:rPr>
              <w:t>centralised</w:t>
            </w:r>
            <w:proofErr w:type="spellEnd"/>
            <w:r w:rsidRPr="00CC42FC">
              <w:rPr>
                <w:rFonts w:ascii="Times New Roman" w:eastAsia="Times New Roman" w:hAnsi="Times New Roman"/>
                <w:sz w:val="24"/>
                <w:szCs w:val="24"/>
                <w:lang w:val="en-US"/>
              </w:rPr>
              <w:t xml:space="preserve"> recording, and decision-making related to suspected corruption, fraud, errors in financial reporting, procurement-related irregularities, improper handling of equipment, misrepresentation and provision of inaccurate information, and other forms of irregularities. </w:t>
            </w:r>
          </w:p>
          <w:p w14:paraId="415DF9E0" w14:textId="47D81AD7" w:rsidR="00BB2D03" w:rsidRPr="00CC42FC" w:rsidRDefault="00CC42FC">
            <w:pPr>
              <w:pStyle w:val="ListParagraph"/>
              <w:numPr>
                <w:ilvl w:val="0"/>
                <w:numId w:val="8"/>
              </w:numPr>
              <w:jc w:val="both"/>
              <w:rPr>
                <w:rFonts w:ascii="Times New Roman" w:eastAsia="Times New Roman" w:hAnsi="Times New Roman"/>
                <w:sz w:val="24"/>
                <w:szCs w:val="24"/>
                <w:lang w:val="sr-Cyrl-CS"/>
              </w:rPr>
            </w:pPr>
            <w:r w:rsidRPr="00CC42FC">
              <w:rPr>
                <w:rFonts w:ascii="Times New Roman" w:eastAsia="Times New Roman" w:hAnsi="Times New Roman"/>
                <w:sz w:val="24"/>
                <w:szCs w:val="24"/>
                <w:lang w:val="en-US"/>
              </w:rPr>
              <w:t xml:space="preserve">To strengthen these areas, the focus of future efforts, as reflected in the PFMRP Action Plan 2026–2028, will be on introducing comprehensive irregularity management systems within public sector </w:t>
            </w:r>
            <w:proofErr w:type="spellStart"/>
            <w:r w:rsidRPr="00CC42FC">
              <w:rPr>
                <w:rFonts w:ascii="Times New Roman" w:eastAsia="Times New Roman" w:hAnsi="Times New Roman"/>
                <w:sz w:val="24"/>
                <w:szCs w:val="24"/>
                <w:lang w:val="en-US"/>
              </w:rPr>
              <w:t>organisations</w:t>
            </w:r>
            <w:proofErr w:type="spellEnd"/>
            <w:r w:rsidRPr="00CC42FC">
              <w:rPr>
                <w:rFonts w:ascii="Times New Roman" w:eastAsia="Times New Roman" w:hAnsi="Times New Roman"/>
                <w:sz w:val="24"/>
                <w:szCs w:val="24"/>
                <w:lang w:val="en-US"/>
              </w:rPr>
              <w:t xml:space="preserve"> and enhancing the application of risk management through targeted support to public sector entities. In addition, it is important to continue promoting financial management and control (FMC) as a tool for sound governance and management, with the objective of improving understanding among managers and staff of the benefits derived from a well-established system of internal controls.</w:t>
            </w:r>
          </w:p>
        </w:tc>
      </w:tr>
      <w:tr w:rsidR="00D30238" w:rsidRPr="001053DB" w14:paraId="5D892816" w14:textId="77777777" w:rsidTr="007066D1">
        <w:tc>
          <w:tcPr>
            <w:tcW w:w="4061" w:type="dxa"/>
            <w:tcMar>
              <w:top w:w="113" w:type="dxa"/>
            </w:tcMar>
          </w:tcPr>
          <w:p w14:paraId="5BCD147E" w14:textId="0E81418E" w:rsidR="002D155B" w:rsidRPr="001053DB" w:rsidRDefault="001C5E53" w:rsidP="0076183B">
            <w:pPr>
              <w:rPr>
                <w:rFonts w:ascii="Times New Roman" w:eastAsia="Times New Roman" w:hAnsi="Times New Roman"/>
                <w:sz w:val="24"/>
                <w:szCs w:val="24"/>
                <w:lang w:val="sr-Cyrl-CS"/>
              </w:rPr>
            </w:pPr>
            <w:r>
              <w:rPr>
                <w:rFonts w:ascii="Times New Roman" w:eastAsia="Times New Roman" w:hAnsi="Times New Roman"/>
                <w:sz w:val="24"/>
                <w:szCs w:val="24"/>
                <w:lang w:val="en-US"/>
              </w:rPr>
              <w:lastRenderedPageBreak/>
              <w:t>Specific objective</w:t>
            </w:r>
            <w:r w:rsidR="002D155B" w:rsidRPr="001053DB">
              <w:rPr>
                <w:rFonts w:ascii="Times New Roman" w:eastAsia="Times New Roman" w:hAnsi="Times New Roman"/>
                <w:sz w:val="24"/>
                <w:szCs w:val="24"/>
                <w:lang w:val="sr-Cyrl-CS"/>
              </w:rPr>
              <w:t xml:space="preserve"> V: </w:t>
            </w:r>
            <w:r>
              <w:rPr>
                <w:rFonts w:ascii="Times New Roman" w:eastAsia="Times New Roman" w:hAnsi="Times New Roman"/>
                <w:sz w:val="24"/>
                <w:szCs w:val="24"/>
                <w:lang w:val="en-US"/>
              </w:rPr>
              <w:t>Improved accounting in the public sector through application of International public sector accounting standards</w:t>
            </w:r>
            <w:r w:rsidR="002D155B" w:rsidRPr="001053DB">
              <w:rPr>
                <w:rFonts w:ascii="Times New Roman" w:eastAsia="Times New Roman" w:hAnsi="Times New Roman"/>
                <w:sz w:val="24"/>
                <w:szCs w:val="24"/>
                <w:lang w:val="sr-Cyrl-CS"/>
              </w:rPr>
              <w:t>(IPSAS)</w:t>
            </w:r>
          </w:p>
        </w:tc>
        <w:tc>
          <w:tcPr>
            <w:tcW w:w="9797" w:type="dxa"/>
            <w:tcMar>
              <w:top w:w="113" w:type="dxa"/>
            </w:tcMar>
          </w:tcPr>
          <w:p w14:paraId="0CB91B8D" w14:textId="44C8E0BB" w:rsidR="00CC42FC" w:rsidRPr="00CC42FC" w:rsidRDefault="00CC42FC">
            <w:pPr>
              <w:pStyle w:val="ListParagraph"/>
              <w:numPr>
                <w:ilvl w:val="0"/>
                <w:numId w:val="9"/>
              </w:numPr>
              <w:jc w:val="both"/>
              <w:rPr>
                <w:rFonts w:ascii="Times New Roman" w:eastAsia="Times New Roman" w:hAnsi="Times New Roman"/>
                <w:sz w:val="24"/>
                <w:szCs w:val="24"/>
                <w:lang w:val="en-US"/>
              </w:rPr>
            </w:pPr>
            <w:r w:rsidRPr="00CC42FC">
              <w:rPr>
                <w:rFonts w:ascii="Times New Roman" w:eastAsia="Times New Roman" w:hAnsi="Times New Roman"/>
                <w:sz w:val="24"/>
                <w:szCs w:val="24"/>
                <w:lang w:val="en-US"/>
              </w:rPr>
              <w:t xml:space="preserve">The professional capacities of staff vary considerably across institutions, while knowledge and understanding of IPSAS requirements remain limited in certain parts of the system. This presents a challenge to the consistent application of accounting standards and to the overall quality of financial reporting. </w:t>
            </w:r>
          </w:p>
          <w:p w14:paraId="15AE5F42" w14:textId="69624B9C" w:rsidR="002D155B" w:rsidRPr="00CC42FC" w:rsidRDefault="00CC42FC">
            <w:pPr>
              <w:pStyle w:val="ListParagraph"/>
              <w:numPr>
                <w:ilvl w:val="0"/>
                <w:numId w:val="9"/>
              </w:numPr>
              <w:jc w:val="both"/>
              <w:rPr>
                <w:rFonts w:ascii="Times New Roman" w:eastAsia="Times New Roman" w:hAnsi="Times New Roman"/>
                <w:sz w:val="24"/>
                <w:szCs w:val="24"/>
                <w:lang w:val="sr-Cyrl-CS"/>
              </w:rPr>
            </w:pPr>
            <w:r w:rsidRPr="00CC42FC">
              <w:rPr>
                <w:rFonts w:ascii="Times New Roman" w:eastAsia="Times New Roman" w:hAnsi="Times New Roman"/>
                <w:sz w:val="24"/>
                <w:szCs w:val="24"/>
                <w:lang w:val="en-US"/>
              </w:rPr>
              <w:t>IT systems require further adaptation to support the more efficient and effective implementation of new public sector accounting standards.</w:t>
            </w:r>
          </w:p>
        </w:tc>
      </w:tr>
      <w:tr w:rsidR="00D30238" w:rsidRPr="001053DB" w14:paraId="6605C9E3" w14:textId="77777777" w:rsidTr="007066D1">
        <w:trPr>
          <w:trHeight w:val="3251"/>
        </w:trPr>
        <w:tc>
          <w:tcPr>
            <w:tcW w:w="4061" w:type="dxa"/>
            <w:tcMar>
              <w:top w:w="113" w:type="dxa"/>
            </w:tcMar>
          </w:tcPr>
          <w:p w14:paraId="71D3CE46" w14:textId="079C94ED" w:rsidR="002D155B" w:rsidRPr="001C5E53" w:rsidRDefault="001C5E53" w:rsidP="0076183B">
            <w:pPr>
              <w:rPr>
                <w:rFonts w:ascii="Times New Roman" w:eastAsia="Times New Roman" w:hAnsi="Times New Roman"/>
                <w:sz w:val="24"/>
                <w:szCs w:val="24"/>
                <w:lang w:val="en-US"/>
              </w:rPr>
            </w:pPr>
            <w:r>
              <w:rPr>
                <w:rFonts w:ascii="Times New Roman" w:eastAsia="Times New Roman" w:hAnsi="Times New Roman"/>
                <w:sz w:val="24"/>
                <w:szCs w:val="24"/>
                <w:lang w:val="en-US"/>
              </w:rPr>
              <w:lastRenderedPageBreak/>
              <w:t>Specific objective</w:t>
            </w:r>
            <w:r w:rsidR="002D155B" w:rsidRPr="001053DB">
              <w:rPr>
                <w:rFonts w:ascii="Times New Roman" w:eastAsia="Times New Roman" w:hAnsi="Times New Roman"/>
                <w:sz w:val="24"/>
                <w:szCs w:val="24"/>
                <w:lang w:val="sr-Cyrl-CS"/>
              </w:rPr>
              <w:t xml:space="preserve"> VI: </w:t>
            </w:r>
            <w:r>
              <w:rPr>
                <w:rFonts w:ascii="Times New Roman" w:eastAsia="Times New Roman" w:hAnsi="Times New Roman"/>
                <w:sz w:val="24"/>
                <w:szCs w:val="24"/>
                <w:lang w:val="en-US"/>
              </w:rPr>
              <w:t>External oversight of public finances enhanced</w:t>
            </w:r>
          </w:p>
        </w:tc>
        <w:tc>
          <w:tcPr>
            <w:tcW w:w="9797" w:type="dxa"/>
            <w:tcMar>
              <w:top w:w="113" w:type="dxa"/>
            </w:tcMar>
          </w:tcPr>
          <w:p w14:paraId="3C7626F1" w14:textId="069BB840" w:rsidR="00CC42FC" w:rsidRPr="00CC42FC" w:rsidRDefault="00CC42FC">
            <w:pPr>
              <w:pStyle w:val="ListParagraph"/>
              <w:numPr>
                <w:ilvl w:val="0"/>
                <w:numId w:val="10"/>
              </w:numPr>
              <w:jc w:val="both"/>
              <w:rPr>
                <w:rFonts w:ascii="Times New Roman" w:eastAsia="Times New Roman" w:hAnsi="Times New Roman"/>
                <w:sz w:val="24"/>
                <w:szCs w:val="24"/>
                <w:lang w:val="en-US"/>
              </w:rPr>
            </w:pPr>
            <w:r w:rsidRPr="00CC42FC">
              <w:rPr>
                <w:rFonts w:ascii="Times New Roman" w:eastAsia="Times New Roman" w:hAnsi="Times New Roman"/>
                <w:sz w:val="24"/>
                <w:szCs w:val="24"/>
                <w:lang w:val="en-US"/>
              </w:rPr>
              <w:t xml:space="preserve">The implementation and timely follow-up of external audit recommendations by audited entities remain uneven, reducing the corrective and preventive impact of external audit and limiting its contribution to strengthening accountability and budgetary discipline. </w:t>
            </w:r>
          </w:p>
          <w:p w14:paraId="1BC0D221" w14:textId="1EF811B8" w:rsidR="00CC42FC" w:rsidRPr="00CC42FC" w:rsidRDefault="00CC42FC">
            <w:pPr>
              <w:pStyle w:val="ListParagraph"/>
              <w:numPr>
                <w:ilvl w:val="0"/>
                <w:numId w:val="10"/>
              </w:numPr>
              <w:jc w:val="both"/>
              <w:rPr>
                <w:rFonts w:ascii="Times New Roman" w:eastAsia="Times New Roman" w:hAnsi="Times New Roman"/>
                <w:sz w:val="24"/>
                <w:szCs w:val="24"/>
                <w:lang w:val="en-US"/>
              </w:rPr>
            </w:pPr>
            <w:r w:rsidRPr="00CC42FC">
              <w:rPr>
                <w:rFonts w:ascii="Times New Roman" w:eastAsia="Times New Roman" w:hAnsi="Times New Roman"/>
                <w:sz w:val="24"/>
                <w:szCs w:val="24"/>
                <w:lang w:val="en-US"/>
              </w:rPr>
              <w:t xml:space="preserve">The application of modern technologies and data analytics in external audit is still at an early stage of development. Limited integration of digital tools, automated audit techniques, and advanced data analytics affects the efficiency and effectiveness of audit processes. </w:t>
            </w:r>
          </w:p>
          <w:p w14:paraId="4F4A0904" w14:textId="2DCC889A" w:rsidR="00CC42FC" w:rsidRPr="00CC42FC" w:rsidRDefault="00CC42FC">
            <w:pPr>
              <w:pStyle w:val="ListParagraph"/>
              <w:numPr>
                <w:ilvl w:val="0"/>
                <w:numId w:val="10"/>
              </w:numPr>
              <w:jc w:val="both"/>
              <w:rPr>
                <w:rFonts w:ascii="Times New Roman" w:eastAsia="Times New Roman" w:hAnsi="Times New Roman"/>
                <w:sz w:val="24"/>
                <w:szCs w:val="24"/>
                <w:lang w:val="en-US"/>
              </w:rPr>
            </w:pPr>
            <w:r w:rsidRPr="00CC42FC">
              <w:rPr>
                <w:rFonts w:ascii="Times New Roman" w:eastAsia="Times New Roman" w:hAnsi="Times New Roman"/>
                <w:sz w:val="24"/>
                <w:szCs w:val="24"/>
                <w:lang w:val="en-US"/>
              </w:rPr>
              <w:t xml:space="preserve">Parliamentary oversight of public finances, although formally established, continues to face certain capacity and </w:t>
            </w:r>
            <w:proofErr w:type="spellStart"/>
            <w:r w:rsidRPr="00CC42FC">
              <w:rPr>
                <w:rFonts w:ascii="Times New Roman" w:eastAsia="Times New Roman" w:hAnsi="Times New Roman"/>
                <w:sz w:val="24"/>
                <w:szCs w:val="24"/>
                <w:lang w:val="en-US"/>
              </w:rPr>
              <w:t>organisational</w:t>
            </w:r>
            <w:proofErr w:type="spellEnd"/>
            <w:r w:rsidRPr="00CC42FC">
              <w:rPr>
                <w:rFonts w:ascii="Times New Roman" w:eastAsia="Times New Roman" w:hAnsi="Times New Roman"/>
                <w:sz w:val="24"/>
                <w:szCs w:val="24"/>
                <w:lang w:val="en-US"/>
              </w:rPr>
              <w:t xml:space="preserve"> challenges. The consideration of audit reports and the monitoring of the implementation of audit recommendations by the National Assembly are not yet fully systematic or timely, which diminishes the effectiveness of parliamentary scrutiny and weakens the accountability chain between external audit findings and executive follow-up actions. </w:t>
            </w:r>
          </w:p>
          <w:p w14:paraId="7A889D41" w14:textId="1AA13DBC" w:rsidR="002D155B" w:rsidRPr="00CC42FC" w:rsidRDefault="00CC42FC">
            <w:pPr>
              <w:pStyle w:val="ListParagraph"/>
              <w:numPr>
                <w:ilvl w:val="0"/>
                <w:numId w:val="10"/>
              </w:numPr>
              <w:jc w:val="both"/>
              <w:rPr>
                <w:rFonts w:ascii="Times New Roman" w:eastAsia="Times New Roman" w:hAnsi="Times New Roman"/>
                <w:sz w:val="24"/>
                <w:szCs w:val="24"/>
                <w:lang w:val="sr-Cyrl-CS"/>
              </w:rPr>
            </w:pPr>
            <w:r w:rsidRPr="00CC42FC">
              <w:rPr>
                <w:rFonts w:ascii="Times New Roman" w:eastAsia="Times New Roman" w:hAnsi="Times New Roman"/>
                <w:sz w:val="24"/>
                <w:szCs w:val="24"/>
                <w:lang w:val="en-US"/>
              </w:rPr>
              <w:t>Audit findings and recommendations are not always presented in a sufficiently clear and accessible manner to the public, which affects their visibility, public understanding, and overall impact.</w:t>
            </w:r>
          </w:p>
        </w:tc>
      </w:tr>
    </w:tbl>
    <w:p w14:paraId="60D508FD" w14:textId="31B497EA" w:rsidR="002B78BF" w:rsidRPr="00DE6E89" w:rsidRDefault="00DE6E89" w:rsidP="00DE6E89">
      <w:pPr>
        <w:tabs>
          <w:tab w:val="left" w:pos="4339"/>
        </w:tabs>
        <w:jc w:val="center"/>
        <w:rPr>
          <w:rFonts w:ascii="Times New Roman" w:eastAsia="Times New Roman" w:hAnsi="Times New Roman" w:cs="Times New Roman"/>
          <w:shd w:val="clear" w:color="auto" w:fill="FFFFFF"/>
          <w:lang w:val="en-US"/>
        </w:rPr>
        <w:sectPr w:rsidR="002B78BF" w:rsidRPr="00DE6E89" w:rsidSect="002D155B">
          <w:headerReference w:type="even" r:id="rId17"/>
          <w:headerReference w:type="default" r:id="rId18"/>
          <w:footerReference w:type="default" r:id="rId19"/>
          <w:headerReference w:type="first" r:id="rId20"/>
          <w:pgSz w:w="16838" w:h="11906" w:orient="landscape" w:code="9"/>
          <w:pgMar w:top="1440" w:right="1440" w:bottom="1440" w:left="1440" w:header="720" w:footer="720" w:gutter="0"/>
          <w:cols w:space="720"/>
          <w:docGrid w:linePitch="360"/>
        </w:sectPr>
      </w:pPr>
      <w:r w:rsidRPr="00DE6E89">
        <w:rPr>
          <w:rFonts w:ascii="Times New Roman" w:eastAsia="Times New Roman" w:hAnsi="Times New Roman" w:cs="Times New Roman"/>
          <w:shd w:val="clear" w:color="auto" w:fill="FFFFFF"/>
          <w:lang w:val="en-US"/>
        </w:rPr>
        <w:t>Table 1:  Gap analyses for development of PFMRP 2026-2030</w:t>
      </w:r>
    </w:p>
    <w:p w14:paraId="67C6AD65" w14:textId="0CECCF6D" w:rsidR="00EA5DF5" w:rsidRDefault="00AF4DBA"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lastRenderedPageBreak/>
        <w:t>content of the new pfm reform programme 2026-2030 based on the analyses</w:t>
      </w:r>
    </w:p>
    <w:p w14:paraId="330EEFE8" w14:textId="77777777" w:rsidR="00AF4DBA" w:rsidRPr="00AF4DBA" w:rsidRDefault="00AF4DBA" w:rsidP="00AF4DBA">
      <w:pPr>
        <w:rPr>
          <w:lang w:val="en-US"/>
        </w:rPr>
      </w:pPr>
    </w:p>
    <w:p w14:paraId="37C02DCF" w14:textId="73AC2AEC" w:rsidR="00AF4DBA" w:rsidRPr="00AF4DBA" w:rsidRDefault="00AF4DBA" w:rsidP="00AF4DBA">
      <w:pPr>
        <w:ind w:firstLine="708"/>
        <w:jc w:val="both"/>
        <w:rPr>
          <w:rFonts w:ascii="Times New Roman" w:eastAsia="Times New Roman" w:hAnsi="Times New Roman" w:cs="Times New Roman"/>
          <w:sz w:val="24"/>
          <w:szCs w:val="24"/>
          <w:shd w:val="clear" w:color="auto" w:fill="FFFFFF"/>
          <w:lang w:val="en-US"/>
        </w:rPr>
      </w:pPr>
      <w:r w:rsidRPr="00AF4DBA">
        <w:rPr>
          <w:rFonts w:ascii="Times New Roman" w:eastAsia="Times New Roman" w:hAnsi="Times New Roman" w:cs="Times New Roman"/>
          <w:sz w:val="24"/>
          <w:szCs w:val="24"/>
          <w:shd w:val="clear" w:color="auto" w:fill="FFFFFF"/>
          <w:lang w:val="en-US"/>
        </w:rPr>
        <w:t>Although significant results have been achieved in strengthening administrative and IT systems, improving the legal framework, and further aligning with international standards and obligations arising from the EU accession process, challenges remain with regard to securing additional financing, strengthening administrative capacities, and ensuring adequate expert support. The foundations established to date are of critical importance, as they enable the continued development and implementation of future reforms that will further enhance the public financial management system in Serbia. Given the rapid pace of technological development and the increasing application of artificial intelligence, it is challenging to anticipate all activities that will need to be undertaken over the next five years. For this reason, in this cycle of the PFMRP, a three-year Action Plan has been adopted for the first time, while the subsequent Action Plan will be adopted in 2028 and will cover the remaining period of implementation of the PFMRP.</w:t>
      </w:r>
    </w:p>
    <w:p w14:paraId="62AA1F63" w14:textId="77777777" w:rsidR="00AF4DBA" w:rsidRPr="00AF4DBA" w:rsidRDefault="00AF4DBA" w:rsidP="00AF4DBA">
      <w:pPr>
        <w:ind w:firstLine="708"/>
        <w:jc w:val="both"/>
        <w:rPr>
          <w:rFonts w:ascii="Times New Roman" w:eastAsia="Times New Roman" w:hAnsi="Times New Roman" w:cs="Times New Roman"/>
          <w:sz w:val="24"/>
          <w:szCs w:val="24"/>
          <w:shd w:val="clear" w:color="auto" w:fill="FFFFFF"/>
          <w:lang w:val="en-US"/>
        </w:rPr>
      </w:pPr>
      <w:r w:rsidRPr="00AF4DBA">
        <w:rPr>
          <w:rFonts w:ascii="Times New Roman" w:eastAsia="Times New Roman" w:hAnsi="Times New Roman" w:cs="Times New Roman"/>
          <w:sz w:val="24"/>
          <w:szCs w:val="24"/>
          <w:shd w:val="clear" w:color="auto" w:fill="FFFFFF"/>
          <w:lang w:val="en-US"/>
        </w:rPr>
        <w:t xml:space="preserve">The structure and design of the PFMRP 2026–2030 represent a logical continuation of previous public financial management reform cycles rather than an isolated or one-off intervention. Public financial management is a complex system of interconnected processes that require continuous improvement. In this context, the </w:t>
      </w:r>
      <w:proofErr w:type="spellStart"/>
      <w:r w:rsidRPr="00AF4DBA">
        <w:rPr>
          <w:rFonts w:ascii="Times New Roman" w:eastAsia="Times New Roman" w:hAnsi="Times New Roman" w:cs="Times New Roman"/>
          <w:sz w:val="24"/>
          <w:szCs w:val="24"/>
          <w:shd w:val="clear" w:color="auto" w:fill="FFFFFF"/>
          <w:lang w:val="en-US"/>
        </w:rPr>
        <w:t>Programme's</w:t>
      </w:r>
      <w:proofErr w:type="spellEnd"/>
      <w:r w:rsidRPr="00AF4DBA">
        <w:rPr>
          <w:rFonts w:ascii="Times New Roman" w:eastAsia="Times New Roman" w:hAnsi="Times New Roman" w:cs="Times New Roman"/>
          <w:sz w:val="24"/>
          <w:szCs w:val="24"/>
          <w:shd w:val="clear" w:color="auto" w:fill="FFFFFF"/>
          <w:lang w:val="en-US"/>
        </w:rPr>
        <w:t xml:space="preserve"> approach places equal emphasis on introducing new reform areas and consolidating the results already achieved.</w:t>
      </w:r>
    </w:p>
    <w:p w14:paraId="3382F3DB" w14:textId="77777777" w:rsidR="00AF4DBA" w:rsidRPr="00AF4DBA" w:rsidRDefault="00AF4DBA" w:rsidP="00AF4DBA">
      <w:pPr>
        <w:ind w:firstLine="708"/>
        <w:jc w:val="both"/>
        <w:rPr>
          <w:rFonts w:ascii="Times New Roman" w:eastAsia="Times New Roman" w:hAnsi="Times New Roman" w:cs="Times New Roman"/>
          <w:sz w:val="24"/>
          <w:szCs w:val="24"/>
          <w:shd w:val="clear" w:color="auto" w:fill="FFFFFF"/>
          <w:lang w:val="en-US"/>
        </w:rPr>
      </w:pPr>
      <w:r w:rsidRPr="00AF4DBA">
        <w:rPr>
          <w:rFonts w:ascii="Times New Roman" w:eastAsia="Times New Roman" w:hAnsi="Times New Roman" w:cs="Times New Roman"/>
          <w:sz w:val="24"/>
          <w:szCs w:val="24"/>
          <w:shd w:val="clear" w:color="auto" w:fill="FFFFFF"/>
          <w:lang w:val="en-US"/>
        </w:rPr>
        <w:t xml:space="preserve">Capacity development constitutes a central element of the public financial management reform approach, as the sustainability of achieved results requires the continuous development of knowledge and skills, technological advancement, and institutional and </w:t>
      </w:r>
      <w:proofErr w:type="spellStart"/>
      <w:r w:rsidRPr="00AF4DBA">
        <w:rPr>
          <w:rFonts w:ascii="Times New Roman" w:eastAsia="Times New Roman" w:hAnsi="Times New Roman" w:cs="Times New Roman"/>
          <w:sz w:val="24"/>
          <w:szCs w:val="24"/>
          <w:shd w:val="clear" w:color="auto" w:fill="FFFFFF"/>
          <w:lang w:val="en-US"/>
        </w:rPr>
        <w:t>organisational</w:t>
      </w:r>
      <w:proofErr w:type="spellEnd"/>
      <w:r w:rsidRPr="00AF4DBA">
        <w:rPr>
          <w:rFonts w:ascii="Times New Roman" w:eastAsia="Times New Roman" w:hAnsi="Times New Roman" w:cs="Times New Roman"/>
          <w:sz w:val="24"/>
          <w:szCs w:val="24"/>
          <w:shd w:val="clear" w:color="auto" w:fill="FFFFFF"/>
          <w:lang w:val="en-US"/>
        </w:rPr>
        <w:t xml:space="preserve"> strengthening. The Programme maintains continuity with regard to its general and specific objectives, thereby ensuring the stability of the reform framework within the broader context of public administration reform, while at the same time enabling its further deepening and enhancement through targeted measures and activities and ensuring alignment with higher-level planning documents within the policy planning hierarchy.</w:t>
      </w:r>
    </w:p>
    <w:p w14:paraId="41D1D8B3" w14:textId="77777777" w:rsidR="00AF4DBA" w:rsidRPr="00AF4DBA" w:rsidRDefault="00AF4DBA" w:rsidP="00AF4DBA">
      <w:pPr>
        <w:ind w:firstLine="708"/>
        <w:jc w:val="both"/>
        <w:rPr>
          <w:rFonts w:ascii="Times New Roman" w:eastAsia="Times New Roman" w:hAnsi="Times New Roman" w:cs="Times New Roman"/>
          <w:sz w:val="24"/>
          <w:szCs w:val="24"/>
          <w:shd w:val="clear" w:color="auto" w:fill="FFFFFF"/>
          <w:lang w:val="en-US"/>
        </w:rPr>
      </w:pPr>
      <w:r w:rsidRPr="00AF4DBA">
        <w:rPr>
          <w:rFonts w:ascii="Times New Roman" w:eastAsia="Times New Roman" w:hAnsi="Times New Roman" w:cs="Times New Roman"/>
          <w:sz w:val="24"/>
          <w:szCs w:val="24"/>
          <w:shd w:val="clear" w:color="auto" w:fill="FFFFFF"/>
          <w:lang w:val="en-US"/>
        </w:rPr>
        <w:t xml:space="preserve">The </w:t>
      </w:r>
      <w:proofErr w:type="spellStart"/>
      <w:r w:rsidRPr="00AF4DBA">
        <w:rPr>
          <w:rFonts w:ascii="Times New Roman" w:eastAsia="Times New Roman" w:hAnsi="Times New Roman" w:cs="Times New Roman"/>
          <w:sz w:val="24"/>
          <w:szCs w:val="24"/>
          <w:shd w:val="clear" w:color="auto" w:fill="FFFFFF"/>
          <w:lang w:val="en-US"/>
        </w:rPr>
        <w:t>Programme's</w:t>
      </w:r>
      <w:proofErr w:type="spellEnd"/>
      <w:r w:rsidRPr="00AF4DBA">
        <w:rPr>
          <w:rFonts w:ascii="Times New Roman" w:eastAsia="Times New Roman" w:hAnsi="Times New Roman" w:cs="Times New Roman"/>
          <w:sz w:val="24"/>
          <w:szCs w:val="24"/>
          <w:shd w:val="clear" w:color="auto" w:fill="FFFFFF"/>
          <w:lang w:val="en-US"/>
        </w:rPr>
        <w:t xml:space="preserve"> general and specific objectives are fully aligned with the objectives defined in the Public Administration Reform Strategy 2021–2030, thereby preserving the existing objective structure and contributing to the strengthening of the horizontal role of public financial management reform, as agreed within the broader public administration reform agenda.</w:t>
      </w:r>
    </w:p>
    <w:p w14:paraId="2A731116" w14:textId="77777777" w:rsidR="00AF4DBA" w:rsidRPr="00AF4DBA" w:rsidRDefault="00AF4DBA" w:rsidP="00AF4DBA">
      <w:pPr>
        <w:ind w:firstLine="708"/>
        <w:jc w:val="both"/>
        <w:rPr>
          <w:rFonts w:ascii="Times New Roman" w:eastAsia="Times New Roman" w:hAnsi="Times New Roman" w:cs="Times New Roman"/>
          <w:sz w:val="24"/>
          <w:szCs w:val="24"/>
          <w:shd w:val="clear" w:color="auto" w:fill="FFFFFF"/>
          <w:lang w:val="en-US"/>
        </w:rPr>
      </w:pPr>
      <w:r w:rsidRPr="00AF4DBA">
        <w:rPr>
          <w:rFonts w:ascii="Times New Roman" w:eastAsia="Times New Roman" w:hAnsi="Times New Roman" w:cs="Times New Roman"/>
          <w:sz w:val="24"/>
          <w:szCs w:val="24"/>
          <w:shd w:val="clear" w:color="auto" w:fill="FFFFFF"/>
          <w:lang w:val="en-US"/>
        </w:rPr>
        <w:t xml:space="preserve">The indicators under the PFMRP 2026–2030 have been developed with particular care, drawing on international good practice and lessons learned from previous reform cycles. They have been formulated to be clear, relevant, and measurable, in accordance with the SMART principles, while avoiding unnecessary complexity and excessive reporting burdens, taking into account the large number of documents and projects linked to public financial management reform. During the drafting process, certain indicators were further refined based on comments received from the European Commission and SIGMA. The selection of appropriate indicators is always a significant challenge, and particular attention was therefore devoted to this issue. </w:t>
      </w:r>
      <w:r w:rsidRPr="00AF4DBA">
        <w:rPr>
          <w:rFonts w:ascii="Times New Roman" w:eastAsia="Times New Roman" w:hAnsi="Times New Roman" w:cs="Times New Roman"/>
          <w:sz w:val="24"/>
          <w:szCs w:val="24"/>
          <w:shd w:val="clear" w:color="auto" w:fill="FFFFFF"/>
          <w:lang w:val="en-US"/>
        </w:rPr>
        <w:lastRenderedPageBreak/>
        <w:t>The Working Group agreed upon and applied a streamlined approach, defining one indicator at the level of each specific objective and up to two indicators at the level of each measure. This approach ensures a clear logical linkage between objectives, measures, and expected results, while also providing consistency throughout the Programme.</w:t>
      </w:r>
    </w:p>
    <w:p w14:paraId="1B634C77" w14:textId="77777777" w:rsidR="00AF4DBA" w:rsidRPr="00AF4DBA" w:rsidRDefault="00AF4DBA" w:rsidP="00AF4DBA">
      <w:pPr>
        <w:ind w:firstLine="708"/>
        <w:jc w:val="both"/>
        <w:rPr>
          <w:rFonts w:ascii="Times New Roman" w:eastAsia="Times New Roman" w:hAnsi="Times New Roman" w:cs="Times New Roman"/>
          <w:sz w:val="24"/>
          <w:szCs w:val="24"/>
          <w:shd w:val="clear" w:color="auto" w:fill="FFFFFF"/>
          <w:lang w:val="en-US"/>
        </w:rPr>
      </w:pPr>
      <w:r w:rsidRPr="00AF4DBA">
        <w:rPr>
          <w:rFonts w:ascii="Times New Roman" w:eastAsia="Times New Roman" w:hAnsi="Times New Roman" w:cs="Times New Roman"/>
          <w:sz w:val="24"/>
          <w:szCs w:val="24"/>
          <w:shd w:val="clear" w:color="auto" w:fill="FFFFFF"/>
          <w:lang w:val="en-US"/>
        </w:rPr>
        <w:t>The PFMRP 2026–2030 is based on the findings of the PEFA and SIGMA assessments, as well as on lessons learned from previous years of implementation and the ex-ante analysis conducted prior to the commencement of the preparation of the PFMRP 2026–2030. These analyses served as the basis for identifying the key weaknesses of the public financial management system, which are addressed through concrete measures agreed upon through extensive inter-institutional consultations within the Working Group.</w:t>
      </w:r>
    </w:p>
    <w:p w14:paraId="0381AE69" w14:textId="55E56991" w:rsidR="00AF4DBA" w:rsidRPr="00AF4DBA" w:rsidRDefault="00AF4DBA" w:rsidP="00D14D70">
      <w:pPr>
        <w:ind w:firstLine="708"/>
        <w:jc w:val="both"/>
        <w:rPr>
          <w:rFonts w:ascii="Times New Roman" w:eastAsia="Times New Roman" w:hAnsi="Times New Roman" w:cs="Times New Roman"/>
          <w:sz w:val="24"/>
          <w:szCs w:val="24"/>
          <w:shd w:val="clear" w:color="auto" w:fill="FFFFFF"/>
          <w:lang w:val="en-US"/>
        </w:rPr>
      </w:pPr>
      <w:r w:rsidRPr="00AF4DBA">
        <w:rPr>
          <w:rFonts w:ascii="Times New Roman" w:eastAsia="Times New Roman" w:hAnsi="Times New Roman" w:cs="Times New Roman"/>
          <w:sz w:val="24"/>
          <w:szCs w:val="24"/>
          <w:shd w:val="clear" w:color="auto" w:fill="FFFFFF"/>
          <w:lang w:val="en-US"/>
        </w:rPr>
        <w:t xml:space="preserve">Monitoring of PFMRP implementation includes the preparation of annual implementation reports, as well as the regular entry of data into the </w:t>
      </w:r>
      <w:r w:rsidR="00D14D70">
        <w:rPr>
          <w:rFonts w:ascii="Times New Roman" w:eastAsia="Times New Roman" w:hAnsi="Times New Roman" w:cs="Times New Roman"/>
          <w:sz w:val="24"/>
          <w:szCs w:val="24"/>
          <w:shd w:val="clear" w:color="auto" w:fill="FFFFFF"/>
          <w:lang w:val="en-US"/>
        </w:rPr>
        <w:t>Unified</w:t>
      </w:r>
      <w:r w:rsidRPr="00AF4DBA">
        <w:rPr>
          <w:rFonts w:ascii="Times New Roman" w:eastAsia="Times New Roman" w:hAnsi="Times New Roman" w:cs="Times New Roman"/>
          <w:sz w:val="24"/>
          <w:szCs w:val="24"/>
          <w:shd w:val="clear" w:color="auto" w:fill="FFFFFF"/>
          <w:lang w:val="en-US"/>
        </w:rPr>
        <w:t xml:space="preserve"> Information System </w:t>
      </w:r>
      <w:r w:rsidR="00D14D70">
        <w:rPr>
          <w:rFonts w:ascii="Times New Roman" w:eastAsia="Times New Roman" w:hAnsi="Times New Roman" w:cs="Times New Roman"/>
          <w:sz w:val="24"/>
          <w:szCs w:val="24"/>
          <w:shd w:val="clear" w:color="auto" w:fill="FFFFFF"/>
          <w:lang w:val="en-US"/>
        </w:rPr>
        <w:t xml:space="preserve"> </w:t>
      </w:r>
      <w:r w:rsidRPr="00AF4DBA">
        <w:rPr>
          <w:rFonts w:ascii="Times New Roman" w:eastAsia="Times New Roman" w:hAnsi="Times New Roman" w:cs="Times New Roman"/>
          <w:sz w:val="24"/>
          <w:szCs w:val="24"/>
          <w:shd w:val="clear" w:color="auto" w:fill="FFFFFF"/>
          <w:lang w:val="en-US"/>
        </w:rPr>
        <w:t>for planning, monitoring implementation, coordinating public policies, and reporting, in accordance with Article 47 of the Law on the Planning System of the Republic of Serbia.</w:t>
      </w:r>
      <w:r w:rsidR="00D14D70">
        <w:rPr>
          <w:rFonts w:ascii="Times New Roman" w:eastAsia="Times New Roman" w:hAnsi="Times New Roman" w:cs="Times New Roman"/>
          <w:sz w:val="24"/>
          <w:szCs w:val="24"/>
          <w:shd w:val="clear" w:color="auto" w:fill="FFFFFF"/>
          <w:lang w:val="en-US"/>
        </w:rPr>
        <w:t xml:space="preserve"> </w:t>
      </w:r>
      <w:r w:rsidRPr="00AF4DBA">
        <w:rPr>
          <w:rFonts w:ascii="Times New Roman" w:eastAsia="Times New Roman" w:hAnsi="Times New Roman" w:cs="Times New Roman"/>
          <w:sz w:val="24"/>
          <w:szCs w:val="24"/>
          <w:shd w:val="clear" w:color="auto" w:fill="FFFFFF"/>
          <w:lang w:val="en-US"/>
        </w:rPr>
        <w:t>Particular attention has also been devoted to consultations with stakeholders, in accordance with the applicable legal framework, through the use of the e-Consultations Portal, the dedicated section of the Ministry of Finance website devoted to the PFMRP</w:t>
      </w:r>
      <w:r w:rsidR="00D14D70">
        <w:rPr>
          <w:rStyle w:val="FootnoteReference"/>
          <w:rFonts w:ascii="Times New Roman" w:eastAsia="Times New Roman" w:hAnsi="Times New Roman" w:cs="Times New Roman"/>
          <w:sz w:val="24"/>
          <w:szCs w:val="24"/>
          <w:shd w:val="clear" w:color="auto" w:fill="FFFFFF"/>
          <w:lang w:val="en-US"/>
        </w:rPr>
        <w:footnoteReference w:id="21"/>
      </w:r>
      <w:r w:rsidRPr="00AF4DBA">
        <w:rPr>
          <w:rFonts w:ascii="Times New Roman" w:eastAsia="Times New Roman" w:hAnsi="Times New Roman" w:cs="Times New Roman"/>
          <w:sz w:val="24"/>
          <w:szCs w:val="24"/>
          <w:shd w:val="clear" w:color="auto" w:fill="FFFFFF"/>
          <w:lang w:val="en-US"/>
        </w:rPr>
        <w:t>, and the dedicated email address pfmdijalog@mfin.gov.rs, established to facilitate continuous consultation and dialogue with stakeholders.</w:t>
      </w:r>
    </w:p>
    <w:p w14:paraId="62F6E5A0" w14:textId="77777777" w:rsidR="00EA5DF5" w:rsidRPr="001053DB" w:rsidRDefault="00EA5DF5" w:rsidP="00EA5DF5">
      <w:pPr>
        <w:spacing w:after="0" w:line="240" w:lineRule="auto"/>
        <w:rPr>
          <w:rFonts w:ascii="Times New Roman" w:eastAsia="Calibri" w:hAnsi="Times New Roman" w:cs="Times New Roman"/>
          <w:b/>
          <w:bCs/>
          <w:lang w:val="sr-Cyrl-CS"/>
        </w:rPr>
        <w:sectPr w:rsidR="00EA5DF5" w:rsidRPr="001053DB" w:rsidSect="00AF4DBA">
          <w:pgSz w:w="11906" w:h="16838"/>
          <w:pgMar w:top="1440" w:right="1440" w:bottom="1440" w:left="1440" w:header="576" w:footer="576" w:gutter="0"/>
          <w:cols w:space="720"/>
          <w:docGrid w:linePitch="360"/>
        </w:sectPr>
      </w:pPr>
    </w:p>
    <w:p w14:paraId="49589528" w14:textId="78C7A7E5" w:rsidR="002B78BF" w:rsidRPr="00D14D70" w:rsidRDefault="00D14D70"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lastRenderedPageBreak/>
        <w:t>preparation process of the public financial management reform programme 2026-2030</w:t>
      </w:r>
    </w:p>
    <w:p w14:paraId="421E94A7" w14:textId="77777777" w:rsidR="00D14D70" w:rsidRPr="00D14D70" w:rsidRDefault="00D14D70" w:rsidP="00D14D70">
      <w:pPr>
        <w:rPr>
          <w:lang w:val="en-US"/>
        </w:rPr>
      </w:pPr>
    </w:p>
    <w:p w14:paraId="07BF1724" w14:textId="005E5A41" w:rsidR="00D14D70" w:rsidRPr="00D14D70" w:rsidRDefault="00D14D70" w:rsidP="00D14D70">
      <w:pPr>
        <w:ind w:firstLine="708"/>
        <w:jc w:val="both"/>
        <w:rPr>
          <w:rFonts w:ascii="Times New Roman" w:eastAsia="Times New Roman" w:hAnsi="Times New Roman" w:cs="Times New Roman"/>
          <w:sz w:val="24"/>
          <w:szCs w:val="24"/>
          <w:shd w:val="clear" w:color="auto" w:fill="FFFFFF"/>
          <w:lang w:val="en-US"/>
        </w:rPr>
      </w:pPr>
      <w:r w:rsidRPr="00D14D70">
        <w:rPr>
          <w:rFonts w:ascii="Times New Roman" w:eastAsia="Times New Roman" w:hAnsi="Times New Roman" w:cs="Times New Roman"/>
          <w:sz w:val="24"/>
          <w:szCs w:val="24"/>
          <w:shd w:val="clear" w:color="auto" w:fill="FFFFFF"/>
          <w:lang w:val="en-US"/>
        </w:rPr>
        <w:t>In June 2025, by decision of the Minister of Finance, the Working Group for the Preparation, Monitoring and Reporting on the Implementation of the PFMRP 2026–2030 (hereinafter: the PFMRP Working Group) was established, formally launching the preparation process for the new Programme.</w:t>
      </w:r>
    </w:p>
    <w:p w14:paraId="48E7853D" w14:textId="77777777" w:rsidR="00D14D70" w:rsidRPr="00D14D70" w:rsidRDefault="00D14D70" w:rsidP="00D14D70">
      <w:pPr>
        <w:ind w:firstLine="708"/>
        <w:jc w:val="both"/>
        <w:rPr>
          <w:rFonts w:ascii="Times New Roman" w:eastAsia="Times New Roman" w:hAnsi="Times New Roman" w:cs="Times New Roman"/>
          <w:sz w:val="24"/>
          <w:szCs w:val="24"/>
          <w:shd w:val="clear" w:color="auto" w:fill="FFFFFF"/>
          <w:lang w:val="en-US"/>
        </w:rPr>
      </w:pPr>
      <w:r w:rsidRPr="00D14D70">
        <w:rPr>
          <w:rFonts w:ascii="Times New Roman" w:eastAsia="Times New Roman" w:hAnsi="Times New Roman" w:cs="Times New Roman"/>
          <w:sz w:val="24"/>
          <w:szCs w:val="24"/>
          <w:shd w:val="clear" w:color="auto" w:fill="FFFFFF"/>
          <w:lang w:val="en-US"/>
        </w:rPr>
        <w:t>The new Programme is based on the findings of the draft PEFA assessment prepared by the World Bank following a request submitted by the Ministry of Finance in August 2024. The first working version of the PEFA report was shared with members of the PFMRP Working Group in July 2025, while the first draft was formally presented in early September of the same year. The Working Group greatly benefited from the support of a public finance expert provided with financial assistance from the European Union, who delivered continuous support throughout the preparation process. The consultant made a significant contribution to improving understanding of the PEFA methodology and assessment results, linking PFMRP measures and activities to PEFA findings and SIGMA recommendations, and providing targeted support in the formulation of indicators at the level of specific objectives and measures.</w:t>
      </w:r>
    </w:p>
    <w:p w14:paraId="74EF41BC" w14:textId="77777777" w:rsidR="00D14D70" w:rsidRPr="00D14D70" w:rsidRDefault="00D14D70" w:rsidP="00D14D70">
      <w:pPr>
        <w:ind w:firstLine="708"/>
        <w:jc w:val="both"/>
        <w:rPr>
          <w:rFonts w:ascii="Times New Roman" w:eastAsia="Times New Roman" w:hAnsi="Times New Roman" w:cs="Times New Roman"/>
          <w:sz w:val="24"/>
          <w:szCs w:val="24"/>
          <w:shd w:val="clear" w:color="auto" w:fill="FFFFFF"/>
          <w:lang w:val="en-US"/>
        </w:rPr>
      </w:pPr>
      <w:r w:rsidRPr="00D14D70">
        <w:rPr>
          <w:rFonts w:ascii="Times New Roman" w:eastAsia="Times New Roman" w:hAnsi="Times New Roman" w:cs="Times New Roman"/>
          <w:sz w:val="24"/>
          <w:szCs w:val="24"/>
          <w:shd w:val="clear" w:color="auto" w:fill="FFFFFF"/>
          <w:lang w:val="en-US"/>
        </w:rPr>
        <w:t xml:space="preserve">The workshops </w:t>
      </w:r>
      <w:proofErr w:type="spellStart"/>
      <w:r w:rsidRPr="00D14D70">
        <w:rPr>
          <w:rFonts w:ascii="Times New Roman" w:eastAsia="Times New Roman" w:hAnsi="Times New Roman" w:cs="Times New Roman"/>
          <w:sz w:val="24"/>
          <w:szCs w:val="24"/>
          <w:shd w:val="clear" w:color="auto" w:fill="FFFFFF"/>
          <w:lang w:val="en-US"/>
        </w:rPr>
        <w:t>organised</w:t>
      </w:r>
      <w:proofErr w:type="spellEnd"/>
      <w:r w:rsidRPr="00D14D70">
        <w:rPr>
          <w:rFonts w:ascii="Times New Roman" w:eastAsia="Times New Roman" w:hAnsi="Times New Roman" w:cs="Times New Roman"/>
          <w:sz w:val="24"/>
          <w:szCs w:val="24"/>
          <w:shd w:val="clear" w:color="auto" w:fill="FFFFFF"/>
          <w:lang w:val="en-US"/>
        </w:rPr>
        <w:t xml:space="preserve"> during the preparation of the PFMRP 2026–2030 played a key role in the development of the document and in establishing a common understanding of the principles guiding the reform process.</w:t>
      </w:r>
    </w:p>
    <w:p w14:paraId="19B9BB91" w14:textId="301D438A" w:rsidR="00D14D70" w:rsidRPr="00D14D70" w:rsidRDefault="00D14D70" w:rsidP="00D14D70">
      <w:pPr>
        <w:ind w:firstLine="708"/>
        <w:jc w:val="both"/>
        <w:rPr>
          <w:rFonts w:ascii="Times New Roman" w:eastAsia="Times New Roman" w:hAnsi="Times New Roman" w:cs="Times New Roman"/>
          <w:sz w:val="24"/>
          <w:szCs w:val="24"/>
          <w:shd w:val="clear" w:color="auto" w:fill="FFFFFF"/>
          <w:lang w:val="en-US"/>
        </w:rPr>
      </w:pPr>
      <w:r w:rsidRPr="00D14D70">
        <w:rPr>
          <w:rFonts w:ascii="Times New Roman" w:eastAsia="Times New Roman" w:hAnsi="Times New Roman" w:cs="Times New Roman"/>
          <w:sz w:val="24"/>
          <w:szCs w:val="24"/>
          <w:shd w:val="clear" w:color="auto" w:fill="FFFFFF"/>
          <w:lang w:val="en-US"/>
        </w:rPr>
        <w:t xml:space="preserve">The first workshop focused on </w:t>
      </w:r>
      <w:proofErr w:type="spellStart"/>
      <w:r w:rsidRPr="00D14D70">
        <w:rPr>
          <w:rFonts w:ascii="Times New Roman" w:eastAsia="Times New Roman" w:hAnsi="Times New Roman" w:cs="Times New Roman"/>
          <w:sz w:val="24"/>
          <w:szCs w:val="24"/>
          <w:shd w:val="clear" w:color="auto" w:fill="FFFFFF"/>
          <w:lang w:val="en-US"/>
        </w:rPr>
        <w:t>analysing</w:t>
      </w:r>
      <w:proofErr w:type="spellEnd"/>
      <w:r w:rsidRPr="00D14D70">
        <w:rPr>
          <w:rFonts w:ascii="Times New Roman" w:eastAsia="Times New Roman" w:hAnsi="Times New Roman" w:cs="Times New Roman"/>
          <w:sz w:val="24"/>
          <w:szCs w:val="24"/>
          <w:shd w:val="clear" w:color="auto" w:fill="FFFFFF"/>
          <w:lang w:val="en-US"/>
        </w:rPr>
        <w:t xml:space="preserve"> the implementation dynamics of activities planned under the existing Programme during 2025, as well as reviewing the available baseline information, including the ex-ante analysis of the sector, relevant strategic, planning and diagnostic documents, links with Cluster 1 – Fundamentals, negotiating chapters and commitments undertaken within the EU accession process, and indicators that should be improved in the new Programme. It was agreed that, in order to </w:t>
      </w:r>
      <w:proofErr w:type="spellStart"/>
      <w:r w:rsidRPr="00D14D70">
        <w:rPr>
          <w:rFonts w:ascii="Times New Roman" w:eastAsia="Times New Roman" w:hAnsi="Times New Roman" w:cs="Times New Roman"/>
          <w:sz w:val="24"/>
          <w:szCs w:val="24"/>
          <w:shd w:val="clear" w:color="auto" w:fill="FFFFFF"/>
          <w:lang w:val="en-US"/>
        </w:rPr>
        <w:t>optimise</w:t>
      </w:r>
      <w:proofErr w:type="spellEnd"/>
      <w:r w:rsidRPr="00D14D70">
        <w:rPr>
          <w:rFonts w:ascii="Times New Roman" w:eastAsia="Times New Roman" w:hAnsi="Times New Roman" w:cs="Times New Roman"/>
          <w:sz w:val="24"/>
          <w:szCs w:val="24"/>
          <w:shd w:val="clear" w:color="auto" w:fill="FFFFFF"/>
          <w:lang w:val="en-US"/>
        </w:rPr>
        <w:t xml:space="preserve"> monitoring and reporting, the Programme should avoid duplicating measures and activities already included in other strategic documents, programmes and projects relevant to the public financial management system, such as the Public Administration Reform Strategy 2021–2030, the Reform Agenda 2024–2027, and the targets of the </w:t>
      </w:r>
      <w:r w:rsidR="00334460">
        <w:rPr>
          <w:rFonts w:ascii="Times New Roman" w:eastAsia="Times New Roman" w:hAnsi="Times New Roman" w:cs="Times New Roman"/>
          <w:sz w:val="24"/>
          <w:szCs w:val="24"/>
          <w:shd w:val="clear" w:color="auto" w:fill="FFFFFF"/>
          <w:lang w:val="en-US"/>
        </w:rPr>
        <w:t>Improving</w:t>
      </w:r>
      <w:r w:rsidRPr="00D14D70">
        <w:rPr>
          <w:rFonts w:ascii="Times New Roman" w:eastAsia="Times New Roman" w:hAnsi="Times New Roman" w:cs="Times New Roman"/>
          <w:sz w:val="24"/>
          <w:szCs w:val="24"/>
          <w:shd w:val="clear" w:color="auto" w:fill="FFFFFF"/>
          <w:lang w:val="en-US"/>
        </w:rPr>
        <w:t xml:space="preserve"> Public Financial Management for Climate Action Project financed by the World Bank and the French Development Agency (AFD), among others. Particular attention was paid to the conclusions of meetings of the Special Group on Public Administration Reform and the High-Level Dialogue on Public Administration Reform with the European Commission, as well as to the multiple roles of public financial management reform within the implementation of the Reform Agenda of the Republic of Serbia. Participants also </w:t>
      </w:r>
      <w:proofErr w:type="spellStart"/>
      <w:r w:rsidRPr="00D14D70">
        <w:rPr>
          <w:rFonts w:ascii="Times New Roman" w:eastAsia="Times New Roman" w:hAnsi="Times New Roman" w:cs="Times New Roman"/>
          <w:sz w:val="24"/>
          <w:szCs w:val="24"/>
          <w:shd w:val="clear" w:color="auto" w:fill="FFFFFF"/>
          <w:lang w:val="en-US"/>
        </w:rPr>
        <w:t>analysed</w:t>
      </w:r>
      <w:proofErr w:type="spellEnd"/>
      <w:r w:rsidRPr="00D14D70">
        <w:rPr>
          <w:rFonts w:ascii="Times New Roman" w:eastAsia="Times New Roman" w:hAnsi="Times New Roman" w:cs="Times New Roman"/>
          <w:sz w:val="24"/>
          <w:szCs w:val="24"/>
          <w:shd w:val="clear" w:color="auto" w:fill="FFFFFF"/>
          <w:lang w:val="en-US"/>
        </w:rPr>
        <w:t xml:space="preserve"> preliminary PEFA assessment results, SIGMA recommendations, and regional comparisons available through the SIGMA simulator</w:t>
      </w:r>
      <w:r w:rsidR="00334460">
        <w:rPr>
          <w:rStyle w:val="FootnoteReference"/>
          <w:rFonts w:ascii="Times New Roman" w:eastAsia="Times New Roman" w:hAnsi="Times New Roman" w:cs="Times New Roman"/>
          <w:sz w:val="24"/>
          <w:szCs w:val="24"/>
          <w:shd w:val="clear" w:color="auto" w:fill="FFFFFF"/>
          <w:lang w:val="en-US"/>
        </w:rPr>
        <w:footnoteReference w:id="22"/>
      </w:r>
      <w:r w:rsidRPr="00D14D70">
        <w:rPr>
          <w:rFonts w:ascii="Times New Roman" w:eastAsia="Times New Roman" w:hAnsi="Times New Roman" w:cs="Times New Roman"/>
          <w:sz w:val="24"/>
          <w:szCs w:val="24"/>
          <w:shd w:val="clear" w:color="auto" w:fill="FFFFFF"/>
          <w:lang w:val="en-US"/>
        </w:rPr>
        <w:t>, thereby laying the foundations for subsequent work.</w:t>
      </w:r>
    </w:p>
    <w:p w14:paraId="0817C932" w14:textId="77777777" w:rsidR="00D14D70" w:rsidRPr="00D14D70" w:rsidRDefault="00D14D70" w:rsidP="00D14D70">
      <w:pPr>
        <w:ind w:firstLine="708"/>
        <w:jc w:val="both"/>
        <w:rPr>
          <w:rFonts w:ascii="Times New Roman" w:eastAsia="Times New Roman" w:hAnsi="Times New Roman" w:cs="Times New Roman"/>
          <w:sz w:val="24"/>
          <w:szCs w:val="24"/>
          <w:shd w:val="clear" w:color="auto" w:fill="FFFFFF"/>
          <w:lang w:val="en-US"/>
        </w:rPr>
      </w:pPr>
      <w:r w:rsidRPr="00D14D70">
        <w:rPr>
          <w:rFonts w:ascii="Times New Roman" w:eastAsia="Times New Roman" w:hAnsi="Times New Roman" w:cs="Times New Roman"/>
          <w:sz w:val="24"/>
          <w:szCs w:val="24"/>
          <w:shd w:val="clear" w:color="auto" w:fill="FFFFFF"/>
          <w:lang w:val="en-US"/>
        </w:rPr>
        <w:lastRenderedPageBreak/>
        <w:t>During the second workshop, comments received from SIGMA on the first working version of the Action Plan 2026–2028 were of particular importance. Participants worked on refining activities, indicators, and the narrative sections of the Programme, resulting in the preparation of a draft PFMRP 2026–2030. This process ensured that the proposed measures were aligned with reform needs and objectives, providing the Programme with a more comprehensive structure and clearer strategic direction.</w:t>
      </w:r>
    </w:p>
    <w:p w14:paraId="138E4A20" w14:textId="77777777" w:rsidR="00D14D70" w:rsidRPr="00D14D70" w:rsidRDefault="00D14D70" w:rsidP="00D14D70">
      <w:pPr>
        <w:ind w:firstLine="708"/>
        <w:jc w:val="both"/>
        <w:rPr>
          <w:rFonts w:ascii="Times New Roman" w:eastAsia="Times New Roman" w:hAnsi="Times New Roman" w:cs="Times New Roman"/>
          <w:sz w:val="24"/>
          <w:szCs w:val="24"/>
          <w:shd w:val="clear" w:color="auto" w:fill="FFFFFF"/>
          <w:lang w:val="en-US"/>
        </w:rPr>
      </w:pPr>
      <w:r w:rsidRPr="00D14D70">
        <w:rPr>
          <w:rFonts w:ascii="Times New Roman" w:eastAsia="Times New Roman" w:hAnsi="Times New Roman" w:cs="Times New Roman"/>
          <w:sz w:val="24"/>
          <w:szCs w:val="24"/>
          <w:shd w:val="clear" w:color="auto" w:fill="FFFFFF"/>
          <w:lang w:val="en-US"/>
        </w:rPr>
        <w:t xml:space="preserve">The third workshop, held at the end of November, focused on </w:t>
      </w:r>
      <w:proofErr w:type="spellStart"/>
      <w:r w:rsidRPr="00D14D70">
        <w:rPr>
          <w:rFonts w:ascii="Times New Roman" w:eastAsia="Times New Roman" w:hAnsi="Times New Roman" w:cs="Times New Roman"/>
          <w:sz w:val="24"/>
          <w:szCs w:val="24"/>
          <w:shd w:val="clear" w:color="auto" w:fill="FFFFFF"/>
          <w:lang w:val="en-US"/>
        </w:rPr>
        <w:t>finalising</w:t>
      </w:r>
      <w:proofErr w:type="spellEnd"/>
      <w:r w:rsidRPr="00D14D70">
        <w:rPr>
          <w:rFonts w:ascii="Times New Roman" w:eastAsia="Times New Roman" w:hAnsi="Times New Roman" w:cs="Times New Roman"/>
          <w:sz w:val="24"/>
          <w:szCs w:val="24"/>
          <w:shd w:val="clear" w:color="auto" w:fill="FFFFFF"/>
          <w:lang w:val="en-US"/>
        </w:rPr>
        <w:t xml:space="preserve"> the document following the completion of an extensive public consultation process. The workshop incorporated feedback received from all relevant stakeholders, including conclusions from the Public Financial Management Policy Dialogue meeting. In mid-December, comments were received from SIGMA and the European Commission, and during the period from December 2025 to March 2026 additional revisions were undertaken to align the Programme with the comments received to the greatest extent possible. Where comments were not incorporated, formal responses were prepared. The final version of the document was successfully completed through close cooperation among all members of the PFMRP Working Group, demonstrating the importance of coordination and joint efforts among participating institutions. The workshops </w:t>
      </w:r>
      <w:proofErr w:type="spellStart"/>
      <w:r w:rsidRPr="00D14D70">
        <w:rPr>
          <w:rFonts w:ascii="Times New Roman" w:eastAsia="Times New Roman" w:hAnsi="Times New Roman" w:cs="Times New Roman"/>
          <w:sz w:val="24"/>
          <w:szCs w:val="24"/>
          <w:shd w:val="clear" w:color="auto" w:fill="FFFFFF"/>
          <w:lang w:val="en-US"/>
        </w:rPr>
        <w:t>organised</w:t>
      </w:r>
      <w:proofErr w:type="spellEnd"/>
      <w:r w:rsidRPr="00D14D70">
        <w:rPr>
          <w:rFonts w:ascii="Times New Roman" w:eastAsia="Times New Roman" w:hAnsi="Times New Roman" w:cs="Times New Roman"/>
          <w:sz w:val="24"/>
          <w:szCs w:val="24"/>
          <w:shd w:val="clear" w:color="auto" w:fill="FFFFFF"/>
          <w:lang w:val="en-US"/>
        </w:rPr>
        <w:t xml:space="preserve"> during the preparation of the PFMRP 2026–2030 not only facilitated the efficient drafting of the document but also strengthened coherence, expertise, and cooperation among all stakeholders and represent a notable example of good practice in the preparation of public policy documents.</w:t>
      </w:r>
    </w:p>
    <w:p w14:paraId="54BE61A0" w14:textId="77777777" w:rsidR="00D14D70" w:rsidRPr="00D14D70" w:rsidRDefault="00D14D70" w:rsidP="00D14D70">
      <w:pPr>
        <w:ind w:firstLine="708"/>
        <w:jc w:val="both"/>
        <w:rPr>
          <w:rFonts w:ascii="Times New Roman" w:eastAsia="Times New Roman" w:hAnsi="Times New Roman" w:cs="Times New Roman"/>
          <w:sz w:val="24"/>
          <w:szCs w:val="24"/>
          <w:shd w:val="clear" w:color="auto" w:fill="FFFFFF"/>
          <w:lang w:val="en-US"/>
        </w:rPr>
      </w:pPr>
      <w:r w:rsidRPr="00D14D70">
        <w:rPr>
          <w:rFonts w:ascii="Times New Roman" w:eastAsia="Times New Roman" w:hAnsi="Times New Roman" w:cs="Times New Roman"/>
          <w:sz w:val="24"/>
          <w:szCs w:val="24"/>
          <w:shd w:val="clear" w:color="auto" w:fill="FFFFFF"/>
          <w:lang w:val="en-US"/>
        </w:rPr>
        <w:t>In accordance with the Law on the Planning System of the Republic of Serbia, the Ministry of Finance conducted public consultations on the draft PFMRP 2026–2030 and the accompanying Action Plan 2026–2028. The public consultation process was carried out from 27 October to 5 November 2025. The draft PFMRP 2026–2030 was published on the Ministry of Finance website and the e-Consultations Portal, enabling all interested stakeholders to review the documents and submit comments and suggestions, thereby facilitating broad public participation.</w:t>
      </w:r>
    </w:p>
    <w:p w14:paraId="26B41337" w14:textId="77777777" w:rsidR="00D14D70" w:rsidRPr="00D14D70" w:rsidRDefault="00D14D70" w:rsidP="00D14D70">
      <w:pPr>
        <w:ind w:firstLine="708"/>
        <w:jc w:val="both"/>
        <w:rPr>
          <w:rFonts w:ascii="Times New Roman" w:eastAsia="Times New Roman" w:hAnsi="Times New Roman" w:cs="Times New Roman"/>
          <w:sz w:val="24"/>
          <w:szCs w:val="24"/>
          <w:shd w:val="clear" w:color="auto" w:fill="FFFFFF"/>
          <w:lang w:val="en-US"/>
        </w:rPr>
      </w:pPr>
      <w:r w:rsidRPr="00D14D70">
        <w:rPr>
          <w:rFonts w:ascii="Times New Roman" w:eastAsia="Times New Roman" w:hAnsi="Times New Roman" w:cs="Times New Roman"/>
          <w:sz w:val="24"/>
          <w:szCs w:val="24"/>
          <w:shd w:val="clear" w:color="auto" w:fill="FFFFFF"/>
          <w:lang w:val="en-US"/>
        </w:rPr>
        <w:t>The proposal for the public consultation plan, together with the draft PFMRP, was adopted by the Government's Committee for Economy and Finance. The draft PFMRP 2026–2030 was subsequently republished on the Ministry of Finance website and the e-Consultations Portal, with a consultation period running from 20 November to 3 December 2025. Stakeholders were also invited to submit comments and suggestions via the dedicated email address pfmdijalog@mfin.gov.rs.</w:t>
      </w:r>
    </w:p>
    <w:p w14:paraId="6551E185" w14:textId="1F9CB5D1" w:rsidR="00D14D70" w:rsidRPr="00D14D70" w:rsidRDefault="00D14D70" w:rsidP="00D14D70">
      <w:pPr>
        <w:ind w:firstLine="708"/>
        <w:jc w:val="both"/>
        <w:rPr>
          <w:rFonts w:ascii="Times New Roman" w:eastAsia="Times New Roman" w:hAnsi="Times New Roman" w:cs="Times New Roman"/>
          <w:sz w:val="24"/>
          <w:szCs w:val="24"/>
          <w:shd w:val="clear" w:color="auto" w:fill="FFFFFF"/>
          <w:lang w:val="en-US"/>
        </w:rPr>
      </w:pPr>
      <w:r w:rsidRPr="00D14D70">
        <w:rPr>
          <w:rFonts w:ascii="Times New Roman" w:eastAsia="Times New Roman" w:hAnsi="Times New Roman" w:cs="Times New Roman"/>
          <w:sz w:val="24"/>
          <w:szCs w:val="24"/>
          <w:shd w:val="clear" w:color="auto" w:fill="FFFFFF"/>
          <w:lang w:val="en-US"/>
        </w:rPr>
        <w:t xml:space="preserve">As part of the public consultation process, the traditional Public Financial Management Policy Dialogue was held on </w:t>
      </w:r>
      <w:r w:rsidR="00334460">
        <w:rPr>
          <w:rFonts w:ascii="Times New Roman" w:eastAsia="Times New Roman" w:hAnsi="Times New Roman" w:cs="Times New Roman"/>
          <w:sz w:val="24"/>
          <w:szCs w:val="24"/>
          <w:shd w:val="clear" w:color="auto" w:fill="FFFFFF"/>
          <w:lang w:val="en-US"/>
        </w:rPr>
        <w:t xml:space="preserve">November </w:t>
      </w:r>
      <w:r w:rsidRPr="00D14D70">
        <w:rPr>
          <w:rFonts w:ascii="Times New Roman" w:eastAsia="Times New Roman" w:hAnsi="Times New Roman" w:cs="Times New Roman"/>
          <w:sz w:val="24"/>
          <w:szCs w:val="24"/>
          <w:shd w:val="clear" w:color="auto" w:fill="FFFFFF"/>
          <w:lang w:val="en-US"/>
        </w:rPr>
        <w:t>17</w:t>
      </w:r>
      <w:r w:rsidR="00334460">
        <w:rPr>
          <w:rFonts w:ascii="Times New Roman" w:eastAsia="Times New Roman" w:hAnsi="Times New Roman" w:cs="Times New Roman"/>
          <w:sz w:val="24"/>
          <w:szCs w:val="24"/>
          <w:shd w:val="clear" w:color="auto" w:fill="FFFFFF"/>
          <w:lang w:val="en-US"/>
        </w:rPr>
        <w:t>,</w:t>
      </w:r>
      <w:r w:rsidRPr="00D14D70">
        <w:rPr>
          <w:rFonts w:ascii="Times New Roman" w:eastAsia="Times New Roman" w:hAnsi="Times New Roman" w:cs="Times New Roman"/>
          <w:sz w:val="24"/>
          <w:szCs w:val="24"/>
          <w:shd w:val="clear" w:color="auto" w:fill="FFFFFF"/>
          <w:lang w:val="en-US"/>
        </w:rPr>
        <w:t xml:space="preserve"> 2025. The event brought together representatives of all relevant institutions of the Republic of Serbia involved in the preparation of the PFMRP, including the Ministry of Finance, the Public Procurement Office, </w:t>
      </w:r>
      <w:r w:rsidR="00334460">
        <w:rPr>
          <w:rFonts w:ascii="Times New Roman" w:eastAsia="Times New Roman" w:hAnsi="Times New Roman" w:cs="Times New Roman"/>
          <w:sz w:val="24"/>
          <w:szCs w:val="24"/>
          <w:shd w:val="clear" w:color="auto" w:fill="FFFFFF"/>
          <w:lang w:val="en-US"/>
        </w:rPr>
        <w:t>Public Policy Secretariat</w:t>
      </w:r>
      <w:r w:rsidRPr="00D14D70">
        <w:rPr>
          <w:rFonts w:ascii="Times New Roman" w:eastAsia="Times New Roman" w:hAnsi="Times New Roman" w:cs="Times New Roman"/>
          <w:sz w:val="24"/>
          <w:szCs w:val="24"/>
          <w:shd w:val="clear" w:color="auto" w:fill="FFFFFF"/>
          <w:lang w:val="en-US"/>
        </w:rPr>
        <w:t xml:space="preserve">, the General Secretariat of the Government, the Ministry of Public Administration and Local Self-Government, the Human Resource Management Service, the Ministry for European Integration, </w:t>
      </w:r>
      <w:r w:rsidR="00334460">
        <w:rPr>
          <w:rFonts w:ascii="Times New Roman" w:eastAsia="Times New Roman" w:hAnsi="Times New Roman" w:cs="Times New Roman"/>
          <w:sz w:val="24"/>
          <w:szCs w:val="24"/>
          <w:shd w:val="clear" w:color="auto" w:fill="FFFFFF"/>
          <w:lang w:val="en-US"/>
        </w:rPr>
        <w:t>Governmental Audit Office of EU Funds</w:t>
      </w:r>
      <w:r w:rsidRPr="00D14D70">
        <w:rPr>
          <w:rFonts w:ascii="Times New Roman" w:eastAsia="Times New Roman" w:hAnsi="Times New Roman" w:cs="Times New Roman"/>
          <w:sz w:val="24"/>
          <w:szCs w:val="24"/>
          <w:shd w:val="clear" w:color="auto" w:fill="FFFFFF"/>
          <w:lang w:val="en-US"/>
        </w:rPr>
        <w:t xml:space="preserve"> and the State Audit Institution. The Dialogue was also attended by representatives of international financial institutions, the donor </w:t>
      </w:r>
      <w:r w:rsidRPr="00D14D70">
        <w:rPr>
          <w:rFonts w:ascii="Times New Roman" w:eastAsia="Times New Roman" w:hAnsi="Times New Roman" w:cs="Times New Roman"/>
          <w:sz w:val="24"/>
          <w:szCs w:val="24"/>
          <w:shd w:val="clear" w:color="auto" w:fill="FFFFFF"/>
          <w:lang w:val="en-US"/>
        </w:rPr>
        <w:lastRenderedPageBreak/>
        <w:t xml:space="preserve">community, the National Convention on the European Union and civil society </w:t>
      </w:r>
      <w:proofErr w:type="spellStart"/>
      <w:r w:rsidRPr="00D14D70">
        <w:rPr>
          <w:rFonts w:ascii="Times New Roman" w:eastAsia="Times New Roman" w:hAnsi="Times New Roman" w:cs="Times New Roman"/>
          <w:sz w:val="24"/>
          <w:szCs w:val="24"/>
          <w:shd w:val="clear" w:color="auto" w:fill="FFFFFF"/>
          <w:lang w:val="en-US"/>
        </w:rPr>
        <w:t>organisations</w:t>
      </w:r>
      <w:proofErr w:type="spellEnd"/>
      <w:r w:rsidRPr="00D14D70">
        <w:rPr>
          <w:rFonts w:ascii="Times New Roman" w:eastAsia="Times New Roman" w:hAnsi="Times New Roman" w:cs="Times New Roman"/>
          <w:sz w:val="24"/>
          <w:szCs w:val="24"/>
          <w:shd w:val="clear" w:color="auto" w:fill="FFFFFF"/>
          <w:lang w:val="en-US"/>
        </w:rPr>
        <w:t>, who actively participated in the discussion. The invitation to participate was published on the Ministry of Finance website and the e-Consultations Portal and was additionally disseminated through the National Convention on the European Union and the Ministry for Human and Minority Rights and Social Dialogue. Following the Dialogue and the receipt of comments, a report on the public consultation process was submitted to the competent Government committee and published on both the e-Consultations Portal and the Ministry of Finance website</w:t>
      </w:r>
      <w:r w:rsidR="00334460">
        <w:rPr>
          <w:rStyle w:val="FootnoteReference"/>
          <w:rFonts w:ascii="Times New Roman" w:eastAsia="Times New Roman" w:hAnsi="Times New Roman" w:cs="Times New Roman"/>
          <w:sz w:val="24"/>
          <w:szCs w:val="24"/>
          <w:shd w:val="clear" w:color="auto" w:fill="FFFFFF"/>
          <w:lang w:val="en-US"/>
        </w:rPr>
        <w:footnoteReference w:id="23"/>
      </w:r>
      <w:r w:rsidRPr="00D14D70">
        <w:rPr>
          <w:rFonts w:ascii="Times New Roman" w:eastAsia="Times New Roman" w:hAnsi="Times New Roman" w:cs="Times New Roman"/>
          <w:sz w:val="24"/>
          <w:szCs w:val="24"/>
          <w:shd w:val="clear" w:color="auto" w:fill="FFFFFF"/>
          <w:lang w:val="en-US"/>
        </w:rPr>
        <w:t>.</w:t>
      </w:r>
    </w:p>
    <w:p w14:paraId="1145A288" w14:textId="77777777" w:rsidR="00D14D70" w:rsidRPr="00D14D70" w:rsidRDefault="00D14D70" w:rsidP="00D14D70">
      <w:pPr>
        <w:ind w:firstLine="708"/>
        <w:jc w:val="both"/>
        <w:rPr>
          <w:rFonts w:ascii="Times New Roman" w:eastAsia="Times New Roman" w:hAnsi="Times New Roman" w:cs="Times New Roman"/>
          <w:sz w:val="24"/>
          <w:szCs w:val="24"/>
          <w:shd w:val="clear" w:color="auto" w:fill="FFFFFF"/>
          <w:lang w:val="en-US"/>
        </w:rPr>
      </w:pPr>
      <w:r w:rsidRPr="00D14D70">
        <w:rPr>
          <w:rFonts w:ascii="Times New Roman" w:eastAsia="Times New Roman" w:hAnsi="Times New Roman" w:cs="Times New Roman"/>
          <w:sz w:val="24"/>
          <w:szCs w:val="24"/>
          <w:shd w:val="clear" w:color="auto" w:fill="FFFFFF"/>
          <w:lang w:val="en-US"/>
        </w:rPr>
        <w:t xml:space="preserve">The Ministry of Finance has demonstrated a highly proactive approach to strengthening cooperation with civil society </w:t>
      </w:r>
      <w:proofErr w:type="spellStart"/>
      <w:r w:rsidRPr="00D14D70">
        <w:rPr>
          <w:rFonts w:ascii="Times New Roman" w:eastAsia="Times New Roman" w:hAnsi="Times New Roman" w:cs="Times New Roman"/>
          <w:sz w:val="24"/>
          <w:szCs w:val="24"/>
          <w:shd w:val="clear" w:color="auto" w:fill="FFFFFF"/>
          <w:lang w:val="en-US"/>
        </w:rPr>
        <w:t>organisations</w:t>
      </w:r>
      <w:proofErr w:type="spellEnd"/>
      <w:r w:rsidRPr="00D14D70">
        <w:rPr>
          <w:rFonts w:ascii="Times New Roman" w:eastAsia="Times New Roman" w:hAnsi="Times New Roman" w:cs="Times New Roman"/>
          <w:sz w:val="24"/>
          <w:szCs w:val="24"/>
          <w:shd w:val="clear" w:color="auto" w:fill="FFFFFF"/>
          <w:lang w:val="en-US"/>
        </w:rPr>
        <w:t xml:space="preserve">. In 2022, it </w:t>
      </w:r>
      <w:proofErr w:type="spellStart"/>
      <w:r w:rsidRPr="00D14D70">
        <w:rPr>
          <w:rFonts w:ascii="Times New Roman" w:eastAsia="Times New Roman" w:hAnsi="Times New Roman" w:cs="Times New Roman"/>
          <w:sz w:val="24"/>
          <w:szCs w:val="24"/>
          <w:shd w:val="clear" w:color="auto" w:fill="FFFFFF"/>
          <w:lang w:val="en-US"/>
        </w:rPr>
        <w:t>organised</w:t>
      </w:r>
      <w:proofErr w:type="spellEnd"/>
      <w:r w:rsidRPr="00D14D70">
        <w:rPr>
          <w:rFonts w:ascii="Times New Roman" w:eastAsia="Times New Roman" w:hAnsi="Times New Roman" w:cs="Times New Roman"/>
          <w:sz w:val="24"/>
          <w:szCs w:val="24"/>
          <w:shd w:val="clear" w:color="auto" w:fill="FFFFFF"/>
          <w:lang w:val="en-US"/>
        </w:rPr>
        <w:t xml:space="preserve"> a dedicated workshop aimed at </w:t>
      </w:r>
      <w:proofErr w:type="spellStart"/>
      <w:r w:rsidRPr="00D14D70">
        <w:rPr>
          <w:rFonts w:ascii="Times New Roman" w:eastAsia="Times New Roman" w:hAnsi="Times New Roman" w:cs="Times New Roman"/>
          <w:sz w:val="24"/>
          <w:szCs w:val="24"/>
          <w:shd w:val="clear" w:color="auto" w:fill="FFFFFF"/>
          <w:lang w:val="en-US"/>
        </w:rPr>
        <w:t>familiarising</w:t>
      </w:r>
      <w:proofErr w:type="spellEnd"/>
      <w:r w:rsidRPr="00D14D70">
        <w:rPr>
          <w:rFonts w:ascii="Times New Roman" w:eastAsia="Times New Roman" w:hAnsi="Times New Roman" w:cs="Times New Roman"/>
          <w:sz w:val="24"/>
          <w:szCs w:val="24"/>
          <w:shd w:val="clear" w:color="auto" w:fill="FFFFFF"/>
          <w:lang w:val="en-US"/>
        </w:rPr>
        <w:t xml:space="preserve"> civil society representatives with the public financial management system, thereby strengthening capacities and increasing understanding of this area. In addition, with the support of IPA technical assistance projects accompanying sector budget support in the area of public administration reform, a range of activities has been implemented to increase the visibility of public financial management reform and make it more accessible and understandable to the wider public.</w:t>
      </w:r>
    </w:p>
    <w:p w14:paraId="2D12D200" w14:textId="77777777" w:rsidR="00D14D70" w:rsidRDefault="00D14D70"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bookmarkStart w:id="5" w:name="_Toc211860019"/>
    </w:p>
    <w:p w14:paraId="212C5294" w14:textId="77777777" w:rsidR="00D14D70" w:rsidRDefault="00D14D70" w:rsidP="00D14D70">
      <w:pPr>
        <w:rPr>
          <w:lang w:val="en-US"/>
        </w:rPr>
      </w:pPr>
    </w:p>
    <w:p w14:paraId="1A976BFE" w14:textId="77777777" w:rsidR="00D14D70" w:rsidRDefault="00D14D70" w:rsidP="00D14D70">
      <w:pPr>
        <w:rPr>
          <w:lang w:val="en-US"/>
        </w:rPr>
      </w:pPr>
    </w:p>
    <w:p w14:paraId="09E95DD3" w14:textId="77777777" w:rsidR="00D14D70" w:rsidRDefault="00D14D70" w:rsidP="00D14D70">
      <w:pPr>
        <w:rPr>
          <w:lang w:val="en-US"/>
        </w:rPr>
      </w:pPr>
    </w:p>
    <w:p w14:paraId="03F56A42" w14:textId="77777777" w:rsidR="00D14D70" w:rsidRDefault="00D14D70" w:rsidP="00D14D70">
      <w:pPr>
        <w:rPr>
          <w:lang w:val="en-US"/>
        </w:rPr>
      </w:pPr>
    </w:p>
    <w:p w14:paraId="2DB7E86D" w14:textId="77777777" w:rsidR="00D14D70" w:rsidRDefault="00D14D70" w:rsidP="00D14D70">
      <w:pPr>
        <w:rPr>
          <w:lang w:val="en-US"/>
        </w:rPr>
      </w:pPr>
    </w:p>
    <w:p w14:paraId="0B762B59" w14:textId="77777777" w:rsidR="00D14D70" w:rsidRDefault="00D14D70" w:rsidP="00D14D70">
      <w:pPr>
        <w:rPr>
          <w:lang w:val="en-US"/>
        </w:rPr>
      </w:pPr>
    </w:p>
    <w:p w14:paraId="24EDCE52" w14:textId="77777777" w:rsidR="00D14D70" w:rsidRDefault="00D14D70" w:rsidP="00D14D70">
      <w:pPr>
        <w:rPr>
          <w:lang w:val="en-US"/>
        </w:rPr>
      </w:pPr>
    </w:p>
    <w:p w14:paraId="6BE45998" w14:textId="77777777" w:rsidR="00D14D70" w:rsidRDefault="00D14D70" w:rsidP="00D14D70">
      <w:pPr>
        <w:rPr>
          <w:lang w:val="en-US"/>
        </w:rPr>
      </w:pPr>
    </w:p>
    <w:p w14:paraId="78F8B4BD" w14:textId="77777777" w:rsidR="00D14D70" w:rsidRDefault="00D14D70" w:rsidP="00D14D70">
      <w:pPr>
        <w:rPr>
          <w:lang w:val="en-US"/>
        </w:rPr>
      </w:pPr>
    </w:p>
    <w:p w14:paraId="7D4FC795" w14:textId="77777777" w:rsidR="00D14D70" w:rsidRDefault="00D14D70" w:rsidP="00D14D70">
      <w:pPr>
        <w:rPr>
          <w:lang w:val="en-US"/>
        </w:rPr>
      </w:pPr>
    </w:p>
    <w:p w14:paraId="752C71B2" w14:textId="77777777" w:rsidR="00D14D70" w:rsidRDefault="00D14D70" w:rsidP="00D14D70">
      <w:pPr>
        <w:rPr>
          <w:lang w:val="en-US"/>
        </w:rPr>
      </w:pPr>
    </w:p>
    <w:p w14:paraId="795D57CF" w14:textId="77777777" w:rsidR="00D14D70" w:rsidRDefault="00D14D70" w:rsidP="00D14D70">
      <w:pPr>
        <w:rPr>
          <w:lang w:val="en-US"/>
        </w:rPr>
      </w:pPr>
    </w:p>
    <w:p w14:paraId="1C62A383" w14:textId="77777777" w:rsidR="00D14D70" w:rsidRDefault="00D14D70" w:rsidP="00D14D70">
      <w:pPr>
        <w:rPr>
          <w:lang w:val="en-US"/>
        </w:rPr>
      </w:pPr>
    </w:p>
    <w:p w14:paraId="7FE9A3A8" w14:textId="77777777" w:rsidR="00D14D70" w:rsidRDefault="00D14D70" w:rsidP="00D14D70">
      <w:pPr>
        <w:rPr>
          <w:lang w:val="en-US"/>
        </w:rPr>
      </w:pPr>
    </w:p>
    <w:p w14:paraId="2B4A84E5" w14:textId="77777777" w:rsidR="00D14D70" w:rsidRDefault="00D14D70" w:rsidP="00D14D70">
      <w:pPr>
        <w:rPr>
          <w:lang w:val="en-US"/>
        </w:rPr>
      </w:pPr>
    </w:p>
    <w:p w14:paraId="4A22CDC6" w14:textId="77777777" w:rsidR="00D14D70" w:rsidRDefault="00D14D70" w:rsidP="00D14D70">
      <w:pPr>
        <w:pStyle w:val="Heading1"/>
        <w:pBdr>
          <w:top w:val="none" w:sz="0" w:space="0" w:color="auto"/>
          <w:left w:val="none" w:sz="0" w:space="0" w:color="auto"/>
          <w:bottom w:val="none" w:sz="0" w:space="0" w:color="auto"/>
          <w:right w:val="none" w:sz="0" w:space="0" w:color="auto"/>
        </w:pBdr>
        <w:shd w:val="clear" w:color="auto" w:fill="auto"/>
        <w:rPr>
          <w:rFonts w:ascii="Times New Roman" w:hAnsi="Times New Roman" w:cs="Times New Roman"/>
          <w:color w:val="auto"/>
          <w:sz w:val="24"/>
          <w:szCs w:val="24"/>
          <w:lang w:val="en-US"/>
        </w:rPr>
      </w:pPr>
    </w:p>
    <w:p w14:paraId="09249232" w14:textId="77777777" w:rsidR="00D14D70" w:rsidRPr="00D14D70" w:rsidRDefault="00D14D70" w:rsidP="00D14D70">
      <w:pPr>
        <w:rPr>
          <w:lang w:val="en-US"/>
        </w:rPr>
      </w:pPr>
    </w:p>
    <w:bookmarkEnd w:id="5"/>
    <w:p w14:paraId="4A514842" w14:textId="45043077" w:rsidR="004228EE" w:rsidRDefault="00334460"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lastRenderedPageBreak/>
        <w:t>VISION</w:t>
      </w:r>
    </w:p>
    <w:p w14:paraId="1C615646" w14:textId="77777777" w:rsidR="00334460" w:rsidRPr="00334460" w:rsidRDefault="00334460" w:rsidP="00334460">
      <w:pPr>
        <w:rPr>
          <w:lang w:val="en-US"/>
        </w:rPr>
      </w:pPr>
    </w:p>
    <w:p w14:paraId="51FC4D15" w14:textId="77777777" w:rsidR="00BE0FD9" w:rsidRPr="00BE0FD9" w:rsidRDefault="00BE0FD9" w:rsidP="00BE0FD9">
      <w:pPr>
        <w:ind w:firstLine="708"/>
        <w:jc w:val="both"/>
        <w:rPr>
          <w:rFonts w:ascii="Times New Roman" w:eastAsia="Times New Roman" w:hAnsi="Times New Roman" w:cs="Times New Roman"/>
          <w:sz w:val="24"/>
          <w:szCs w:val="24"/>
          <w:shd w:val="clear" w:color="auto" w:fill="FFFFFF"/>
          <w:lang w:val="en-US"/>
        </w:rPr>
      </w:pPr>
      <w:r w:rsidRPr="00BE0FD9">
        <w:rPr>
          <w:rFonts w:ascii="Times New Roman" w:eastAsia="Times New Roman" w:hAnsi="Times New Roman" w:cs="Times New Roman"/>
          <w:sz w:val="24"/>
          <w:szCs w:val="24"/>
          <w:shd w:val="clear" w:color="auto" w:fill="FFFFFF"/>
          <w:lang w:val="en-US"/>
        </w:rPr>
        <w:t>The vision of the PFMRP 2026–2030 is to establish a public financial management system that supports sustainable economic development, ensures the efficient use of public resources, and provides citizens with higher-quality public services.</w:t>
      </w:r>
    </w:p>
    <w:p w14:paraId="572612C4" w14:textId="77777777" w:rsidR="00BE0FD9" w:rsidRPr="00BE0FD9" w:rsidRDefault="00BE0FD9" w:rsidP="00BE0FD9">
      <w:pPr>
        <w:ind w:firstLine="708"/>
        <w:jc w:val="both"/>
        <w:rPr>
          <w:rFonts w:ascii="Times New Roman" w:eastAsia="Times New Roman" w:hAnsi="Times New Roman" w:cs="Times New Roman"/>
          <w:sz w:val="24"/>
          <w:szCs w:val="24"/>
          <w:shd w:val="clear" w:color="auto" w:fill="FFFFFF"/>
          <w:lang w:val="en-US"/>
        </w:rPr>
      </w:pPr>
      <w:r w:rsidRPr="00BE0FD9">
        <w:rPr>
          <w:rFonts w:ascii="Times New Roman" w:eastAsia="Times New Roman" w:hAnsi="Times New Roman" w:cs="Times New Roman"/>
          <w:sz w:val="24"/>
          <w:szCs w:val="24"/>
          <w:shd w:val="clear" w:color="auto" w:fill="FFFFFF"/>
          <w:lang w:val="en-US"/>
        </w:rPr>
        <w:t>Implementation of the PFMRP 2026–2030 should enable the development of a modern, transparent, and accountable public finance system aligned with European standards and practices. The continuation of ongoing reforms should further strengthen the public financial management system, ensuring efficiency, transparency, and accountability in line with the highest European standards.</w:t>
      </w:r>
    </w:p>
    <w:p w14:paraId="6AAAD7DF" w14:textId="77777777" w:rsidR="00BE0FD9" w:rsidRPr="00BE0FD9" w:rsidRDefault="00BE0FD9" w:rsidP="00BE0FD9">
      <w:pPr>
        <w:ind w:firstLine="708"/>
        <w:jc w:val="both"/>
        <w:rPr>
          <w:rFonts w:ascii="Times New Roman" w:eastAsia="Times New Roman" w:hAnsi="Times New Roman" w:cs="Times New Roman"/>
          <w:sz w:val="24"/>
          <w:szCs w:val="24"/>
          <w:shd w:val="clear" w:color="auto" w:fill="FFFFFF"/>
          <w:lang w:val="en-US"/>
        </w:rPr>
      </w:pPr>
      <w:r w:rsidRPr="00BE0FD9">
        <w:rPr>
          <w:rFonts w:ascii="Times New Roman" w:eastAsia="Times New Roman" w:hAnsi="Times New Roman" w:cs="Times New Roman"/>
          <w:sz w:val="24"/>
          <w:szCs w:val="24"/>
          <w:shd w:val="clear" w:color="auto" w:fill="FFFFFF"/>
          <w:lang w:val="en-US"/>
        </w:rPr>
        <w:t xml:space="preserve">Fiscal policy and the macroeconomic framework should become fully predictable and sustainable, supported by stronger expenditure discipline and improved medium-term planning, thereby strengthening the confidence of investors and citizens alike. Public revenue management should result in a more efficient and </w:t>
      </w:r>
      <w:proofErr w:type="spellStart"/>
      <w:r w:rsidRPr="00BE0FD9">
        <w:rPr>
          <w:rFonts w:ascii="Times New Roman" w:eastAsia="Times New Roman" w:hAnsi="Times New Roman" w:cs="Times New Roman"/>
          <w:sz w:val="24"/>
          <w:szCs w:val="24"/>
          <w:shd w:val="clear" w:color="auto" w:fill="FFFFFF"/>
          <w:lang w:val="en-US"/>
        </w:rPr>
        <w:t>digitalised</w:t>
      </w:r>
      <w:proofErr w:type="spellEnd"/>
      <w:r w:rsidRPr="00BE0FD9">
        <w:rPr>
          <w:rFonts w:ascii="Times New Roman" w:eastAsia="Times New Roman" w:hAnsi="Times New Roman" w:cs="Times New Roman"/>
          <w:sz w:val="24"/>
          <w:szCs w:val="24"/>
          <w:shd w:val="clear" w:color="auto" w:fill="FFFFFF"/>
          <w:lang w:val="en-US"/>
        </w:rPr>
        <w:t xml:space="preserve"> tax administration that is service-oriented and taxpayer-focused, while significantly reducing the shadow economy and strengthening tax compliance and fiscal culture.</w:t>
      </w:r>
    </w:p>
    <w:p w14:paraId="37286AB7" w14:textId="77777777" w:rsidR="00BE0FD9" w:rsidRPr="00BE0FD9" w:rsidRDefault="00BE0FD9" w:rsidP="00BE0FD9">
      <w:pPr>
        <w:ind w:firstLine="708"/>
        <w:jc w:val="both"/>
        <w:rPr>
          <w:rFonts w:ascii="Times New Roman" w:eastAsia="Times New Roman" w:hAnsi="Times New Roman" w:cs="Times New Roman"/>
          <w:sz w:val="24"/>
          <w:szCs w:val="24"/>
          <w:shd w:val="clear" w:color="auto" w:fill="FFFFFF"/>
          <w:lang w:val="en-US"/>
        </w:rPr>
      </w:pPr>
      <w:r w:rsidRPr="00BE0FD9">
        <w:rPr>
          <w:rFonts w:ascii="Times New Roman" w:eastAsia="Times New Roman" w:hAnsi="Times New Roman" w:cs="Times New Roman"/>
          <w:sz w:val="24"/>
          <w:szCs w:val="24"/>
          <w:shd w:val="clear" w:color="auto" w:fill="FFFFFF"/>
          <w:lang w:val="en-US"/>
        </w:rPr>
        <w:t>Public expenditure management should ensure that public resources are directed towards strategic priorities, with a stronger focus on measuring results and enhancing accountability for performance. Public investments should be prepared, selected, and implemented on the basis of clear criteria and long-term priorities, with full transparency and systematic monitoring of benefits for citizens and the economy.</w:t>
      </w:r>
    </w:p>
    <w:p w14:paraId="2492CD1E" w14:textId="77777777" w:rsidR="00BE0FD9" w:rsidRPr="00BE0FD9" w:rsidRDefault="00BE0FD9" w:rsidP="00BE0FD9">
      <w:pPr>
        <w:ind w:firstLine="708"/>
        <w:jc w:val="both"/>
        <w:rPr>
          <w:rFonts w:ascii="Times New Roman" w:eastAsia="Times New Roman" w:hAnsi="Times New Roman" w:cs="Times New Roman"/>
          <w:sz w:val="24"/>
          <w:szCs w:val="24"/>
          <w:shd w:val="clear" w:color="auto" w:fill="FFFFFF"/>
          <w:lang w:val="en-US"/>
        </w:rPr>
      </w:pPr>
      <w:r w:rsidRPr="00BE0FD9">
        <w:rPr>
          <w:rFonts w:ascii="Times New Roman" w:eastAsia="Times New Roman" w:hAnsi="Times New Roman" w:cs="Times New Roman"/>
          <w:sz w:val="24"/>
          <w:szCs w:val="24"/>
          <w:shd w:val="clear" w:color="auto" w:fill="FFFFFF"/>
          <w:lang w:val="en-US"/>
        </w:rPr>
        <w:t>Public procurement should become fully electronic, competitive, and resilient to abuse, thereby increasing public trust and reducing costs while adhering to European public procurement principles based on economy, efficiency, effectiveness, environmental protection, transparency, equal treatment of economic operators, and proportionality. These principles contribute to the efficient use of public resources, support economic growth, and ensure high-quality public services and a competitive business environment for citizens and businesses alike. The general objective, specific objectives, vision, and measures of the public policy framework in the area of public procurement are set out in the relevant policy documents available on the website of the Public Procurement Office.</w:t>
      </w:r>
    </w:p>
    <w:p w14:paraId="2ED3BB2F" w14:textId="77777777" w:rsidR="00BE0FD9" w:rsidRPr="00BE0FD9" w:rsidRDefault="00BE0FD9" w:rsidP="00BE0FD9">
      <w:pPr>
        <w:ind w:firstLine="708"/>
        <w:jc w:val="both"/>
        <w:rPr>
          <w:rFonts w:ascii="Times New Roman" w:eastAsia="Times New Roman" w:hAnsi="Times New Roman" w:cs="Times New Roman"/>
          <w:sz w:val="24"/>
          <w:szCs w:val="24"/>
          <w:shd w:val="clear" w:color="auto" w:fill="FFFFFF"/>
          <w:lang w:val="en-US"/>
        </w:rPr>
      </w:pPr>
      <w:r w:rsidRPr="00BE0FD9">
        <w:rPr>
          <w:rFonts w:ascii="Times New Roman" w:eastAsia="Times New Roman" w:hAnsi="Times New Roman" w:cs="Times New Roman"/>
          <w:sz w:val="24"/>
          <w:szCs w:val="24"/>
          <w:shd w:val="clear" w:color="auto" w:fill="FFFFFF"/>
          <w:lang w:val="en-US"/>
        </w:rPr>
        <w:t>Public debt management should be based on sustainability principles and modern financing instruments in order to preserve the stability of public finances and the financial independence of the state.</w:t>
      </w:r>
    </w:p>
    <w:p w14:paraId="0BC0D843" w14:textId="38B899CD" w:rsidR="00BE0FD9" w:rsidRPr="00BE0FD9" w:rsidRDefault="00BE0FD9" w:rsidP="00BE0FD9">
      <w:pPr>
        <w:ind w:firstLine="708"/>
        <w:jc w:val="both"/>
        <w:rPr>
          <w:rFonts w:ascii="Times New Roman" w:eastAsia="Times New Roman" w:hAnsi="Times New Roman" w:cs="Times New Roman"/>
          <w:sz w:val="24"/>
          <w:szCs w:val="24"/>
          <w:shd w:val="clear" w:color="auto" w:fill="FFFFFF"/>
          <w:lang w:val="en-US"/>
        </w:rPr>
      </w:pPr>
      <w:r w:rsidRPr="00BE0FD9">
        <w:rPr>
          <w:rFonts w:ascii="Times New Roman" w:eastAsia="Times New Roman" w:hAnsi="Times New Roman" w:cs="Times New Roman"/>
          <w:sz w:val="24"/>
          <w:szCs w:val="24"/>
          <w:shd w:val="clear" w:color="auto" w:fill="FFFFFF"/>
          <w:lang w:val="en-US"/>
        </w:rPr>
        <w:t>Public Internal Financial Control</w:t>
      </w:r>
      <w:r>
        <w:rPr>
          <w:rFonts w:ascii="Times New Roman" w:eastAsia="Times New Roman" w:hAnsi="Times New Roman" w:cs="Times New Roman"/>
          <w:sz w:val="24"/>
          <w:szCs w:val="24"/>
          <w:shd w:val="clear" w:color="auto" w:fill="FFFFFF"/>
          <w:lang w:val="en-US"/>
        </w:rPr>
        <w:t xml:space="preserve"> </w:t>
      </w:r>
      <w:r w:rsidRPr="00BE0FD9">
        <w:rPr>
          <w:rFonts w:ascii="Times New Roman" w:eastAsia="Times New Roman" w:hAnsi="Times New Roman" w:cs="Times New Roman"/>
          <w:sz w:val="24"/>
          <w:szCs w:val="24"/>
          <w:shd w:val="clear" w:color="auto" w:fill="FFFFFF"/>
          <w:lang w:val="en-US"/>
        </w:rPr>
        <w:t>should become a standard management practice across all public sector institutions, supported by strong internal audit mechanisms and a culture of sound financial management and accountability.</w:t>
      </w:r>
    </w:p>
    <w:p w14:paraId="0035422F" w14:textId="77777777" w:rsidR="00BE0FD9" w:rsidRPr="00BE0FD9" w:rsidRDefault="00BE0FD9" w:rsidP="00BE0FD9">
      <w:pPr>
        <w:ind w:firstLine="708"/>
        <w:jc w:val="both"/>
        <w:rPr>
          <w:rFonts w:ascii="Times New Roman" w:eastAsia="Times New Roman" w:hAnsi="Times New Roman" w:cs="Times New Roman"/>
          <w:sz w:val="24"/>
          <w:szCs w:val="24"/>
          <w:shd w:val="clear" w:color="auto" w:fill="FFFFFF"/>
          <w:lang w:val="en-US"/>
        </w:rPr>
      </w:pPr>
      <w:r w:rsidRPr="00BE0FD9">
        <w:rPr>
          <w:rFonts w:ascii="Times New Roman" w:eastAsia="Times New Roman" w:hAnsi="Times New Roman" w:cs="Times New Roman"/>
          <w:sz w:val="24"/>
          <w:szCs w:val="24"/>
          <w:shd w:val="clear" w:color="auto" w:fill="FFFFFF"/>
          <w:lang w:val="en-US"/>
        </w:rPr>
        <w:t xml:space="preserve">External audit should be fully independent and effective, with recommendations that are consistently implemented and lead to lasting improvements in public sector performance. </w:t>
      </w:r>
      <w:r w:rsidRPr="00BE0FD9">
        <w:rPr>
          <w:rFonts w:ascii="Times New Roman" w:eastAsia="Times New Roman" w:hAnsi="Times New Roman" w:cs="Times New Roman"/>
          <w:sz w:val="24"/>
          <w:szCs w:val="24"/>
          <w:shd w:val="clear" w:color="auto" w:fill="FFFFFF"/>
          <w:lang w:val="en-US"/>
        </w:rPr>
        <w:lastRenderedPageBreak/>
        <w:t xml:space="preserve">Transparency and public participation should reach a level that enables citizens and civil society </w:t>
      </w:r>
      <w:proofErr w:type="spellStart"/>
      <w:r w:rsidRPr="00BE0FD9">
        <w:rPr>
          <w:rFonts w:ascii="Times New Roman" w:eastAsia="Times New Roman" w:hAnsi="Times New Roman" w:cs="Times New Roman"/>
          <w:sz w:val="24"/>
          <w:szCs w:val="24"/>
          <w:shd w:val="clear" w:color="auto" w:fill="FFFFFF"/>
          <w:lang w:val="en-US"/>
        </w:rPr>
        <w:t>organisations</w:t>
      </w:r>
      <w:proofErr w:type="spellEnd"/>
      <w:r w:rsidRPr="00BE0FD9">
        <w:rPr>
          <w:rFonts w:ascii="Times New Roman" w:eastAsia="Times New Roman" w:hAnsi="Times New Roman" w:cs="Times New Roman"/>
          <w:sz w:val="24"/>
          <w:szCs w:val="24"/>
          <w:shd w:val="clear" w:color="auto" w:fill="FFFFFF"/>
          <w:lang w:val="en-US"/>
        </w:rPr>
        <w:t xml:space="preserve"> to actively monitor and influence the use of public funds.</w:t>
      </w:r>
    </w:p>
    <w:p w14:paraId="1638AF43" w14:textId="0F0D51F7" w:rsidR="00BE0FD9" w:rsidRPr="00BE0FD9" w:rsidRDefault="00BE0FD9" w:rsidP="00BE0FD9">
      <w:pPr>
        <w:ind w:firstLine="708"/>
        <w:jc w:val="both"/>
        <w:rPr>
          <w:rFonts w:ascii="Times New Roman" w:eastAsia="Times New Roman" w:hAnsi="Times New Roman" w:cs="Times New Roman"/>
          <w:sz w:val="24"/>
          <w:szCs w:val="24"/>
          <w:shd w:val="clear" w:color="auto" w:fill="FFFFFF"/>
          <w:lang w:val="en-US"/>
        </w:rPr>
      </w:pPr>
      <w:r w:rsidRPr="00BE0FD9">
        <w:rPr>
          <w:rFonts w:ascii="Times New Roman" w:eastAsia="Times New Roman" w:hAnsi="Times New Roman" w:cs="Times New Roman"/>
          <w:sz w:val="24"/>
          <w:szCs w:val="24"/>
          <w:shd w:val="clear" w:color="auto" w:fill="FFFFFF"/>
          <w:lang w:val="en-US"/>
        </w:rPr>
        <w:t>The envisaged change is not merely technical or administrative in nature</w:t>
      </w:r>
      <w:r>
        <w:rPr>
          <w:rFonts w:ascii="Times New Roman" w:eastAsia="Times New Roman" w:hAnsi="Times New Roman" w:cs="Times New Roman"/>
          <w:sz w:val="24"/>
          <w:szCs w:val="24"/>
          <w:shd w:val="clear" w:color="auto" w:fill="FFFFFF"/>
          <w:lang w:val="en-US"/>
        </w:rPr>
        <w:t xml:space="preserve"> -  </w:t>
      </w:r>
      <w:r w:rsidRPr="00BE0FD9">
        <w:rPr>
          <w:rFonts w:ascii="Times New Roman" w:eastAsia="Times New Roman" w:hAnsi="Times New Roman" w:cs="Times New Roman"/>
          <w:sz w:val="24"/>
          <w:szCs w:val="24"/>
          <w:shd w:val="clear" w:color="auto" w:fill="FFFFFF"/>
          <w:lang w:val="en-US"/>
        </w:rPr>
        <w:t>it represents a step towards building institutions that operate in the public interest, guided by clear rules, accountability, and measurable results. In this way, the public financial management system serves as one of the fundamental pillars of a modern state.</w:t>
      </w:r>
    </w:p>
    <w:p w14:paraId="293278FE" w14:textId="77777777" w:rsidR="00CC42FC" w:rsidRPr="00CC42FC" w:rsidRDefault="00CC42FC" w:rsidP="00666968">
      <w:pPr>
        <w:ind w:firstLine="708"/>
        <w:jc w:val="both"/>
        <w:rPr>
          <w:rFonts w:ascii="Times New Roman" w:eastAsia="Times New Roman" w:hAnsi="Times New Roman" w:cs="Times New Roman"/>
          <w:sz w:val="24"/>
          <w:szCs w:val="24"/>
          <w:shd w:val="clear" w:color="auto" w:fill="FFFFFF"/>
          <w:lang w:val="en-US"/>
        </w:rPr>
      </w:pPr>
    </w:p>
    <w:p w14:paraId="40C62BDE" w14:textId="716FD9D5" w:rsidR="00412510" w:rsidRPr="001053DB" w:rsidRDefault="00412510"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sr-Cyrl-CS"/>
        </w:rPr>
      </w:pPr>
      <w:bookmarkStart w:id="6" w:name="_Toc211860020"/>
      <w:bookmarkStart w:id="7" w:name="_Toc72488791"/>
      <w:r w:rsidRPr="001053DB">
        <w:rPr>
          <w:rFonts w:ascii="Times New Roman" w:hAnsi="Times New Roman" w:cs="Times New Roman"/>
          <w:color w:val="auto"/>
          <w:sz w:val="24"/>
          <w:szCs w:val="24"/>
          <w:lang w:val="sr-Cyrl-CS"/>
        </w:rPr>
        <w:t xml:space="preserve">II </w:t>
      </w:r>
      <w:bookmarkEnd w:id="6"/>
      <w:r w:rsidR="00BE0FD9">
        <w:rPr>
          <w:rFonts w:ascii="Times New Roman" w:hAnsi="Times New Roman" w:cs="Times New Roman"/>
          <w:color w:val="auto"/>
          <w:sz w:val="24"/>
          <w:szCs w:val="24"/>
          <w:lang w:val="en-US"/>
        </w:rPr>
        <w:t>part</w:t>
      </w:r>
      <w:r w:rsidRPr="001053DB">
        <w:rPr>
          <w:rFonts w:ascii="Times New Roman" w:hAnsi="Times New Roman" w:cs="Times New Roman"/>
          <w:color w:val="auto"/>
          <w:sz w:val="24"/>
          <w:szCs w:val="24"/>
          <w:lang w:val="sr-Cyrl-CS"/>
        </w:rPr>
        <w:t xml:space="preserve"> </w:t>
      </w:r>
    </w:p>
    <w:p w14:paraId="0D8DBBB1" w14:textId="5B98190E" w:rsidR="00412510" w:rsidRDefault="00924A95"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bookmarkStart w:id="8" w:name="_Toc211860021"/>
      <w:r>
        <w:rPr>
          <w:rFonts w:ascii="Times New Roman" w:hAnsi="Times New Roman" w:cs="Times New Roman"/>
          <w:color w:val="auto"/>
          <w:sz w:val="24"/>
          <w:szCs w:val="24"/>
          <w:lang w:val="en-US"/>
        </w:rPr>
        <w:t>general and specific objectives of the</w:t>
      </w:r>
      <w:r w:rsidR="00412510" w:rsidRPr="001053DB">
        <w:rPr>
          <w:rFonts w:ascii="Times New Roman" w:hAnsi="Times New Roman" w:cs="Times New Roman"/>
          <w:color w:val="auto"/>
          <w:sz w:val="24"/>
          <w:szCs w:val="24"/>
          <w:lang w:val="sr-Cyrl-CS"/>
        </w:rPr>
        <w:t xml:space="preserve"> </w:t>
      </w:r>
      <w:r>
        <w:rPr>
          <w:rFonts w:ascii="Times New Roman" w:hAnsi="Times New Roman" w:cs="Times New Roman"/>
          <w:color w:val="auto"/>
          <w:sz w:val="24"/>
          <w:szCs w:val="24"/>
          <w:lang w:val="en-US"/>
        </w:rPr>
        <w:t xml:space="preserve">public finance management reform programme </w:t>
      </w:r>
      <w:r w:rsidR="005E72CB" w:rsidRPr="001053DB">
        <w:rPr>
          <w:rFonts w:ascii="Times New Roman" w:hAnsi="Times New Roman" w:cs="Times New Roman"/>
          <w:color w:val="auto"/>
          <w:sz w:val="24"/>
          <w:szCs w:val="24"/>
          <w:lang w:val="sr-Cyrl-CS"/>
        </w:rPr>
        <w:t>2026</w:t>
      </w:r>
      <w:r w:rsidR="00412510" w:rsidRPr="001053DB">
        <w:rPr>
          <w:rFonts w:ascii="Times New Roman" w:hAnsi="Times New Roman" w:cs="Times New Roman"/>
          <w:color w:val="auto"/>
          <w:sz w:val="24"/>
          <w:szCs w:val="24"/>
          <w:lang w:val="sr-Cyrl-CS"/>
        </w:rPr>
        <w:t>-20</w:t>
      </w:r>
      <w:bookmarkEnd w:id="7"/>
      <w:r w:rsidR="005E72CB" w:rsidRPr="001053DB">
        <w:rPr>
          <w:rFonts w:ascii="Times New Roman" w:hAnsi="Times New Roman" w:cs="Times New Roman"/>
          <w:color w:val="auto"/>
          <w:sz w:val="24"/>
          <w:szCs w:val="24"/>
          <w:lang w:val="sr-Cyrl-CS"/>
        </w:rPr>
        <w:t>30</w:t>
      </w:r>
      <w:bookmarkEnd w:id="8"/>
      <w:r w:rsidR="00713D3C" w:rsidRPr="001053DB">
        <w:rPr>
          <w:rFonts w:ascii="Times New Roman" w:hAnsi="Times New Roman" w:cs="Times New Roman"/>
          <w:color w:val="auto"/>
          <w:sz w:val="24"/>
          <w:szCs w:val="24"/>
          <w:lang w:val="sr-Cyrl-CS"/>
        </w:rPr>
        <w:t>.</w:t>
      </w:r>
    </w:p>
    <w:p w14:paraId="2BEE2DFE" w14:textId="77777777" w:rsidR="00CC42FC" w:rsidRPr="00CC42FC" w:rsidRDefault="00CC42FC" w:rsidP="00CC42FC">
      <w:pPr>
        <w:rPr>
          <w:lang w:val="en-US"/>
        </w:rPr>
      </w:pPr>
    </w:p>
    <w:p w14:paraId="2577ED53" w14:textId="77777777" w:rsidR="00BE0FD9" w:rsidRPr="00BE0FD9" w:rsidRDefault="00BE0FD9" w:rsidP="00BE0FD9">
      <w:pPr>
        <w:ind w:firstLine="708"/>
        <w:jc w:val="both"/>
        <w:rPr>
          <w:rFonts w:ascii="Times New Roman" w:eastAsia="Times New Roman" w:hAnsi="Times New Roman" w:cs="Times New Roman"/>
          <w:sz w:val="24"/>
          <w:szCs w:val="24"/>
          <w:shd w:val="clear" w:color="auto" w:fill="FFFFFF"/>
          <w:lang w:val="en-US"/>
        </w:rPr>
      </w:pPr>
      <w:r w:rsidRPr="00BE0FD9">
        <w:rPr>
          <w:rFonts w:ascii="Times New Roman" w:eastAsia="Times New Roman" w:hAnsi="Times New Roman" w:cs="Times New Roman"/>
          <w:sz w:val="24"/>
          <w:szCs w:val="24"/>
          <w:shd w:val="clear" w:color="auto" w:fill="FFFFFF"/>
          <w:lang w:val="en-US"/>
        </w:rPr>
        <w:t>The overall objective of the PFMRP 2026–2030 is to achieve a sustainable budget with a stable public debt-to-GDP ratio through improved financial management and control, strengthened audit processes, and enhanced linkage between budget planning and Government policies. This overall objective is aligned with the Public Administration Reform Strategy 2021–2030, where it is presented as Specific Objective 7. The overall objective remains unchanged from that defined in the overarching Public Administration Reform Strategy, thereby ensuring continuity and consistency in the implementation of public policies and reforms.</w:t>
      </w:r>
    </w:p>
    <w:p w14:paraId="04D84805" w14:textId="77777777" w:rsidR="00BE0FD9" w:rsidRPr="00BE0FD9" w:rsidRDefault="00BE0FD9" w:rsidP="00BE0FD9">
      <w:pPr>
        <w:ind w:firstLine="708"/>
        <w:jc w:val="both"/>
        <w:rPr>
          <w:rFonts w:ascii="Times New Roman" w:eastAsia="Times New Roman" w:hAnsi="Times New Roman" w:cs="Times New Roman"/>
          <w:sz w:val="24"/>
          <w:szCs w:val="24"/>
          <w:shd w:val="clear" w:color="auto" w:fill="FFFFFF"/>
          <w:lang w:val="en-US"/>
        </w:rPr>
      </w:pPr>
      <w:r w:rsidRPr="00BE0FD9">
        <w:rPr>
          <w:rFonts w:ascii="Times New Roman" w:eastAsia="Times New Roman" w:hAnsi="Times New Roman" w:cs="Times New Roman"/>
          <w:sz w:val="24"/>
          <w:szCs w:val="24"/>
          <w:shd w:val="clear" w:color="auto" w:fill="FFFFFF"/>
          <w:lang w:val="en-US"/>
        </w:rPr>
        <w:t>Progress towards achieving the overall objective of the PFMRP 2026–2030 will be monitored through the following indicators:</w:t>
      </w:r>
    </w:p>
    <w:p w14:paraId="3F551BE5" w14:textId="059C31F1" w:rsidR="00210114" w:rsidRPr="001053DB" w:rsidRDefault="00924A95" w:rsidP="00DE3678">
      <w:pPr>
        <w:ind w:firstLine="708"/>
        <w:jc w:val="both"/>
        <w:rPr>
          <w:rFonts w:ascii="Times New Roman" w:eastAsia="Times New Roman" w:hAnsi="Times New Roman" w:cs="Times New Roman"/>
          <w:b/>
          <w:sz w:val="24"/>
          <w:szCs w:val="24"/>
          <w:shd w:val="clear" w:color="auto" w:fill="FFFFFF"/>
          <w:lang w:val="sr-Cyrl-CS"/>
        </w:rPr>
      </w:pPr>
      <w:r>
        <w:rPr>
          <w:rFonts w:ascii="Times New Roman" w:eastAsia="Times New Roman" w:hAnsi="Times New Roman" w:cs="Times New Roman"/>
          <w:b/>
          <w:sz w:val="24"/>
          <w:szCs w:val="24"/>
          <w:shd w:val="clear" w:color="auto" w:fill="FFFFFF"/>
          <w:lang w:val="en-US"/>
        </w:rPr>
        <w:t xml:space="preserve">Real GDP growth </w:t>
      </w:r>
      <w:r w:rsidRPr="00924A95">
        <w:rPr>
          <w:rFonts w:ascii="Times New Roman" w:eastAsia="Times New Roman" w:hAnsi="Times New Roman" w:cs="Times New Roman"/>
          <w:bCs/>
          <w:sz w:val="24"/>
          <w:szCs w:val="24"/>
          <w:shd w:val="clear" w:color="auto" w:fill="FFFFFF"/>
          <w:lang w:val="en-US"/>
        </w:rPr>
        <w:t>and</w:t>
      </w:r>
      <w:r>
        <w:rPr>
          <w:rFonts w:ascii="Times New Roman" w:eastAsia="Times New Roman" w:hAnsi="Times New Roman" w:cs="Times New Roman"/>
          <w:b/>
          <w:sz w:val="24"/>
          <w:szCs w:val="24"/>
          <w:shd w:val="clear" w:color="auto" w:fill="FFFFFF"/>
          <w:lang w:val="en-US"/>
        </w:rPr>
        <w:t xml:space="preserve"> General government debt level in GDP</w:t>
      </w:r>
      <w:r w:rsidR="005703FA" w:rsidRPr="001053DB">
        <w:rPr>
          <w:rFonts w:ascii="Times New Roman" w:eastAsia="Times New Roman" w:hAnsi="Times New Roman" w:cs="Times New Roman"/>
          <w:b/>
          <w:sz w:val="24"/>
          <w:szCs w:val="24"/>
          <w:shd w:val="clear" w:color="auto" w:fill="FFFFFF"/>
          <w:lang w:val="sr-Cyrl-CS"/>
        </w:rPr>
        <w:t>.</w:t>
      </w:r>
    </w:p>
    <w:p w14:paraId="1784E4BF" w14:textId="77777777" w:rsidR="00924A95" w:rsidRDefault="00924A95" w:rsidP="009B3230">
      <w:pPr>
        <w:ind w:firstLine="708"/>
        <w:jc w:val="both"/>
        <w:rPr>
          <w:rFonts w:ascii="Times New Roman" w:eastAsia="Times New Roman" w:hAnsi="Times New Roman" w:cs="Times New Roman"/>
          <w:sz w:val="24"/>
          <w:szCs w:val="24"/>
          <w:shd w:val="clear" w:color="auto" w:fill="FFFFFF"/>
          <w:lang w:val="en-US"/>
        </w:rPr>
      </w:pPr>
      <w:r w:rsidRPr="00924A95">
        <w:rPr>
          <w:rFonts w:ascii="Times New Roman" w:eastAsia="Times New Roman" w:hAnsi="Times New Roman" w:cs="Times New Roman"/>
          <w:sz w:val="24"/>
          <w:szCs w:val="24"/>
          <w:shd w:val="clear" w:color="auto" w:fill="FFFFFF"/>
        </w:rPr>
        <w:t xml:space="preserve">The </w:t>
      </w:r>
      <w:r w:rsidRPr="00924A95">
        <w:rPr>
          <w:rFonts w:ascii="Times New Roman" w:eastAsia="Times New Roman" w:hAnsi="Times New Roman" w:cs="Times New Roman"/>
          <w:b/>
          <w:bCs/>
          <w:sz w:val="24"/>
          <w:szCs w:val="24"/>
          <w:shd w:val="clear" w:color="auto" w:fill="FFFFFF"/>
        </w:rPr>
        <w:t>specific objectives of the PFMRP 2026–2030</w:t>
      </w:r>
      <w:r w:rsidRPr="00924A95">
        <w:rPr>
          <w:rFonts w:ascii="Times New Roman" w:eastAsia="Times New Roman" w:hAnsi="Times New Roman" w:cs="Times New Roman"/>
          <w:sz w:val="24"/>
          <w:szCs w:val="24"/>
          <w:shd w:val="clear" w:color="auto" w:fill="FFFFFF"/>
        </w:rPr>
        <w:t xml:space="preserve"> also remain unchanged compared to the previous programme, as they are defined by the Public Administration Reform Strategy:</w:t>
      </w:r>
    </w:p>
    <w:p w14:paraId="2C9F15BF" w14:textId="7F83EE69" w:rsidR="00DE53A1" w:rsidRPr="001053DB" w:rsidRDefault="00924A95" w:rsidP="009B3230">
      <w:pPr>
        <w:ind w:firstLine="708"/>
        <w:jc w:val="both"/>
        <w:rPr>
          <w:rFonts w:ascii="Times New Roman" w:eastAsia="Times New Roman" w:hAnsi="Times New Roman" w:cs="Times New Roman"/>
          <w:sz w:val="24"/>
          <w:szCs w:val="24"/>
          <w:shd w:val="clear" w:color="auto" w:fill="FFFFFF"/>
          <w:lang w:val="sr-Cyrl-CS"/>
        </w:rPr>
      </w:pPr>
      <w:r>
        <w:rPr>
          <w:rFonts w:ascii="Times New Roman" w:eastAsia="Times New Roman" w:hAnsi="Times New Roman" w:cs="Times New Roman"/>
          <w:b/>
          <w:sz w:val="24"/>
          <w:szCs w:val="24"/>
          <w:shd w:val="clear" w:color="auto" w:fill="FFFFFF"/>
          <w:lang w:val="en-US"/>
        </w:rPr>
        <w:t>Specific objective</w:t>
      </w:r>
      <w:r w:rsidR="00194A08" w:rsidRPr="001053DB">
        <w:rPr>
          <w:rFonts w:ascii="Times New Roman" w:eastAsia="Times New Roman" w:hAnsi="Times New Roman" w:cs="Times New Roman"/>
          <w:b/>
          <w:sz w:val="24"/>
          <w:szCs w:val="24"/>
          <w:shd w:val="clear" w:color="auto" w:fill="FFFFFF"/>
          <w:lang w:val="sr-Cyrl-CS"/>
        </w:rPr>
        <w:t xml:space="preserve"> I</w:t>
      </w:r>
      <w:r w:rsidR="009773F3" w:rsidRPr="001053DB">
        <w:rPr>
          <w:rFonts w:ascii="Times New Roman" w:eastAsia="Times New Roman" w:hAnsi="Times New Roman" w:cs="Times New Roman"/>
          <w:sz w:val="24"/>
          <w:szCs w:val="24"/>
          <w:shd w:val="clear" w:color="auto" w:fill="FFFFFF"/>
          <w:lang w:val="sr-Cyrl-CS"/>
        </w:rPr>
        <w:t xml:space="preserve"> – </w:t>
      </w:r>
      <w:r>
        <w:rPr>
          <w:rFonts w:ascii="Times New Roman" w:eastAsia="Times New Roman" w:hAnsi="Times New Roman" w:cs="Times New Roman"/>
          <w:sz w:val="24"/>
          <w:szCs w:val="24"/>
          <w:shd w:val="clear" w:color="auto" w:fill="FFFFFF"/>
          <w:lang w:val="en-US"/>
        </w:rPr>
        <w:t>Capacity for budget planning and public investment management improved</w:t>
      </w:r>
      <w:r w:rsidR="00770F6D" w:rsidRPr="001053DB">
        <w:rPr>
          <w:rFonts w:ascii="Times New Roman" w:eastAsia="Times New Roman" w:hAnsi="Times New Roman" w:cs="Times New Roman"/>
          <w:sz w:val="24"/>
          <w:szCs w:val="24"/>
          <w:shd w:val="clear" w:color="auto" w:fill="FFFFFF"/>
          <w:lang w:val="sr-Cyrl-CS"/>
        </w:rPr>
        <w:t>,</w:t>
      </w:r>
    </w:p>
    <w:p w14:paraId="6E121581" w14:textId="416E05FF" w:rsidR="005703FA" w:rsidRPr="001053DB" w:rsidRDefault="00924A95" w:rsidP="009B3230">
      <w:pPr>
        <w:ind w:firstLine="708"/>
        <w:jc w:val="both"/>
        <w:rPr>
          <w:rFonts w:ascii="Times New Roman" w:eastAsia="Times New Roman" w:hAnsi="Times New Roman" w:cs="Times New Roman"/>
          <w:sz w:val="24"/>
          <w:szCs w:val="24"/>
          <w:shd w:val="clear" w:color="auto" w:fill="FFFFFF"/>
          <w:lang w:val="sr-Cyrl-CS"/>
        </w:rPr>
      </w:pPr>
      <w:r>
        <w:rPr>
          <w:rFonts w:ascii="Times New Roman" w:eastAsia="Times New Roman" w:hAnsi="Times New Roman" w:cs="Times New Roman"/>
          <w:b/>
          <w:sz w:val="24"/>
          <w:szCs w:val="24"/>
          <w:shd w:val="clear" w:color="auto" w:fill="FFFFFF"/>
          <w:lang w:val="en-US"/>
        </w:rPr>
        <w:t xml:space="preserve">Specific objective </w:t>
      </w:r>
      <w:r w:rsidR="00194A08" w:rsidRPr="001053DB">
        <w:rPr>
          <w:rFonts w:ascii="Times New Roman" w:eastAsia="Times New Roman" w:hAnsi="Times New Roman" w:cs="Times New Roman"/>
          <w:b/>
          <w:sz w:val="24"/>
          <w:szCs w:val="24"/>
          <w:shd w:val="clear" w:color="auto" w:fill="FFFFFF"/>
          <w:lang w:val="sr-Cyrl-CS"/>
        </w:rPr>
        <w:t>II</w:t>
      </w:r>
      <w:r w:rsidR="00DE53A1" w:rsidRPr="001053DB">
        <w:rPr>
          <w:rFonts w:ascii="Times New Roman" w:eastAsia="Times New Roman" w:hAnsi="Times New Roman" w:cs="Times New Roman"/>
          <w:sz w:val="24"/>
          <w:szCs w:val="24"/>
          <w:shd w:val="clear" w:color="auto" w:fill="FFFFFF"/>
          <w:lang w:val="sr-Cyrl-CS"/>
        </w:rPr>
        <w:t xml:space="preserve"> – </w:t>
      </w:r>
      <w:r>
        <w:rPr>
          <w:rFonts w:ascii="Times New Roman" w:eastAsia="Times New Roman" w:hAnsi="Times New Roman" w:cs="Times New Roman"/>
          <w:sz w:val="24"/>
          <w:szCs w:val="24"/>
          <w:shd w:val="clear" w:color="auto" w:fill="FFFFFF"/>
          <w:lang w:val="en-US"/>
        </w:rPr>
        <w:t>Efficient collection and management of budget funds</w:t>
      </w:r>
      <w:r w:rsidR="00770F6D" w:rsidRPr="001053DB">
        <w:rPr>
          <w:rFonts w:ascii="Times New Roman" w:eastAsia="Times New Roman" w:hAnsi="Times New Roman" w:cs="Times New Roman"/>
          <w:sz w:val="24"/>
          <w:szCs w:val="24"/>
          <w:shd w:val="clear" w:color="auto" w:fill="FFFFFF"/>
          <w:lang w:val="sr-Cyrl-CS"/>
        </w:rPr>
        <w:t>,</w:t>
      </w:r>
    </w:p>
    <w:p w14:paraId="46CFDCE4" w14:textId="6DDF1A2E" w:rsidR="005703FA" w:rsidRPr="001053DB" w:rsidRDefault="00924A95" w:rsidP="009B3230">
      <w:pPr>
        <w:ind w:firstLine="708"/>
        <w:jc w:val="both"/>
        <w:rPr>
          <w:rFonts w:ascii="Times New Roman" w:eastAsia="Times New Roman" w:hAnsi="Times New Roman" w:cs="Times New Roman"/>
          <w:sz w:val="24"/>
          <w:szCs w:val="24"/>
          <w:shd w:val="clear" w:color="auto" w:fill="FFFFFF"/>
          <w:lang w:val="sr-Cyrl-CS"/>
        </w:rPr>
      </w:pPr>
      <w:r>
        <w:rPr>
          <w:rFonts w:ascii="Times New Roman" w:eastAsia="Times New Roman" w:hAnsi="Times New Roman" w:cs="Times New Roman"/>
          <w:b/>
          <w:sz w:val="24"/>
          <w:szCs w:val="24"/>
          <w:shd w:val="clear" w:color="auto" w:fill="FFFFFF"/>
          <w:lang w:val="en-US"/>
        </w:rPr>
        <w:t>Specific objective</w:t>
      </w:r>
      <w:r w:rsidRPr="001053DB">
        <w:rPr>
          <w:rFonts w:ascii="Times New Roman" w:eastAsia="Times New Roman" w:hAnsi="Times New Roman" w:cs="Times New Roman"/>
          <w:b/>
          <w:sz w:val="24"/>
          <w:szCs w:val="24"/>
          <w:shd w:val="clear" w:color="auto" w:fill="FFFFFF"/>
          <w:lang w:val="sr-Cyrl-CS"/>
        </w:rPr>
        <w:t xml:space="preserve"> </w:t>
      </w:r>
      <w:r w:rsidR="00194A08" w:rsidRPr="001053DB">
        <w:rPr>
          <w:rFonts w:ascii="Times New Roman" w:eastAsia="Times New Roman" w:hAnsi="Times New Roman" w:cs="Times New Roman"/>
          <w:b/>
          <w:sz w:val="24"/>
          <w:szCs w:val="24"/>
          <w:shd w:val="clear" w:color="auto" w:fill="FFFFFF"/>
          <w:lang w:val="sr-Cyrl-CS"/>
        </w:rPr>
        <w:t>III</w:t>
      </w:r>
      <w:r w:rsidR="00A04032" w:rsidRPr="001053DB">
        <w:rPr>
          <w:rFonts w:ascii="Times New Roman" w:eastAsia="Times New Roman" w:hAnsi="Times New Roman" w:cs="Times New Roman"/>
          <w:sz w:val="24"/>
          <w:szCs w:val="24"/>
          <w:shd w:val="clear" w:color="auto" w:fill="FFFFFF"/>
          <w:lang w:val="sr-Cyrl-CS"/>
        </w:rPr>
        <w:t xml:space="preserve"> – </w:t>
      </w:r>
      <w:r>
        <w:rPr>
          <w:rFonts w:ascii="Times New Roman" w:eastAsia="Times New Roman" w:hAnsi="Times New Roman" w:cs="Times New Roman"/>
          <w:sz w:val="24"/>
          <w:szCs w:val="24"/>
          <w:shd w:val="clear" w:color="auto" w:fill="FFFFFF"/>
          <w:lang w:val="en-US"/>
        </w:rPr>
        <w:t>Improved budget discipline and more transparent use of budget funds</w:t>
      </w:r>
      <w:r w:rsidR="00770F6D" w:rsidRPr="001053DB">
        <w:rPr>
          <w:rFonts w:ascii="Times New Roman" w:eastAsia="Times New Roman" w:hAnsi="Times New Roman" w:cs="Times New Roman"/>
          <w:sz w:val="24"/>
          <w:szCs w:val="24"/>
          <w:shd w:val="clear" w:color="auto" w:fill="FFFFFF"/>
          <w:lang w:val="sr-Cyrl-CS"/>
        </w:rPr>
        <w:t>,</w:t>
      </w:r>
    </w:p>
    <w:p w14:paraId="2F59E761" w14:textId="2DAD5ADD" w:rsidR="00300E27" w:rsidRPr="001053DB" w:rsidRDefault="00924A95" w:rsidP="009B3230">
      <w:pPr>
        <w:ind w:firstLine="708"/>
        <w:jc w:val="both"/>
        <w:rPr>
          <w:rFonts w:ascii="Times New Roman" w:eastAsia="Times New Roman" w:hAnsi="Times New Roman" w:cs="Times New Roman"/>
          <w:sz w:val="24"/>
          <w:szCs w:val="24"/>
          <w:shd w:val="clear" w:color="auto" w:fill="FFFFFF"/>
          <w:lang w:val="sr-Cyrl-CS"/>
        </w:rPr>
      </w:pPr>
      <w:r>
        <w:rPr>
          <w:rFonts w:ascii="Times New Roman" w:eastAsia="Times New Roman" w:hAnsi="Times New Roman" w:cs="Times New Roman"/>
          <w:b/>
          <w:sz w:val="24"/>
          <w:szCs w:val="24"/>
          <w:shd w:val="clear" w:color="auto" w:fill="FFFFFF"/>
          <w:lang w:val="en-US"/>
        </w:rPr>
        <w:t>Specific objective</w:t>
      </w:r>
      <w:r w:rsidR="00194A08" w:rsidRPr="001053DB">
        <w:rPr>
          <w:rFonts w:ascii="Times New Roman" w:eastAsia="Times New Roman" w:hAnsi="Times New Roman" w:cs="Times New Roman"/>
          <w:b/>
          <w:sz w:val="24"/>
          <w:szCs w:val="24"/>
          <w:shd w:val="clear" w:color="auto" w:fill="FFFFFF"/>
          <w:lang w:val="sr-Cyrl-CS"/>
        </w:rPr>
        <w:t xml:space="preserve"> IV</w:t>
      </w:r>
      <w:r w:rsidR="00300E27" w:rsidRPr="001053DB">
        <w:rPr>
          <w:rFonts w:ascii="Times New Roman" w:eastAsia="Times New Roman" w:hAnsi="Times New Roman" w:cs="Times New Roman"/>
          <w:sz w:val="24"/>
          <w:szCs w:val="24"/>
          <w:shd w:val="clear" w:color="auto" w:fill="FFFFFF"/>
          <w:lang w:val="sr-Cyrl-CS"/>
        </w:rPr>
        <w:t xml:space="preserve"> –</w:t>
      </w:r>
      <w:r w:rsidR="00DE6E89">
        <w:rPr>
          <w:rFonts w:ascii="Times New Roman" w:eastAsia="Times New Roman" w:hAnsi="Times New Roman" w:cs="Times New Roman"/>
          <w:sz w:val="24"/>
          <w:szCs w:val="24"/>
          <w:shd w:val="clear" w:color="auto" w:fill="FFFFFF"/>
          <w:lang w:val="en-US"/>
        </w:rPr>
        <w:t xml:space="preserve"> Improvement of the application of the internal financial control system in public sector</w:t>
      </w:r>
      <w:r w:rsidR="00770F6D" w:rsidRPr="001053DB">
        <w:rPr>
          <w:rFonts w:ascii="Times New Roman" w:eastAsia="Times New Roman" w:hAnsi="Times New Roman" w:cs="Times New Roman"/>
          <w:sz w:val="24"/>
          <w:szCs w:val="24"/>
          <w:shd w:val="clear" w:color="auto" w:fill="FFFFFF"/>
          <w:lang w:val="sr-Cyrl-CS"/>
        </w:rPr>
        <w:t>,</w:t>
      </w:r>
    </w:p>
    <w:p w14:paraId="270E31D5" w14:textId="3638716F" w:rsidR="00300E27" w:rsidRPr="001053DB" w:rsidRDefault="00924A95" w:rsidP="009B3230">
      <w:pPr>
        <w:ind w:firstLine="708"/>
        <w:jc w:val="both"/>
        <w:rPr>
          <w:rFonts w:ascii="Times New Roman" w:eastAsia="Times New Roman" w:hAnsi="Times New Roman" w:cs="Times New Roman"/>
          <w:sz w:val="24"/>
          <w:szCs w:val="24"/>
          <w:shd w:val="clear" w:color="auto" w:fill="FFFFFF"/>
          <w:lang w:val="sr-Cyrl-CS"/>
        </w:rPr>
      </w:pPr>
      <w:r>
        <w:rPr>
          <w:rFonts w:ascii="Times New Roman" w:eastAsia="Times New Roman" w:hAnsi="Times New Roman" w:cs="Times New Roman"/>
          <w:b/>
          <w:sz w:val="24"/>
          <w:szCs w:val="24"/>
          <w:shd w:val="clear" w:color="auto" w:fill="FFFFFF"/>
          <w:lang w:val="en-US"/>
        </w:rPr>
        <w:t>Specific objective</w:t>
      </w:r>
      <w:r w:rsidRPr="001053DB">
        <w:rPr>
          <w:rFonts w:ascii="Times New Roman" w:eastAsia="Times New Roman" w:hAnsi="Times New Roman" w:cs="Times New Roman"/>
          <w:b/>
          <w:sz w:val="24"/>
          <w:szCs w:val="24"/>
          <w:shd w:val="clear" w:color="auto" w:fill="FFFFFF"/>
          <w:lang w:val="sr-Cyrl-CS"/>
        </w:rPr>
        <w:t xml:space="preserve"> </w:t>
      </w:r>
      <w:r w:rsidR="00194A08" w:rsidRPr="001053DB">
        <w:rPr>
          <w:rFonts w:ascii="Times New Roman" w:eastAsia="Times New Roman" w:hAnsi="Times New Roman" w:cs="Times New Roman"/>
          <w:b/>
          <w:sz w:val="24"/>
          <w:szCs w:val="24"/>
          <w:shd w:val="clear" w:color="auto" w:fill="FFFFFF"/>
          <w:lang w:val="sr-Cyrl-CS"/>
        </w:rPr>
        <w:t>V</w:t>
      </w:r>
      <w:r w:rsidR="00300E27" w:rsidRPr="001053DB">
        <w:rPr>
          <w:rFonts w:ascii="Times New Roman" w:eastAsia="Times New Roman" w:hAnsi="Times New Roman" w:cs="Times New Roman"/>
          <w:sz w:val="24"/>
          <w:szCs w:val="24"/>
          <w:shd w:val="clear" w:color="auto" w:fill="FFFFFF"/>
          <w:lang w:val="sr-Cyrl-CS"/>
        </w:rPr>
        <w:t xml:space="preserve"> – </w:t>
      </w:r>
      <w:r w:rsidR="00DE6E89">
        <w:rPr>
          <w:rFonts w:ascii="Times New Roman" w:eastAsia="Times New Roman" w:hAnsi="Times New Roman" w:cs="Times New Roman"/>
          <w:sz w:val="24"/>
          <w:szCs w:val="24"/>
          <w:shd w:val="clear" w:color="auto" w:fill="FFFFFF"/>
          <w:lang w:val="en-US"/>
        </w:rPr>
        <w:t>Improved accounting in the public sector through application of International public sector accounting standards</w:t>
      </w:r>
      <w:r w:rsidR="00C02DA2" w:rsidRPr="001053DB">
        <w:rPr>
          <w:rFonts w:ascii="Times New Roman" w:eastAsia="Times New Roman" w:hAnsi="Times New Roman" w:cs="Times New Roman"/>
          <w:sz w:val="24"/>
          <w:szCs w:val="24"/>
          <w:shd w:val="clear" w:color="auto" w:fill="FFFFFF"/>
          <w:lang w:val="sr-Cyrl-CS"/>
        </w:rPr>
        <w:t xml:space="preserve"> </w:t>
      </w:r>
      <w:r w:rsidR="00B103AC" w:rsidRPr="001053DB">
        <w:rPr>
          <w:rFonts w:ascii="Times New Roman" w:eastAsia="Times New Roman" w:hAnsi="Times New Roman" w:cs="Times New Roman"/>
          <w:sz w:val="24"/>
          <w:szCs w:val="24"/>
          <w:shd w:val="clear" w:color="auto" w:fill="FFFFFF"/>
          <w:lang w:val="sr-Cyrl-CS"/>
        </w:rPr>
        <w:t>(</w:t>
      </w:r>
      <w:r w:rsidR="00B103AC" w:rsidRPr="00DE6E89">
        <w:rPr>
          <w:rFonts w:ascii="Times New Roman" w:eastAsia="Times New Roman" w:hAnsi="Times New Roman" w:cs="Times New Roman"/>
          <w:iCs/>
          <w:sz w:val="24"/>
          <w:szCs w:val="24"/>
          <w:shd w:val="clear" w:color="auto" w:fill="FFFFFF"/>
          <w:lang w:val="sr-Cyrl-CS"/>
        </w:rPr>
        <w:t>IPSAS</w:t>
      </w:r>
      <w:r w:rsidR="00B103AC" w:rsidRPr="001053DB">
        <w:rPr>
          <w:rFonts w:ascii="Times New Roman" w:eastAsia="Times New Roman" w:hAnsi="Times New Roman" w:cs="Times New Roman"/>
          <w:sz w:val="24"/>
          <w:szCs w:val="24"/>
          <w:shd w:val="clear" w:color="auto" w:fill="FFFFFF"/>
          <w:lang w:val="sr-Cyrl-CS"/>
        </w:rPr>
        <w:t>)</w:t>
      </w:r>
      <w:r w:rsidR="00F47A31" w:rsidRPr="001053DB">
        <w:rPr>
          <w:rFonts w:ascii="Times New Roman" w:eastAsia="Times New Roman" w:hAnsi="Times New Roman" w:cs="Times New Roman"/>
          <w:sz w:val="24"/>
          <w:szCs w:val="24"/>
          <w:shd w:val="clear" w:color="auto" w:fill="FFFFFF"/>
          <w:lang w:val="sr-Cyrl-CS"/>
        </w:rPr>
        <w:t>,</w:t>
      </w:r>
      <w:r w:rsidR="00C02DA2" w:rsidRPr="001053DB">
        <w:rPr>
          <w:rFonts w:ascii="Times New Roman" w:eastAsia="Times New Roman" w:hAnsi="Times New Roman" w:cs="Times New Roman"/>
          <w:sz w:val="24"/>
          <w:szCs w:val="24"/>
          <w:shd w:val="clear" w:color="auto" w:fill="FFFFFF"/>
          <w:lang w:val="sr-Cyrl-CS"/>
        </w:rPr>
        <w:t xml:space="preserve"> </w:t>
      </w:r>
    </w:p>
    <w:p w14:paraId="669A77B1" w14:textId="56D944D6" w:rsidR="00300E27" w:rsidRPr="001053DB" w:rsidRDefault="00924A95" w:rsidP="009B3230">
      <w:pPr>
        <w:ind w:firstLine="708"/>
        <w:jc w:val="both"/>
        <w:rPr>
          <w:rFonts w:ascii="Times New Roman" w:eastAsia="Times New Roman" w:hAnsi="Times New Roman" w:cs="Times New Roman"/>
          <w:sz w:val="24"/>
          <w:szCs w:val="24"/>
          <w:shd w:val="clear" w:color="auto" w:fill="FFFFFF"/>
          <w:lang w:val="sr-Cyrl-CS"/>
        </w:rPr>
      </w:pPr>
      <w:r>
        <w:rPr>
          <w:rFonts w:ascii="Times New Roman" w:eastAsia="Times New Roman" w:hAnsi="Times New Roman" w:cs="Times New Roman"/>
          <w:b/>
          <w:sz w:val="24"/>
          <w:szCs w:val="24"/>
          <w:shd w:val="clear" w:color="auto" w:fill="FFFFFF"/>
          <w:lang w:val="en-US"/>
        </w:rPr>
        <w:t>Specific objective</w:t>
      </w:r>
      <w:r w:rsidRPr="001053DB">
        <w:rPr>
          <w:rFonts w:ascii="Times New Roman" w:eastAsia="Times New Roman" w:hAnsi="Times New Roman" w:cs="Times New Roman"/>
          <w:b/>
          <w:sz w:val="24"/>
          <w:szCs w:val="24"/>
          <w:shd w:val="clear" w:color="auto" w:fill="FFFFFF"/>
          <w:lang w:val="sr-Cyrl-CS"/>
        </w:rPr>
        <w:t xml:space="preserve"> </w:t>
      </w:r>
      <w:r w:rsidR="00194A08" w:rsidRPr="001053DB">
        <w:rPr>
          <w:rFonts w:ascii="Times New Roman" w:eastAsia="Times New Roman" w:hAnsi="Times New Roman" w:cs="Times New Roman"/>
          <w:b/>
          <w:sz w:val="24"/>
          <w:szCs w:val="24"/>
          <w:shd w:val="clear" w:color="auto" w:fill="FFFFFF"/>
          <w:lang w:val="sr-Cyrl-CS"/>
        </w:rPr>
        <w:t>VI</w:t>
      </w:r>
      <w:r w:rsidR="00300E27" w:rsidRPr="001053DB">
        <w:rPr>
          <w:rFonts w:ascii="Times New Roman" w:eastAsia="Times New Roman" w:hAnsi="Times New Roman" w:cs="Times New Roman"/>
          <w:sz w:val="24"/>
          <w:szCs w:val="24"/>
          <w:shd w:val="clear" w:color="auto" w:fill="FFFFFF"/>
          <w:lang w:val="sr-Cyrl-CS"/>
        </w:rPr>
        <w:t xml:space="preserve"> </w:t>
      </w:r>
      <w:r w:rsidR="002B0582" w:rsidRPr="001053DB">
        <w:rPr>
          <w:rFonts w:ascii="Times New Roman" w:eastAsia="Times New Roman" w:hAnsi="Times New Roman" w:cs="Times New Roman"/>
          <w:sz w:val="24"/>
          <w:szCs w:val="24"/>
          <w:shd w:val="clear" w:color="auto" w:fill="FFFFFF"/>
          <w:lang w:val="sr-Cyrl-CS"/>
        </w:rPr>
        <w:t>–</w:t>
      </w:r>
      <w:r w:rsidR="00300E27" w:rsidRPr="001053DB">
        <w:rPr>
          <w:rFonts w:ascii="Times New Roman" w:eastAsia="Times New Roman" w:hAnsi="Times New Roman" w:cs="Times New Roman"/>
          <w:sz w:val="24"/>
          <w:szCs w:val="24"/>
          <w:shd w:val="clear" w:color="auto" w:fill="FFFFFF"/>
          <w:lang w:val="sr-Cyrl-CS"/>
        </w:rPr>
        <w:t xml:space="preserve"> </w:t>
      </w:r>
      <w:r w:rsidR="00DE6E89">
        <w:rPr>
          <w:rFonts w:ascii="Times New Roman" w:eastAsia="Times New Roman" w:hAnsi="Times New Roman" w:cs="Times New Roman"/>
          <w:sz w:val="24"/>
          <w:szCs w:val="24"/>
          <w:shd w:val="clear" w:color="auto" w:fill="FFFFFF"/>
          <w:lang w:val="en-US"/>
        </w:rPr>
        <w:t>External oversight of public finances enhanced</w:t>
      </w:r>
      <w:r w:rsidR="002B0582" w:rsidRPr="001053DB">
        <w:rPr>
          <w:rFonts w:ascii="Times New Roman" w:eastAsia="Times New Roman" w:hAnsi="Times New Roman" w:cs="Times New Roman"/>
          <w:sz w:val="24"/>
          <w:szCs w:val="24"/>
          <w:shd w:val="clear" w:color="auto" w:fill="FFFFFF"/>
          <w:lang w:val="sr-Cyrl-CS"/>
        </w:rPr>
        <w:t>.</w:t>
      </w:r>
    </w:p>
    <w:p w14:paraId="68B0E1C3" w14:textId="77777777" w:rsidR="00DE6E89" w:rsidRPr="00DE6E89" w:rsidRDefault="00DE6E89" w:rsidP="00DE6E89">
      <w:pPr>
        <w:ind w:firstLine="708"/>
        <w:jc w:val="both"/>
        <w:rPr>
          <w:rFonts w:ascii="Times New Roman" w:eastAsia="Times New Roman" w:hAnsi="Times New Roman" w:cs="Times New Roman"/>
          <w:sz w:val="24"/>
          <w:szCs w:val="24"/>
          <w:shd w:val="clear" w:color="auto" w:fill="FFFFFF"/>
          <w:lang w:val="en-US"/>
        </w:rPr>
      </w:pPr>
      <w:r w:rsidRPr="00DE6E89">
        <w:rPr>
          <w:rFonts w:ascii="Times New Roman" w:eastAsia="Times New Roman" w:hAnsi="Times New Roman" w:cs="Times New Roman"/>
          <w:sz w:val="24"/>
          <w:szCs w:val="24"/>
          <w:shd w:val="clear" w:color="auto" w:fill="FFFFFF"/>
          <w:lang w:val="en-US"/>
        </w:rPr>
        <w:t>The objectives, measures, and activities under each specific objective of the PFMRP</w:t>
      </w:r>
      <w:r w:rsidRPr="00DE6E89">
        <w:rPr>
          <w:rFonts w:ascii="Times New Roman" w:eastAsia="Times New Roman" w:hAnsi="Times New Roman" w:cs="Times New Roman"/>
          <w:b/>
          <w:bCs/>
          <w:sz w:val="24"/>
          <w:szCs w:val="24"/>
          <w:shd w:val="clear" w:color="auto" w:fill="FFFFFF"/>
          <w:lang w:val="en-US"/>
        </w:rPr>
        <w:t xml:space="preserve"> </w:t>
      </w:r>
      <w:r w:rsidRPr="00DE6E89">
        <w:rPr>
          <w:rFonts w:ascii="Times New Roman" w:eastAsia="Times New Roman" w:hAnsi="Times New Roman" w:cs="Times New Roman"/>
          <w:sz w:val="24"/>
          <w:szCs w:val="24"/>
          <w:shd w:val="clear" w:color="auto" w:fill="FFFFFF"/>
          <w:lang w:val="en-US"/>
        </w:rPr>
        <w:t xml:space="preserve">2026–2030 have been designed to strengthen the legal and </w:t>
      </w:r>
      <w:proofErr w:type="spellStart"/>
      <w:r w:rsidRPr="00DE6E89">
        <w:rPr>
          <w:rFonts w:ascii="Times New Roman" w:eastAsia="Times New Roman" w:hAnsi="Times New Roman" w:cs="Times New Roman"/>
          <w:sz w:val="24"/>
          <w:szCs w:val="24"/>
          <w:shd w:val="clear" w:color="auto" w:fill="FFFFFF"/>
          <w:lang w:val="en-US"/>
        </w:rPr>
        <w:t>organisational</w:t>
      </w:r>
      <w:proofErr w:type="spellEnd"/>
      <w:r w:rsidRPr="00DE6E89">
        <w:rPr>
          <w:rFonts w:ascii="Times New Roman" w:eastAsia="Times New Roman" w:hAnsi="Times New Roman" w:cs="Times New Roman"/>
          <w:sz w:val="24"/>
          <w:szCs w:val="24"/>
          <w:shd w:val="clear" w:color="auto" w:fill="FFFFFF"/>
          <w:lang w:val="en-US"/>
        </w:rPr>
        <w:t xml:space="preserve"> framework, as well </w:t>
      </w:r>
      <w:r w:rsidRPr="00DE6E89">
        <w:rPr>
          <w:rFonts w:ascii="Times New Roman" w:eastAsia="Times New Roman" w:hAnsi="Times New Roman" w:cs="Times New Roman"/>
          <w:sz w:val="24"/>
          <w:szCs w:val="24"/>
          <w:shd w:val="clear" w:color="auto" w:fill="FFFFFF"/>
          <w:lang w:val="en-US"/>
        </w:rPr>
        <w:lastRenderedPageBreak/>
        <w:t>as human resource and technical capacities in the field of public financial management. These initiatives aim to ensure compliance with obligations arising from the European integration process and alignment with international standards.</w:t>
      </w:r>
    </w:p>
    <w:p w14:paraId="64D1E99A" w14:textId="77777777" w:rsidR="00DE6E89" w:rsidRPr="00DE6E89" w:rsidRDefault="00DE6E89" w:rsidP="00DE6E89">
      <w:pPr>
        <w:ind w:firstLine="708"/>
        <w:jc w:val="both"/>
        <w:rPr>
          <w:rFonts w:ascii="Times New Roman" w:eastAsia="Times New Roman" w:hAnsi="Times New Roman" w:cs="Times New Roman"/>
          <w:sz w:val="24"/>
          <w:szCs w:val="24"/>
          <w:shd w:val="clear" w:color="auto" w:fill="FFFFFF"/>
          <w:lang w:val="en-US"/>
        </w:rPr>
      </w:pPr>
      <w:r w:rsidRPr="00DE6E89">
        <w:rPr>
          <w:rFonts w:ascii="Times New Roman" w:eastAsia="Times New Roman" w:hAnsi="Times New Roman" w:cs="Times New Roman"/>
          <w:sz w:val="24"/>
          <w:szCs w:val="24"/>
          <w:shd w:val="clear" w:color="auto" w:fill="FFFFFF"/>
          <w:lang w:val="en-US"/>
        </w:rPr>
        <w:t>Particular attention has been devoted to the formulation of indicators at the level of specific objectives and measures, with the aim of improving their quality compared to the previous programme and ensuring that they adequately reflect progress within the public financial management system.</w:t>
      </w:r>
    </w:p>
    <w:p w14:paraId="2E0EEEEA" w14:textId="27C9B5A5" w:rsidR="00F83FF2" w:rsidRPr="00DE6E89" w:rsidRDefault="00DE6E89" w:rsidP="00DE6E89">
      <w:pPr>
        <w:ind w:firstLine="708"/>
        <w:jc w:val="both"/>
        <w:rPr>
          <w:rFonts w:ascii="Times New Roman" w:eastAsia="Times New Roman" w:hAnsi="Times New Roman" w:cs="Times New Roman"/>
          <w:sz w:val="24"/>
          <w:szCs w:val="24"/>
          <w:shd w:val="clear" w:color="auto" w:fill="FFFFFF"/>
          <w:lang w:val="en-US"/>
        </w:rPr>
      </w:pPr>
      <w:r w:rsidRPr="00DE6E89">
        <w:rPr>
          <w:rFonts w:ascii="Times New Roman" w:eastAsia="Times New Roman" w:hAnsi="Times New Roman" w:cs="Times New Roman"/>
          <w:sz w:val="24"/>
          <w:szCs w:val="24"/>
          <w:shd w:val="clear" w:color="auto" w:fill="FFFFFF"/>
          <w:lang w:val="en-US"/>
        </w:rPr>
        <w:t xml:space="preserve">The Republic of Serbia remains strongly committed to achieving the Sustainable Development Goals (SDGs) established under the United Nations 2030 Agenda for Sustainable Development. Serbia is committed to supporting global efforts towards </w:t>
      </w:r>
      <w:proofErr w:type="spellStart"/>
      <w:r w:rsidRPr="00DE6E89">
        <w:rPr>
          <w:rFonts w:ascii="Times New Roman" w:eastAsia="Times New Roman" w:hAnsi="Times New Roman" w:cs="Times New Roman"/>
          <w:sz w:val="24"/>
          <w:szCs w:val="24"/>
          <w:shd w:val="clear" w:color="auto" w:fill="FFFFFF"/>
          <w:lang w:val="en-US"/>
        </w:rPr>
        <w:t>decarbonisation</w:t>
      </w:r>
      <w:proofErr w:type="spellEnd"/>
      <w:r w:rsidRPr="00DE6E89">
        <w:rPr>
          <w:rFonts w:ascii="Times New Roman" w:eastAsia="Times New Roman" w:hAnsi="Times New Roman" w:cs="Times New Roman"/>
          <w:sz w:val="24"/>
          <w:szCs w:val="24"/>
          <w:shd w:val="clear" w:color="auto" w:fill="FFFFFF"/>
          <w:lang w:val="en-US"/>
        </w:rPr>
        <w:t xml:space="preserve"> and environmental protection. In addition, particular emphasis is placed on social inclusion through programmes aimed at reducing poverty.</w:t>
      </w:r>
      <w:r w:rsidR="00F83FF2" w:rsidRPr="00DE6E89">
        <w:rPr>
          <w:rFonts w:ascii="Times New Roman" w:eastAsia="Times New Roman" w:hAnsi="Times New Roman" w:cs="Times New Roman"/>
          <w:sz w:val="24"/>
          <w:szCs w:val="24"/>
          <w:shd w:val="clear" w:color="auto" w:fill="FFFFFF"/>
          <w:lang w:val="sr-Cyrl-CS"/>
        </w:rPr>
        <w:t xml:space="preserve"> </w:t>
      </w:r>
    </w:p>
    <w:tbl>
      <w:tblPr>
        <w:tblW w:w="0" w:type="auto"/>
        <w:jc w:val="center"/>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CellMar>
          <w:left w:w="0" w:type="dxa"/>
          <w:right w:w="0" w:type="dxa"/>
        </w:tblCellMar>
        <w:tblLook w:val="04A0" w:firstRow="1" w:lastRow="0" w:firstColumn="1" w:lastColumn="0" w:noHBand="0" w:noVBand="1"/>
      </w:tblPr>
      <w:tblGrid>
        <w:gridCol w:w="3052"/>
        <w:gridCol w:w="5765"/>
      </w:tblGrid>
      <w:tr w:rsidR="00D30238" w:rsidRPr="001053DB" w14:paraId="2C1F190A" w14:textId="77777777" w:rsidTr="00B95A18">
        <w:trPr>
          <w:trHeight w:val="397"/>
          <w:jc w:val="center"/>
        </w:trPr>
        <w:tc>
          <w:tcPr>
            <w:tcW w:w="3052" w:type="dxa"/>
            <w:shd w:val="clear" w:color="auto" w:fill="D9E2F3" w:themeFill="accent5" w:themeFillTint="33"/>
            <w:tcMar>
              <w:top w:w="0" w:type="dxa"/>
              <w:left w:w="108" w:type="dxa"/>
              <w:bottom w:w="0" w:type="dxa"/>
              <w:right w:w="108" w:type="dxa"/>
            </w:tcMar>
            <w:vAlign w:val="center"/>
            <w:hideMark/>
          </w:tcPr>
          <w:p w14:paraId="0DF065CC" w14:textId="4A9E4C6B" w:rsidR="00512E73" w:rsidRPr="00DE6E89" w:rsidRDefault="00DE6E89" w:rsidP="00B95A18">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Programme objectives</w:t>
            </w:r>
          </w:p>
        </w:tc>
        <w:tc>
          <w:tcPr>
            <w:tcW w:w="5765" w:type="dxa"/>
            <w:shd w:val="clear" w:color="auto" w:fill="D9E2F3" w:themeFill="accent5" w:themeFillTint="33"/>
            <w:tcMar>
              <w:top w:w="0" w:type="dxa"/>
              <w:left w:w="108" w:type="dxa"/>
              <w:bottom w:w="0" w:type="dxa"/>
              <w:right w:w="108" w:type="dxa"/>
            </w:tcMar>
            <w:vAlign w:val="center"/>
            <w:hideMark/>
          </w:tcPr>
          <w:p w14:paraId="5A7DEDF8" w14:textId="2F4DF2C4" w:rsidR="00512E73" w:rsidRPr="00DE6E89" w:rsidRDefault="00DE6E89" w:rsidP="00B95A18">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Relevant SDG’s / SDG targets</w:t>
            </w:r>
          </w:p>
        </w:tc>
      </w:tr>
      <w:tr w:rsidR="00D30238" w:rsidRPr="001053DB" w14:paraId="62E039B9" w14:textId="77777777" w:rsidTr="00B95A18">
        <w:trPr>
          <w:trHeight w:val="397"/>
          <w:jc w:val="center"/>
        </w:trPr>
        <w:tc>
          <w:tcPr>
            <w:tcW w:w="3052" w:type="dxa"/>
            <w:tcMar>
              <w:top w:w="0" w:type="dxa"/>
              <w:left w:w="108" w:type="dxa"/>
              <w:bottom w:w="0" w:type="dxa"/>
              <w:right w:w="108" w:type="dxa"/>
            </w:tcMar>
            <w:vAlign w:val="center"/>
            <w:hideMark/>
          </w:tcPr>
          <w:p w14:paraId="40105539" w14:textId="696E15AD" w:rsidR="00512E73" w:rsidRPr="00DE6E89" w:rsidRDefault="00DE6E89" w:rsidP="00B95A18">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General objective</w:t>
            </w:r>
          </w:p>
        </w:tc>
        <w:tc>
          <w:tcPr>
            <w:tcW w:w="5765" w:type="dxa"/>
            <w:tcMar>
              <w:top w:w="0" w:type="dxa"/>
              <w:left w:w="108" w:type="dxa"/>
              <w:bottom w:w="0" w:type="dxa"/>
              <w:right w:w="108" w:type="dxa"/>
            </w:tcMar>
            <w:vAlign w:val="center"/>
            <w:hideMark/>
          </w:tcPr>
          <w:p w14:paraId="4DA23536" w14:textId="77777777" w:rsidR="00512E73" w:rsidRPr="001053DB" w:rsidRDefault="00512E73" w:rsidP="00B95A18">
            <w:pPr>
              <w:spacing w:after="0" w:line="240" w:lineRule="auto"/>
              <w:jc w:val="center"/>
              <w:rPr>
                <w:rFonts w:ascii="Times New Roman" w:eastAsia="Calibri" w:hAnsi="Times New Roman" w:cs="Times New Roman"/>
                <w:lang w:val="sr-Cyrl-CS"/>
              </w:rPr>
            </w:pPr>
            <w:r w:rsidRPr="001053DB">
              <w:rPr>
                <w:rFonts w:ascii="Times New Roman" w:eastAsia="Calibri" w:hAnsi="Times New Roman" w:cs="Times New Roman"/>
                <w:lang w:val="sr-Cyrl-CS"/>
              </w:rPr>
              <w:t>8.1,</w:t>
            </w:r>
            <w:r w:rsidR="0001701A" w:rsidRPr="001053DB">
              <w:rPr>
                <w:rFonts w:ascii="Times New Roman" w:eastAsia="Calibri" w:hAnsi="Times New Roman" w:cs="Times New Roman"/>
                <w:lang w:val="sr-Cyrl-CS"/>
              </w:rPr>
              <w:t xml:space="preserve"> 10.4</w:t>
            </w:r>
            <w:r w:rsidRPr="001053DB">
              <w:rPr>
                <w:rFonts w:ascii="Times New Roman" w:eastAsia="Calibri" w:hAnsi="Times New Roman" w:cs="Times New Roman"/>
                <w:lang w:val="sr-Cyrl-CS"/>
              </w:rPr>
              <w:t xml:space="preserve"> 16.6, 17.1, 17.4</w:t>
            </w:r>
            <w:r w:rsidR="0001701A" w:rsidRPr="001053DB">
              <w:rPr>
                <w:rFonts w:ascii="Times New Roman" w:eastAsia="Calibri" w:hAnsi="Times New Roman" w:cs="Times New Roman"/>
                <w:lang w:val="sr-Cyrl-CS"/>
              </w:rPr>
              <w:t xml:space="preserve"> 17.13</w:t>
            </w:r>
          </w:p>
        </w:tc>
      </w:tr>
      <w:tr w:rsidR="00D30238" w:rsidRPr="001053DB" w14:paraId="3E53038E" w14:textId="77777777" w:rsidTr="00B95A18">
        <w:trPr>
          <w:trHeight w:val="397"/>
          <w:jc w:val="center"/>
        </w:trPr>
        <w:tc>
          <w:tcPr>
            <w:tcW w:w="3052" w:type="dxa"/>
            <w:tcMar>
              <w:top w:w="0" w:type="dxa"/>
              <w:left w:w="108" w:type="dxa"/>
              <w:bottom w:w="0" w:type="dxa"/>
              <w:right w:w="108" w:type="dxa"/>
            </w:tcMar>
            <w:vAlign w:val="center"/>
            <w:hideMark/>
          </w:tcPr>
          <w:p w14:paraId="4F1357A1" w14:textId="543D855C" w:rsidR="00512E73" w:rsidRPr="001053DB" w:rsidRDefault="00DE6E89" w:rsidP="00B95A18">
            <w:pPr>
              <w:spacing w:after="0" w:line="240" w:lineRule="auto"/>
              <w:jc w:val="center"/>
              <w:rPr>
                <w:rFonts w:ascii="Times New Roman" w:eastAsia="Calibri" w:hAnsi="Times New Roman" w:cs="Times New Roman"/>
                <w:lang w:val="sr-Cyrl-CS"/>
              </w:rPr>
            </w:pPr>
            <w:r>
              <w:rPr>
                <w:rFonts w:ascii="Times New Roman" w:eastAsia="Calibri" w:hAnsi="Times New Roman" w:cs="Times New Roman"/>
                <w:lang w:val="en-US"/>
              </w:rPr>
              <w:t>Specific objective</w:t>
            </w:r>
            <w:r w:rsidR="00512E73" w:rsidRPr="001053DB">
              <w:rPr>
                <w:rFonts w:ascii="Times New Roman" w:eastAsia="Calibri" w:hAnsi="Times New Roman" w:cs="Times New Roman"/>
                <w:lang w:val="sr-Cyrl-CS"/>
              </w:rPr>
              <w:t xml:space="preserve"> 1</w:t>
            </w:r>
          </w:p>
        </w:tc>
        <w:tc>
          <w:tcPr>
            <w:tcW w:w="5765" w:type="dxa"/>
            <w:tcMar>
              <w:top w:w="0" w:type="dxa"/>
              <w:left w:w="108" w:type="dxa"/>
              <w:bottom w:w="0" w:type="dxa"/>
              <w:right w:w="108" w:type="dxa"/>
            </w:tcMar>
            <w:vAlign w:val="center"/>
            <w:hideMark/>
          </w:tcPr>
          <w:p w14:paraId="3415AB22" w14:textId="77777777" w:rsidR="00512E73" w:rsidRPr="001053DB" w:rsidRDefault="00512E73" w:rsidP="00B95A18">
            <w:pPr>
              <w:spacing w:after="0" w:line="240" w:lineRule="auto"/>
              <w:jc w:val="center"/>
              <w:rPr>
                <w:rFonts w:ascii="Times New Roman" w:eastAsia="Calibri" w:hAnsi="Times New Roman" w:cs="Times New Roman"/>
                <w:lang w:val="sr-Cyrl-CS"/>
              </w:rPr>
            </w:pPr>
            <w:r w:rsidRPr="001053DB">
              <w:rPr>
                <w:rFonts w:ascii="Times New Roman" w:eastAsia="Calibri" w:hAnsi="Times New Roman" w:cs="Times New Roman"/>
                <w:lang w:val="sr-Cyrl-CS"/>
              </w:rPr>
              <w:t>16.6, 17.1, 17.4</w:t>
            </w:r>
          </w:p>
        </w:tc>
      </w:tr>
      <w:tr w:rsidR="00D30238" w:rsidRPr="001053DB" w14:paraId="125CD4A8" w14:textId="77777777" w:rsidTr="00B95A18">
        <w:trPr>
          <w:trHeight w:val="397"/>
          <w:jc w:val="center"/>
        </w:trPr>
        <w:tc>
          <w:tcPr>
            <w:tcW w:w="3052" w:type="dxa"/>
            <w:tcMar>
              <w:top w:w="0" w:type="dxa"/>
              <w:left w:w="108" w:type="dxa"/>
              <w:bottom w:w="0" w:type="dxa"/>
              <w:right w:w="108" w:type="dxa"/>
            </w:tcMar>
            <w:vAlign w:val="center"/>
            <w:hideMark/>
          </w:tcPr>
          <w:p w14:paraId="11BC2E03" w14:textId="4E0046A7" w:rsidR="00512E73" w:rsidRPr="001053DB" w:rsidRDefault="00DE6E89" w:rsidP="00B95A18">
            <w:pPr>
              <w:spacing w:after="0" w:line="240" w:lineRule="auto"/>
              <w:jc w:val="center"/>
              <w:rPr>
                <w:rFonts w:ascii="Times New Roman" w:eastAsia="Calibri" w:hAnsi="Times New Roman" w:cs="Times New Roman"/>
                <w:lang w:val="sr-Cyrl-CS"/>
              </w:rPr>
            </w:pPr>
            <w:r>
              <w:rPr>
                <w:rFonts w:ascii="Times New Roman" w:eastAsia="Calibri" w:hAnsi="Times New Roman" w:cs="Times New Roman"/>
                <w:lang w:val="en-US"/>
              </w:rPr>
              <w:t>Specific objective</w:t>
            </w:r>
            <w:r w:rsidR="00512E73" w:rsidRPr="001053DB">
              <w:rPr>
                <w:rFonts w:ascii="Times New Roman" w:eastAsia="Calibri" w:hAnsi="Times New Roman" w:cs="Times New Roman"/>
                <w:lang w:val="sr-Cyrl-CS"/>
              </w:rPr>
              <w:t xml:space="preserve"> 2</w:t>
            </w:r>
          </w:p>
        </w:tc>
        <w:tc>
          <w:tcPr>
            <w:tcW w:w="5765" w:type="dxa"/>
            <w:tcMar>
              <w:top w:w="0" w:type="dxa"/>
              <w:left w:w="108" w:type="dxa"/>
              <w:bottom w:w="0" w:type="dxa"/>
              <w:right w:w="108" w:type="dxa"/>
            </w:tcMar>
            <w:vAlign w:val="center"/>
            <w:hideMark/>
          </w:tcPr>
          <w:p w14:paraId="7B3DF13E" w14:textId="77777777" w:rsidR="00512E73" w:rsidRPr="001053DB" w:rsidRDefault="00512E73" w:rsidP="00B95A18">
            <w:pPr>
              <w:spacing w:after="0" w:line="240" w:lineRule="auto"/>
              <w:jc w:val="center"/>
              <w:rPr>
                <w:rFonts w:ascii="Times New Roman" w:eastAsia="Calibri" w:hAnsi="Times New Roman" w:cs="Times New Roman"/>
                <w:lang w:val="sr-Cyrl-CS"/>
              </w:rPr>
            </w:pPr>
            <w:r w:rsidRPr="001053DB">
              <w:rPr>
                <w:rFonts w:ascii="Times New Roman" w:eastAsia="Calibri" w:hAnsi="Times New Roman" w:cs="Times New Roman"/>
                <w:lang w:val="sr-Cyrl-CS"/>
              </w:rPr>
              <w:t>16.6</w:t>
            </w:r>
          </w:p>
        </w:tc>
      </w:tr>
      <w:tr w:rsidR="00D30238" w:rsidRPr="001053DB" w14:paraId="1628BDB4" w14:textId="77777777" w:rsidTr="00B95A18">
        <w:trPr>
          <w:trHeight w:val="397"/>
          <w:jc w:val="center"/>
        </w:trPr>
        <w:tc>
          <w:tcPr>
            <w:tcW w:w="3052" w:type="dxa"/>
            <w:tcMar>
              <w:top w:w="0" w:type="dxa"/>
              <w:left w:w="108" w:type="dxa"/>
              <w:bottom w:w="0" w:type="dxa"/>
              <w:right w:w="108" w:type="dxa"/>
            </w:tcMar>
            <w:vAlign w:val="center"/>
            <w:hideMark/>
          </w:tcPr>
          <w:p w14:paraId="0E56F1B3" w14:textId="43412050" w:rsidR="00512E73" w:rsidRPr="001053DB" w:rsidRDefault="00DE6E89" w:rsidP="00B95A18">
            <w:pPr>
              <w:spacing w:after="0" w:line="240" w:lineRule="auto"/>
              <w:jc w:val="center"/>
              <w:rPr>
                <w:rFonts w:ascii="Times New Roman" w:eastAsia="Calibri" w:hAnsi="Times New Roman" w:cs="Times New Roman"/>
                <w:lang w:val="sr-Cyrl-CS"/>
              </w:rPr>
            </w:pPr>
            <w:r>
              <w:rPr>
                <w:rFonts w:ascii="Times New Roman" w:eastAsia="Calibri" w:hAnsi="Times New Roman" w:cs="Times New Roman"/>
                <w:lang w:val="en-US"/>
              </w:rPr>
              <w:t>Specific objective</w:t>
            </w:r>
            <w:r w:rsidR="00512E73" w:rsidRPr="001053DB">
              <w:rPr>
                <w:rFonts w:ascii="Times New Roman" w:eastAsia="Calibri" w:hAnsi="Times New Roman" w:cs="Times New Roman"/>
                <w:lang w:val="sr-Cyrl-CS"/>
              </w:rPr>
              <w:t xml:space="preserve"> 3</w:t>
            </w:r>
          </w:p>
        </w:tc>
        <w:tc>
          <w:tcPr>
            <w:tcW w:w="5765" w:type="dxa"/>
            <w:tcMar>
              <w:top w:w="0" w:type="dxa"/>
              <w:left w:w="108" w:type="dxa"/>
              <w:bottom w:w="0" w:type="dxa"/>
              <w:right w:w="108" w:type="dxa"/>
            </w:tcMar>
            <w:vAlign w:val="center"/>
            <w:hideMark/>
          </w:tcPr>
          <w:p w14:paraId="38830A23" w14:textId="77777777" w:rsidR="00512E73" w:rsidRPr="001053DB" w:rsidRDefault="009B733E" w:rsidP="00B95A18">
            <w:pPr>
              <w:spacing w:after="0" w:line="240" w:lineRule="auto"/>
              <w:jc w:val="center"/>
              <w:rPr>
                <w:rFonts w:ascii="Times New Roman" w:eastAsia="Calibri" w:hAnsi="Times New Roman" w:cs="Times New Roman"/>
                <w:lang w:val="sr-Cyrl-CS"/>
              </w:rPr>
            </w:pPr>
            <w:r w:rsidRPr="001053DB">
              <w:rPr>
                <w:rFonts w:ascii="Times New Roman" w:eastAsia="Calibri" w:hAnsi="Times New Roman" w:cs="Times New Roman"/>
                <w:lang w:val="sr-Cyrl-CS"/>
              </w:rPr>
              <w:t xml:space="preserve">16.6, </w:t>
            </w:r>
            <w:r w:rsidR="00512E73" w:rsidRPr="001053DB">
              <w:rPr>
                <w:rFonts w:ascii="Times New Roman" w:eastAsia="Calibri" w:hAnsi="Times New Roman" w:cs="Times New Roman"/>
                <w:lang w:val="sr-Cyrl-CS"/>
              </w:rPr>
              <w:t>17.1, 17.4</w:t>
            </w:r>
          </w:p>
        </w:tc>
      </w:tr>
      <w:tr w:rsidR="00D30238" w:rsidRPr="001053DB" w14:paraId="0C46F8E5" w14:textId="77777777" w:rsidTr="00B95A18">
        <w:trPr>
          <w:trHeight w:val="397"/>
          <w:jc w:val="center"/>
        </w:trPr>
        <w:tc>
          <w:tcPr>
            <w:tcW w:w="3052" w:type="dxa"/>
            <w:tcMar>
              <w:top w:w="0" w:type="dxa"/>
              <w:left w:w="108" w:type="dxa"/>
              <w:bottom w:w="0" w:type="dxa"/>
              <w:right w:w="108" w:type="dxa"/>
            </w:tcMar>
            <w:vAlign w:val="center"/>
            <w:hideMark/>
          </w:tcPr>
          <w:p w14:paraId="340265D4" w14:textId="64D557EF" w:rsidR="00512E73" w:rsidRPr="001053DB" w:rsidRDefault="00DE6E89" w:rsidP="00B95A18">
            <w:pPr>
              <w:spacing w:after="0" w:line="240" w:lineRule="auto"/>
              <w:jc w:val="center"/>
              <w:rPr>
                <w:rFonts w:ascii="Times New Roman" w:eastAsia="Calibri" w:hAnsi="Times New Roman" w:cs="Times New Roman"/>
                <w:lang w:val="sr-Cyrl-CS"/>
              </w:rPr>
            </w:pPr>
            <w:r>
              <w:rPr>
                <w:rFonts w:ascii="Times New Roman" w:eastAsia="Calibri" w:hAnsi="Times New Roman" w:cs="Times New Roman"/>
                <w:lang w:val="en-US"/>
              </w:rPr>
              <w:t>Specific objective</w:t>
            </w:r>
            <w:r w:rsidR="00512E73" w:rsidRPr="001053DB">
              <w:rPr>
                <w:rFonts w:ascii="Times New Roman" w:eastAsia="Calibri" w:hAnsi="Times New Roman" w:cs="Times New Roman"/>
                <w:lang w:val="sr-Cyrl-CS"/>
              </w:rPr>
              <w:t xml:space="preserve"> 4</w:t>
            </w:r>
          </w:p>
        </w:tc>
        <w:tc>
          <w:tcPr>
            <w:tcW w:w="5765" w:type="dxa"/>
            <w:tcMar>
              <w:top w:w="0" w:type="dxa"/>
              <w:left w:w="108" w:type="dxa"/>
              <w:bottom w:w="0" w:type="dxa"/>
              <w:right w:w="108" w:type="dxa"/>
            </w:tcMar>
            <w:vAlign w:val="center"/>
            <w:hideMark/>
          </w:tcPr>
          <w:p w14:paraId="5B093BC6" w14:textId="77777777" w:rsidR="00512E73" w:rsidRPr="001053DB" w:rsidRDefault="00512E73" w:rsidP="00B95A18">
            <w:pPr>
              <w:spacing w:after="0" w:line="240" w:lineRule="auto"/>
              <w:jc w:val="center"/>
              <w:rPr>
                <w:rFonts w:ascii="Times New Roman" w:eastAsia="Calibri" w:hAnsi="Times New Roman" w:cs="Times New Roman"/>
                <w:lang w:val="sr-Cyrl-CS"/>
              </w:rPr>
            </w:pPr>
            <w:r w:rsidRPr="001053DB">
              <w:rPr>
                <w:rFonts w:ascii="Times New Roman" w:eastAsia="Calibri" w:hAnsi="Times New Roman" w:cs="Times New Roman"/>
                <w:lang w:val="sr-Cyrl-CS"/>
              </w:rPr>
              <w:t>16.6</w:t>
            </w:r>
          </w:p>
        </w:tc>
      </w:tr>
      <w:tr w:rsidR="00D30238" w:rsidRPr="001053DB" w14:paraId="328E269A" w14:textId="77777777" w:rsidTr="00B95A18">
        <w:trPr>
          <w:trHeight w:val="397"/>
          <w:jc w:val="center"/>
        </w:trPr>
        <w:tc>
          <w:tcPr>
            <w:tcW w:w="3052" w:type="dxa"/>
            <w:tcMar>
              <w:top w:w="0" w:type="dxa"/>
              <w:left w:w="108" w:type="dxa"/>
              <w:bottom w:w="0" w:type="dxa"/>
              <w:right w:w="108" w:type="dxa"/>
            </w:tcMar>
            <w:vAlign w:val="center"/>
            <w:hideMark/>
          </w:tcPr>
          <w:p w14:paraId="19C71421" w14:textId="4E24F5E4" w:rsidR="00512E73" w:rsidRPr="001053DB" w:rsidRDefault="00DE6E89" w:rsidP="00B95A18">
            <w:pPr>
              <w:spacing w:after="0" w:line="240" w:lineRule="auto"/>
              <w:jc w:val="center"/>
              <w:rPr>
                <w:rFonts w:ascii="Times New Roman" w:eastAsia="Calibri" w:hAnsi="Times New Roman" w:cs="Times New Roman"/>
                <w:lang w:val="sr-Cyrl-CS"/>
              </w:rPr>
            </w:pPr>
            <w:r>
              <w:rPr>
                <w:rFonts w:ascii="Times New Roman" w:eastAsia="Calibri" w:hAnsi="Times New Roman" w:cs="Times New Roman"/>
                <w:lang w:val="en-US"/>
              </w:rPr>
              <w:t>Specific objective</w:t>
            </w:r>
            <w:r w:rsidR="00512E73" w:rsidRPr="001053DB">
              <w:rPr>
                <w:rFonts w:ascii="Times New Roman" w:eastAsia="Calibri" w:hAnsi="Times New Roman" w:cs="Times New Roman"/>
                <w:lang w:val="sr-Cyrl-CS"/>
              </w:rPr>
              <w:t xml:space="preserve"> 5</w:t>
            </w:r>
          </w:p>
        </w:tc>
        <w:tc>
          <w:tcPr>
            <w:tcW w:w="5765" w:type="dxa"/>
            <w:tcMar>
              <w:top w:w="0" w:type="dxa"/>
              <w:left w:w="108" w:type="dxa"/>
              <w:bottom w:w="0" w:type="dxa"/>
              <w:right w:w="108" w:type="dxa"/>
            </w:tcMar>
            <w:vAlign w:val="center"/>
            <w:hideMark/>
          </w:tcPr>
          <w:p w14:paraId="055BEC8A" w14:textId="77777777" w:rsidR="00512E73" w:rsidRPr="001053DB" w:rsidRDefault="00512E73" w:rsidP="00B95A18">
            <w:pPr>
              <w:spacing w:after="0" w:line="240" w:lineRule="auto"/>
              <w:jc w:val="center"/>
              <w:rPr>
                <w:rFonts w:ascii="Times New Roman" w:eastAsia="Calibri" w:hAnsi="Times New Roman" w:cs="Times New Roman"/>
                <w:lang w:val="sr-Cyrl-CS"/>
              </w:rPr>
            </w:pPr>
            <w:r w:rsidRPr="001053DB">
              <w:rPr>
                <w:rFonts w:ascii="Times New Roman" w:eastAsia="Calibri" w:hAnsi="Times New Roman" w:cs="Times New Roman"/>
                <w:lang w:val="sr-Cyrl-CS"/>
              </w:rPr>
              <w:t>16.6</w:t>
            </w:r>
          </w:p>
        </w:tc>
      </w:tr>
      <w:tr w:rsidR="00D30238" w:rsidRPr="001053DB" w14:paraId="1D6F47FB" w14:textId="77777777" w:rsidTr="00B95A18">
        <w:trPr>
          <w:trHeight w:val="397"/>
          <w:jc w:val="center"/>
        </w:trPr>
        <w:tc>
          <w:tcPr>
            <w:tcW w:w="3052" w:type="dxa"/>
            <w:tcMar>
              <w:top w:w="0" w:type="dxa"/>
              <w:left w:w="108" w:type="dxa"/>
              <w:bottom w:w="0" w:type="dxa"/>
              <w:right w:w="108" w:type="dxa"/>
            </w:tcMar>
            <w:vAlign w:val="center"/>
            <w:hideMark/>
          </w:tcPr>
          <w:p w14:paraId="126BABD4" w14:textId="6495C458" w:rsidR="00512E73" w:rsidRPr="001053DB" w:rsidRDefault="00DE6E89" w:rsidP="00B95A18">
            <w:pPr>
              <w:spacing w:after="0" w:line="240" w:lineRule="auto"/>
              <w:jc w:val="center"/>
              <w:rPr>
                <w:rFonts w:ascii="Times New Roman" w:eastAsia="Calibri" w:hAnsi="Times New Roman" w:cs="Times New Roman"/>
                <w:lang w:val="sr-Cyrl-CS"/>
              </w:rPr>
            </w:pPr>
            <w:r>
              <w:rPr>
                <w:rFonts w:ascii="Times New Roman" w:eastAsia="Calibri" w:hAnsi="Times New Roman" w:cs="Times New Roman"/>
                <w:lang w:val="en-US"/>
              </w:rPr>
              <w:t>Specific objective</w:t>
            </w:r>
            <w:r w:rsidR="00512E73" w:rsidRPr="001053DB">
              <w:rPr>
                <w:rFonts w:ascii="Times New Roman" w:eastAsia="Calibri" w:hAnsi="Times New Roman" w:cs="Times New Roman"/>
                <w:lang w:val="sr-Cyrl-CS"/>
              </w:rPr>
              <w:t xml:space="preserve"> 6</w:t>
            </w:r>
          </w:p>
        </w:tc>
        <w:tc>
          <w:tcPr>
            <w:tcW w:w="5765" w:type="dxa"/>
            <w:tcMar>
              <w:top w:w="0" w:type="dxa"/>
              <w:left w:w="108" w:type="dxa"/>
              <w:bottom w:w="0" w:type="dxa"/>
              <w:right w:w="108" w:type="dxa"/>
            </w:tcMar>
            <w:vAlign w:val="center"/>
            <w:hideMark/>
          </w:tcPr>
          <w:p w14:paraId="47AB9B3D" w14:textId="77777777" w:rsidR="00512E73" w:rsidRPr="001053DB" w:rsidRDefault="00512E73" w:rsidP="00B95A18">
            <w:pPr>
              <w:spacing w:after="0" w:line="240" w:lineRule="auto"/>
              <w:jc w:val="center"/>
              <w:rPr>
                <w:rFonts w:ascii="Times New Roman" w:eastAsia="Calibri" w:hAnsi="Times New Roman" w:cs="Times New Roman"/>
                <w:lang w:val="sr-Cyrl-CS"/>
              </w:rPr>
            </w:pPr>
            <w:r w:rsidRPr="001053DB">
              <w:rPr>
                <w:rFonts w:ascii="Times New Roman" w:eastAsia="Calibri" w:hAnsi="Times New Roman" w:cs="Times New Roman"/>
                <w:lang w:val="sr-Cyrl-CS"/>
              </w:rPr>
              <w:t>16.6</w:t>
            </w:r>
          </w:p>
        </w:tc>
      </w:tr>
    </w:tbl>
    <w:p w14:paraId="51293356" w14:textId="45F79C45" w:rsidR="00512E73" w:rsidRPr="00DE6E89" w:rsidRDefault="00DE6E89" w:rsidP="00512E73">
      <w:pPr>
        <w:ind w:firstLine="708"/>
        <w:jc w:val="center"/>
        <w:rPr>
          <w:rFonts w:ascii="Times New Roman" w:eastAsia="Times New Roman" w:hAnsi="Times New Roman" w:cs="Times New Roman"/>
          <w:shd w:val="clear" w:color="auto" w:fill="FFFFFF"/>
          <w:lang w:val="en-US"/>
        </w:rPr>
      </w:pPr>
      <w:r>
        <w:rPr>
          <w:rFonts w:ascii="Times New Roman" w:eastAsia="Times New Roman" w:hAnsi="Times New Roman" w:cs="Times New Roman"/>
          <w:shd w:val="clear" w:color="auto" w:fill="FFFFFF"/>
          <w:lang w:val="en-US"/>
        </w:rPr>
        <w:t>Table</w:t>
      </w:r>
      <w:r w:rsidR="003D5050" w:rsidRPr="001053DB">
        <w:rPr>
          <w:rFonts w:ascii="Times New Roman" w:eastAsia="Times New Roman" w:hAnsi="Times New Roman" w:cs="Times New Roman"/>
          <w:shd w:val="clear" w:color="auto" w:fill="FFFFFF"/>
          <w:lang w:val="sr-Cyrl-CS"/>
        </w:rPr>
        <w:t xml:space="preserve"> </w:t>
      </w:r>
      <w:r w:rsidR="00C7481B" w:rsidRPr="001053DB">
        <w:rPr>
          <w:rFonts w:ascii="Times New Roman" w:eastAsia="Times New Roman" w:hAnsi="Times New Roman" w:cs="Times New Roman"/>
          <w:shd w:val="clear" w:color="auto" w:fill="FFFFFF"/>
          <w:lang w:val="sr-Cyrl-CS"/>
        </w:rPr>
        <w:t>2</w:t>
      </w:r>
      <w:r w:rsidR="00BF033A" w:rsidRPr="001053DB">
        <w:rPr>
          <w:rFonts w:ascii="Times New Roman" w:eastAsia="Times New Roman" w:hAnsi="Times New Roman" w:cs="Times New Roman"/>
          <w:shd w:val="clear" w:color="auto" w:fill="FFFFFF"/>
          <w:lang w:val="sr-Cyrl-CS"/>
        </w:rPr>
        <w:t xml:space="preserve">: </w:t>
      </w:r>
      <w:r>
        <w:rPr>
          <w:rFonts w:ascii="Times New Roman" w:eastAsia="Times New Roman" w:hAnsi="Times New Roman" w:cs="Times New Roman"/>
          <w:shd w:val="clear" w:color="auto" w:fill="FFFFFF"/>
          <w:lang w:val="en-US"/>
        </w:rPr>
        <w:t>Linkages between PFMRP 2026-2030 objectives and SDG’s</w:t>
      </w:r>
    </w:p>
    <w:p w14:paraId="55D98AAD" w14:textId="77777777" w:rsidR="00864A7B" w:rsidRDefault="00864A7B" w:rsidP="00583A36">
      <w:pPr>
        <w:ind w:firstLine="708"/>
        <w:jc w:val="both"/>
        <w:rPr>
          <w:rFonts w:ascii="Times New Roman" w:eastAsia="Times New Roman" w:hAnsi="Times New Roman" w:cs="Times New Roman"/>
          <w:sz w:val="24"/>
          <w:szCs w:val="24"/>
          <w:shd w:val="clear" w:color="auto" w:fill="FFFFFF"/>
          <w:lang w:val="en-US"/>
        </w:rPr>
      </w:pPr>
      <w:r w:rsidRPr="00864A7B">
        <w:rPr>
          <w:rFonts w:ascii="Times New Roman" w:eastAsia="Times New Roman" w:hAnsi="Times New Roman" w:cs="Times New Roman"/>
          <w:sz w:val="24"/>
          <w:szCs w:val="24"/>
          <w:shd w:val="clear" w:color="auto" w:fill="FFFFFF"/>
        </w:rPr>
        <w:t>The Sustainable Development Goals (SDGs) of the UN 2030 Agenda that are relevant to the field of public financial management are particularly important from the perspective of the economic dimension of sustainable development, namely SDG 8 – Promote sustained, inclusive and sustainable economic growth, full and productive employment and decent work for all; SDG 9 – Build resilient infrastructure, promote inclusive and sustainable industrialisation and foster innovation; and SDG 10 – Reduce inequality within and among countries. They are also closely linked to the Partnership dimension, encompassing institutions, finance, and cooperation, namely SDG 16 – Promote peaceful and inclusive societies for sustainable development, provide access to justice for all, and build effective, accountable and inclusive institutions at all levels; and SDG 17 – Strengthen the means of implementation and revitalise the Global Partnership for Sustainable Development.</w:t>
      </w:r>
      <w:r w:rsidRPr="00864A7B">
        <w:rPr>
          <w:rFonts w:ascii="Times New Roman" w:eastAsia="Times New Roman" w:hAnsi="Times New Roman" w:cs="Times New Roman"/>
          <w:sz w:val="24"/>
          <w:szCs w:val="24"/>
          <w:shd w:val="clear" w:color="auto" w:fill="FFFFFF"/>
          <w:lang w:val="sr-Cyrl-CS"/>
        </w:rPr>
        <w:t xml:space="preserve"> </w:t>
      </w:r>
    </w:p>
    <w:p w14:paraId="7BF8FF4B" w14:textId="77777777" w:rsidR="00864A7B" w:rsidRDefault="00864A7B" w:rsidP="00583A36">
      <w:pPr>
        <w:ind w:firstLine="708"/>
        <w:jc w:val="both"/>
        <w:rPr>
          <w:rFonts w:ascii="Times New Roman" w:eastAsia="Times New Roman" w:hAnsi="Times New Roman" w:cs="Times New Roman"/>
          <w:sz w:val="24"/>
          <w:szCs w:val="24"/>
          <w:shd w:val="clear" w:color="auto" w:fill="FFFFFF"/>
          <w:lang w:val="en-US"/>
        </w:rPr>
      </w:pPr>
      <w:r w:rsidRPr="00864A7B">
        <w:rPr>
          <w:rFonts w:ascii="Times New Roman" w:eastAsia="Times New Roman" w:hAnsi="Times New Roman" w:cs="Times New Roman"/>
          <w:sz w:val="24"/>
          <w:szCs w:val="24"/>
          <w:shd w:val="clear" w:color="auto" w:fill="FFFFFF"/>
        </w:rPr>
        <w:t xml:space="preserve">The relevant targets within these goals include Target 8.1, which aims to sustain per capita economic growth in accordance with national circumstances; Target 10.4, which calls for the adoption of policies, particularly fiscal, wage, and social protection policies, to progressively achieve greater equality; Target 16.6, which focuses on developing effective, accountable, and transparent institutions at all levels; Target 17.1, which aims to strengthen domestic resource mobilisation and capacities for tax and revenue collection while mobilising </w:t>
      </w:r>
      <w:r w:rsidRPr="00864A7B">
        <w:rPr>
          <w:rFonts w:ascii="Times New Roman" w:eastAsia="Times New Roman" w:hAnsi="Times New Roman" w:cs="Times New Roman"/>
          <w:sz w:val="24"/>
          <w:szCs w:val="24"/>
          <w:shd w:val="clear" w:color="auto" w:fill="FFFFFF"/>
        </w:rPr>
        <w:lastRenderedPageBreak/>
        <w:t>additional financial resources; Target 17.4, which relates to long-term debt sustainability; and Target 17.13, which seeks to enhance global macroeconomic stability through policy coordination, which in Serbia’s case primarily refers to economic coordination with the European Union. These targets contribute to ensuring a stable macroeconomic environment, responsible fiscal policies, and the promotion of development-oriented public policies.</w:t>
      </w:r>
      <w:r w:rsidRPr="00864A7B">
        <w:rPr>
          <w:rFonts w:ascii="Times New Roman" w:eastAsia="Times New Roman" w:hAnsi="Times New Roman" w:cs="Times New Roman"/>
          <w:sz w:val="24"/>
          <w:szCs w:val="24"/>
          <w:shd w:val="clear" w:color="auto" w:fill="FFFFFF"/>
          <w:lang w:val="sr-Cyrl-CS"/>
        </w:rPr>
        <w:t xml:space="preserve"> </w:t>
      </w:r>
    </w:p>
    <w:p w14:paraId="5414CDF9" w14:textId="5ED9C5DF" w:rsidR="0001701A" w:rsidRDefault="00864A7B" w:rsidP="00583A36">
      <w:pPr>
        <w:ind w:firstLine="708"/>
        <w:jc w:val="both"/>
        <w:rPr>
          <w:rFonts w:ascii="Times New Roman" w:eastAsia="Times New Roman" w:hAnsi="Times New Roman" w:cs="Times New Roman"/>
          <w:sz w:val="24"/>
          <w:szCs w:val="24"/>
          <w:shd w:val="clear" w:color="auto" w:fill="FFFFFF"/>
          <w:lang w:val="en-US"/>
        </w:rPr>
      </w:pPr>
      <w:r w:rsidRPr="00864A7B">
        <w:rPr>
          <w:rFonts w:ascii="Times New Roman" w:eastAsia="Times New Roman" w:hAnsi="Times New Roman" w:cs="Times New Roman"/>
          <w:sz w:val="24"/>
          <w:szCs w:val="24"/>
          <w:shd w:val="clear" w:color="auto" w:fill="FFFFFF"/>
        </w:rPr>
        <w:t>At its core, the PFMRP represents a strategic step towards strengthening the conditions necessary for the successful implementation of broader structural reforms and the achievement of the Sustainable Development Goals as a whole. The implementation period of the PFMRP 2026–2030 coincides with the target deadline for the achievement of the UN 2030 Agenda for Sustainable Development.</w:t>
      </w:r>
      <w:r w:rsidRPr="00864A7B">
        <w:rPr>
          <w:rFonts w:ascii="Times New Roman" w:eastAsia="Times New Roman" w:hAnsi="Times New Roman" w:cs="Times New Roman"/>
          <w:sz w:val="24"/>
          <w:szCs w:val="24"/>
          <w:shd w:val="clear" w:color="auto" w:fill="FFFFFF"/>
          <w:lang w:val="sr-Cyrl-CS"/>
        </w:rPr>
        <w:t xml:space="preserve"> </w:t>
      </w:r>
    </w:p>
    <w:p w14:paraId="25D105D7" w14:textId="77777777" w:rsidR="00864A7B" w:rsidRPr="00864A7B" w:rsidRDefault="00864A7B" w:rsidP="00583A36">
      <w:pPr>
        <w:ind w:firstLine="708"/>
        <w:jc w:val="both"/>
        <w:rPr>
          <w:rFonts w:ascii="Times New Roman" w:eastAsia="Times New Roman" w:hAnsi="Times New Roman" w:cs="Times New Roman"/>
          <w:sz w:val="24"/>
          <w:szCs w:val="24"/>
          <w:shd w:val="clear" w:color="auto" w:fill="FFFFFF"/>
          <w:lang w:val="en-US"/>
        </w:rPr>
      </w:pPr>
    </w:p>
    <w:p w14:paraId="3D2EBB46" w14:textId="601E37D5" w:rsidR="00C83FCD" w:rsidRDefault="00864A7B"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bookmarkStart w:id="9" w:name="_Toc72488792"/>
      <w:bookmarkStart w:id="10" w:name="_Toc211860022"/>
      <w:r>
        <w:rPr>
          <w:rFonts w:ascii="Times New Roman" w:hAnsi="Times New Roman" w:cs="Times New Roman"/>
          <w:color w:val="auto"/>
          <w:sz w:val="24"/>
          <w:szCs w:val="24"/>
          <w:lang w:val="en-US"/>
        </w:rPr>
        <w:t>specific objective</w:t>
      </w:r>
      <w:r w:rsidR="00C83FCD" w:rsidRPr="001053DB">
        <w:rPr>
          <w:rFonts w:ascii="Times New Roman" w:hAnsi="Times New Roman" w:cs="Times New Roman"/>
          <w:color w:val="auto"/>
          <w:sz w:val="24"/>
          <w:szCs w:val="24"/>
          <w:lang w:val="sr-Cyrl-CS"/>
        </w:rPr>
        <w:t xml:space="preserve"> i </w:t>
      </w:r>
      <w:r>
        <w:rPr>
          <w:rFonts w:ascii="Times New Roman" w:hAnsi="Times New Roman" w:cs="Times New Roman"/>
          <w:color w:val="auto"/>
          <w:sz w:val="24"/>
          <w:szCs w:val="24"/>
          <w:lang w:val="sr-Cyrl-CS"/>
        </w:rPr>
        <w:t>–</w:t>
      </w:r>
      <w:r w:rsidR="00C83FCD" w:rsidRPr="001053DB">
        <w:rPr>
          <w:rFonts w:ascii="Times New Roman" w:hAnsi="Times New Roman" w:cs="Times New Roman"/>
          <w:color w:val="auto"/>
          <w:sz w:val="24"/>
          <w:szCs w:val="24"/>
          <w:lang w:val="sr-Cyrl-CS"/>
        </w:rPr>
        <w:t xml:space="preserve"> </w:t>
      </w:r>
      <w:bookmarkEnd w:id="9"/>
      <w:bookmarkEnd w:id="10"/>
      <w:r>
        <w:rPr>
          <w:rFonts w:ascii="Times New Roman" w:hAnsi="Times New Roman" w:cs="Times New Roman"/>
          <w:color w:val="auto"/>
          <w:sz w:val="24"/>
          <w:szCs w:val="24"/>
          <w:lang w:val="en-US"/>
        </w:rPr>
        <w:t>Capacity for budget planning  and public investment management improved</w:t>
      </w:r>
    </w:p>
    <w:p w14:paraId="7140DB1D" w14:textId="77777777" w:rsidR="00864A7B" w:rsidRPr="00864A7B" w:rsidRDefault="00864A7B" w:rsidP="00864A7B">
      <w:pPr>
        <w:rPr>
          <w:lang w:val="en-US"/>
        </w:rPr>
      </w:pPr>
    </w:p>
    <w:p w14:paraId="77BA3C8E" w14:textId="474202FE" w:rsidR="00C83FCD" w:rsidRPr="0097273E" w:rsidRDefault="00864A7B" w:rsidP="0097273E">
      <w:pPr>
        <w:ind w:firstLine="708"/>
        <w:jc w:val="both"/>
        <w:rPr>
          <w:rFonts w:ascii="Times New Roman" w:eastAsia="Times New Roman" w:hAnsi="Times New Roman" w:cs="Times New Roman"/>
          <w:b/>
          <w:bCs/>
          <w:i/>
          <w:iCs/>
          <w:sz w:val="22"/>
          <w:szCs w:val="22"/>
          <w:shd w:val="clear" w:color="auto" w:fill="FFFFFF"/>
          <w:lang w:val="en-US"/>
        </w:rPr>
      </w:pPr>
      <w:r w:rsidRPr="0097273E">
        <w:rPr>
          <w:rFonts w:ascii="Times New Roman" w:eastAsia="Times New Roman" w:hAnsi="Times New Roman" w:cs="Times New Roman"/>
          <w:b/>
          <w:bCs/>
          <w:i/>
          <w:iCs/>
          <w:sz w:val="22"/>
          <w:szCs w:val="22"/>
          <w:shd w:val="clear" w:color="auto" w:fill="FFFFFF"/>
          <w:lang w:val="en-US"/>
        </w:rPr>
        <w:t>Measure</w:t>
      </w:r>
      <w:r w:rsidR="00C83FCD" w:rsidRPr="0097273E">
        <w:rPr>
          <w:rFonts w:ascii="Times New Roman" w:eastAsia="Times New Roman" w:hAnsi="Times New Roman" w:cs="Times New Roman"/>
          <w:b/>
          <w:bCs/>
          <w:i/>
          <w:iCs/>
          <w:sz w:val="22"/>
          <w:szCs w:val="22"/>
          <w:shd w:val="clear" w:color="auto" w:fill="FFFFFF"/>
          <w:lang w:val="en-US"/>
        </w:rPr>
        <w:t xml:space="preserve"> 1.1: </w:t>
      </w:r>
      <w:r w:rsidRPr="0097273E">
        <w:rPr>
          <w:rFonts w:ascii="Times New Roman" w:eastAsia="Times New Roman" w:hAnsi="Times New Roman" w:cs="Times New Roman"/>
          <w:b/>
          <w:bCs/>
          <w:i/>
          <w:iCs/>
          <w:sz w:val="22"/>
          <w:szCs w:val="22"/>
          <w:shd w:val="clear" w:color="auto" w:fill="FFFFFF"/>
          <w:lang w:val="en-US"/>
        </w:rPr>
        <w:t>Improvement of the Programme Budget and Medium-term Expenditure Framework</w:t>
      </w:r>
    </w:p>
    <w:p w14:paraId="46FF06CD" w14:textId="77777777" w:rsidR="0097273E" w:rsidRPr="0097273E" w:rsidRDefault="0097273E" w:rsidP="0097273E">
      <w:pPr>
        <w:ind w:firstLine="708"/>
        <w:jc w:val="both"/>
        <w:rPr>
          <w:rFonts w:ascii="Times New Roman" w:eastAsia="Times New Roman" w:hAnsi="Times New Roman" w:cs="Times New Roman"/>
          <w:sz w:val="24"/>
          <w:szCs w:val="24"/>
          <w:shd w:val="clear" w:color="auto" w:fill="FFFFFF"/>
          <w:lang w:val="en-US"/>
        </w:rPr>
      </w:pPr>
      <w:r w:rsidRPr="0097273E">
        <w:rPr>
          <w:rFonts w:ascii="Times New Roman" w:eastAsia="Times New Roman" w:hAnsi="Times New Roman" w:cs="Times New Roman"/>
          <w:sz w:val="24"/>
          <w:szCs w:val="24"/>
          <w:shd w:val="clear" w:color="auto" w:fill="FFFFFF"/>
          <w:lang w:val="en-US"/>
        </w:rPr>
        <w:t xml:space="preserve">Serbia has achieved satisfactory progress in ensuring the availability, timeliness, and reliability of budget information for the public. The Government </w:t>
      </w:r>
      <w:proofErr w:type="spellStart"/>
      <w:r w:rsidRPr="0097273E">
        <w:rPr>
          <w:rFonts w:ascii="Times New Roman" w:eastAsia="Times New Roman" w:hAnsi="Times New Roman" w:cs="Times New Roman"/>
          <w:sz w:val="24"/>
          <w:szCs w:val="24"/>
          <w:shd w:val="clear" w:color="auto" w:fill="FFFFFF"/>
          <w:lang w:val="en-US"/>
        </w:rPr>
        <w:t>recognises</w:t>
      </w:r>
      <w:proofErr w:type="spellEnd"/>
      <w:r w:rsidRPr="0097273E">
        <w:rPr>
          <w:rFonts w:ascii="Times New Roman" w:eastAsia="Times New Roman" w:hAnsi="Times New Roman" w:cs="Times New Roman"/>
          <w:sz w:val="24"/>
          <w:szCs w:val="24"/>
          <w:shd w:val="clear" w:color="auto" w:fill="FFFFFF"/>
          <w:lang w:val="en-US"/>
        </w:rPr>
        <w:t xml:space="preserve"> budget transparency and oversight as key elements of good governance and systematically implements measures aimed at further strengthening this area. According to the latest PEFA assessment conducted in 2025, improvements have been </w:t>
      </w:r>
      <w:proofErr w:type="spellStart"/>
      <w:r w:rsidRPr="0097273E">
        <w:rPr>
          <w:rFonts w:ascii="Times New Roman" w:eastAsia="Times New Roman" w:hAnsi="Times New Roman" w:cs="Times New Roman"/>
          <w:sz w:val="24"/>
          <w:szCs w:val="24"/>
          <w:shd w:val="clear" w:color="auto" w:fill="FFFFFF"/>
          <w:lang w:val="en-US"/>
        </w:rPr>
        <w:t>recognised</w:t>
      </w:r>
      <w:proofErr w:type="spellEnd"/>
      <w:r w:rsidRPr="0097273E">
        <w:rPr>
          <w:rFonts w:ascii="Times New Roman" w:eastAsia="Times New Roman" w:hAnsi="Times New Roman" w:cs="Times New Roman"/>
          <w:sz w:val="24"/>
          <w:szCs w:val="24"/>
          <w:shd w:val="clear" w:color="auto" w:fill="FFFFFF"/>
          <w:lang w:val="en-US"/>
        </w:rPr>
        <w:t xml:space="preserve"> in both the credibility and comprehensiveness of budget documentation. In addition, the transparency of budget documents has been enhanced through the introduction of a legal requirement to publish programme information, as well as through the preparation and publication of an annual report on the performance of budget programmes. In 2024, all budget users prepared programme performance reports, ensuring a high level of quality and consistency in the information presented.</w:t>
      </w:r>
    </w:p>
    <w:p w14:paraId="40B4C721" w14:textId="77777777" w:rsidR="0097273E" w:rsidRPr="0097273E" w:rsidRDefault="0097273E" w:rsidP="0097273E">
      <w:pPr>
        <w:ind w:firstLine="708"/>
        <w:jc w:val="both"/>
        <w:rPr>
          <w:rFonts w:ascii="Times New Roman" w:eastAsia="Times New Roman" w:hAnsi="Times New Roman" w:cs="Times New Roman"/>
          <w:sz w:val="24"/>
          <w:szCs w:val="24"/>
          <w:shd w:val="clear" w:color="auto" w:fill="FFFFFF"/>
          <w:lang w:val="en-US"/>
        </w:rPr>
      </w:pPr>
      <w:r w:rsidRPr="0097273E">
        <w:rPr>
          <w:rFonts w:ascii="Times New Roman" w:eastAsia="Times New Roman" w:hAnsi="Times New Roman" w:cs="Times New Roman"/>
          <w:sz w:val="24"/>
          <w:szCs w:val="24"/>
          <w:shd w:val="clear" w:color="auto" w:fill="FFFFFF"/>
          <w:lang w:val="en-US"/>
        </w:rPr>
        <w:t>Within the framework of the PFMRP 2026–2030, the introduction of programme budgeting in healthcare institutions is planned, which will contribute to improved management and transparency within the health sector. In addition, the development of methodologies and guidance manuals for all levels of government is envisaged in order to ensure consistency and effectiveness in the implementation of programme budgeting. Further enhancement of the programme performance monitoring and evaluation module, together with the preparation of a consolidated programme performance report, will enable better assessment and oversight of public expenditure. These activities will improve the expenditure projection system and further increase budget transparency, which is expected to have a positive impact on Serbia’s standing in international budget transparency indices.</w:t>
      </w:r>
    </w:p>
    <w:p w14:paraId="0314AAFA" w14:textId="081FC519" w:rsidR="005074AB" w:rsidRPr="0097273E" w:rsidRDefault="0097273E" w:rsidP="0097273E">
      <w:pPr>
        <w:ind w:firstLine="708"/>
        <w:jc w:val="both"/>
        <w:rPr>
          <w:rFonts w:ascii="Times New Roman" w:eastAsia="Times New Roman" w:hAnsi="Times New Roman" w:cs="Times New Roman"/>
          <w:b/>
          <w:bCs/>
          <w:i/>
          <w:iCs/>
          <w:sz w:val="22"/>
          <w:szCs w:val="22"/>
          <w:shd w:val="clear" w:color="auto" w:fill="FFFFFF"/>
          <w:lang w:val="en-US"/>
        </w:rPr>
      </w:pPr>
      <w:r w:rsidRPr="0097273E">
        <w:rPr>
          <w:rFonts w:ascii="Times New Roman" w:eastAsia="Times New Roman" w:hAnsi="Times New Roman" w:cs="Times New Roman"/>
          <w:b/>
          <w:bCs/>
          <w:i/>
          <w:iCs/>
          <w:sz w:val="22"/>
          <w:szCs w:val="22"/>
          <w:shd w:val="clear" w:color="auto" w:fill="FFFFFF"/>
          <w:lang w:val="en-US"/>
        </w:rPr>
        <w:t>Measure</w:t>
      </w:r>
      <w:r w:rsidR="005074AB" w:rsidRPr="0097273E">
        <w:rPr>
          <w:rFonts w:ascii="Times New Roman" w:eastAsia="Times New Roman" w:hAnsi="Times New Roman" w:cs="Times New Roman"/>
          <w:b/>
          <w:bCs/>
          <w:i/>
          <w:iCs/>
          <w:sz w:val="22"/>
          <w:szCs w:val="22"/>
          <w:shd w:val="clear" w:color="auto" w:fill="FFFFFF"/>
          <w:lang w:val="en-US"/>
        </w:rPr>
        <w:t xml:space="preserve"> 1.2: </w:t>
      </w:r>
      <w:r w:rsidRPr="0097273E">
        <w:rPr>
          <w:rFonts w:ascii="Times New Roman" w:eastAsia="Times New Roman" w:hAnsi="Times New Roman" w:cs="Times New Roman"/>
          <w:b/>
          <w:bCs/>
          <w:i/>
          <w:iCs/>
          <w:sz w:val="22"/>
          <w:szCs w:val="22"/>
          <w:shd w:val="clear" w:color="auto" w:fill="FFFFFF"/>
          <w:lang w:val="en-US"/>
        </w:rPr>
        <w:t>Strengthening institutional capacities and improving the methodological framework for green budgeting</w:t>
      </w:r>
    </w:p>
    <w:p w14:paraId="27E5FB34" w14:textId="77777777" w:rsidR="0097273E" w:rsidRPr="0097273E" w:rsidRDefault="0097273E" w:rsidP="0097273E">
      <w:pPr>
        <w:ind w:firstLine="708"/>
        <w:jc w:val="both"/>
        <w:rPr>
          <w:rFonts w:ascii="Times New Roman" w:eastAsia="Times New Roman" w:hAnsi="Times New Roman" w:cs="Times New Roman"/>
          <w:sz w:val="24"/>
          <w:szCs w:val="24"/>
          <w:shd w:val="clear" w:color="auto" w:fill="FFFFFF"/>
          <w:lang w:val="en-US"/>
        </w:rPr>
      </w:pPr>
      <w:r w:rsidRPr="0097273E">
        <w:rPr>
          <w:rFonts w:ascii="Times New Roman" w:eastAsia="Times New Roman" w:hAnsi="Times New Roman" w:cs="Times New Roman"/>
          <w:sz w:val="24"/>
          <w:szCs w:val="24"/>
          <w:shd w:val="clear" w:color="auto" w:fill="FFFFFF"/>
          <w:lang w:val="en-US"/>
        </w:rPr>
        <w:lastRenderedPageBreak/>
        <w:t xml:space="preserve">Serbia has launched a green budgeting initiative at the central government level aimed at identifying and tagging expenditures that are relevant to environmental protection and climate objectives. This development represents a positive step forward and will be reflected in future assessments. The green budgeting methodology in Serbia provides a structured approach for identifying and </w:t>
      </w:r>
      <w:proofErr w:type="spellStart"/>
      <w:r w:rsidRPr="0097273E">
        <w:rPr>
          <w:rFonts w:ascii="Times New Roman" w:eastAsia="Times New Roman" w:hAnsi="Times New Roman" w:cs="Times New Roman"/>
          <w:sz w:val="24"/>
          <w:szCs w:val="24"/>
          <w:shd w:val="clear" w:color="auto" w:fill="FFFFFF"/>
          <w:lang w:val="en-US"/>
        </w:rPr>
        <w:t>categorising</w:t>
      </w:r>
      <w:proofErr w:type="spellEnd"/>
      <w:r w:rsidRPr="0097273E">
        <w:rPr>
          <w:rFonts w:ascii="Times New Roman" w:eastAsia="Times New Roman" w:hAnsi="Times New Roman" w:cs="Times New Roman"/>
          <w:sz w:val="24"/>
          <w:szCs w:val="24"/>
          <w:shd w:val="clear" w:color="auto" w:fill="FFFFFF"/>
          <w:lang w:val="en-US"/>
        </w:rPr>
        <w:t xml:space="preserve"> budget measures with environmental and climate-related impacts. The process includes the tagging of projects that affect the environment, even where environmental protection is not their primary objective. The methodology has been tailored to Serbia’s specific context while incorporating elements of the EU Green Budgeting Reference Framework. Serbia has adopted a phased implementation plan for the period 2022–2026, including the development and approval of a roadmap and the integration of the methodology into budget preparation guidelines.</w:t>
      </w:r>
    </w:p>
    <w:p w14:paraId="3CE2D4A1" w14:textId="68EAFA81" w:rsidR="0097273E" w:rsidRPr="0097273E" w:rsidRDefault="0097273E" w:rsidP="0097273E">
      <w:pPr>
        <w:ind w:firstLine="708"/>
        <w:jc w:val="both"/>
        <w:rPr>
          <w:rFonts w:ascii="Times New Roman" w:eastAsia="Times New Roman" w:hAnsi="Times New Roman" w:cs="Times New Roman"/>
          <w:sz w:val="24"/>
          <w:szCs w:val="24"/>
          <w:shd w:val="clear" w:color="auto" w:fill="FFFFFF"/>
          <w:lang w:val="en-US"/>
        </w:rPr>
      </w:pPr>
      <w:r w:rsidRPr="0097273E">
        <w:rPr>
          <w:rFonts w:ascii="Times New Roman" w:eastAsia="Times New Roman" w:hAnsi="Times New Roman" w:cs="Times New Roman"/>
          <w:sz w:val="24"/>
          <w:szCs w:val="24"/>
          <w:shd w:val="clear" w:color="auto" w:fill="FFFFFF"/>
          <w:lang w:val="en-US"/>
        </w:rPr>
        <w:t xml:space="preserve">Following the successful introduction of green budgeting in the </w:t>
      </w:r>
      <w:r>
        <w:rPr>
          <w:rFonts w:ascii="Times New Roman" w:eastAsia="Times New Roman" w:hAnsi="Times New Roman" w:cs="Times New Roman"/>
          <w:sz w:val="24"/>
          <w:szCs w:val="24"/>
          <w:shd w:val="clear" w:color="auto" w:fill="FFFFFF"/>
          <w:lang w:val="en-US"/>
        </w:rPr>
        <w:t>Budget Law</w:t>
      </w:r>
      <w:r w:rsidRPr="0097273E">
        <w:rPr>
          <w:rFonts w:ascii="Times New Roman" w:eastAsia="Times New Roman" w:hAnsi="Times New Roman" w:cs="Times New Roman"/>
          <w:sz w:val="24"/>
          <w:szCs w:val="24"/>
          <w:shd w:val="clear" w:color="auto" w:fill="FFFFFF"/>
          <w:lang w:val="en-US"/>
        </w:rPr>
        <w:t xml:space="preserve"> of the Republic of Serbia for 2025, the focus in the coming period will be on strengthening institutional capacities and further expanding the green budgeting methodology. This will include the </w:t>
      </w:r>
      <w:proofErr w:type="spellStart"/>
      <w:r w:rsidRPr="0097273E">
        <w:rPr>
          <w:rFonts w:ascii="Times New Roman" w:eastAsia="Times New Roman" w:hAnsi="Times New Roman" w:cs="Times New Roman"/>
          <w:sz w:val="24"/>
          <w:szCs w:val="24"/>
          <w:shd w:val="clear" w:color="auto" w:fill="FFFFFF"/>
          <w:lang w:val="en-US"/>
        </w:rPr>
        <w:t>organisation</w:t>
      </w:r>
      <w:proofErr w:type="spellEnd"/>
      <w:r w:rsidRPr="0097273E">
        <w:rPr>
          <w:rFonts w:ascii="Times New Roman" w:eastAsia="Times New Roman" w:hAnsi="Times New Roman" w:cs="Times New Roman"/>
          <w:sz w:val="24"/>
          <w:szCs w:val="24"/>
          <w:shd w:val="clear" w:color="auto" w:fill="FFFFFF"/>
          <w:lang w:val="en-US"/>
        </w:rPr>
        <w:t xml:space="preserve"> of workshops for budget analysts to enhance their knowledge and capacities in the field of green budgeting and to ensure their effective participation in the process. The expansion of the methodology will cover a broader range of expenditure categories and levels of government, enabling a more comprehensive and systematic approach. Additional support and training will be provided to the Green Budgeting Working Group to ensure that all members are fully equipped to implement these activities effectively. Study visits to countries with well-established green budgeting practices are also planned in order to facilitate the exchange of experience and good practices.</w:t>
      </w:r>
    </w:p>
    <w:p w14:paraId="567F897F" w14:textId="77777777" w:rsidR="0097273E" w:rsidRPr="0097273E" w:rsidRDefault="0097273E" w:rsidP="007C7A66">
      <w:pPr>
        <w:ind w:firstLine="708"/>
        <w:jc w:val="both"/>
        <w:rPr>
          <w:rFonts w:ascii="Times New Roman" w:eastAsia="Times New Roman" w:hAnsi="Times New Roman" w:cs="Times New Roman"/>
          <w:sz w:val="22"/>
          <w:szCs w:val="22"/>
          <w:shd w:val="clear" w:color="auto" w:fill="FFFFFF"/>
          <w:lang w:val="en-US"/>
        </w:rPr>
      </w:pPr>
      <w:bookmarkStart w:id="11" w:name="_Toc73613643"/>
      <w:r w:rsidRPr="0097273E">
        <w:rPr>
          <w:rFonts w:ascii="Times New Roman" w:hAnsi="Times New Roman" w:cs="Times New Roman"/>
          <w:b/>
          <w:bCs/>
          <w:i/>
          <w:iCs/>
          <w:sz w:val="22"/>
          <w:szCs w:val="22"/>
          <w:lang w:val="en-US"/>
        </w:rPr>
        <w:t>Measure</w:t>
      </w:r>
      <w:r w:rsidRPr="0097273E">
        <w:rPr>
          <w:rFonts w:ascii="Times New Roman" w:hAnsi="Times New Roman" w:cs="Times New Roman"/>
          <w:b/>
          <w:bCs/>
          <w:i/>
          <w:iCs/>
          <w:sz w:val="22"/>
          <w:szCs w:val="22"/>
          <w:lang w:val="sr-Cyrl-CS"/>
        </w:rPr>
        <w:t xml:space="preserve"> 1.3: </w:t>
      </w:r>
      <w:bookmarkEnd w:id="11"/>
      <w:r w:rsidRPr="0097273E">
        <w:rPr>
          <w:rFonts w:ascii="Times New Roman" w:hAnsi="Times New Roman" w:cs="Times New Roman"/>
          <w:b/>
          <w:bCs/>
          <w:i/>
          <w:iCs/>
          <w:sz w:val="22"/>
          <w:szCs w:val="22"/>
          <w:lang w:val="en-US"/>
        </w:rPr>
        <w:t>Harmonization of the budget process in the Republic of Serbia with the budget process in the European Union</w:t>
      </w:r>
      <w:r w:rsidRPr="0097273E">
        <w:rPr>
          <w:rFonts w:ascii="Times New Roman" w:eastAsia="Times New Roman" w:hAnsi="Times New Roman" w:cs="Times New Roman"/>
          <w:sz w:val="22"/>
          <w:szCs w:val="22"/>
          <w:shd w:val="clear" w:color="auto" w:fill="FFFFFF"/>
          <w:lang w:val="en-US"/>
        </w:rPr>
        <w:t xml:space="preserve"> </w:t>
      </w:r>
    </w:p>
    <w:p w14:paraId="7040C269" w14:textId="77777777" w:rsidR="0015324E" w:rsidRPr="0015324E" w:rsidRDefault="0015324E" w:rsidP="0015324E">
      <w:pPr>
        <w:ind w:firstLine="708"/>
        <w:jc w:val="both"/>
        <w:rPr>
          <w:rFonts w:ascii="Times New Roman" w:eastAsia="Times New Roman" w:hAnsi="Times New Roman" w:cs="Times New Roman"/>
          <w:sz w:val="24"/>
          <w:szCs w:val="24"/>
          <w:shd w:val="clear" w:color="auto" w:fill="FFFFFF"/>
          <w:lang w:val="en-US"/>
        </w:rPr>
      </w:pPr>
      <w:r w:rsidRPr="0015324E">
        <w:rPr>
          <w:rFonts w:ascii="Times New Roman" w:eastAsia="Times New Roman" w:hAnsi="Times New Roman" w:cs="Times New Roman"/>
          <w:sz w:val="24"/>
          <w:szCs w:val="24"/>
          <w:shd w:val="clear" w:color="auto" w:fill="FFFFFF"/>
          <w:lang w:val="en-US"/>
        </w:rPr>
        <w:t xml:space="preserve">The budget process in the Republic of Serbia has undergone significant development over the past decade; however, further alignment with European Union standards remains necessary. This includes not only technical improvements but also institutional and regulatory adjustments. At present, the budget preparation and execution process is </w:t>
      </w:r>
      <w:proofErr w:type="spellStart"/>
      <w:r w:rsidRPr="0015324E">
        <w:rPr>
          <w:rFonts w:ascii="Times New Roman" w:eastAsia="Times New Roman" w:hAnsi="Times New Roman" w:cs="Times New Roman"/>
          <w:sz w:val="24"/>
          <w:szCs w:val="24"/>
          <w:shd w:val="clear" w:color="auto" w:fill="FFFFFF"/>
          <w:lang w:val="en-US"/>
        </w:rPr>
        <w:t>characterised</w:t>
      </w:r>
      <w:proofErr w:type="spellEnd"/>
      <w:r w:rsidRPr="0015324E">
        <w:rPr>
          <w:rFonts w:ascii="Times New Roman" w:eastAsia="Times New Roman" w:hAnsi="Times New Roman" w:cs="Times New Roman"/>
          <w:sz w:val="24"/>
          <w:szCs w:val="24"/>
          <w:shd w:val="clear" w:color="auto" w:fill="FFFFFF"/>
          <w:lang w:val="en-US"/>
        </w:rPr>
        <w:t xml:space="preserve"> by a relatively high degree of transparency and efficiency, although certain areas require further enhancement in order to achieve full alignment with EU practices. According to recent assessments, while budget documentation is comprehensive and provides key fiscal information, there is a need for stronger integration and more effective application of programme budgeting, as well as for further strengthening the capacities of budget analysts.</w:t>
      </w:r>
    </w:p>
    <w:p w14:paraId="7F6F18D2" w14:textId="77777777" w:rsidR="0015324E" w:rsidRPr="0015324E" w:rsidRDefault="0015324E" w:rsidP="0015324E">
      <w:pPr>
        <w:ind w:firstLine="708"/>
        <w:jc w:val="both"/>
        <w:rPr>
          <w:rFonts w:ascii="Times New Roman" w:eastAsia="Times New Roman" w:hAnsi="Times New Roman" w:cs="Times New Roman"/>
          <w:sz w:val="24"/>
          <w:szCs w:val="24"/>
          <w:shd w:val="clear" w:color="auto" w:fill="FFFFFF"/>
          <w:lang w:val="en-US"/>
        </w:rPr>
      </w:pPr>
      <w:r w:rsidRPr="0015324E">
        <w:rPr>
          <w:rFonts w:ascii="Times New Roman" w:eastAsia="Times New Roman" w:hAnsi="Times New Roman" w:cs="Times New Roman"/>
          <w:sz w:val="24"/>
          <w:szCs w:val="24"/>
          <w:shd w:val="clear" w:color="auto" w:fill="FFFFFF"/>
          <w:lang w:val="en-US"/>
        </w:rPr>
        <w:t>In the forthcoming period, the focus will be on conducting a detailed assessment of the existing budget process in Serbia and its alignment with EU budgetary frameworks and procedures, particularly in relation to obligations arising under Chapter 17 – Economic and Monetary Policy. Based on the findings of this assessment, guidelines will be developed to support the implementation of reforms and the adaptation of budgetary procedures. Capacity-building activities for budget analysts, including targeted training programmes and workshops, are also planned to further strengthen analytical capabilities and support the effective implementation of budget reforms.</w:t>
      </w:r>
    </w:p>
    <w:p w14:paraId="63BA00DD" w14:textId="285FB241" w:rsidR="00530C3A" w:rsidRPr="0015324E" w:rsidRDefault="0015324E" w:rsidP="0015324E">
      <w:pPr>
        <w:ind w:firstLine="708"/>
        <w:jc w:val="both"/>
        <w:rPr>
          <w:rFonts w:ascii="Times New Roman" w:hAnsi="Times New Roman" w:cs="Times New Roman"/>
          <w:b/>
          <w:bCs/>
          <w:i/>
          <w:iCs/>
          <w:sz w:val="22"/>
          <w:szCs w:val="22"/>
          <w:lang w:val="en-US"/>
        </w:rPr>
      </w:pPr>
      <w:r>
        <w:rPr>
          <w:rFonts w:ascii="Times New Roman" w:hAnsi="Times New Roman" w:cs="Times New Roman"/>
          <w:b/>
          <w:bCs/>
          <w:i/>
          <w:iCs/>
          <w:sz w:val="22"/>
          <w:szCs w:val="22"/>
          <w:lang w:val="en-US"/>
        </w:rPr>
        <w:lastRenderedPageBreak/>
        <w:t>Measure</w:t>
      </w:r>
      <w:r w:rsidR="00530C3A" w:rsidRPr="0015324E">
        <w:rPr>
          <w:rFonts w:ascii="Times New Roman" w:hAnsi="Times New Roman" w:cs="Times New Roman"/>
          <w:b/>
          <w:bCs/>
          <w:i/>
          <w:iCs/>
          <w:sz w:val="22"/>
          <w:szCs w:val="22"/>
          <w:lang w:val="en-US"/>
        </w:rPr>
        <w:t xml:space="preserve"> 1.4: </w:t>
      </w:r>
      <w:r w:rsidRPr="0015324E">
        <w:rPr>
          <w:rFonts w:ascii="Times New Roman" w:hAnsi="Times New Roman" w:cs="Times New Roman"/>
          <w:b/>
          <w:bCs/>
          <w:i/>
          <w:iCs/>
          <w:sz w:val="22"/>
          <w:szCs w:val="22"/>
          <w:lang w:val="en-US"/>
        </w:rPr>
        <w:t>Improvement of the environment for efficient management of capital projects</w:t>
      </w:r>
    </w:p>
    <w:p w14:paraId="40C0B37C" w14:textId="77777777" w:rsidR="0015324E" w:rsidRPr="0015324E" w:rsidRDefault="0015324E" w:rsidP="0015324E">
      <w:pPr>
        <w:ind w:firstLine="708"/>
        <w:jc w:val="both"/>
        <w:rPr>
          <w:rFonts w:ascii="Times New Roman" w:eastAsia="Times New Roman" w:hAnsi="Times New Roman" w:cs="Times New Roman"/>
          <w:sz w:val="24"/>
          <w:szCs w:val="24"/>
          <w:shd w:val="clear" w:color="auto" w:fill="FFFFFF"/>
          <w:lang w:val="en-US"/>
        </w:rPr>
      </w:pPr>
      <w:r w:rsidRPr="0015324E">
        <w:rPr>
          <w:rFonts w:ascii="Times New Roman" w:eastAsia="Times New Roman" w:hAnsi="Times New Roman" w:cs="Times New Roman"/>
          <w:sz w:val="24"/>
          <w:szCs w:val="24"/>
          <w:shd w:val="clear" w:color="auto" w:fill="FFFFFF"/>
          <w:lang w:val="en-US"/>
        </w:rPr>
        <w:t>Public investment management in Serbia has undergone significant improvements in recent years, supported by continuous efforts to strengthen the effectiveness and transparency of public expenditure. Capital projects included in the budget are now subject to appraisal in accordance with the methodology governing public investment projects. This progress has been accompanied by the delivery of training programmes for civil servants from line ministries and other institutions, as well as for representatives of autonomous provinces and local self-government units involved in project management. These initiatives have contributed to a better understanding of project management processes and enhanced capacities for the management of public investments.</w:t>
      </w:r>
    </w:p>
    <w:p w14:paraId="3BB28459" w14:textId="77777777" w:rsidR="0015324E" w:rsidRPr="0015324E" w:rsidRDefault="0015324E" w:rsidP="0015324E">
      <w:pPr>
        <w:ind w:firstLine="708"/>
        <w:jc w:val="both"/>
        <w:rPr>
          <w:rFonts w:ascii="Times New Roman" w:eastAsia="Times New Roman" w:hAnsi="Times New Roman" w:cs="Times New Roman"/>
          <w:sz w:val="24"/>
          <w:szCs w:val="24"/>
          <w:shd w:val="clear" w:color="auto" w:fill="FFFFFF"/>
          <w:lang w:val="en-US"/>
        </w:rPr>
      </w:pPr>
      <w:r w:rsidRPr="0015324E">
        <w:rPr>
          <w:rFonts w:ascii="Times New Roman" w:eastAsia="Times New Roman" w:hAnsi="Times New Roman" w:cs="Times New Roman"/>
          <w:sz w:val="24"/>
          <w:szCs w:val="24"/>
          <w:shd w:val="clear" w:color="auto" w:fill="FFFFFF"/>
          <w:lang w:val="en-US"/>
        </w:rPr>
        <w:t xml:space="preserve">In the forthcoming period, and in line with commitments undertaken under the Reform Agenda of the Republic of Serbia, the focus will be on further strengthening the legal framework for public investment management through the establishment of a unified, comprehensive, and transparent mechanism for investment </w:t>
      </w:r>
      <w:proofErr w:type="spellStart"/>
      <w:r w:rsidRPr="0015324E">
        <w:rPr>
          <w:rFonts w:ascii="Times New Roman" w:eastAsia="Times New Roman" w:hAnsi="Times New Roman" w:cs="Times New Roman"/>
          <w:sz w:val="24"/>
          <w:szCs w:val="24"/>
          <w:shd w:val="clear" w:color="auto" w:fill="FFFFFF"/>
          <w:lang w:val="en-US"/>
        </w:rPr>
        <w:t>prioritisation</w:t>
      </w:r>
      <w:proofErr w:type="spellEnd"/>
      <w:r w:rsidRPr="0015324E">
        <w:rPr>
          <w:rFonts w:ascii="Times New Roman" w:eastAsia="Times New Roman" w:hAnsi="Times New Roman" w:cs="Times New Roman"/>
          <w:sz w:val="24"/>
          <w:szCs w:val="24"/>
          <w:shd w:val="clear" w:color="auto" w:fill="FFFFFF"/>
          <w:lang w:val="en-US"/>
        </w:rPr>
        <w:t xml:space="preserve">. This will include the improvement and standardisation of public reporting on the status of capital projects in accordance with the adopted methodology. To support the application of international good practices, study visits and workshops will be </w:t>
      </w:r>
      <w:proofErr w:type="spellStart"/>
      <w:r w:rsidRPr="0015324E">
        <w:rPr>
          <w:rFonts w:ascii="Times New Roman" w:eastAsia="Times New Roman" w:hAnsi="Times New Roman" w:cs="Times New Roman"/>
          <w:sz w:val="24"/>
          <w:szCs w:val="24"/>
          <w:shd w:val="clear" w:color="auto" w:fill="FFFFFF"/>
          <w:lang w:val="en-US"/>
        </w:rPr>
        <w:t>organised</w:t>
      </w:r>
      <w:proofErr w:type="spellEnd"/>
      <w:r w:rsidRPr="0015324E">
        <w:rPr>
          <w:rFonts w:ascii="Times New Roman" w:eastAsia="Times New Roman" w:hAnsi="Times New Roman" w:cs="Times New Roman"/>
          <w:sz w:val="24"/>
          <w:szCs w:val="24"/>
          <w:shd w:val="clear" w:color="auto" w:fill="FFFFFF"/>
          <w:lang w:val="en-US"/>
        </w:rPr>
        <w:t xml:space="preserve"> to facilitate the exchange of knowledge and experience with other countries. In addition, the development of a methodological manual for capital projects will provide further guidance for the consistent application of </w:t>
      </w:r>
      <w:proofErr w:type="spellStart"/>
      <w:r w:rsidRPr="0015324E">
        <w:rPr>
          <w:rFonts w:ascii="Times New Roman" w:eastAsia="Times New Roman" w:hAnsi="Times New Roman" w:cs="Times New Roman"/>
          <w:sz w:val="24"/>
          <w:szCs w:val="24"/>
          <w:shd w:val="clear" w:color="auto" w:fill="FFFFFF"/>
          <w:lang w:val="en-US"/>
        </w:rPr>
        <w:t>standardised</w:t>
      </w:r>
      <w:proofErr w:type="spellEnd"/>
      <w:r w:rsidRPr="0015324E">
        <w:rPr>
          <w:rFonts w:ascii="Times New Roman" w:eastAsia="Times New Roman" w:hAnsi="Times New Roman" w:cs="Times New Roman"/>
          <w:sz w:val="24"/>
          <w:szCs w:val="24"/>
          <w:shd w:val="clear" w:color="auto" w:fill="FFFFFF"/>
          <w:lang w:val="en-US"/>
        </w:rPr>
        <w:t xml:space="preserve"> approaches. These activities are aimed at strengthening institutional capacities and enhancing transparency, accountability, and efficiency in the management of public investment projects.</w:t>
      </w:r>
    </w:p>
    <w:p w14:paraId="3E543667" w14:textId="210D8617" w:rsidR="009F2F4E" w:rsidRPr="002B02A7" w:rsidRDefault="002B02A7" w:rsidP="002B02A7">
      <w:pPr>
        <w:ind w:firstLine="708"/>
        <w:jc w:val="both"/>
        <w:rPr>
          <w:rFonts w:ascii="Times New Roman" w:hAnsi="Times New Roman" w:cs="Times New Roman"/>
          <w:b/>
          <w:bCs/>
          <w:i/>
          <w:iCs/>
          <w:sz w:val="22"/>
          <w:szCs w:val="22"/>
          <w:lang w:val="en-US"/>
        </w:rPr>
      </w:pPr>
      <w:r>
        <w:rPr>
          <w:rFonts w:ascii="Times New Roman" w:hAnsi="Times New Roman" w:cs="Times New Roman"/>
          <w:b/>
          <w:bCs/>
          <w:i/>
          <w:iCs/>
          <w:sz w:val="22"/>
          <w:szCs w:val="22"/>
          <w:lang w:val="en-US"/>
        </w:rPr>
        <w:t>Measure</w:t>
      </w:r>
      <w:r w:rsidR="009F2F4E" w:rsidRPr="002B02A7">
        <w:rPr>
          <w:rFonts w:ascii="Times New Roman" w:hAnsi="Times New Roman" w:cs="Times New Roman"/>
          <w:b/>
          <w:bCs/>
          <w:i/>
          <w:iCs/>
          <w:sz w:val="22"/>
          <w:szCs w:val="22"/>
          <w:lang w:val="en-US"/>
        </w:rPr>
        <w:t xml:space="preserve"> 1.5:  </w:t>
      </w:r>
      <w:r w:rsidRPr="002B02A7">
        <w:rPr>
          <w:rFonts w:ascii="Times New Roman" w:hAnsi="Times New Roman" w:cs="Times New Roman"/>
          <w:b/>
          <w:bCs/>
          <w:i/>
          <w:iCs/>
          <w:sz w:val="22"/>
          <w:szCs w:val="22"/>
          <w:lang w:val="en-US"/>
        </w:rPr>
        <w:t>Strengthening the capacities of the Section for fiscal risk monitoring</w:t>
      </w:r>
    </w:p>
    <w:p w14:paraId="4065A5F9" w14:textId="77777777" w:rsidR="00D4043A" w:rsidRPr="00D4043A" w:rsidRDefault="00D4043A" w:rsidP="00D4043A">
      <w:pPr>
        <w:ind w:firstLine="708"/>
        <w:jc w:val="both"/>
        <w:rPr>
          <w:rFonts w:ascii="Times New Roman" w:hAnsi="Times New Roman" w:cs="Times New Roman"/>
          <w:sz w:val="24"/>
          <w:szCs w:val="24"/>
          <w:lang w:val="en-US"/>
        </w:rPr>
      </w:pPr>
      <w:r w:rsidRPr="00D4043A">
        <w:rPr>
          <w:rFonts w:ascii="Times New Roman" w:hAnsi="Times New Roman" w:cs="Times New Roman"/>
          <w:sz w:val="24"/>
          <w:szCs w:val="24"/>
          <w:lang w:val="en-US"/>
        </w:rPr>
        <w:t>The integration of the Fiscal Risk Monitoring Unit within the Budget Department of the Ministry of Finance represents a significant step towards strengthening coordination and enhancing fiscal risk management activities. This integration has improved the linkage between fiscal risk monitoring and the budget planning and execution processes, contributing to a more comprehensive and effective approach to public financial management.</w:t>
      </w:r>
    </w:p>
    <w:p w14:paraId="169D2B2F" w14:textId="62B18D01" w:rsidR="00D4043A" w:rsidRPr="00D4043A" w:rsidRDefault="00D4043A" w:rsidP="00D4043A">
      <w:pPr>
        <w:ind w:firstLine="708"/>
        <w:jc w:val="both"/>
        <w:rPr>
          <w:rFonts w:ascii="Times New Roman" w:hAnsi="Times New Roman" w:cs="Times New Roman"/>
          <w:sz w:val="24"/>
          <w:szCs w:val="24"/>
          <w:lang w:val="en-US"/>
        </w:rPr>
      </w:pPr>
      <w:r w:rsidRPr="00D4043A">
        <w:rPr>
          <w:rFonts w:ascii="Times New Roman" w:hAnsi="Times New Roman" w:cs="Times New Roman"/>
          <w:sz w:val="24"/>
          <w:szCs w:val="24"/>
          <w:lang w:val="en-US"/>
        </w:rPr>
        <w:t xml:space="preserve">To date, reporting on fiscal risks within the Fiscal Strategy has been enhanced, increasing transparency and raising awareness of potential challenges in this area. </w:t>
      </w:r>
      <w:r>
        <w:rPr>
          <w:rFonts w:ascii="Times New Roman" w:hAnsi="Times New Roman" w:cs="Times New Roman"/>
          <w:sz w:val="24"/>
          <w:szCs w:val="24"/>
          <w:lang w:val="en-US"/>
        </w:rPr>
        <w:t>Section for</w:t>
      </w:r>
      <w:r w:rsidRPr="00D4043A">
        <w:rPr>
          <w:rFonts w:ascii="Times New Roman" w:hAnsi="Times New Roman" w:cs="Times New Roman"/>
          <w:sz w:val="24"/>
          <w:szCs w:val="24"/>
          <w:lang w:val="en-US"/>
        </w:rPr>
        <w:t xml:space="preserve"> Fiscal Risk Monitoring continues to develop a unified methodology for fiscal risk monitoring, with the objective of introducing </w:t>
      </w:r>
      <w:proofErr w:type="spellStart"/>
      <w:r w:rsidRPr="00D4043A">
        <w:rPr>
          <w:rFonts w:ascii="Times New Roman" w:hAnsi="Times New Roman" w:cs="Times New Roman"/>
          <w:sz w:val="24"/>
          <w:szCs w:val="24"/>
          <w:lang w:val="en-US"/>
        </w:rPr>
        <w:t>standardised</w:t>
      </w:r>
      <w:proofErr w:type="spellEnd"/>
      <w:r w:rsidRPr="00D4043A">
        <w:rPr>
          <w:rFonts w:ascii="Times New Roman" w:hAnsi="Times New Roman" w:cs="Times New Roman"/>
          <w:sz w:val="24"/>
          <w:szCs w:val="24"/>
          <w:lang w:val="en-US"/>
        </w:rPr>
        <w:t xml:space="preserve"> risk indicators and metrics, aligning reporting with the budget cycle, and improving data quality to support more comprehensive and reliable monitoring of fiscal risks.</w:t>
      </w:r>
    </w:p>
    <w:p w14:paraId="268E68DE" w14:textId="77777777" w:rsidR="00D4043A" w:rsidRPr="00D4043A" w:rsidRDefault="00D4043A" w:rsidP="00D4043A">
      <w:pPr>
        <w:ind w:firstLine="708"/>
        <w:jc w:val="both"/>
        <w:rPr>
          <w:rFonts w:ascii="Times New Roman" w:hAnsi="Times New Roman" w:cs="Times New Roman"/>
          <w:sz w:val="24"/>
          <w:szCs w:val="24"/>
          <w:lang w:val="en-US"/>
        </w:rPr>
      </w:pPr>
      <w:r w:rsidRPr="00D4043A">
        <w:rPr>
          <w:rFonts w:ascii="Times New Roman" w:hAnsi="Times New Roman" w:cs="Times New Roman"/>
          <w:sz w:val="24"/>
          <w:szCs w:val="24"/>
          <w:lang w:val="en-US"/>
        </w:rPr>
        <w:t>In the forthcoming period, further improvements and standardisation of fiscal risk reporting are planned, alongside a review of the existing methodology for monitoring fiscal risks associated with the operations of state-owned enterprises and local self-government units. In addition, new methodologies will be developed to facilitate the linkage between budgetary reserves and quantified risk indicators, as well as to establish a framework for monitoring fiscal risks arising from climate change.</w:t>
      </w:r>
    </w:p>
    <w:p w14:paraId="38D87455" w14:textId="699CD35E" w:rsidR="00FB39D5" w:rsidRPr="002B02A7" w:rsidRDefault="00FB39D5" w:rsidP="00DE3678">
      <w:pPr>
        <w:ind w:firstLine="708"/>
        <w:jc w:val="both"/>
        <w:rPr>
          <w:rFonts w:ascii="Times New Roman" w:hAnsi="Times New Roman" w:cs="Times New Roman"/>
          <w:sz w:val="24"/>
          <w:szCs w:val="24"/>
          <w:lang w:val="en-US"/>
        </w:rPr>
      </w:pPr>
    </w:p>
    <w:p w14:paraId="62F3B58C" w14:textId="127851F6" w:rsidR="003E48BA" w:rsidRPr="002B02A7" w:rsidRDefault="002B02A7" w:rsidP="002B02A7">
      <w:pPr>
        <w:ind w:firstLine="708"/>
        <w:jc w:val="both"/>
        <w:rPr>
          <w:rFonts w:ascii="Times New Roman" w:hAnsi="Times New Roman" w:cs="Times New Roman"/>
          <w:b/>
          <w:bCs/>
          <w:i/>
          <w:iCs/>
          <w:sz w:val="22"/>
          <w:szCs w:val="22"/>
          <w:lang w:val="en-US"/>
        </w:rPr>
      </w:pPr>
      <w:r>
        <w:rPr>
          <w:rFonts w:ascii="Times New Roman" w:hAnsi="Times New Roman" w:cs="Times New Roman"/>
          <w:b/>
          <w:bCs/>
          <w:i/>
          <w:iCs/>
          <w:sz w:val="22"/>
          <w:szCs w:val="22"/>
          <w:lang w:val="en-US"/>
        </w:rPr>
        <w:t>Measure</w:t>
      </w:r>
      <w:r w:rsidR="003E48BA" w:rsidRPr="002B02A7">
        <w:rPr>
          <w:rFonts w:ascii="Times New Roman" w:hAnsi="Times New Roman" w:cs="Times New Roman"/>
          <w:b/>
          <w:bCs/>
          <w:i/>
          <w:iCs/>
          <w:sz w:val="22"/>
          <w:szCs w:val="22"/>
          <w:lang w:val="en-US"/>
        </w:rPr>
        <w:t xml:space="preserve"> 1.6:  </w:t>
      </w:r>
      <w:r w:rsidRPr="002B02A7">
        <w:rPr>
          <w:rFonts w:ascii="Times New Roman" w:hAnsi="Times New Roman" w:cs="Times New Roman"/>
          <w:b/>
          <w:bCs/>
          <w:i/>
          <w:iCs/>
          <w:sz w:val="22"/>
          <w:szCs w:val="22"/>
          <w:lang w:val="en-US"/>
        </w:rPr>
        <w:t>Establishment of a system for coordination and management of EU own resources</w:t>
      </w:r>
    </w:p>
    <w:p w14:paraId="4D2186F9" w14:textId="40BE2EBF" w:rsidR="00D4043A" w:rsidRPr="00D4043A" w:rsidRDefault="00D4043A" w:rsidP="00D4043A">
      <w:pPr>
        <w:ind w:firstLine="708"/>
        <w:jc w:val="both"/>
        <w:rPr>
          <w:rFonts w:ascii="Times New Roman" w:hAnsi="Times New Roman" w:cs="Times New Roman"/>
          <w:sz w:val="24"/>
          <w:szCs w:val="24"/>
          <w:lang w:val="en-US"/>
        </w:rPr>
      </w:pPr>
      <w:r w:rsidRPr="00D4043A">
        <w:rPr>
          <w:rFonts w:ascii="Times New Roman" w:hAnsi="Times New Roman" w:cs="Times New Roman"/>
          <w:sz w:val="24"/>
          <w:szCs w:val="24"/>
          <w:lang w:val="en-US"/>
        </w:rPr>
        <w:t xml:space="preserve">The Republic of Serbia has achieved significant, although not yet complete, progress in the area covered by Chapter 33 – Financial and Budgetary Provisions. The effective functioning of the system requires the development of an adequate administrative infrastructure, clearly defined institutional roles and responsibilities, and sufficient IT and human resource capacities for the accurate calculation, collection, control and reporting of EU own resources. Within the Ministry of Finance, the Unit for the Coordination and Management of EU Own Resources has been established and serves as the central coordinator of the entire process. Legislation governing Traditional Own Resources (TOR) has been largely aligned with the EU acquis, including the technical and administrative aspects of customs duty collection, although reporting is not yet fully electronic. National accounts used for the Gross National Income (GNI)-based resource are aligned with the ESA 2010 standard; however, further improvements in the quality and completeness of data are required to support all reporting obligations. Data required for the calculation of the VAT-based resource are now available through Supply and Use Tables, enabling the calculation of the weighted average VAT rate and the VAT assessment base. A draft Action Plan for the implementation of Chapter 33 is currently under preparation. Since the opening of the chapter in 2018, initial training activities, workshops, and study visits have been </w:t>
      </w:r>
      <w:proofErr w:type="spellStart"/>
      <w:r w:rsidRPr="00D4043A">
        <w:rPr>
          <w:rFonts w:ascii="Times New Roman" w:hAnsi="Times New Roman" w:cs="Times New Roman"/>
          <w:sz w:val="24"/>
          <w:szCs w:val="24"/>
          <w:lang w:val="en-US"/>
        </w:rPr>
        <w:t>organised</w:t>
      </w:r>
      <w:proofErr w:type="spellEnd"/>
      <w:r w:rsidRPr="00D4043A">
        <w:rPr>
          <w:rFonts w:ascii="Times New Roman" w:hAnsi="Times New Roman" w:cs="Times New Roman"/>
          <w:sz w:val="24"/>
          <w:szCs w:val="24"/>
          <w:lang w:val="en-US"/>
        </w:rPr>
        <w:t xml:space="preserve"> to facilitate the transfer of knowledge and experience from EU Member States. Elements of the required IT infrastructure and procedures for data collection and control have also been developed; however, not all operational and administrative mechanisms necessary for full system readiness have yet been established.</w:t>
      </w:r>
    </w:p>
    <w:p w14:paraId="1A43E0D7" w14:textId="7C6647E5" w:rsidR="00D4043A" w:rsidRPr="00D4043A" w:rsidRDefault="00D4043A" w:rsidP="00D4043A">
      <w:pPr>
        <w:ind w:firstLine="708"/>
        <w:jc w:val="both"/>
        <w:rPr>
          <w:rFonts w:ascii="Times New Roman" w:hAnsi="Times New Roman" w:cs="Times New Roman"/>
          <w:sz w:val="24"/>
          <w:szCs w:val="24"/>
          <w:lang w:val="en-US"/>
        </w:rPr>
      </w:pPr>
      <w:r w:rsidRPr="00D4043A">
        <w:rPr>
          <w:rFonts w:ascii="Times New Roman" w:hAnsi="Times New Roman" w:cs="Times New Roman"/>
          <w:sz w:val="24"/>
          <w:szCs w:val="24"/>
          <w:lang w:val="en-US"/>
        </w:rPr>
        <w:t>The Republic of Serbia is required to establish a fully functional and operational system for the calculation, collection, control, forecasting and reporting of all categories of EU own resources in accordance with EU standards. This entails the development of comprehensive administrative capacities across all participating institutions, clearly defined roles and responsibilities, the establishment of operational and procedural links between institutions, and further enhancement of IT systems and databases. In the area of T</w:t>
      </w:r>
      <w:r w:rsidR="009D2FC1">
        <w:rPr>
          <w:rFonts w:ascii="Times New Roman" w:hAnsi="Times New Roman" w:cs="Times New Roman"/>
          <w:sz w:val="24"/>
          <w:szCs w:val="24"/>
          <w:lang w:val="en-US"/>
        </w:rPr>
        <w:t xml:space="preserve">OR </w:t>
      </w:r>
      <w:r w:rsidRPr="00D4043A">
        <w:rPr>
          <w:rFonts w:ascii="Times New Roman" w:hAnsi="Times New Roman" w:cs="Times New Roman"/>
          <w:sz w:val="24"/>
          <w:szCs w:val="24"/>
          <w:lang w:val="en-US"/>
        </w:rPr>
        <w:t xml:space="preserve">it is necessary to implement an electronic reporting system and align the accounting arrangements for A and B accounts, including the commencement of full-scale simulations in accordance with EU methodology. For the VAT-based resource, further development of the Supply and Use Tables is required, together with ensuring accurate calculation and reporting of the weighted average VAT rate and VAT base, conducting simulations of calculations and projections, and further aligning legislation and IT infrastructure. The GNI-based resource requires </w:t>
      </w:r>
      <w:proofErr w:type="spellStart"/>
      <w:r w:rsidRPr="00D4043A">
        <w:rPr>
          <w:rFonts w:ascii="Times New Roman" w:hAnsi="Times New Roman" w:cs="Times New Roman"/>
          <w:sz w:val="24"/>
          <w:szCs w:val="24"/>
          <w:lang w:val="en-US"/>
        </w:rPr>
        <w:t>harmonised</w:t>
      </w:r>
      <w:proofErr w:type="spellEnd"/>
      <w:r w:rsidRPr="00D4043A">
        <w:rPr>
          <w:rFonts w:ascii="Times New Roman" w:hAnsi="Times New Roman" w:cs="Times New Roman"/>
          <w:sz w:val="24"/>
          <w:szCs w:val="24"/>
          <w:lang w:val="en-US"/>
        </w:rPr>
        <w:t xml:space="preserve"> methodologies, databases, and estimation procedures, while responsible institutions must develop the capacity to produce accurate forecasts and reports. With regard to the own resource based on non-recycled plastic packaging waste, a comprehensive system must be established, including appropriate methodologies, projections, and reporting arrangements consistent with the requirements of Chapter 27 – Environment and Climate Change and Chapter 33 – Financial </w:t>
      </w:r>
      <w:r w:rsidRPr="00D4043A">
        <w:rPr>
          <w:rFonts w:ascii="Times New Roman" w:hAnsi="Times New Roman" w:cs="Times New Roman"/>
          <w:sz w:val="24"/>
          <w:szCs w:val="24"/>
          <w:lang w:val="en-US"/>
        </w:rPr>
        <w:lastRenderedPageBreak/>
        <w:t>and Budgetary Provisions. In addition, comprehensive training programmes, workshops, and study visits should be conducted to facilitate the transfer of good practices from EU institutions and Member States. The Action Plan should be formally adopted with clearly defined deadlines, while effective coordination and communication mechanisms must be ensured among all competent institutions and the European Commission, including initial and regular European Commission missions, in order to achieve full operational readiness of the system within the timeframe envisaged for implementation and ultimately by the date of Serbia’s accession to the European Union.</w:t>
      </w:r>
    </w:p>
    <w:p w14:paraId="139EE8CF" w14:textId="6388BE46" w:rsidR="003E48BA" w:rsidRPr="002B02A7" w:rsidRDefault="002B02A7" w:rsidP="002B02A7">
      <w:pPr>
        <w:ind w:firstLine="708"/>
        <w:jc w:val="both"/>
        <w:rPr>
          <w:rFonts w:ascii="Times New Roman" w:hAnsi="Times New Roman" w:cs="Times New Roman"/>
          <w:b/>
          <w:bCs/>
          <w:i/>
          <w:iCs/>
          <w:sz w:val="22"/>
          <w:szCs w:val="22"/>
          <w:lang w:val="en-US"/>
        </w:rPr>
      </w:pPr>
      <w:r>
        <w:rPr>
          <w:rFonts w:ascii="Times New Roman" w:hAnsi="Times New Roman" w:cs="Times New Roman"/>
          <w:b/>
          <w:bCs/>
          <w:i/>
          <w:iCs/>
          <w:sz w:val="22"/>
          <w:szCs w:val="22"/>
          <w:lang w:val="en-US"/>
        </w:rPr>
        <w:t>Measure</w:t>
      </w:r>
      <w:r w:rsidR="00003065" w:rsidRPr="002B02A7">
        <w:rPr>
          <w:rFonts w:ascii="Times New Roman" w:hAnsi="Times New Roman" w:cs="Times New Roman"/>
          <w:b/>
          <w:bCs/>
          <w:i/>
          <w:iCs/>
          <w:sz w:val="22"/>
          <w:szCs w:val="22"/>
          <w:lang w:val="en-US"/>
        </w:rPr>
        <w:t xml:space="preserve"> 1.7:  </w:t>
      </w:r>
      <w:r>
        <w:rPr>
          <w:rFonts w:ascii="Times New Roman" w:hAnsi="Times New Roman" w:cs="Times New Roman"/>
          <w:b/>
          <w:bCs/>
          <w:i/>
          <w:iCs/>
          <w:sz w:val="22"/>
          <w:szCs w:val="22"/>
          <w:lang w:val="en-US"/>
        </w:rPr>
        <w:t>Improvement of medium-term planning</w:t>
      </w:r>
    </w:p>
    <w:p w14:paraId="390D9D4F" w14:textId="77777777" w:rsidR="009D2FC1" w:rsidRPr="009D2FC1" w:rsidRDefault="009D2FC1" w:rsidP="009D2FC1">
      <w:pPr>
        <w:ind w:firstLine="708"/>
        <w:jc w:val="both"/>
        <w:rPr>
          <w:rFonts w:ascii="Times New Roman" w:hAnsi="Times New Roman" w:cs="Times New Roman"/>
          <w:sz w:val="24"/>
          <w:szCs w:val="24"/>
          <w:lang w:val="en-US"/>
        </w:rPr>
      </w:pPr>
      <w:r w:rsidRPr="009D2FC1">
        <w:rPr>
          <w:rFonts w:ascii="Times New Roman" w:hAnsi="Times New Roman" w:cs="Times New Roman"/>
          <w:sz w:val="24"/>
          <w:szCs w:val="24"/>
          <w:lang w:val="en-US"/>
        </w:rPr>
        <w:t>Since the introduction of the obligation to prepare Medium-Term Plans through the adoption of the Law on the Planning System of the Republic of Serbia and the Decree on the Methodology for the Preparation of Medium-Term Plans (“Official Gazette of the RS”, No. 8/19), continuous progress has been achieved in this area. From four adopted Medium-Term Plans covering the 2020–2022 planning period, the number increased to 29 plans for the 2025–2027 period, while a total of 34 institutions have prepared at least one Medium-Term Plan to date. In parallel, the preparation of annual reports on the implementation of Medium-Term Plans has also improved, with 26 institutions publishing implementation reports for 2024.</w:t>
      </w:r>
    </w:p>
    <w:p w14:paraId="5A58BEC8" w14:textId="77777777" w:rsidR="009D2FC1" w:rsidRPr="009D2FC1" w:rsidRDefault="009D2FC1" w:rsidP="009D2FC1">
      <w:pPr>
        <w:ind w:firstLine="708"/>
        <w:jc w:val="both"/>
        <w:rPr>
          <w:rFonts w:ascii="Times New Roman" w:hAnsi="Times New Roman" w:cs="Times New Roman"/>
          <w:sz w:val="24"/>
          <w:szCs w:val="24"/>
          <w:lang w:val="en-US"/>
        </w:rPr>
      </w:pPr>
      <w:r w:rsidRPr="009D2FC1">
        <w:rPr>
          <w:rFonts w:ascii="Times New Roman" w:hAnsi="Times New Roman" w:cs="Times New Roman"/>
          <w:sz w:val="24"/>
          <w:szCs w:val="24"/>
          <w:lang w:val="en-US"/>
        </w:rPr>
        <w:t>As the principal management documents of public institutions, Medium-Term Plans serve to connect commitments arising from public policy documents and the National Programme for the Adoption of the Acquis (NPAA), integrate Government priorities defined in the Action Plan for the Implementation of the Government Programme, and incorporate the institutions’ own development plans. However, a number of entities subject to the medium-term planning obligation have still not prepared a Medium-Term Plan, while institutional changes may pose risks to maintaining the continuity of annual planning cycles. Furthermore, PEFA recommendations indicate the need to improve the quality of Medium-Term Plans, particularly regarding their alignment with the structure of annual budgets.</w:t>
      </w:r>
    </w:p>
    <w:p w14:paraId="0DB01093" w14:textId="736AC200" w:rsidR="009D2FC1" w:rsidRPr="009D2FC1" w:rsidRDefault="009D2FC1" w:rsidP="009D2FC1">
      <w:pPr>
        <w:ind w:firstLine="708"/>
        <w:jc w:val="both"/>
        <w:rPr>
          <w:rFonts w:ascii="Times New Roman" w:hAnsi="Times New Roman" w:cs="Times New Roman"/>
          <w:sz w:val="24"/>
          <w:szCs w:val="24"/>
          <w:lang w:val="en-US"/>
        </w:rPr>
      </w:pPr>
      <w:r w:rsidRPr="009D2FC1">
        <w:rPr>
          <w:rFonts w:ascii="Times New Roman" w:hAnsi="Times New Roman" w:cs="Times New Roman"/>
          <w:sz w:val="24"/>
          <w:szCs w:val="24"/>
          <w:lang w:val="en-US"/>
        </w:rPr>
        <w:t xml:space="preserve">In response, systematic and expert methodological support for institutions subject to medium-term planning will continue in the coming period in order to enhance the effectiveness of this reform. The public administration body responsible for public policy coordination will continue to encourage institutions to prepare their Medium-Term Plans through various communication channels. This will include direct mentoring support and the delivery of training programmes aimed at strengthening institutional capacities in the field of medium-term planning. Particular attention will be given to training programmes </w:t>
      </w:r>
      <w:proofErr w:type="spellStart"/>
      <w:r w:rsidRPr="009D2FC1">
        <w:rPr>
          <w:rFonts w:ascii="Times New Roman" w:hAnsi="Times New Roman" w:cs="Times New Roman"/>
          <w:sz w:val="24"/>
          <w:szCs w:val="24"/>
          <w:lang w:val="en-US"/>
        </w:rPr>
        <w:t>organised</w:t>
      </w:r>
      <w:proofErr w:type="spellEnd"/>
      <w:r w:rsidRPr="009D2FC1">
        <w:rPr>
          <w:rFonts w:ascii="Times New Roman" w:hAnsi="Times New Roman" w:cs="Times New Roman"/>
          <w:sz w:val="24"/>
          <w:szCs w:val="24"/>
          <w:lang w:val="en-US"/>
        </w:rPr>
        <w:t xml:space="preserve"> by the National Academy for Public Administration, including training on medium-term planning and the use of the Unified Information System for Public Policy Management (JIS).</w:t>
      </w:r>
      <w:r>
        <w:rPr>
          <w:rFonts w:ascii="Times New Roman" w:hAnsi="Times New Roman" w:cs="Times New Roman"/>
          <w:sz w:val="24"/>
          <w:szCs w:val="24"/>
          <w:lang w:val="en-US"/>
        </w:rPr>
        <w:t xml:space="preserve"> </w:t>
      </w:r>
      <w:r w:rsidRPr="009D2FC1">
        <w:rPr>
          <w:rFonts w:ascii="Times New Roman" w:hAnsi="Times New Roman" w:cs="Times New Roman"/>
          <w:sz w:val="24"/>
          <w:szCs w:val="24"/>
          <w:lang w:val="en-US"/>
        </w:rPr>
        <w:t xml:space="preserve">In addition, a network of coordinators for the preparation of Medium-Term Plans will be established, with each institution subject to medium-term planning designating a coordinator. The purpose of this network will be to improve the alignment of Medium-Term Plans with adopted public policies and the medium-term expenditure framework. The public administration body responsible for public policy coordination will support the work of the network and ensure the </w:t>
      </w:r>
      <w:r w:rsidRPr="009D2FC1">
        <w:rPr>
          <w:rFonts w:ascii="Times New Roman" w:hAnsi="Times New Roman" w:cs="Times New Roman"/>
          <w:sz w:val="24"/>
          <w:szCs w:val="24"/>
          <w:lang w:val="en-US"/>
        </w:rPr>
        <w:lastRenderedPageBreak/>
        <w:t>necessary conditions for communication, cooperation, and the exchange of experience among institutions.</w:t>
      </w:r>
    </w:p>
    <w:p w14:paraId="3678997D" w14:textId="77777777" w:rsidR="009D2FC1" w:rsidRPr="009D2FC1" w:rsidRDefault="009D2FC1" w:rsidP="009D2FC1">
      <w:pPr>
        <w:ind w:firstLine="708"/>
        <w:jc w:val="both"/>
        <w:rPr>
          <w:rFonts w:ascii="Times New Roman" w:hAnsi="Times New Roman" w:cs="Times New Roman"/>
          <w:sz w:val="24"/>
          <w:szCs w:val="24"/>
          <w:lang w:val="en-US"/>
        </w:rPr>
      </w:pPr>
      <w:r w:rsidRPr="009D2FC1">
        <w:rPr>
          <w:rFonts w:ascii="Times New Roman" w:hAnsi="Times New Roman" w:cs="Times New Roman"/>
          <w:sz w:val="24"/>
          <w:szCs w:val="24"/>
          <w:lang w:val="en-US"/>
        </w:rPr>
        <w:t>As a result of these measures, a further gradual increase is expected in the number of institutions that continuously prepare Medium-Term Plans, as well as an improvement in the quality of those plans. Particular emphasis will be placed on strengthening the alignment between public policy priorities and available fiscal resources as defined by the Budget, the Fiscal Strategy, and the Medium-Term Expenditure Framework, thereby further enhancing strategic planning and public financial management.</w:t>
      </w:r>
    </w:p>
    <w:p w14:paraId="3D5986EC" w14:textId="77777777" w:rsidR="002B02A7" w:rsidRPr="002B02A7" w:rsidRDefault="002B02A7" w:rsidP="008177A7">
      <w:pPr>
        <w:ind w:firstLine="708"/>
        <w:jc w:val="both"/>
        <w:rPr>
          <w:rFonts w:ascii="Times New Roman" w:hAnsi="Times New Roman" w:cs="Times New Roman"/>
          <w:sz w:val="24"/>
          <w:szCs w:val="24"/>
          <w:lang w:val="en-US"/>
        </w:rPr>
      </w:pPr>
    </w:p>
    <w:p w14:paraId="0E39C45C" w14:textId="6D962058" w:rsidR="009B345C" w:rsidRDefault="009D2FC1"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bookmarkStart w:id="12" w:name="_Toc211860023"/>
      <w:r>
        <w:rPr>
          <w:rFonts w:ascii="Times New Roman" w:hAnsi="Times New Roman" w:cs="Times New Roman"/>
          <w:color w:val="auto"/>
          <w:sz w:val="24"/>
          <w:szCs w:val="24"/>
          <w:lang w:val="en-US"/>
        </w:rPr>
        <w:t>specific objective</w:t>
      </w:r>
      <w:r w:rsidR="009B345C" w:rsidRPr="001053DB">
        <w:rPr>
          <w:rFonts w:ascii="Times New Roman" w:hAnsi="Times New Roman" w:cs="Times New Roman"/>
          <w:color w:val="auto"/>
          <w:sz w:val="24"/>
          <w:szCs w:val="24"/>
          <w:lang w:val="sr-Cyrl-CS"/>
        </w:rPr>
        <w:t xml:space="preserve"> II: </w:t>
      </w:r>
      <w:r>
        <w:rPr>
          <w:rFonts w:ascii="Times New Roman" w:hAnsi="Times New Roman" w:cs="Times New Roman"/>
          <w:color w:val="auto"/>
          <w:sz w:val="24"/>
          <w:szCs w:val="24"/>
          <w:lang w:val="en-US"/>
        </w:rPr>
        <w:t>efficient collection and management of budget funds</w:t>
      </w:r>
      <w:bookmarkEnd w:id="12"/>
    </w:p>
    <w:p w14:paraId="46417030" w14:textId="77777777" w:rsidR="002B02A7" w:rsidRPr="002B02A7" w:rsidRDefault="002B02A7" w:rsidP="002B02A7">
      <w:pPr>
        <w:rPr>
          <w:lang w:val="en-US"/>
        </w:rPr>
      </w:pPr>
    </w:p>
    <w:p w14:paraId="71FFB9CC" w14:textId="54388F3A" w:rsidR="00E810A2" w:rsidRPr="002B02A7" w:rsidRDefault="002B02A7" w:rsidP="002B02A7">
      <w:pPr>
        <w:ind w:firstLine="708"/>
        <w:jc w:val="both"/>
        <w:rPr>
          <w:rFonts w:ascii="Times New Roman" w:hAnsi="Times New Roman" w:cs="Times New Roman"/>
          <w:b/>
          <w:bCs/>
          <w:i/>
          <w:iCs/>
          <w:sz w:val="22"/>
          <w:szCs w:val="22"/>
          <w:lang w:val="en-US"/>
        </w:rPr>
      </w:pPr>
      <w:r w:rsidRPr="002B02A7">
        <w:rPr>
          <w:rFonts w:ascii="Times New Roman" w:hAnsi="Times New Roman" w:cs="Times New Roman"/>
          <w:b/>
          <w:bCs/>
          <w:i/>
          <w:iCs/>
          <w:sz w:val="22"/>
          <w:szCs w:val="22"/>
          <w:lang w:val="en-US"/>
        </w:rPr>
        <w:t>Measure</w:t>
      </w:r>
      <w:r w:rsidR="00E810A2" w:rsidRPr="002B02A7">
        <w:rPr>
          <w:rFonts w:ascii="Times New Roman" w:hAnsi="Times New Roman" w:cs="Times New Roman"/>
          <w:b/>
          <w:bCs/>
          <w:i/>
          <w:iCs/>
          <w:sz w:val="22"/>
          <w:szCs w:val="22"/>
          <w:lang w:val="en-US"/>
        </w:rPr>
        <w:t xml:space="preserve"> 2.1: </w:t>
      </w:r>
      <w:r w:rsidRPr="002B02A7">
        <w:rPr>
          <w:rFonts w:ascii="Times New Roman" w:hAnsi="Times New Roman" w:cs="Times New Roman"/>
          <w:b/>
          <w:bCs/>
          <w:i/>
          <w:iCs/>
          <w:sz w:val="22"/>
          <w:szCs w:val="22"/>
          <w:lang w:val="en-US"/>
        </w:rPr>
        <w:t>Efficient collection of budget revenues under the competence of the Tax Administration</w:t>
      </w:r>
    </w:p>
    <w:p w14:paraId="45E89CAC" w14:textId="77777777" w:rsidR="008A513F" w:rsidRPr="008A513F" w:rsidRDefault="008A513F" w:rsidP="008A513F">
      <w:pPr>
        <w:ind w:firstLine="708"/>
        <w:jc w:val="both"/>
        <w:rPr>
          <w:rFonts w:ascii="Times New Roman" w:hAnsi="Times New Roman" w:cs="Times New Roman"/>
          <w:sz w:val="24"/>
          <w:szCs w:val="24"/>
          <w:lang w:val="en-US"/>
        </w:rPr>
      </w:pPr>
      <w:r w:rsidRPr="008A513F">
        <w:rPr>
          <w:rFonts w:ascii="Times New Roman" w:hAnsi="Times New Roman" w:cs="Times New Roman"/>
          <w:sz w:val="24"/>
          <w:szCs w:val="24"/>
          <w:lang w:val="en-US"/>
        </w:rPr>
        <w:t xml:space="preserve">The strategic objectives of the Tax Administration Transformation Programme 2021–2025 have led to increased tax collection efficiency and a reduction in the compliance burden for taxpayers. During the previous period, an analysis of the existing situation was conducted, primarily focusing on the current tax business model, as well as an assessment of the human resources management function, including the existing concept of the tax officials’ training system. Based on the results of these analyses and the recommendations of international </w:t>
      </w:r>
      <w:proofErr w:type="spellStart"/>
      <w:r w:rsidRPr="008A513F">
        <w:rPr>
          <w:rFonts w:ascii="Times New Roman" w:hAnsi="Times New Roman" w:cs="Times New Roman"/>
          <w:sz w:val="24"/>
          <w:szCs w:val="24"/>
          <w:lang w:val="en-US"/>
        </w:rPr>
        <w:t>organisations</w:t>
      </w:r>
      <w:proofErr w:type="spellEnd"/>
      <w:r w:rsidRPr="008A513F">
        <w:rPr>
          <w:rFonts w:ascii="Times New Roman" w:hAnsi="Times New Roman" w:cs="Times New Roman"/>
          <w:sz w:val="24"/>
          <w:szCs w:val="24"/>
          <w:lang w:val="en-US"/>
        </w:rPr>
        <w:t>, particularly the IMF, work commenced on the development of a New Tax Business Model and the corresponding Human Resources Management Strategy 2023–2028. In summary, the future business model design and a roadmap for change leading to the final implementation of a Commercial Off-The-Shelf Integrated Tax Management System (COTS-ITMS) were defined. This system represents the core tool for the functioning of the new business model.</w:t>
      </w:r>
    </w:p>
    <w:p w14:paraId="07CF5086" w14:textId="77777777" w:rsidR="008A513F" w:rsidRPr="008A513F" w:rsidRDefault="008A513F" w:rsidP="008A513F">
      <w:pPr>
        <w:ind w:firstLine="708"/>
        <w:jc w:val="both"/>
        <w:rPr>
          <w:rFonts w:ascii="Times New Roman" w:hAnsi="Times New Roman" w:cs="Times New Roman"/>
          <w:sz w:val="24"/>
          <w:szCs w:val="24"/>
          <w:lang w:val="en-US"/>
        </w:rPr>
      </w:pPr>
      <w:r w:rsidRPr="008A513F">
        <w:rPr>
          <w:rFonts w:ascii="Times New Roman" w:hAnsi="Times New Roman" w:cs="Times New Roman"/>
          <w:sz w:val="24"/>
          <w:szCs w:val="24"/>
          <w:lang w:val="en-US"/>
        </w:rPr>
        <w:t xml:space="preserve">As part of implementing Government policies, the Tax Administration, together with the Ministry of Finance, introduced the new </w:t>
      </w:r>
      <w:proofErr w:type="spellStart"/>
      <w:r w:rsidRPr="008A513F">
        <w:rPr>
          <w:rFonts w:ascii="Times New Roman" w:hAnsi="Times New Roman" w:cs="Times New Roman"/>
          <w:sz w:val="24"/>
          <w:szCs w:val="24"/>
          <w:lang w:val="en-US"/>
        </w:rPr>
        <w:t>fiscalisation</w:t>
      </w:r>
      <w:proofErr w:type="spellEnd"/>
      <w:r w:rsidRPr="008A513F">
        <w:rPr>
          <w:rFonts w:ascii="Times New Roman" w:hAnsi="Times New Roman" w:cs="Times New Roman"/>
          <w:sz w:val="24"/>
          <w:szCs w:val="24"/>
          <w:lang w:val="en-US"/>
        </w:rPr>
        <w:t xml:space="preserve"> system and participated in the implementation of the e-Invoicing system. These initiatives constitute key infrastructural prerequisites for the introduction of pre-populated VAT returns, which are among the most important measures for combating the shadow economy and reducing the VAT gap. In addition, a project was launched to strengthen the legislative and institutional framework and the capacities of the Ministry of Finance and the Tax Administration to meet EU accession requirements for the development of the Value Added Tax Information Exchange System (VIES).</w:t>
      </w:r>
    </w:p>
    <w:p w14:paraId="3750D695" w14:textId="1CFEBAB8" w:rsidR="008A513F" w:rsidRPr="008A513F" w:rsidRDefault="008A513F" w:rsidP="008A513F">
      <w:pPr>
        <w:ind w:firstLine="708"/>
        <w:jc w:val="both"/>
        <w:rPr>
          <w:rFonts w:ascii="Times New Roman" w:hAnsi="Times New Roman" w:cs="Times New Roman"/>
          <w:sz w:val="24"/>
          <w:szCs w:val="24"/>
          <w:lang w:val="en-US"/>
        </w:rPr>
      </w:pPr>
      <w:r w:rsidRPr="008A513F">
        <w:rPr>
          <w:rFonts w:ascii="Times New Roman" w:hAnsi="Times New Roman" w:cs="Times New Roman"/>
          <w:sz w:val="24"/>
          <w:szCs w:val="24"/>
          <w:lang w:val="en-US"/>
        </w:rPr>
        <w:t>The Tax Administration has initiated the preparation of its Development Strategy for the period 2026–2030, thereby continuing the implementation of reform activities while maintaining continuity with the Tax Administration Transformation Programme 2021–2025 and ensuring its hierarchical alignment with the P</w:t>
      </w:r>
      <w:r>
        <w:rPr>
          <w:rFonts w:ascii="Times New Roman" w:hAnsi="Times New Roman" w:cs="Times New Roman"/>
          <w:sz w:val="24"/>
          <w:szCs w:val="24"/>
          <w:lang w:val="en-US"/>
        </w:rPr>
        <w:t>FMRP</w:t>
      </w:r>
      <w:r w:rsidRPr="008A513F">
        <w:rPr>
          <w:rFonts w:ascii="Times New Roman" w:hAnsi="Times New Roman" w:cs="Times New Roman"/>
          <w:sz w:val="24"/>
          <w:szCs w:val="24"/>
          <w:lang w:val="en-US"/>
        </w:rPr>
        <w:t>.</w:t>
      </w:r>
    </w:p>
    <w:p w14:paraId="3344EAEC" w14:textId="77777777" w:rsidR="008A513F" w:rsidRPr="008A513F" w:rsidRDefault="008A513F" w:rsidP="008A513F">
      <w:pPr>
        <w:ind w:firstLine="708"/>
        <w:jc w:val="both"/>
        <w:rPr>
          <w:rFonts w:ascii="Times New Roman" w:hAnsi="Times New Roman" w:cs="Times New Roman"/>
          <w:sz w:val="24"/>
          <w:szCs w:val="24"/>
          <w:lang w:val="en-US"/>
        </w:rPr>
      </w:pPr>
      <w:r w:rsidRPr="008A513F">
        <w:rPr>
          <w:rFonts w:ascii="Times New Roman" w:hAnsi="Times New Roman" w:cs="Times New Roman"/>
          <w:sz w:val="24"/>
          <w:szCs w:val="24"/>
          <w:lang w:val="en-US"/>
        </w:rPr>
        <w:lastRenderedPageBreak/>
        <w:t>The objective is for the Tax Administration, as a key driver of public finance reform, to fully implement by 2030 the core values and principles embedded in the New Business Model through an integrated information system incorporating technical solutions aligned with international best practice.</w:t>
      </w:r>
    </w:p>
    <w:p w14:paraId="75F51C93" w14:textId="77777777" w:rsidR="008A513F" w:rsidRPr="008A513F" w:rsidRDefault="008A513F" w:rsidP="008A513F">
      <w:pPr>
        <w:ind w:firstLine="708"/>
        <w:jc w:val="both"/>
        <w:rPr>
          <w:rFonts w:ascii="Times New Roman" w:hAnsi="Times New Roman" w:cs="Times New Roman"/>
          <w:sz w:val="24"/>
          <w:szCs w:val="24"/>
          <w:lang w:val="en-US"/>
        </w:rPr>
      </w:pPr>
      <w:r w:rsidRPr="008A513F">
        <w:rPr>
          <w:rFonts w:ascii="Times New Roman" w:hAnsi="Times New Roman" w:cs="Times New Roman"/>
          <w:sz w:val="24"/>
          <w:szCs w:val="24"/>
          <w:lang w:val="en-US"/>
        </w:rPr>
        <w:t>The achievements of previous years have created the conditions for the commencement of the COTS-ITMS implementation. Through a public procurement procedure conducted in 2025, Fast Enterprises LLC was selected as the implementation contractor. The implementation of the COTS-ITMS will establish the business and infrastructure conditions necessary to improve tax collection efficiency and reduce taxpayer compliance costs through a more efficient and comprehensive digital service system. Full implementation of the entire IT infrastructure is expected by the end of 2028, providing the foundation for the implementation of the majority of the New Business Model.</w:t>
      </w:r>
    </w:p>
    <w:p w14:paraId="5756201F" w14:textId="77777777" w:rsidR="008A513F" w:rsidRPr="008A513F" w:rsidRDefault="008A513F" w:rsidP="008A513F">
      <w:pPr>
        <w:ind w:firstLine="708"/>
        <w:jc w:val="both"/>
        <w:rPr>
          <w:rFonts w:ascii="Times New Roman" w:hAnsi="Times New Roman" w:cs="Times New Roman"/>
          <w:sz w:val="24"/>
          <w:szCs w:val="24"/>
          <w:lang w:val="en-US"/>
        </w:rPr>
      </w:pPr>
      <w:r w:rsidRPr="008A513F">
        <w:rPr>
          <w:rFonts w:ascii="Times New Roman" w:hAnsi="Times New Roman" w:cs="Times New Roman"/>
          <w:sz w:val="24"/>
          <w:szCs w:val="24"/>
          <w:lang w:val="en-US"/>
        </w:rPr>
        <w:t>Alongside these activities, further improvements will be made to the human resources management function, with particular emphasis on strengthening and enhancing the training function for tax officials. This will be aligned with the competencies required under the New Business Model, ensuring that employees acquire the knowledge and skills necessary for its successful implementation and operation.</w:t>
      </w:r>
    </w:p>
    <w:p w14:paraId="1E1B34AF" w14:textId="77777777" w:rsidR="008A513F" w:rsidRPr="008A513F" w:rsidRDefault="008A513F" w:rsidP="008A513F">
      <w:pPr>
        <w:ind w:firstLine="708"/>
        <w:jc w:val="both"/>
        <w:rPr>
          <w:rFonts w:ascii="Times New Roman" w:hAnsi="Times New Roman" w:cs="Times New Roman"/>
          <w:sz w:val="24"/>
          <w:szCs w:val="24"/>
          <w:lang w:val="en-US"/>
        </w:rPr>
      </w:pPr>
      <w:r w:rsidRPr="008A513F">
        <w:rPr>
          <w:rFonts w:ascii="Times New Roman" w:hAnsi="Times New Roman" w:cs="Times New Roman"/>
          <w:sz w:val="24"/>
          <w:szCs w:val="24"/>
          <w:lang w:val="en-US"/>
        </w:rPr>
        <w:t>Implementation of the IPA 2021 “PFM Facility” project has also continued, particularly the component focused on strengthening the legislative framework and institutional capacities required to meet EU accession conditions for the development of the VIES system in the Republic of Serbia. In addition, a proposal has been prepared for the continuation of projects under Component 5, which concerns the development of a roadmap for the implementation of other EU information exchange systems required in the field of taxation.</w:t>
      </w:r>
    </w:p>
    <w:p w14:paraId="1F891ECB" w14:textId="77777777" w:rsidR="00B03CEA" w:rsidRPr="001053DB" w:rsidRDefault="00B03CEA" w:rsidP="006E7004">
      <w:pPr>
        <w:ind w:firstLine="708"/>
        <w:jc w:val="both"/>
        <w:rPr>
          <w:rFonts w:ascii="Times New Roman" w:eastAsia="Times New Roman" w:hAnsi="Times New Roman" w:cs="Times New Roman"/>
          <w:sz w:val="24"/>
          <w:szCs w:val="24"/>
          <w:shd w:val="clear" w:color="auto" w:fill="FFFFFF"/>
          <w:lang w:val="sr-Cyrl-CS"/>
        </w:rPr>
      </w:pPr>
    </w:p>
    <w:p w14:paraId="6A6F0D50" w14:textId="77777777" w:rsidR="00B03CEA" w:rsidRPr="001053DB" w:rsidRDefault="00B03CEA" w:rsidP="006E7004">
      <w:pPr>
        <w:spacing w:after="0" w:line="256" w:lineRule="auto"/>
        <w:ind w:left="720"/>
        <w:jc w:val="both"/>
        <w:rPr>
          <w:rFonts w:ascii="Times New Roman" w:eastAsia="Aptos" w:hAnsi="Times New Roman" w:cs="Times New Roman"/>
          <w:kern w:val="2"/>
          <w:sz w:val="24"/>
          <w:szCs w:val="24"/>
          <w:lang w:val="sr-Cyrl-CS"/>
          <w14:ligatures w14:val="standardContextual"/>
        </w:rPr>
      </w:pPr>
      <w:r w:rsidRPr="001053DB">
        <w:rPr>
          <w:rFonts w:ascii="Times New Roman" w:eastAsia="Aptos" w:hAnsi="Times New Roman" w:cs="Times New Roman"/>
          <w:noProof/>
          <w:kern w:val="2"/>
          <w:sz w:val="24"/>
          <w:szCs w:val="24"/>
          <w:lang w:val="en-US"/>
          <w14:ligatures w14:val="standardContextual"/>
        </w:rPr>
        <w:drawing>
          <wp:inline distT="0" distB="0" distL="0" distR="0" wp14:anchorId="486DC40D" wp14:editId="311CF67D">
            <wp:extent cx="4987636" cy="2914650"/>
            <wp:effectExtent l="0" t="0" r="3810" b="0"/>
            <wp:docPr id="3" name="Chart 1">
              <a:extLst xmlns:a="http://schemas.openxmlformats.org/drawingml/2006/main">
                <a:ext uri="{FF2B5EF4-FFF2-40B4-BE49-F238E27FC236}">
                  <a16:creationId xmlns:a16="http://schemas.microsoft.com/office/drawing/2014/main" id="{CE9A0BD1-A0DA-AC81-EB35-5B0AC4BEBB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15E9F69" w14:textId="4E0D8757" w:rsidR="00B03CEA" w:rsidRPr="008A513F" w:rsidRDefault="009D2FC1" w:rsidP="003D5050">
      <w:pPr>
        <w:spacing w:after="0" w:line="256" w:lineRule="auto"/>
        <w:ind w:left="720"/>
        <w:rPr>
          <w:rFonts w:ascii="Times New Roman" w:eastAsia="Aptos" w:hAnsi="Times New Roman" w:cs="Times New Roman"/>
          <w:kern w:val="2"/>
          <w:lang w:val="en-US"/>
          <w14:ligatures w14:val="standardContextual"/>
        </w:rPr>
      </w:pPr>
      <w:r>
        <w:rPr>
          <w:rFonts w:ascii="Times New Roman" w:eastAsia="Aptos" w:hAnsi="Times New Roman" w:cs="Times New Roman"/>
          <w:kern w:val="2"/>
          <w:lang w:val="en-US"/>
          <w14:ligatures w14:val="standardContextual"/>
        </w:rPr>
        <w:t>Graph 2</w:t>
      </w:r>
      <w:r w:rsidR="003D5050" w:rsidRPr="001053DB">
        <w:rPr>
          <w:rFonts w:ascii="Times New Roman" w:eastAsia="Aptos" w:hAnsi="Times New Roman" w:cs="Times New Roman"/>
          <w:kern w:val="2"/>
          <w:lang w:val="sr-Cyrl-CS"/>
          <w14:ligatures w14:val="standardContextual"/>
        </w:rPr>
        <w:t xml:space="preserve"> 2: </w:t>
      </w:r>
      <w:r w:rsidR="00B03CEA" w:rsidRPr="001053DB">
        <w:rPr>
          <w:rFonts w:ascii="Times New Roman" w:eastAsia="Aptos" w:hAnsi="Times New Roman" w:cs="Times New Roman"/>
          <w:kern w:val="2"/>
          <w:lang w:val="sr-Cyrl-CS"/>
          <w14:ligatures w14:val="standardContextual"/>
        </w:rPr>
        <w:t xml:space="preserve">*63,6% </w:t>
      </w:r>
      <w:r w:rsidR="008A513F">
        <w:rPr>
          <w:rFonts w:ascii="Times New Roman" w:eastAsia="Aptos" w:hAnsi="Times New Roman" w:cs="Times New Roman"/>
          <w:kern w:val="2"/>
          <w:lang w:val="en-US"/>
          <w14:ligatures w14:val="standardContextual"/>
        </w:rPr>
        <w:t>share of the TA in gross revenue collection (before VAT refunds and excise duty reimbursements)</w:t>
      </w:r>
    </w:p>
    <w:p w14:paraId="661667D1" w14:textId="77777777" w:rsidR="00B03CEA" w:rsidRPr="001053DB" w:rsidRDefault="00B03CEA" w:rsidP="006E7004">
      <w:pPr>
        <w:spacing w:after="0" w:line="256" w:lineRule="auto"/>
        <w:ind w:left="720"/>
        <w:rPr>
          <w:rFonts w:ascii="Times New Roman" w:eastAsia="Aptos" w:hAnsi="Times New Roman" w:cs="Times New Roman"/>
          <w:kern w:val="2"/>
          <w:sz w:val="24"/>
          <w:szCs w:val="24"/>
          <w:lang w:val="sr-Cyrl-CS"/>
          <w14:ligatures w14:val="standardContextual"/>
        </w:rPr>
      </w:pPr>
    </w:p>
    <w:tbl>
      <w:tblPr>
        <w:tblStyle w:val="TableGrid91"/>
        <w:tblW w:w="9069"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ook w:val="04A0" w:firstRow="1" w:lastRow="0" w:firstColumn="1" w:lastColumn="0" w:noHBand="0" w:noVBand="1"/>
      </w:tblPr>
      <w:tblGrid>
        <w:gridCol w:w="5867"/>
        <w:gridCol w:w="3202"/>
      </w:tblGrid>
      <w:tr w:rsidR="00D30238" w:rsidRPr="001053DB" w14:paraId="7EDBE0AB" w14:textId="77777777" w:rsidTr="004049B3">
        <w:trPr>
          <w:trHeight w:val="454"/>
        </w:trPr>
        <w:tc>
          <w:tcPr>
            <w:tcW w:w="0" w:type="auto"/>
            <w:vAlign w:val="center"/>
            <w:hideMark/>
          </w:tcPr>
          <w:p w14:paraId="0499B39E" w14:textId="7921E094" w:rsidR="002F164F" w:rsidRPr="009D2FC1" w:rsidRDefault="009D2FC1" w:rsidP="00B378E8">
            <w:pPr>
              <w:jc w:val="center"/>
              <w:rPr>
                <w:rFonts w:ascii="Times New Roman" w:eastAsia="Times New Roman" w:hAnsi="Times New Roman"/>
                <w:b/>
                <w:bCs/>
                <w:lang w:val="en-US"/>
              </w:rPr>
            </w:pPr>
            <w:r>
              <w:rPr>
                <w:rFonts w:ascii="Times New Roman" w:eastAsia="Times New Roman" w:hAnsi="Times New Roman"/>
                <w:b/>
                <w:bCs/>
                <w:lang w:val="en-US"/>
              </w:rPr>
              <w:t>Indicator</w:t>
            </w:r>
          </w:p>
        </w:tc>
        <w:tc>
          <w:tcPr>
            <w:tcW w:w="3202" w:type="dxa"/>
            <w:vAlign w:val="center"/>
            <w:hideMark/>
          </w:tcPr>
          <w:p w14:paraId="178C5D16" w14:textId="1625A66C" w:rsidR="002F164F" w:rsidRPr="009D2FC1" w:rsidRDefault="009D2FC1" w:rsidP="00B378E8">
            <w:pPr>
              <w:jc w:val="center"/>
              <w:rPr>
                <w:rFonts w:ascii="Times New Roman" w:eastAsia="Times New Roman" w:hAnsi="Times New Roman"/>
                <w:b/>
                <w:bCs/>
                <w:lang w:val="en-US"/>
              </w:rPr>
            </w:pPr>
            <w:r>
              <w:rPr>
                <w:rFonts w:ascii="Times New Roman" w:eastAsia="Times New Roman" w:hAnsi="Times New Roman"/>
                <w:b/>
                <w:bCs/>
                <w:lang w:val="en-US"/>
              </w:rPr>
              <w:t>Value</w:t>
            </w:r>
          </w:p>
        </w:tc>
      </w:tr>
      <w:tr w:rsidR="00D30238" w:rsidRPr="001053DB" w14:paraId="0949F750" w14:textId="77777777" w:rsidTr="004049B3">
        <w:trPr>
          <w:trHeight w:val="454"/>
        </w:trPr>
        <w:tc>
          <w:tcPr>
            <w:tcW w:w="0" w:type="auto"/>
            <w:vAlign w:val="center"/>
            <w:hideMark/>
          </w:tcPr>
          <w:p w14:paraId="5446EB7E" w14:textId="1A883B82" w:rsidR="002F164F" w:rsidRPr="008A513F" w:rsidRDefault="008A513F" w:rsidP="00B378E8">
            <w:pPr>
              <w:rPr>
                <w:rFonts w:ascii="Times New Roman" w:eastAsia="Times New Roman" w:hAnsi="Times New Roman"/>
                <w:lang w:val="en-US"/>
              </w:rPr>
            </w:pPr>
            <w:r>
              <w:rPr>
                <w:rFonts w:ascii="Times New Roman" w:eastAsia="Times New Roman" w:hAnsi="Times New Roman"/>
                <w:lang w:val="en-US"/>
              </w:rPr>
              <w:t>Total public revenue collection</w:t>
            </w:r>
          </w:p>
        </w:tc>
        <w:tc>
          <w:tcPr>
            <w:tcW w:w="3202" w:type="dxa"/>
            <w:vAlign w:val="center"/>
            <w:hideMark/>
          </w:tcPr>
          <w:p w14:paraId="3FC525DA" w14:textId="5178909F" w:rsidR="002F164F" w:rsidRPr="008A513F" w:rsidRDefault="008A513F" w:rsidP="00B378E8">
            <w:pPr>
              <w:ind w:left="170"/>
              <w:rPr>
                <w:rFonts w:ascii="Times New Roman" w:eastAsia="Times New Roman" w:hAnsi="Times New Roman"/>
                <w:lang w:val="en-US"/>
              </w:rPr>
            </w:pPr>
            <w:r>
              <w:rPr>
                <w:rFonts w:ascii="Times New Roman" w:eastAsia="Times New Roman" w:hAnsi="Times New Roman"/>
                <w:lang w:val="en-US"/>
              </w:rPr>
              <w:t xml:space="preserve">RSD </w:t>
            </w:r>
            <w:r w:rsidR="002F164F" w:rsidRPr="001053DB">
              <w:rPr>
                <w:rFonts w:ascii="Times New Roman" w:eastAsia="Times New Roman" w:hAnsi="Times New Roman"/>
                <w:lang w:val="sr-Cyrl-CS"/>
              </w:rPr>
              <w:t xml:space="preserve">4.612,5 </w:t>
            </w:r>
            <w:r>
              <w:rPr>
                <w:rFonts w:ascii="Times New Roman" w:eastAsia="Times New Roman" w:hAnsi="Times New Roman"/>
                <w:lang w:val="en-US"/>
              </w:rPr>
              <w:t>billion</w:t>
            </w:r>
          </w:p>
        </w:tc>
      </w:tr>
      <w:tr w:rsidR="00D30238" w:rsidRPr="001053DB" w14:paraId="3A526560" w14:textId="77777777" w:rsidTr="004049B3">
        <w:trPr>
          <w:trHeight w:val="454"/>
        </w:trPr>
        <w:tc>
          <w:tcPr>
            <w:tcW w:w="0" w:type="auto"/>
            <w:vAlign w:val="center"/>
            <w:hideMark/>
          </w:tcPr>
          <w:p w14:paraId="75A166BD" w14:textId="62AEA010" w:rsidR="002F164F" w:rsidRPr="008A513F" w:rsidRDefault="008A513F" w:rsidP="00B378E8">
            <w:pPr>
              <w:rPr>
                <w:rFonts w:ascii="Times New Roman" w:eastAsia="Times New Roman" w:hAnsi="Times New Roman"/>
                <w:lang w:val="en-US"/>
              </w:rPr>
            </w:pPr>
            <w:r>
              <w:rPr>
                <w:rFonts w:ascii="Times New Roman" w:eastAsia="Times New Roman" w:hAnsi="Times New Roman"/>
                <w:lang w:val="en-US"/>
              </w:rPr>
              <w:t>Total revenue collected by Tax Administration</w:t>
            </w:r>
          </w:p>
        </w:tc>
        <w:tc>
          <w:tcPr>
            <w:tcW w:w="3202" w:type="dxa"/>
            <w:vAlign w:val="center"/>
            <w:hideMark/>
          </w:tcPr>
          <w:p w14:paraId="4BEF6715" w14:textId="2DA3E53D" w:rsidR="002F164F" w:rsidRPr="008A513F" w:rsidRDefault="008A513F" w:rsidP="00B378E8">
            <w:pPr>
              <w:ind w:left="170"/>
              <w:rPr>
                <w:rFonts w:ascii="Times New Roman" w:eastAsia="Times New Roman" w:hAnsi="Times New Roman"/>
                <w:lang w:val="en-US"/>
              </w:rPr>
            </w:pPr>
            <w:r>
              <w:rPr>
                <w:rFonts w:ascii="Times New Roman" w:eastAsia="Times New Roman" w:hAnsi="Times New Roman"/>
                <w:lang w:val="en-US"/>
              </w:rPr>
              <w:t xml:space="preserve">RSD </w:t>
            </w:r>
            <w:r w:rsidR="002F164F" w:rsidRPr="001053DB">
              <w:rPr>
                <w:rFonts w:ascii="Times New Roman" w:eastAsia="Times New Roman" w:hAnsi="Times New Roman"/>
                <w:lang w:val="sr-Cyrl-CS"/>
              </w:rPr>
              <w:t xml:space="preserve">2.931,4 </w:t>
            </w:r>
            <w:r>
              <w:rPr>
                <w:rFonts w:ascii="Times New Roman" w:eastAsia="Times New Roman" w:hAnsi="Times New Roman"/>
                <w:lang w:val="en-US"/>
              </w:rPr>
              <w:t>billion</w:t>
            </w:r>
          </w:p>
        </w:tc>
      </w:tr>
      <w:tr w:rsidR="00D30238" w:rsidRPr="001053DB" w14:paraId="5D99C227" w14:textId="77777777" w:rsidTr="004049B3">
        <w:trPr>
          <w:trHeight w:val="454"/>
        </w:trPr>
        <w:tc>
          <w:tcPr>
            <w:tcW w:w="0" w:type="auto"/>
            <w:vAlign w:val="center"/>
            <w:hideMark/>
          </w:tcPr>
          <w:p w14:paraId="0607D810" w14:textId="48D5442B" w:rsidR="002F164F" w:rsidRPr="008A513F" w:rsidRDefault="008A513F" w:rsidP="00B378E8">
            <w:pPr>
              <w:rPr>
                <w:rFonts w:ascii="Times New Roman" w:eastAsia="Times New Roman" w:hAnsi="Times New Roman"/>
                <w:lang w:val="en-US"/>
              </w:rPr>
            </w:pPr>
            <w:r>
              <w:rPr>
                <w:rFonts w:ascii="Times New Roman" w:eastAsia="Times New Roman" w:hAnsi="Times New Roman"/>
                <w:lang w:val="en-US"/>
              </w:rPr>
              <w:t>Other public revenue collection</w:t>
            </w:r>
          </w:p>
        </w:tc>
        <w:tc>
          <w:tcPr>
            <w:tcW w:w="3202" w:type="dxa"/>
            <w:vAlign w:val="center"/>
            <w:hideMark/>
          </w:tcPr>
          <w:p w14:paraId="75F89C86" w14:textId="5BB97D3A" w:rsidR="002F164F" w:rsidRPr="008A513F" w:rsidRDefault="008A513F" w:rsidP="00B378E8">
            <w:pPr>
              <w:ind w:left="170"/>
              <w:rPr>
                <w:rFonts w:ascii="Times New Roman" w:eastAsia="Times New Roman" w:hAnsi="Times New Roman"/>
                <w:lang w:val="en-US"/>
              </w:rPr>
            </w:pPr>
            <w:r>
              <w:rPr>
                <w:rFonts w:ascii="Times New Roman" w:eastAsia="Times New Roman" w:hAnsi="Times New Roman"/>
                <w:lang w:val="en-US"/>
              </w:rPr>
              <w:t xml:space="preserve">RSD </w:t>
            </w:r>
            <w:r w:rsidR="002F164F" w:rsidRPr="001053DB">
              <w:rPr>
                <w:rFonts w:ascii="Times New Roman" w:eastAsia="Times New Roman" w:hAnsi="Times New Roman"/>
                <w:lang w:val="sr-Cyrl-CS"/>
              </w:rPr>
              <w:t xml:space="preserve">1.681,1 </w:t>
            </w:r>
            <w:r>
              <w:rPr>
                <w:rFonts w:ascii="Times New Roman" w:eastAsia="Times New Roman" w:hAnsi="Times New Roman"/>
                <w:lang w:val="en-US"/>
              </w:rPr>
              <w:t>billion</w:t>
            </w:r>
          </w:p>
        </w:tc>
      </w:tr>
      <w:tr w:rsidR="00D30238" w:rsidRPr="001053DB" w14:paraId="1335E39D" w14:textId="77777777" w:rsidTr="004049B3">
        <w:trPr>
          <w:trHeight w:val="454"/>
        </w:trPr>
        <w:tc>
          <w:tcPr>
            <w:tcW w:w="0" w:type="auto"/>
            <w:vAlign w:val="center"/>
            <w:hideMark/>
          </w:tcPr>
          <w:p w14:paraId="6EBA4D93" w14:textId="1637AE4A" w:rsidR="002F164F" w:rsidRPr="008A513F" w:rsidRDefault="008A513F" w:rsidP="00B378E8">
            <w:pPr>
              <w:rPr>
                <w:rFonts w:ascii="Times New Roman" w:eastAsia="Times New Roman" w:hAnsi="Times New Roman"/>
                <w:lang w:val="en-US"/>
              </w:rPr>
            </w:pPr>
            <w:r>
              <w:rPr>
                <w:rFonts w:ascii="Times New Roman" w:eastAsia="Times New Roman" w:hAnsi="Times New Roman"/>
                <w:lang w:val="en-US"/>
              </w:rPr>
              <w:t>Tax Administration operating costs in 2024</w:t>
            </w:r>
          </w:p>
        </w:tc>
        <w:tc>
          <w:tcPr>
            <w:tcW w:w="3202" w:type="dxa"/>
            <w:vAlign w:val="center"/>
            <w:hideMark/>
          </w:tcPr>
          <w:p w14:paraId="7C3EE075" w14:textId="19231F66" w:rsidR="002F164F" w:rsidRPr="008A513F" w:rsidRDefault="008A513F" w:rsidP="00B378E8">
            <w:pPr>
              <w:ind w:left="170"/>
              <w:rPr>
                <w:rFonts w:ascii="Times New Roman" w:eastAsia="Times New Roman" w:hAnsi="Times New Roman"/>
                <w:lang w:val="en-US"/>
              </w:rPr>
            </w:pPr>
            <w:r>
              <w:rPr>
                <w:rFonts w:ascii="Times New Roman" w:eastAsia="Times New Roman" w:hAnsi="Times New Roman"/>
                <w:lang w:val="en-US"/>
              </w:rPr>
              <w:t xml:space="preserve">RSD </w:t>
            </w:r>
            <w:r w:rsidR="002F164F" w:rsidRPr="001053DB">
              <w:rPr>
                <w:rFonts w:ascii="Times New Roman" w:eastAsia="Times New Roman" w:hAnsi="Times New Roman"/>
                <w:lang w:val="sr-Cyrl-CS"/>
              </w:rPr>
              <w:t xml:space="preserve">14,0 </w:t>
            </w:r>
            <w:r>
              <w:rPr>
                <w:rFonts w:ascii="Times New Roman" w:eastAsia="Times New Roman" w:hAnsi="Times New Roman"/>
                <w:lang w:val="en-US"/>
              </w:rPr>
              <w:t>billion</w:t>
            </w:r>
          </w:p>
        </w:tc>
      </w:tr>
      <w:tr w:rsidR="00D30238" w:rsidRPr="001053DB" w14:paraId="2B384B3D" w14:textId="77777777" w:rsidTr="004049B3">
        <w:trPr>
          <w:trHeight w:val="454"/>
        </w:trPr>
        <w:tc>
          <w:tcPr>
            <w:tcW w:w="0" w:type="auto"/>
            <w:vAlign w:val="center"/>
            <w:hideMark/>
          </w:tcPr>
          <w:p w14:paraId="1569C24C" w14:textId="5A8140CF" w:rsidR="002F164F" w:rsidRPr="008A513F" w:rsidRDefault="008A513F" w:rsidP="00B378E8">
            <w:pPr>
              <w:rPr>
                <w:rFonts w:ascii="Times New Roman" w:eastAsia="Times New Roman" w:hAnsi="Times New Roman"/>
                <w:lang w:val="en-US"/>
              </w:rPr>
            </w:pPr>
            <w:r>
              <w:rPr>
                <w:rFonts w:ascii="Times New Roman" w:eastAsia="Times New Roman" w:hAnsi="Times New Roman"/>
                <w:lang w:val="en-US"/>
              </w:rPr>
              <w:t>Share of Tax Administration costs in total public revenue collection</w:t>
            </w:r>
          </w:p>
        </w:tc>
        <w:tc>
          <w:tcPr>
            <w:tcW w:w="3202" w:type="dxa"/>
            <w:vAlign w:val="center"/>
            <w:hideMark/>
          </w:tcPr>
          <w:p w14:paraId="154FA34C" w14:textId="77777777" w:rsidR="002F164F" w:rsidRPr="001053DB" w:rsidRDefault="002F164F" w:rsidP="00B378E8">
            <w:pPr>
              <w:ind w:left="170"/>
              <w:rPr>
                <w:rFonts w:ascii="Times New Roman" w:eastAsia="Times New Roman" w:hAnsi="Times New Roman"/>
                <w:lang w:val="sr-Cyrl-CS"/>
              </w:rPr>
            </w:pPr>
            <w:r w:rsidRPr="001053DB">
              <w:rPr>
                <w:rFonts w:ascii="Times New Roman" w:eastAsia="Times New Roman" w:hAnsi="Times New Roman"/>
                <w:lang w:val="sr-Cyrl-CS"/>
              </w:rPr>
              <w:t>0,30%</w:t>
            </w:r>
          </w:p>
        </w:tc>
      </w:tr>
      <w:tr w:rsidR="00D30238" w:rsidRPr="001053DB" w14:paraId="12160A54" w14:textId="77777777" w:rsidTr="004049B3">
        <w:trPr>
          <w:trHeight w:val="454"/>
        </w:trPr>
        <w:tc>
          <w:tcPr>
            <w:tcW w:w="0" w:type="auto"/>
            <w:vAlign w:val="center"/>
            <w:hideMark/>
          </w:tcPr>
          <w:p w14:paraId="29AB3895" w14:textId="4BA53622" w:rsidR="002F164F" w:rsidRPr="008A513F" w:rsidRDefault="008A513F" w:rsidP="00B378E8">
            <w:pPr>
              <w:rPr>
                <w:rFonts w:ascii="Times New Roman" w:eastAsia="Times New Roman" w:hAnsi="Times New Roman"/>
                <w:lang w:val="en-US"/>
              </w:rPr>
            </w:pPr>
            <w:r>
              <w:rPr>
                <w:rFonts w:ascii="Times New Roman" w:eastAsia="Times New Roman" w:hAnsi="Times New Roman"/>
                <w:lang w:val="en-US"/>
              </w:rPr>
              <w:t>Share of Tax Administration costs in Tax Administration revenue collection</w:t>
            </w:r>
          </w:p>
        </w:tc>
        <w:tc>
          <w:tcPr>
            <w:tcW w:w="3202" w:type="dxa"/>
            <w:vAlign w:val="center"/>
            <w:hideMark/>
          </w:tcPr>
          <w:p w14:paraId="28A6624E" w14:textId="77777777" w:rsidR="002F164F" w:rsidRPr="001053DB" w:rsidRDefault="002F164F" w:rsidP="00B378E8">
            <w:pPr>
              <w:ind w:left="170"/>
              <w:rPr>
                <w:rFonts w:ascii="Times New Roman" w:eastAsia="Times New Roman" w:hAnsi="Times New Roman"/>
                <w:lang w:val="sr-Cyrl-CS"/>
              </w:rPr>
            </w:pPr>
            <w:r w:rsidRPr="001053DB">
              <w:rPr>
                <w:rFonts w:ascii="Times New Roman" w:eastAsia="Times New Roman" w:hAnsi="Times New Roman"/>
                <w:lang w:val="sr-Cyrl-CS"/>
              </w:rPr>
              <w:t>0,48%</w:t>
            </w:r>
          </w:p>
        </w:tc>
      </w:tr>
      <w:tr w:rsidR="00D30238" w:rsidRPr="001053DB" w14:paraId="781E0286" w14:textId="77777777" w:rsidTr="004049B3">
        <w:trPr>
          <w:trHeight w:val="454"/>
        </w:trPr>
        <w:tc>
          <w:tcPr>
            <w:tcW w:w="0" w:type="auto"/>
            <w:vAlign w:val="center"/>
            <w:hideMark/>
          </w:tcPr>
          <w:p w14:paraId="7296F0A2" w14:textId="2BCC8DA3" w:rsidR="002F164F" w:rsidRPr="008A513F" w:rsidRDefault="008A513F" w:rsidP="00B378E8">
            <w:pPr>
              <w:rPr>
                <w:rFonts w:ascii="Times New Roman" w:eastAsia="Times New Roman" w:hAnsi="Times New Roman"/>
                <w:lang w:val="en-US"/>
              </w:rPr>
            </w:pPr>
            <w:r>
              <w:rPr>
                <w:rFonts w:ascii="Times New Roman" w:eastAsia="Times New Roman" w:hAnsi="Times New Roman"/>
                <w:lang w:val="en-US"/>
              </w:rPr>
              <w:t>Tax Administration revenue collection as a share of GDP in 2024</w:t>
            </w:r>
          </w:p>
        </w:tc>
        <w:tc>
          <w:tcPr>
            <w:tcW w:w="3202" w:type="dxa"/>
            <w:vAlign w:val="center"/>
            <w:hideMark/>
          </w:tcPr>
          <w:p w14:paraId="239A78EE" w14:textId="77777777" w:rsidR="002F164F" w:rsidRPr="001053DB" w:rsidRDefault="002F164F" w:rsidP="00B378E8">
            <w:pPr>
              <w:ind w:left="170"/>
              <w:rPr>
                <w:rFonts w:ascii="Times New Roman" w:eastAsia="Times New Roman" w:hAnsi="Times New Roman"/>
                <w:lang w:val="sr-Cyrl-CS"/>
              </w:rPr>
            </w:pPr>
            <w:r w:rsidRPr="001053DB">
              <w:rPr>
                <w:rFonts w:ascii="Times New Roman" w:eastAsia="Times New Roman" w:hAnsi="Times New Roman"/>
                <w:lang w:val="sr-Cyrl-CS"/>
              </w:rPr>
              <w:t>30,1%</w:t>
            </w:r>
          </w:p>
        </w:tc>
      </w:tr>
      <w:tr w:rsidR="00D30238" w:rsidRPr="001053DB" w14:paraId="35D0EB18" w14:textId="77777777" w:rsidTr="004049B3">
        <w:trPr>
          <w:trHeight w:val="454"/>
        </w:trPr>
        <w:tc>
          <w:tcPr>
            <w:tcW w:w="0" w:type="auto"/>
            <w:vAlign w:val="center"/>
            <w:hideMark/>
          </w:tcPr>
          <w:p w14:paraId="3253B422" w14:textId="5CA7E9E7" w:rsidR="002F164F" w:rsidRPr="008A513F" w:rsidRDefault="008A513F" w:rsidP="00B378E8">
            <w:pPr>
              <w:rPr>
                <w:rFonts w:ascii="Times New Roman" w:eastAsia="Times New Roman" w:hAnsi="Times New Roman"/>
                <w:lang w:val="en-US"/>
              </w:rPr>
            </w:pPr>
            <w:r>
              <w:rPr>
                <w:rFonts w:ascii="Times New Roman" w:eastAsia="Times New Roman" w:hAnsi="Times New Roman"/>
                <w:lang w:val="en-US"/>
              </w:rPr>
              <w:t>GDP in 2024</w:t>
            </w:r>
          </w:p>
        </w:tc>
        <w:tc>
          <w:tcPr>
            <w:tcW w:w="3202" w:type="dxa"/>
            <w:vAlign w:val="center"/>
            <w:hideMark/>
          </w:tcPr>
          <w:p w14:paraId="50325418" w14:textId="2FEFDBB7" w:rsidR="002F164F" w:rsidRPr="008A513F" w:rsidRDefault="008A513F" w:rsidP="00B378E8">
            <w:pPr>
              <w:ind w:left="170"/>
              <w:rPr>
                <w:rFonts w:ascii="Times New Roman" w:eastAsia="Times New Roman" w:hAnsi="Times New Roman"/>
                <w:lang w:val="en-US"/>
              </w:rPr>
            </w:pPr>
            <w:r>
              <w:rPr>
                <w:rFonts w:ascii="Times New Roman" w:eastAsia="Times New Roman" w:hAnsi="Times New Roman"/>
                <w:lang w:val="en-US"/>
              </w:rPr>
              <w:t xml:space="preserve">RSD </w:t>
            </w:r>
            <w:r w:rsidR="002F164F" w:rsidRPr="001053DB">
              <w:rPr>
                <w:rFonts w:ascii="Times New Roman" w:eastAsia="Times New Roman" w:hAnsi="Times New Roman"/>
                <w:lang w:val="sr-Cyrl-CS"/>
              </w:rPr>
              <w:t xml:space="preserve">9.743,3 </w:t>
            </w:r>
            <w:r>
              <w:rPr>
                <w:rFonts w:ascii="Times New Roman" w:eastAsia="Times New Roman" w:hAnsi="Times New Roman"/>
                <w:lang w:val="en-US"/>
              </w:rPr>
              <w:t>billion</w:t>
            </w:r>
          </w:p>
        </w:tc>
      </w:tr>
    </w:tbl>
    <w:p w14:paraId="2AD7D169" w14:textId="3456B2C0" w:rsidR="00B03CEA" w:rsidRPr="001053DB" w:rsidRDefault="008A513F" w:rsidP="008A513F">
      <w:pPr>
        <w:spacing w:after="0" w:line="256" w:lineRule="auto"/>
        <w:jc w:val="center"/>
        <w:rPr>
          <w:rFonts w:ascii="Times New Roman" w:eastAsia="Aptos" w:hAnsi="Times New Roman" w:cs="Times New Roman"/>
          <w:kern w:val="2"/>
          <w:lang w:val="sr-Cyrl-CS"/>
          <w14:ligatures w14:val="standardContextual"/>
        </w:rPr>
      </w:pPr>
      <w:r>
        <w:rPr>
          <w:rFonts w:ascii="Times New Roman" w:eastAsia="Aptos" w:hAnsi="Times New Roman" w:cs="Times New Roman"/>
          <w:kern w:val="2"/>
          <w:lang w:val="en-US"/>
          <w14:ligatures w14:val="standardContextual"/>
        </w:rPr>
        <w:t>Table</w:t>
      </w:r>
      <w:r w:rsidR="003D5050" w:rsidRPr="001053DB">
        <w:rPr>
          <w:rFonts w:ascii="Times New Roman" w:eastAsia="Aptos" w:hAnsi="Times New Roman" w:cs="Times New Roman"/>
          <w:kern w:val="2"/>
          <w:lang w:val="sr-Cyrl-CS"/>
          <w14:ligatures w14:val="standardContextual"/>
        </w:rPr>
        <w:t xml:space="preserve"> </w:t>
      </w:r>
      <w:r w:rsidR="00C7481B" w:rsidRPr="001053DB">
        <w:rPr>
          <w:rFonts w:ascii="Times New Roman" w:eastAsia="Aptos" w:hAnsi="Times New Roman" w:cs="Times New Roman"/>
          <w:kern w:val="2"/>
          <w:lang w:val="sr-Cyrl-CS"/>
          <w14:ligatures w14:val="standardContextual"/>
        </w:rPr>
        <w:t>3</w:t>
      </w:r>
      <w:r w:rsidR="003D5050" w:rsidRPr="001053DB">
        <w:rPr>
          <w:rFonts w:ascii="Times New Roman" w:eastAsia="Aptos" w:hAnsi="Times New Roman" w:cs="Times New Roman"/>
          <w:kern w:val="2"/>
          <w:lang w:val="sr-Cyrl-CS"/>
          <w14:ligatures w14:val="standardContextual"/>
        </w:rPr>
        <w:t xml:space="preserve">: </w:t>
      </w:r>
      <w:r w:rsidR="00B03CEA" w:rsidRPr="001053DB">
        <w:rPr>
          <w:rFonts w:ascii="Times New Roman" w:eastAsia="Aptos" w:hAnsi="Times New Roman" w:cs="Times New Roman"/>
          <w:kern w:val="2"/>
          <w:lang w:val="sr-Cyrl-CS"/>
          <w14:ligatures w14:val="standardContextual"/>
        </w:rPr>
        <w:t>*</w:t>
      </w:r>
      <w:r w:rsidRPr="008A513F">
        <w:t xml:space="preserve"> </w:t>
      </w:r>
      <w:r w:rsidRPr="008A513F">
        <w:rPr>
          <w:rFonts w:ascii="Times New Roman" w:eastAsia="Aptos" w:hAnsi="Times New Roman" w:cs="Times New Roman"/>
          <w:kern w:val="2"/>
          <w14:ligatures w14:val="standardContextual"/>
        </w:rPr>
        <w:t>Tax Administration data are presented on a gross basis. Source: Tax Administration Annual Report 2024.</w:t>
      </w:r>
    </w:p>
    <w:p w14:paraId="34896CE1" w14:textId="77777777" w:rsidR="00AA5828" w:rsidRPr="001053DB" w:rsidRDefault="00AA5828" w:rsidP="006E7004">
      <w:pPr>
        <w:spacing w:after="0" w:line="240" w:lineRule="auto"/>
        <w:ind w:firstLine="706"/>
        <w:rPr>
          <w:rFonts w:ascii="Times New Roman" w:eastAsia="Times New Roman" w:hAnsi="Times New Roman" w:cs="Times New Roman"/>
          <w:b/>
          <w:i/>
          <w:sz w:val="22"/>
          <w:szCs w:val="22"/>
          <w:lang w:val="sr-Cyrl-CS" w:eastAsia="en-GB"/>
        </w:rPr>
      </w:pPr>
    </w:p>
    <w:p w14:paraId="2ED8A942" w14:textId="77777777" w:rsidR="00342301" w:rsidRPr="00342301" w:rsidRDefault="00342301" w:rsidP="00342301">
      <w:pPr>
        <w:ind w:firstLine="708"/>
        <w:jc w:val="both"/>
        <w:rPr>
          <w:rFonts w:ascii="Times New Roman" w:hAnsi="Times New Roman" w:cs="Times New Roman"/>
          <w:sz w:val="24"/>
          <w:szCs w:val="24"/>
          <w:lang w:val="en-US"/>
        </w:rPr>
      </w:pPr>
      <w:r w:rsidRPr="00342301">
        <w:rPr>
          <w:rFonts w:ascii="Times New Roman" w:hAnsi="Times New Roman" w:cs="Times New Roman"/>
          <w:sz w:val="24"/>
          <w:szCs w:val="24"/>
          <w:lang w:val="en-US"/>
        </w:rPr>
        <w:t xml:space="preserve">Within the framework of the Republic of Serbia’s European integration process, the area of taxation, namely the alignment of national tax legislation with the acquis </w:t>
      </w:r>
      <w:proofErr w:type="spellStart"/>
      <w:r w:rsidRPr="00342301">
        <w:rPr>
          <w:rFonts w:ascii="Times New Roman" w:hAnsi="Times New Roman" w:cs="Times New Roman"/>
          <w:sz w:val="24"/>
          <w:szCs w:val="24"/>
          <w:lang w:val="en-US"/>
        </w:rPr>
        <w:t>communautaire</w:t>
      </w:r>
      <w:proofErr w:type="spellEnd"/>
      <w:r w:rsidRPr="00342301">
        <w:rPr>
          <w:rFonts w:ascii="Times New Roman" w:hAnsi="Times New Roman" w:cs="Times New Roman"/>
          <w:sz w:val="24"/>
          <w:szCs w:val="24"/>
          <w:lang w:val="en-US"/>
        </w:rPr>
        <w:t xml:space="preserve"> of the European Union under Chapter 16, gained significant momentum during 2025. In this context, a series of reform activities is planned, including comprehensive compliance assessments and the preparation of amendments to key tax laws, including the Law on Value Added Tax, the Personal Income Tax Law, the Corporate Income Tax Law, the Excise Duties Law, and the Law on Tax Procedure and Tax Administration.</w:t>
      </w:r>
    </w:p>
    <w:p w14:paraId="48E224B0" w14:textId="77777777" w:rsidR="00342301" w:rsidRPr="00342301" w:rsidRDefault="00342301" w:rsidP="00342301">
      <w:pPr>
        <w:ind w:firstLine="708"/>
        <w:jc w:val="both"/>
        <w:rPr>
          <w:rFonts w:ascii="Times New Roman" w:hAnsi="Times New Roman" w:cs="Times New Roman"/>
          <w:sz w:val="24"/>
          <w:szCs w:val="24"/>
          <w:lang w:val="en-US"/>
        </w:rPr>
      </w:pPr>
      <w:r w:rsidRPr="00342301">
        <w:rPr>
          <w:rFonts w:ascii="Times New Roman" w:hAnsi="Times New Roman" w:cs="Times New Roman"/>
          <w:sz w:val="24"/>
          <w:szCs w:val="24"/>
          <w:lang w:val="en-US"/>
        </w:rPr>
        <w:t xml:space="preserve">Following the development of the strategic reform roadmap, a comprehensive change management plan will be prepared to ensure the efficient, coordinated, and sustainable implementation of the planned legislative reforms in the field of taxation. The plan will define clear governance mechanisms, institutional roles and responsibilities, as well as communication and coordination arrangements necessary for alignment with the EU acquis under Chapter 16. Particular attention will be devoted to managing </w:t>
      </w:r>
      <w:proofErr w:type="spellStart"/>
      <w:r w:rsidRPr="00342301">
        <w:rPr>
          <w:rFonts w:ascii="Times New Roman" w:hAnsi="Times New Roman" w:cs="Times New Roman"/>
          <w:sz w:val="24"/>
          <w:szCs w:val="24"/>
          <w:lang w:val="en-US"/>
        </w:rPr>
        <w:t>organisational</w:t>
      </w:r>
      <w:proofErr w:type="spellEnd"/>
      <w:r w:rsidRPr="00342301">
        <w:rPr>
          <w:rFonts w:ascii="Times New Roman" w:hAnsi="Times New Roman" w:cs="Times New Roman"/>
          <w:sz w:val="24"/>
          <w:szCs w:val="24"/>
          <w:lang w:val="en-US"/>
        </w:rPr>
        <w:t xml:space="preserve"> and procedural changes, identifying risks and resistance to change, and defining measures for their mitigation, while strengthening institutional capacities and ensuring the timely involvement of relevant stakeholders.</w:t>
      </w:r>
    </w:p>
    <w:p w14:paraId="26A65A5E" w14:textId="77777777" w:rsidR="00342301" w:rsidRPr="00342301" w:rsidRDefault="00342301" w:rsidP="00342301">
      <w:pPr>
        <w:ind w:firstLine="708"/>
        <w:jc w:val="both"/>
        <w:rPr>
          <w:rFonts w:ascii="Times New Roman" w:hAnsi="Times New Roman" w:cs="Times New Roman"/>
          <w:sz w:val="24"/>
          <w:szCs w:val="24"/>
          <w:lang w:val="en-US"/>
        </w:rPr>
      </w:pPr>
      <w:r w:rsidRPr="00342301">
        <w:rPr>
          <w:rFonts w:ascii="Times New Roman" w:hAnsi="Times New Roman" w:cs="Times New Roman"/>
          <w:sz w:val="24"/>
          <w:szCs w:val="24"/>
          <w:lang w:val="en-US"/>
        </w:rPr>
        <w:t>Based on the change management plan, targeted activities will be implemented to prepare the public administration for the effective and consistent application of the amended tax legislation. These activities will include the development and delivery of capacity-building programmes combining traditional training and e-learning, with a focus on the practical application of new legal provisions, updated procedures, and inter-institutional coordination. This approach will ensure the consistent interpretation and implementation of legislation, continuous knowledge transfer, and the strengthening of institutional capacities in the field of taxation.</w:t>
      </w:r>
    </w:p>
    <w:p w14:paraId="56E5873D" w14:textId="77777777" w:rsidR="00342301" w:rsidRPr="00342301" w:rsidRDefault="00342301" w:rsidP="00342301">
      <w:pPr>
        <w:ind w:firstLine="708"/>
        <w:jc w:val="both"/>
        <w:rPr>
          <w:rFonts w:ascii="Times New Roman" w:hAnsi="Times New Roman" w:cs="Times New Roman"/>
          <w:sz w:val="24"/>
          <w:szCs w:val="24"/>
          <w:lang w:val="en-US"/>
        </w:rPr>
      </w:pPr>
      <w:r w:rsidRPr="00342301">
        <w:rPr>
          <w:rFonts w:ascii="Times New Roman" w:hAnsi="Times New Roman" w:cs="Times New Roman"/>
          <w:sz w:val="24"/>
          <w:szCs w:val="24"/>
          <w:lang w:val="en-US"/>
        </w:rPr>
        <w:lastRenderedPageBreak/>
        <w:t>Activities aimed at raising awareness and strengthening the capacities of the business community will seek to improve understanding and practical application of key tax legislation, including the Excise Duties Law, the Law on Value Added Tax, the Personal Income Tax Law, the Corporate Income Tax Law, and the Law on Tax Procedure and Tax Administration. Through targeted workshops, informational and practical materials, and examples tailored to different categories of taxpayers, these activities will contribute to a higher level of voluntary tax compliance, reduced administrative and legal uncertainty, and improved cooperation between businesses and the Tax Administration.</w:t>
      </w:r>
    </w:p>
    <w:p w14:paraId="3E8206C0" w14:textId="6F616630" w:rsidR="00342301" w:rsidRPr="00342301" w:rsidRDefault="00342301" w:rsidP="00342301">
      <w:pPr>
        <w:ind w:firstLine="708"/>
        <w:jc w:val="both"/>
        <w:rPr>
          <w:rFonts w:ascii="Times New Roman" w:hAnsi="Times New Roman" w:cs="Times New Roman"/>
          <w:sz w:val="24"/>
          <w:szCs w:val="24"/>
          <w:lang w:val="en-US"/>
        </w:rPr>
      </w:pPr>
      <w:r w:rsidRPr="00342301">
        <w:rPr>
          <w:rFonts w:ascii="Times New Roman" w:hAnsi="Times New Roman" w:cs="Times New Roman"/>
          <w:sz w:val="24"/>
          <w:szCs w:val="24"/>
          <w:lang w:val="en-US"/>
        </w:rPr>
        <w:t>These activities are intended to further improve the legal framework in the field of taxation, strengthen fiscal predictability and legal certainty, and gradually align the national tax system with European Union standards and the international obligations of the Republic of Serbia. Although the aforementioned legislation falls under the responsibility of the Ministry of Finance – Fiscal System Department, its alignment has a direct impact on the efficiency of public revenue collection and the functioning of the Tax Administration, thereby making an important contribution to the achievement of the objectives of the PFMRP. It is therefore justified that these activities be clearly identified and formally incorporated into the PFMRP 2026–2030 and its accompanying Action Plan as a specific activity within the measure relating to the reform of the taxation system.</w:t>
      </w:r>
    </w:p>
    <w:p w14:paraId="73936BC2" w14:textId="4567EA43" w:rsidR="00E810A2" w:rsidRPr="001053DB" w:rsidRDefault="002B02A7" w:rsidP="006E7004">
      <w:pPr>
        <w:spacing w:after="0" w:line="240" w:lineRule="auto"/>
        <w:ind w:firstLine="706"/>
        <w:rPr>
          <w:rFonts w:ascii="Times New Roman" w:eastAsia="Times New Roman" w:hAnsi="Times New Roman" w:cs="Times New Roman"/>
          <w:b/>
          <w:i/>
          <w:sz w:val="22"/>
          <w:szCs w:val="22"/>
          <w:lang w:val="sr-Cyrl-CS" w:eastAsia="en-GB"/>
        </w:rPr>
      </w:pPr>
      <w:r>
        <w:rPr>
          <w:rFonts w:ascii="Times New Roman" w:eastAsia="Times New Roman" w:hAnsi="Times New Roman" w:cs="Times New Roman"/>
          <w:b/>
          <w:i/>
          <w:sz w:val="22"/>
          <w:szCs w:val="22"/>
          <w:lang w:val="en-US" w:eastAsia="en-GB"/>
        </w:rPr>
        <w:t>Measure</w:t>
      </w:r>
      <w:r w:rsidR="00E810A2" w:rsidRPr="001053DB">
        <w:rPr>
          <w:rFonts w:ascii="Times New Roman" w:eastAsia="Times New Roman" w:hAnsi="Times New Roman" w:cs="Times New Roman"/>
          <w:b/>
          <w:i/>
          <w:sz w:val="22"/>
          <w:szCs w:val="22"/>
          <w:lang w:val="sr-Cyrl-CS" w:eastAsia="en-GB"/>
        </w:rPr>
        <w:t xml:space="preserve"> 2.2: </w:t>
      </w:r>
      <w:r w:rsidRPr="002B02A7">
        <w:rPr>
          <w:rFonts w:ascii="Times New Roman" w:hAnsi="Times New Roman" w:cs="Times New Roman"/>
          <w:b/>
          <w:bCs/>
          <w:i/>
          <w:iCs/>
          <w:sz w:val="22"/>
          <w:szCs w:val="22"/>
          <w:lang w:val="en-US"/>
        </w:rPr>
        <w:t>Reduction of administrative burden and improvement of efficiency in providing electronic services under the competence of Tobacco administration</w:t>
      </w:r>
    </w:p>
    <w:p w14:paraId="7999F68C" w14:textId="77777777" w:rsidR="00E810A2" w:rsidRPr="001053DB" w:rsidRDefault="00E810A2" w:rsidP="00E810A2">
      <w:pPr>
        <w:spacing w:after="0" w:line="240" w:lineRule="auto"/>
        <w:ind w:firstLine="706"/>
        <w:rPr>
          <w:rFonts w:ascii="Times New Roman" w:eastAsia="Times New Roman" w:hAnsi="Times New Roman" w:cs="Times New Roman"/>
          <w:b/>
          <w:i/>
          <w:sz w:val="24"/>
          <w:szCs w:val="24"/>
          <w:lang w:val="sr-Cyrl-CS" w:eastAsia="en-GB"/>
        </w:rPr>
      </w:pPr>
    </w:p>
    <w:p w14:paraId="7A547CA1" w14:textId="77777777" w:rsidR="00E92B4B" w:rsidRPr="00E92B4B" w:rsidRDefault="00E92B4B" w:rsidP="00E92B4B">
      <w:pPr>
        <w:ind w:firstLine="708"/>
        <w:jc w:val="both"/>
        <w:rPr>
          <w:rFonts w:ascii="Times New Roman" w:eastAsia="Times New Roman" w:hAnsi="Times New Roman" w:cs="Times New Roman"/>
          <w:sz w:val="24"/>
          <w:szCs w:val="24"/>
          <w:shd w:val="clear" w:color="auto" w:fill="FFFFFF"/>
          <w:lang w:val="en-US"/>
        </w:rPr>
      </w:pPr>
      <w:r w:rsidRPr="00E92B4B">
        <w:rPr>
          <w:rFonts w:ascii="Times New Roman" w:eastAsia="Times New Roman" w:hAnsi="Times New Roman" w:cs="Times New Roman"/>
          <w:sz w:val="24"/>
          <w:szCs w:val="24"/>
          <w:shd w:val="clear" w:color="auto" w:fill="FFFFFF"/>
          <w:lang w:val="en-US"/>
        </w:rPr>
        <w:t>The Tobacco Administration continues its activities aimed at improving the quality of services provided to economic operators active in the tobacco, tobacco products, and related products market. In order to enhance the efficiency and transparency of collecting reports and records maintained by manufacturers of tobacco products, wholesale and retail traders of tobacco products, importers and exporters of tobacco, processed tobacco, manufactured tobacco and tobacco products, as well as manufacturers and importers of related products, the Tobacco Administration has established a Reporting Portal for Economic Operators. The portal will enable the electronic submission of reports and the automated collection and processing of data. Prior to the establishment of the portal, reports were submitted in paper form and by e-mail, which required manual processing and verification of data.</w:t>
      </w:r>
    </w:p>
    <w:p w14:paraId="163E1BC2" w14:textId="77777777" w:rsidR="00E92B4B" w:rsidRPr="00E92B4B" w:rsidRDefault="00E92B4B" w:rsidP="00E92B4B">
      <w:pPr>
        <w:ind w:firstLine="708"/>
        <w:jc w:val="both"/>
        <w:rPr>
          <w:rFonts w:ascii="Times New Roman" w:eastAsia="Times New Roman" w:hAnsi="Times New Roman" w:cs="Times New Roman"/>
          <w:sz w:val="24"/>
          <w:szCs w:val="24"/>
          <w:shd w:val="clear" w:color="auto" w:fill="FFFFFF"/>
          <w:lang w:val="en-US"/>
        </w:rPr>
      </w:pPr>
      <w:r w:rsidRPr="00E92B4B">
        <w:rPr>
          <w:rFonts w:ascii="Times New Roman" w:eastAsia="Times New Roman" w:hAnsi="Times New Roman" w:cs="Times New Roman"/>
          <w:sz w:val="24"/>
          <w:szCs w:val="24"/>
          <w:shd w:val="clear" w:color="auto" w:fill="FFFFFF"/>
          <w:lang w:val="en-US"/>
        </w:rPr>
        <w:t>From 2026 onwards, all economic operators will be required to submit their quarterly, semi-annual, and annual reports exclusively through the electronic portal. Given the large number of economic operators engaged in activities within the tobacco, tobacco products, and related products market (approximately 9,000), training sessions and technical support are planned throughout 2026 and 2027 to ensure the full implementation of the system and achieve maximum compliance by the end of 2027. These activities are expected to significantly reduce the administrative burden and improve the efficiency of service delivery.</w:t>
      </w:r>
    </w:p>
    <w:p w14:paraId="4CFF5210" w14:textId="77777777" w:rsidR="002B02A7" w:rsidRPr="002B02A7" w:rsidRDefault="002B02A7" w:rsidP="002B02A7">
      <w:pPr>
        <w:ind w:firstLine="708"/>
        <w:jc w:val="both"/>
        <w:rPr>
          <w:rFonts w:ascii="Times New Roman" w:hAnsi="Times New Roman" w:cs="Times New Roman"/>
          <w:b/>
          <w:bCs/>
          <w:i/>
          <w:iCs/>
          <w:sz w:val="22"/>
          <w:szCs w:val="22"/>
          <w:lang w:val="en-US"/>
        </w:rPr>
      </w:pPr>
      <w:r w:rsidRPr="002B02A7">
        <w:rPr>
          <w:rFonts w:ascii="Times New Roman" w:hAnsi="Times New Roman" w:cs="Times New Roman"/>
          <w:b/>
          <w:bCs/>
          <w:i/>
          <w:iCs/>
          <w:sz w:val="22"/>
          <w:szCs w:val="22"/>
          <w:lang w:val="en-US"/>
        </w:rPr>
        <w:t>Measure</w:t>
      </w:r>
      <w:r w:rsidR="00E810A2" w:rsidRPr="002B02A7">
        <w:rPr>
          <w:rFonts w:ascii="Times New Roman" w:hAnsi="Times New Roman" w:cs="Times New Roman"/>
          <w:b/>
          <w:bCs/>
          <w:i/>
          <w:iCs/>
          <w:sz w:val="22"/>
          <w:szCs w:val="22"/>
          <w:lang w:val="en-US"/>
        </w:rPr>
        <w:t xml:space="preserve"> 2.3: </w:t>
      </w:r>
      <w:r w:rsidRPr="002B02A7">
        <w:rPr>
          <w:rFonts w:ascii="Times New Roman" w:hAnsi="Times New Roman" w:cs="Times New Roman"/>
          <w:b/>
          <w:bCs/>
          <w:i/>
          <w:iCs/>
          <w:sz w:val="22"/>
          <w:szCs w:val="22"/>
          <w:lang w:val="en-US"/>
        </w:rPr>
        <w:t xml:space="preserve">Strengthening the administrative capacities of the Customs administration </w:t>
      </w:r>
    </w:p>
    <w:p w14:paraId="50D8114B" w14:textId="77777777" w:rsidR="00E92B4B" w:rsidRPr="00E92B4B" w:rsidRDefault="00E92B4B" w:rsidP="00E92B4B">
      <w:pPr>
        <w:ind w:firstLine="708"/>
        <w:jc w:val="both"/>
        <w:rPr>
          <w:rFonts w:ascii="Times New Roman" w:hAnsi="Times New Roman" w:cs="Times New Roman"/>
          <w:sz w:val="24"/>
          <w:szCs w:val="24"/>
          <w:lang w:val="en-US"/>
        </w:rPr>
      </w:pPr>
      <w:r w:rsidRPr="00E92B4B">
        <w:rPr>
          <w:rFonts w:ascii="Times New Roman" w:hAnsi="Times New Roman" w:cs="Times New Roman"/>
          <w:sz w:val="24"/>
          <w:szCs w:val="24"/>
          <w:lang w:val="en-US"/>
        </w:rPr>
        <w:t xml:space="preserve">The Customs Administration has achieved significant progress in the </w:t>
      </w:r>
      <w:proofErr w:type="spellStart"/>
      <w:r w:rsidRPr="00E92B4B">
        <w:rPr>
          <w:rFonts w:ascii="Times New Roman" w:hAnsi="Times New Roman" w:cs="Times New Roman"/>
          <w:sz w:val="24"/>
          <w:szCs w:val="24"/>
          <w:lang w:val="en-US"/>
        </w:rPr>
        <w:t>digitalisation</w:t>
      </w:r>
      <w:proofErr w:type="spellEnd"/>
      <w:r w:rsidRPr="00E92B4B">
        <w:rPr>
          <w:rFonts w:ascii="Times New Roman" w:hAnsi="Times New Roman" w:cs="Times New Roman"/>
          <w:sz w:val="24"/>
          <w:szCs w:val="24"/>
          <w:lang w:val="en-US"/>
        </w:rPr>
        <w:t xml:space="preserve"> and </w:t>
      </w:r>
      <w:proofErr w:type="spellStart"/>
      <w:r w:rsidRPr="00E92B4B">
        <w:rPr>
          <w:rFonts w:ascii="Times New Roman" w:hAnsi="Times New Roman" w:cs="Times New Roman"/>
          <w:sz w:val="24"/>
          <w:szCs w:val="24"/>
          <w:lang w:val="en-US"/>
        </w:rPr>
        <w:t>modernisation</w:t>
      </w:r>
      <w:proofErr w:type="spellEnd"/>
      <w:r w:rsidRPr="00E92B4B">
        <w:rPr>
          <w:rFonts w:ascii="Times New Roman" w:hAnsi="Times New Roman" w:cs="Times New Roman"/>
          <w:sz w:val="24"/>
          <w:szCs w:val="24"/>
          <w:lang w:val="en-US"/>
        </w:rPr>
        <w:t xml:space="preserve"> of customs procedures. Since 25 January 2015, the New </w:t>
      </w:r>
      <w:proofErr w:type="spellStart"/>
      <w:r w:rsidRPr="00E92B4B">
        <w:rPr>
          <w:rFonts w:ascii="Times New Roman" w:hAnsi="Times New Roman" w:cs="Times New Roman"/>
          <w:sz w:val="24"/>
          <w:szCs w:val="24"/>
          <w:lang w:val="en-US"/>
        </w:rPr>
        <w:t>Computerised</w:t>
      </w:r>
      <w:proofErr w:type="spellEnd"/>
      <w:r w:rsidRPr="00E92B4B">
        <w:rPr>
          <w:rFonts w:ascii="Times New Roman" w:hAnsi="Times New Roman" w:cs="Times New Roman"/>
          <w:sz w:val="24"/>
          <w:szCs w:val="24"/>
          <w:lang w:val="en-US"/>
        </w:rPr>
        <w:t xml:space="preserve"> Transit </w:t>
      </w:r>
      <w:r w:rsidRPr="00E92B4B">
        <w:rPr>
          <w:rFonts w:ascii="Times New Roman" w:hAnsi="Times New Roman" w:cs="Times New Roman"/>
          <w:sz w:val="24"/>
          <w:szCs w:val="24"/>
          <w:lang w:val="en-US"/>
        </w:rPr>
        <w:lastRenderedPageBreak/>
        <w:t>System (NCTS) has been in operation, representing the first electronic, paperless customs procedure in the country. The system has since been upgraded to Phase 5, enhancing the security and efficiency of goods transportation. The upgraded system has been operational since January 2024, while the implementation of NCTS Phase 6 is expected from 1 June 2026. This new phase will introduce specific safety and security data requirements in transit declarations for goods destined for EU Member States, Norway, Switzerland, and Northern Ireland.</w:t>
      </w:r>
    </w:p>
    <w:p w14:paraId="0C1C5B9E" w14:textId="77777777" w:rsidR="00E92B4B" w:rsidRPr="00E92B4B" w:rsidRDefault="00E92B4B" w:rsidP="00E92B4B">
      <w:pPr>
        <w:ind w:firstLine="708"/>
        <w:jc w:val="both"/>
        <w:rPr>
          <w:rFonts w:ascii="Times New Roman" w:hAnsi="Times New Roman" w:cs="Times New Roman"/>
          <w:sz w:val="24"/>
          <w:szCs w:val="24"/>
          <w:lang w:val="en-US"/>
        </w:rPr>
      </w:pPr>
      <w:r w:rsidRPr="00E92B4B">
        <w:rPr>
          <w:rFonts w:ascii="Times New Roman" w:hAnsi="Times New Roman" w:cs="Times New Roman"/>
          <w:sz w:val="24"/>
          <w:szCs w:val="24"/>
          <w:lang w:val="en-US"/>
        </w:rPr>
        <w:t xml:space="preserve">As the Customs Administration is currently establishing automated customs systems through EU pre-accession assistance under the IPA 2020 project (Introduction of the Automated Import System (AIS), Automated Export System (AES), and Customs Decisions System (CDS)), it is expected that the continued </w:t>
      </w:r>
      <w:proofErr w:type="spellStart"/>
      <w:r w:rsidRPr="00E92B4B">
        <w:rPr>
          <w:rFonts w:ascii="Times New Roman" w:hAnsi="Times New Roman" w:cs="Times New Roman"/>
          <w:sz w:val="24"/>
          <w:szCs w:val="24"/>
          <w:lang w:val="en-US"/>
        </w:rPr>
        <w:t>modernisation</w:t>
      </w:r>
      <w:proofErr w:type="spellEnd"/>
      <w:r w:rsidRPr="00E92B4B">
        <w:rPr>
          <w:rFonts w:ascii="Times New Roman" w:hAnsi="Times New Roman" w:cs="Times New Roman"/>
          <w:sz w:val="24"/>
          <w:szCs w:val="24"/>
          <w:lang w:val="en-US"/>
        </w:rPr>
        <w:t xml:space="preserve"> of the Customs Administration will provide access to common </w:t>
      </w:r>
      <w:proofErr w:type="spellStart"/>
      <w:r w:rsidRPr="00E92B4B">
        <w:rPr>
          <w:rFonts w:ascii="Times New Roman" w:hAnsi="Times New Roman" w:cs="Times New Roman"/>
          <w:sz w:val="24"/>
          <w:szCs w:val="24"/>
          <w:lang w:val="en-US"/>
        </w:rPr>
        <w:t>computerised</w:t>
      </w:r>
      <w:proofErr w:type="spellEnd"/>
      <w:r w:rsidRPr="00E92B4B">
        <w:rPr>
          <w:rFonts w:ascii="Times New Roman" w:hAnsi="Times New Roman" w:cs="Times New Roman"/>
          <w:sz w:val="24"/>
          <w:szCs w:val="24"/>
          <w:lang w:val="en-US"/>
        </w:rPr>
        <w:t xml:space="preserve"> customs systems and enable the delivery of high-quality services to citizens and businesses following the Republic of Serbia’s accession to the European Union.</w:t>
      </w:r>
    </w:p>
    <w:p w14:paraId="36F3690E" w14:textId="77777777" w:rsidR="00E92B4B" w:rsidRPr="00E92B4B" w:rsidRDefault="00E92B4B" w:rsidP="00E92B4B">
      <w:pPr>
        <w:ind w:firstLine="708"/>
        <w:jc w:val="both"/>
        <w:rPr>
          <w:rFonts w:ascii="Times New Roman" w:hAnsi="Times New Roman" w:cs="Times New Roman"/>
          <w:sz w:val="24"/>
          <w:szCs w:val="24"/>
          <w:lang w:val="en-US"/>
        </w:rPr>
      </w:pPr>
      <w:r w:rsidRPr="00E92B4B">
        <w:rPr>
          <w:rFonts w:ascii="Times New Roman" w:hAnsi="Times New Roman" w:cs="Times New Roman"/>
          <w:sz w:val="24"/>
          <w:szCs w:val="24"/>
          <w:lang w:val="en-US"/>
        </w:rPr>
        <w:t xml:space="preserve">As this project represents a key step towards the full </w:t>
      </w:r>
      <w:proofErr w:type="spellStart"/>
      <w:r w:rsidRPr="00E92B4B">
        <w:rPr>
          <w:rFonts w:ascii="Times New Roman" w:hAnsi="Times New Roman" w:cs="Times New Roman"/>
          <w:sz w:val="24"/>
          <w:szCs w:val="24"/>
          <w:lang w:val="en-US"/>
        </w:rPr>
        <w:t>digitalisation</w:t>
      </w:r>
      <w:proofErr w:type="spellEnd"/>
      <w:r w:rsidRPr="00E92B4B">
        <w:rPr>
          <w:rFonts w:ascii="Times New Roman" w:hAnsi="Times New Roman" w:cs="Times New Roman"/>
          <w:sz w:val="24"/>
          <w:szCs w:val="24"/>
          <w:lang w:val="en-US"/>
        </w:rPr>
        <w:t xml:space="preserve"> of Customs Administration operations, its implementation is expected to create the need for integration with other electronic systems.</w:t>
      </w:r>
    </w:p>
    <w:p w14:paraId="331221D1" w14:textId="77777777" w:rsidR="00E92B4B" w:rsidRPr="00E92B4B" w:rsidRDefault="00E92B4B" w:rsidP="00E92B4B">
      <w:pPr>
        <w:ind w:firstLine="708"/>
        <w:jc w:val="both"/>
        <w:rPr>
          <w:rFonts w:ascii="Times New Roman" w:hAnsi="Times New Roman" w:cs="Times New Roman"/>
          <w:sz w:val="24"/>
          <w:szCs w:val="24"/>
          <w:lang w:val="en-US"/>
        </w:rPr>
      </w:pPr>
      <w:r w:rsidRPr="00E92B4B">
        <w:rPr>
          <w:rFonts w:ascii="Times New Roman" w:hAnsi="Times New Roman" w:cs="Times New Roman"/>
          <w:sz w:val="24"/>
          <w:szCs w:val="24"/>
          <w:lang w:val="en-US"/>
        </w:rPr>
        <w:t>The implementation of the Automated Import System (AIS), Automated Export System (AES), and Customs Decisions System (CDS) is planned by the fourth quarter of 2027. These systems will enable more efficient customs procedures and reduce administrative costs.</w:t>
      </w:r>
    </w:p>
    <w:p w14:paraId="59A81FB2" w14:textId="77777777" w:rsidR="00E92B4B" w:rsidRPr="00E92B4B" w:rsidRDefault="00E92B4B" w:rsidP="00E92B4B">
      <w:pPr>
        <w:ind w:firstLine="708"/>
        <w:jc w:val="both"/>
        <w:rPr>
          <w:rFonts w:ascii="Times New Roman" w:hAnsi="Times New Roman" w:cs="Times New Roman"/>
          <w:sz w:val="24"/>
          <w:szCs w:val="24"/>
          <w:lang w:val="en-US"/>
        </w:rPr>
      </w:pPr>
      <w:r w:rsidRPr="00E92B4B">
        <w:rPr>
          <w:rFonts w:ascii="Times New Roman" w:hAnsi="Times New Roman" w:cs="Times New Roman"/>
          <w:sz w:val="24"/>
          <w:szCs w:val="24"/>
          <w:lang w:val="en-US"/>
        </w:rPr>
        <w:t>In parallel, a project has been launched to develop a Post-Clearance Audit Application that will be compatible with automated systems such as AIS, AES, and CDS. The Post-Clearance Audit Department has prepared a project proposal for the application, while GIZ has supported the preparation of project documentation and the analysis of functional requirements.</w:t>
      </w:r>
    </w:p>
    <w:p w14:paraId="21D4E887" w14:textId="77777777" w:rsidR="00E92B4B" w:rsidRPr="00E92B4B" w:rsidRDefault="00E92B4B" w:rsidP="00E92B4B">
      <w:pPr>
        <w:ind w:firstLine="708"/>
        <w:jc w:val="both"/>
        <w:rPr>
          <w:rFonts w:ascii="Times New Roman" w:hAnsi="Times New Roman" w:cs="Times New Roman"/>
          <w:sz w:val="24"/>
          <w:szCs w:val="24"/>
          <w:lang w:val="en-US"/>
        </w:rPr>
      </w:pPr>
      <w:r w:rsidRPr="00E92B4B">
        <w:rPr>
          <w:rFonts w:ascii="Times New Roman" w:hAnsi="Times New Roman" w:cs="Times New Roman"/>
          <w:sz w:val="24"/>
          <w:szCs w:val="24"/>
          <w:lang w:val="en-US"/>
        </w:rPr>
        <w:t>Following the introduction of fully automated customs procedures, and in order to ensure effective planning and implementation of post-clearance audits, it will be necessary to have an IT solution – the Post-Clearance Audit Application – operational within the required timeframe. The application should provide customs officers engaged in post-clearance audit activities with access to data and documents stored in the systems delivered through the AIS, AES, and CDS projects. It should also be integrated with the Customs Data Warehouse (DWH), which serves as a central repository of customs data.</w:t>
      </w:r>
    </w:p>
    <w:p w14:paraId="7FE935FE" w14:textId="77777777" w:rsidR="00E92B4B" w:rsidRPr="00E92B4B" w:rsidRDefault="00E92B4B" w:rsidP="00E92B4B">
      <w:pPr>
        <w:ind w:firstLine="708"/>
        <w:jc w:val="both"/>
        <w:rPr>
          <w:rFonts w:ascii="Times New Roman" w:hAnsi="Times New Roman" w:cs="Times New Roman"/>
          <w:sz w:val="24"/>
          <w:szCs w:val="24"/>
          <w:lang w:val="en-US"/>
        </w:rPr>
      </w:pPr>
      <w:r w:rsidRPr="00E92B4B">
        <w:rPr>
          <w:rFonts w:ascii="Times New Roman" w:hAnsi="Times New Roman" w:cs="Times New Roman"/>
          <w:sz w:val="24"/>
          <w:szCs w:val="24"/>
          <w:lang w:val="en-US"/>
        </w:rPr>
        <w:t>As the final development of the Post-Clearance Audit Application depends on the final solutions delivered under the AIS, AES, CDS, and DWH projects, the completion date of the application is linked to the implementation timeline of these systems. Although originally planned for the first quarter of 2027, completion is currently expected in the fourth quarter of 2027.</w:t>
      </w:r>
    </w:p>
    <w:p w14:paraId="30C93EE5" w14:textId="77777777" w:rsidR="00E92B4B" w:rsidRPr="00E92B4B" w:rsidRDefault="00E92B4B" w:rsidP="00E92B4B">
      <w:pPr>
        <w:ind w:firstLine="708"/>
        <w:jc w:val="both"/>
        <w:rPr>
          <w:rFonts w:ascii="Times New Roman" w:hAnsi="Times New Roman" w:cs="Times New Roman"/>
          <w:sz w:val="24"/>
          <w:szCs w:val="24"/>
          <w:lang w:val="en-US"/>
        </w:rPr>
      </w:pPr>
      <w:r w:rsidRPr="00E92B4B">
        <w:rPr>
          <w:rFonts w:ascii="Times New Roman" w:hAnsi="Times New Roman" w:cs="Times New Roman"/>
          <w:sz w:val="24"/>
          <w:szCs w:val="24"/>
          <w:lang w:val="en-US"/>
        </w:rPr>
        <w:t xml:space="preserve">In addition, plans are underway for the </w:t>
      </w:r>
      <w:proofErr w:type="spellStart"/>
      <w:r w:rsidRPr="00E92B4B">
        <w:rPr>
          <w:rFonts w:ascii="Times New Roman" w:hAnsi="Times New Roman" w:cs="Times New Roman"/>
          <w:sz w:val="24"/>
          <w:szCs w:val="24"/>
          <w:lang w:val="en-US"/>
        </w:rPr>
        <w:t>modernisation</w:t>
      </w:r>
      <w:proofErr w:type="spellEnd"/>
      <w:r w:rsidRPr="00E92B4B">
        <w:rPr>
          <w:rFonts w:ascii="Times New Roman" w:hAnsi="Times New Roman" w:cs="Times New Roman"/>
          <w:sz w:val="24"/>
          <w:szCs w:val="24"/>
          <w:lang w:val="en-US"/>
        </w:rPr>
        <w:t xml:space="preserve"> of the customs laboratory and the provision of adequate facilities, which will contribute to more efficient operations and improved analysis of customs-related data.</w:t>
      </w:r>
    </w:p>
    <w:p w14:paraId="337EA724" w14:textId="6D7798C3" w:rsidR="00E92B4B" w:rsidRPr="00E92B4B" w:rsidRDefault="00E92B4B" w:rsidP="00E92B4B">
      <w:pPr>
        <w:ind w:firstLine="708"/>
        <w:jc w:val="both"/>
        <w:rPr>
          <w:rFonts w:ascii="Times New Roman" w:hAnsi="Times New Roman" w:cs="Times New Roman"/>
          <w:sz w:val="24"/>
          <w:szCs w:val="24"/>
          <w:lang w:val="en-US"/>
        </w:rPr>
      </w:pPr>
      <w:r w:rsidRPr="00E92B4B">
        <w:rPr>
          <w:rFonts w:ascii="Times New Roman" w:hAnsi="Times New Roman" w:cs="Times New Roman"/>
          <w:sz w:val="24"/>
          <w:szCs w:val="24"/>
          <w:lang w:val="en-US"/>
        </w:rPr>
        <w:lastRenderedPageBreak/>
        <w:t xml:space="preserve">A new system for monitoring the collection of budget revenues is also under development. Following integration with the automated customs systems, it will enable </w:t>
      </w:r>
      <w:proofErr w:type="spellStart"/>
      <w:r w:rsidRPr="00E92B4B">
        <w:rPr>
          <w:rFonts w:ascii="Times New Roman" w:hAnsi="Times New Roman" w:cs="Times New Roman"/>
          <w:sz w:val="24"/>
          <w:szCs w:val="24"/>
          <w:lang w:val="en-US"/>
        </w:rPr>
        <w:t>centralised</w:t>
      </w:r>
      <w:proofErr w:type="spellEnd"/>
      <w:r w:rsidRPr="00E92B4B">
        <w:rPr>
          <w:rFonts w:ascii="Times New Roman" w:hAnsi="Times New Roman" w:cs="Times New Roman"/>
          <w:sz w:val="24"/>
          <w:szCs w:val="24"/>
          <w:lang w:val="en-US"/>
        </w:rPr>
        <w:t xml:space="preserve"> monitoring and management of financial flows. Software development for the ITMS project is currently ongoing, while procurement of the necessary hardware has already been completed. A Customs Data Warehouse is also being established and will be integrated with the automated systems.</w:t>
      </w:r>
    </w:p>
    <w:p w14:paraId="1CDEE2A7" w14:textId="77777777" w:rsidR="00E92B4B" w:rsidRPr="00E92B4B" w:rsidRDefault="00E92B4B" w:rsidP="00E92B4B">
      <w:pPr>
        <w:ind w:firstLine="708"/>
        <w:jc w:val="both"/>
        <w:rPr>
          <w:rFonts w:ascii="Times New Roman" w:hAnsi="Times New Roman" w:cs="Times New Roman"/>
          <w:sz w:val="24"/>
          <w:szCs w:val="24"/>
          <w:lang w:val="en-US"/>
        </w:rPr>
      </w:pPr>
      <w:r w:rsidRPr="00E92B4B">
        <w:rPr>
          <w:rFonts w:ascii="Times New Roman" w:hAnsi="Times New Roman" w:cs="Times New Roman"/>
          <w:sz w:val="24"/>
          <w:szCs w:val="24"/>
          <w:lang w:val="en-US"/>
        </w:rPr>
        <w:t>All of these activities will make a significant contribution to the further improvement of customs procedures and to strengthening the capacity of the Customs Administration for effective management and oversight of customs operations and flows.</w:t>
      </w:r>
    </w:p>
    <w:p w14:paraId="24244AA7" w14:textId="100FDD84" w:rsidR="00E810A2" w:rsidRPr="002B02A7" w:rsidRDefault="002B02A7" w:rsidP="002B02A7">
      <w:pPr>
        <w:ind w:firstLine="708"/>
        <w:jc w:val="both"/>
        <w:rPr>
          <w:rFonts w:ascii="Times New Roman" w:hAnsi="Times New Roman" w:cs="Times New Roman"/>
          <w:b/>
          <w:bCs/>
          <w:i/>
          <w:iCs/>
          <w:sz w:val="22"/>
          <w:szCs w:val="22"/>
          <w:lang w:val="en-US"/>
        </w:rPr>
      </w:pPr>
      <w:r>
        <w:rPr>
          <w:rFonts w:ascii="Times New Roman" w:hAnsi="Times New Roman" w:cs="Times New Roman"/>
          <w:b/>
          <w:bCs/>
          <w:i/>
          <w:iCs/>
          <w:sz w:val="22"/>
          <w:szCs w:val="22"/>
          <w:lang w:val="en-US"/>
        </w:rPr>
        <w:t>Measure</w:t>
      </w:r>
      <w:r w:rsidR="00E810A2" w:rsidRPr="002B02A7">
        <w:rPr>
          <w:rFonts w:ascii="Times New Roman" w:hAnsi="Times New Roman" w:cs="Times New Roman"/>
          <w:b/>
          <w:bCs/>
          <w:i/>
          <w:iCs/>
          <w:sz w:val="22"/>
          <w:szCs w:val="22"/>
          <w:lang w:val="en-US"/>
        </w:rPr>
        <w:t xml:space="preserve"> 2.4: </w:t>
      </w:r>
      <w:r>
        <w:rPr>
          <w:rFonts w:ascii="Times New Roman" w:hAnsi="Times New Roman" w:cs="Times New Roman"/>
          <w:b/>
          <w:bCs/>
          <w:i/>
          <w:iCs/>
          <w:sz w:val="22"/>
          <w:szCs w:val="22"/>
          <w:lang w:val="en-US"/>
        </w:rPr>
        <w:t>Efficient public debt management</w:t>
      </w:r>
    </w:p>
    <w:p w14:paraId="5AA0D796" w14:textId="77777777" w:rsidR="00E92B4B" w:rsidRDefault="00E92B4B" w:rsidP="00E92B4B">
      <w:pPr>
        <w:ind w:firstLine="708"/>
        <w:jc w:val="both"/>
        <w:rPr>
          <w:rFonts w:ascii="Times New Roman" w:hAnsi="Times New Roman" w:cs="Times New Roman"/>
          <w:sz w:val="24"/>
          <w:szCs w:val="24"/>
          <w:lang w:val="en-US"/>
        </w:rPr>
      </w:pPr>
      <w:r w:rsidRPr="00E92B4B">
        <w:rPr>
          <w:rFonts w:ascii="Times New Roman" w:hAnsi="Times New Roman" w:cs="Times New Roman"/>
          <w:sz w:val="24"/>
          <w:szCs w:val="24"/>
        </w:rPr>
        <w:t>Effective public debt management and ensuring a declining and sustainable public debt-to-GDP ratio represent one of the most important elements of a sound public financial management system. Owing to prudent fiscal policy and effective public debt management over recent years, the general government debt-to-GDP ratio was reduced from 68.4% at the end of 2015 to 46.9% at the end of 2024. A gradual decline in this indicator is expected to continue in the coming years.</w:t>
      </w:r>
    </w:p>
    <w:p w14:paraId="1997CD15" w14:textId="691EB8B5" w:rsidR="0003339F" w:rsidRPr="002B02A7" w:rsidRDefault="0003339F" w:rsidP="00E92B4B">
      <w:pPr>
        <w:ind w:firstLine="708"/>
        <w:jc w:val="both"/>
        <w:rPr>
          <w:rFonts w:ascii="Times New Roman" w:eastAsia="Times New Roman" w:hAnsi="Times New Roman" w:cs="Times New Roman"/>
          <w:sz w:val="24"/>
          <w:szCs w:val="24"/>
          <w:shd w:val="clear" w:color="auto" w:fill="FFFFFF"/>
          <w:lang w:val="en-US"/>
        </w:rPr>
      </w:pPr>
      <w:r w:rsidRPr="001053DB">
        <w:rPr>
          <w:noProof/>
          <w:lang w:val="en-US"/>
        </w:rPr>
        <w:drawing>
          <wp:inline distT="0" distB="0" distL="0" distR="0" wp14:anchorId="1AB68320" wp14:editId="12A72F25">
            <wp:extent cx="5731510" cy="2276475"/>
            <wp:effectExtent l="0" t="0" r="2540" b="0"/>
            <wp:docPr id="1997130928" name="Chart 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4A3B05C" w14:textId="013F6C85" w:rsidR="00E92B4B" w:rsidRPr="001D2F28" w:rsidRDefault="00E92B4B" w:rsidP="00E92B4B">
      <w:pPr>
        <w:jc w:val="center"/>
        <w:rPr>
          <w:rFonts w:ascii="Times New Roman" w:eastAsia="Times New Roman" w:hAnsi="Times New Roman" w:cs="Times New Roman"/>
          <w:shd w:val="clear" w:color="auto" w:fill="FFFFFF"/>
          <w:lang w:val="en-US"/>
        </w:rPr>
      </w:pPr>
      <w:r>
        <w:rPr>
          <w:rFonts w:ascii="Times New Roman" w:eastAsia="Times New Roman" w:hAnsi="Times New Roman" w:cs="Times New Roman"/>
          <w:shd w:val="clear" w:color="auto" w:fill="FFFFFF"/>
          <w:lang w:val="en-US"/>
        </w:rPr>
        <w:t>Graph</w:t>
      </w:r>
      <w:r w:rsidRPr="001053DB">
        <w:rPr>
          <w:rFonts w:ascii="Times New Roman" w:eastAsia="Times New Roman" w:hAnsi="Times New Roman" w:cs="Times New Roman"/>
          <w:shd w:val="clear" w:color="auto" w:fill="FFFFFF"/>
          <w:lang w:val="sr-Cyrl-CS"/>
        </w:rPr>
        <w:t xml:space="preserve"> 3: </w:t>
      </w:r>
      <w:r w:rsidR="001D2F28">
        <w:rPr>
          <w:rFonts w:ascii="Times New Roman" w:eastAsia="Times New Roman" w:hAnsi="Times New Roman" w:cs="Times New Roman"/>
          <w:shd w:val="clear" w:color="auto" w:fill="FFFFFF"/>
          <w:lang w:val="en-US"/>
        </w:rPr>
        <w:t>General Government Debt trends 2015-2024</w:t>
      </w:r>
    </w:p>
    <w:p w14:paraId="2C3654C5" w14:textId="77777777" w:rsidR="00E92B4B" w:rsidRPr="00E92B4B" w:rsidRDefault="00E92B4B" w:rsidP="00E92B4B">
      <w:pPr>
        <w:jc w:val="center"/>
        <w:rPr>
          <w:rFonts w:ascii="Times New Roman" w:eastAsia="Times New Roman" w:hAnsi="Times New Roman" w:cs="Times New Roman"/>
          <w:shd w:val="clear" w:color="auto" w:fill="FFFFFF"/>
          <w:lang w:val="en-US"/>
        </w:rPr>
      </w:pPr>
    </w:p>
    <w:p w14:paraId="6C15337D" w14:textId="77777777" w:rsidR="0003339F" w:rsidRDefault="0003339F" w:rsidP="001F213D">
      <w:pPr>
        <w:jc w:val="both"/>
        <w:rPr>
          <w:rFonts w:ascii="Times New Roman" w:eastAsia="Times New Roman" w:hAnsi="Times New Roman" w:cs="Times New Roman"/>
          <w:sz w:val="24"/>
          <w:szCs w:val="24"/>
          <w:shd w:val="clear" w:color="auto" w:fill="FFFFFF"/>
          <w:lang w:val="en-US"/>
        </w:rPr>
      </w:pPr>
      <w:r w:rsidRPr="001053DB">
        <w:rPr>
          <w:noProof/>
          <w:lang w:val="en-US"/>
        </w:rPr>
        <w:drawing>
          <wp:inline distT="0" distB="0" distL="0" distR="0" wp14:anchorId="7F6C080D" wp14:editId="6E7DE03E">
            <wp:extent cx="5762625" cy="1781175"/>
            <wp:effectExtent l="0" t="0" r="0" b="0"/>
            <wp:docPr id="1674435824" name="Chart 1">
              <a:extLst xmlns:a="http://schemas.openxmlformats.org/drawingml/2006/main">
                <a:ext uri="{FF2B5EF4-FFF2-40B4-BE49-F238E27FC236}">
                  <a16:creationId xmlns:a16="http://schemas.microsoft.com/office/drawing/2014/main" id="{9085BC83-4797-122D-178A-C369C2BA37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Pr="001053DB">
        <w:rPr>
          <w:rFonts w:ascii="Times New Roman" w:eastAsia="Times New Roman" w:hAnsi="Times New Roman" w:cs="Times New Roman"/>
          <w:sz w:val="24"/>
          <w:szCs w:val="24"/>
          <w:shd w:val="clear" w:color="auto" w:fill="FFFFFF"/>
          <w:lang w:val="sr-Cyrl-CS"/>
        </w:rPr>
        <w:t xml:space="preserve"> </w:t>
      </w:r>
    </w:p>
    <w:p w14:paraId="6AC20C9F" w14:textId="3C91B7D7" w:rsidR="00E92B4B" w:rsidRPr="001D2F28" w:rsidRDefault="00E92B4B" w:rsidP="00E92B4B">
      <w:pPr>
        <w:ind w:firstLine="708"/>
        <w:jc w:val="center"/>
        <w:rPr>
          <w:rFonts w:ascii="Times New Roman" w:eastAsia="Times New Roman" w:hAnsi="Times New Roman" w:cs="Times New Roman"/>
          <w:shd w:val="clear" w:color="auto" w:fill="FFFFFF"/>
          <w:lang w:val="en-US"/>
        </w:rPr>
      </w:pPr>
      <w:r>
        <w:rPr>
          <w:rFonts w:ascii="Times New Roman" w:eastAsia="Times New Roman" w:hAnsi="Times New Roman" w:cs="Times New Roman"/>
          <w:shd w:val="clear" w:color="auto" w:fill="FFFFFF"/>
          <w:lang w:val="en-US"/>
        </w:rPr>
        <w:t>Graph</w:t>
      </w:r>
      <w:r w:rsidRPr="001053DB">
        <w:rPr>
          <w:rFonts w:ascii="Times New Roman" w:eastAsia="Times New Roman" w:hAnsi="Times New Roman" w:cs="Times New Roman"/>
          <w:shd w:val="clear" w:color="auto" w:fill="FFFFFF"/>
          <w:lang w:val="sr-Cyrl-CS"/>
        </w:rPr>
        <w:t xml:space="preserve"> 4: </w:t>
      </w:r>
      <w:r w:rsidR="001D2F28">
        <w:rPr>
          <w:rFonts w:ascii="Times New Roman" w:eastAsia="Times New Roman" w:hAnsi="Times New Roman" w:cs="Times New Roman"/>
          <w:shd w:val="clear" w:color="auto" w:fill="FFFFFF"/>
          <w:lang w:val="en-US"/>
        </w:rPr>
        <w:t>Share of interest expenditures in GDP and the weighted average interest rate on public debt</w:t>
      </w:r>
    </w:p>
    <w:p w14:paraId="0A25E4AA" w14:textId="77777777" w:rsidR="00E92B4B" w:rsidRPr="00E92B4B" w:rsidRDefault="00E92B4B" w:rsidP="001F213D">
      <w:pPr>
        <w:jc w:val="both"/>
        <w:rPr>
          <w:rFonts w:ascii="Times New Roman" w:eastAsia="Times New Roman" w:hAnsi="Times New Roman" w:cs="Times New Roman"/>
          <w:sz w:val="24"/>
          <w:szCs w:val="24"/>
          <w:shd w:val="clear" w:color="auto" w:fill="FFFFFF"/>
          <w:lang w:val="en-US"/>
        </w:rPr>
      </w:pPr>
    </w:p>
    <w:p w14:paraId="0C53486B" w14:textId="77777777" w:rsidR="00E92B4B" w:rsidRPr="00E92B4B" w:rsidRDefault="00E92B4B" w:rsidP="00E92B4B">
      <w:pPr>
        <w:ind w:firstLine="708"/>
        <w:jc w:val="both"/>
        <w:rPr>
          <w:rFonts w:ascii="Times New Roman" w:eastAsia="Times New Roman" w:hAnsi="Times New Roman" w:cs="Times New Roman"/>
          <w:sz w:val="24"/>
          <w:szCs w:val="24"/>
          <w:shd w:val="clear" w:color="auto" w:fill="FFFFFF"/>
          <w:lang w:val="en-US"/>
        </w:rPr>
      </w:pPr>
      <w:r w:rsidRPr="00E92B4B">
        <w:rPr>
          <w:rFonts w:ascii="Times New Roman" w:eastAsia="Times New Roman" w:hAnsi="Times New Roman" w:cs="Times New Roman"/>
          <w:sz w:val="24"/>
          <w:szCs w:val="24"/>
          <w:shd w:val="clear" w:color="auto" w:fill="FFFFFF"/>
          <w:lang w:val="en-US"/>
        </w:rPr>
        <w:t xml:space="preserve">The effectiveness of public debt management during the past decade is also reflected in the trend of the weighted average interest rate on total public debt and the share of interest expenditures in GDP at the central government level. During this period, the weighted average interest rate on total public debt decreased from 5.41% to 3.68%, while the share of interest expenditures in GDP declined from 2.8% to 1.8%. Since 2022, however, the sharp increase in global interest rates has led to a slight deterioration in these indicators. Nevertheless, during 2024 and 2025 the trend began to reverse, with interest rates declining and </w:t>
      </w:r>
      <w:proofErr w:type="spellStart"/>
      <w:r w:rsidRPr="00E92B4B">
        <w:rPr>
          <w:rFonts w:ascii="Times New Roman" w:eastAsia="Times New Roman" w:hAnsi="Times New Roman" w:cs="Times New Roman"/>
          <w:sz w:val="24"/>
          <w:szCs w:val="24"/>
          <w:shd w:val="clear" w:color="auto" w:fill="FFFFFF"/>
          <w:lang w:val="en-US"/>
        </w:rPr>
        <w:t>stabilising</w:t>
      </w:r>
      <w:proofErr w:type="spellEnd"/>
      <w:r w:rsidRPr="00E92B4B">
        <w:rPr>
          <w:rFonts w:ascii="Times New Roman" w:eastAsia="Times New Roman" w:hAnsi="Times New Roman" w:cs="Times New Roman"/>
          <w:sz w:val="24"/>
          <w:szCs w:val="24"/>
          <w:shd w:val="clear" w:color="auto" w:fill="FFFFFF"/>
          <w:lang w:val="en-US"/>
        </w:rPr>
        <w:t>, which is expected to have a positive impact on the future development of these indicators.</w:t>
      </w:r>
    </w:p>
    <w:p w14:paraId="720DE2FF" w14:textId="1BB46A88" w:rsidR="00E92B4B" w:rsidRPr="00E92B4B" w:rsidRDefault="00E92B4B" w:rsidP="00E92B4B">
      <w:pPr>
        <w:ind w:firstLine="708"/>
        <w:jc w:val="both"/>
        <w:rPr>
          <w:rFonts w:ascii="Times New Roman" w:eastAsia="Times New Roman" w:hAnsi="Times New Roman" w:cs="Times New Roman"/>
          <w:sz w:val="24"/>
          <w:szCs w:val="24"/>
          <w:shd w:val="clear" w:color="auto" w:fill="FFFFFF"/>
          <w:lang w:val="en-US"/>
        </w:rPr>
      </w:pPr>
      <w:r w:rsidRPr="00E92B4B">
        <w:rPr>
          <w:rFonts w:ascii="Times New Roman" w:eastAsia="Times New Roman" w:hAnsi="Times New Roman" w:cs="Times New Roman"/>
          <w:sz w:val="24"/>
          <w:szCs w:val="24"/>
          <w:shd w:val="clear" w:color="auto" w:fill="FFFFFF"/>
          <w:lang w:val="en-US"/>
        </w:rPr>
        <w:t xml:space="preserve">In the coming period, the Public Debt Administration plans to further improve the reporting process by expanding the coverage of reporting entities through the development and implementation of an information system for financial reporting and the use of business intelligence tools. Although the debt of entities currently outside the reporting scope remains very limited, efforts will be made to align sectoral coverage as closely as possible with the IMF Government Finance Statistics (GFS) methodology. At the same time, the application of </w:t>
      </w:r>
      <w:r w:rsidR="001D2F28">
        <w:rPr>
          <w:rFonts w:ascii="Times New Roman" w:eastAsia="Times New Roman" w:hAnsi="Times New Roman" w:cs="Times New Roman"/>
          <w:sz w:val="24"/>
          <w:szCs w:val="24"/>
          <w:shd w:val="clear" w:color="auto" w:fill="FFFFFF"/>
          <w:lang w:val="en-US"/>
        </w:rPr>
        <w:t>business intelligence</w:t>
      </w:r>
      <w:r w:rsidRPr="00E92B4B">
        <w:rPr>
          <w:rFonts w:ascii="Times New Roman" w:eastAsia="Times New Roman" w:hAnsi="Times New Roman" w:cs="Times New Roman"/>
          <w:sz w:val="24"/>
          <w:szCs w:val="24"/>
          <w:shd w:val="clear" w:color="auto" w:fill="FFFFFF"/>
          <w:lang w:val="en-US"/>
        </w:rPr>
        <w:t xml:space="preserve"> tools will significantly enhance the technical quality and efficiency of reporting.</w:t>
      </w:r>
    </w:p>
    <w:p w14:paraId="19CA3E56" w14:textId="77777777" w:rsidR="00E92B4B" w:rsidRPr="00E92B4B" w:rsidRDefault="00E92B4B" w:rsidP="00E92B4B">
      <w:pPr>
        <w:ind w:firstLine="708"/>
        <w:jc w:val="both"/>
        <w:rPr>
          <w:rFonts w:ascii="Times New Roman" w:eastAsia="Times New Roman" w:hAnsi="Times New Roman" w:cs="Times New Roman"/>
          <w:sz w:val="24"/>
          <w:szCs w:val="24"/>
          <w:shd w:val="clear" w:color="auto" w:fill="FFFFFF"/>
          <w:lang w:val="en-US"/>
        </w:rPr>
      </w:pPr>
      <w:r w:rsidRPr="00E92B4B">
        <w:rPr>
          <w:rFonts w:ascii="Times New Roman" w:eastAsia="Times New Roman" w:hAnsi="Times New Roman" w:cs="Times New Roman"/>
          <w:sz w:val="24"/>
          <w:szCs w:val="24"/>
          <w:shd w:val="clear" w:color="auto" w:fill="FFFFFF"/>
          <w:lang w:val="en-US"/>
        </w:rPr>
        <w:t xml:space="preserve">The Republic of Serbia remains committed to achieving the Sustainable Development Goals set out in the United Nations 2030 Agenda. Serbia supports global efforts towards </w:t>
      </w:r>
      <w:proofErr w:type="spellStart"/>
      <w:r w:rsidRPr="00E92B4B">
        <w:rPr>
          <w:rFonts w:ascii="Times New Roman" w:eastAsia="Times New Roman" w:hAnsi="Times New Roman" w:cs="Times New Roman"/>
          <w:sz w:val="24"/>
          <w:szCs w:val="24"/>
          <w:shd w:val="clear" w:color="auto" w:fill="FFFFFF"/>
          <w:lang w:val="en-US"/>
        </w:rPr>
        <w:t>decarbonisation</w:t>
      </w:r>
      <w:proofErr w:type="spellEnd"/>
      <w:r w:rsidRPr="00E92B4B">
        <w:rPr>
          <w:rFonts w:ascii="Times New Roman" w:eastAsia="Times New Roman" w:hAnsi="Times New Roman" w:cs="Times New Roman"/>
          <w:sz w:val="24"/>
          <w:szCs w:val="24"/>
          <w:shd w:val="clear" w:color="auto" w:fill="FFFFFF"/>
          <w:lang w:val="en-US"/>
        </w:rPr>
        <w:t xml:space="preserve"> and environmental protection, while also focusing on social inclusion through programmes aimed at reducing poverty. Achieving these ambitions requires the </w:t>
      </w:r>
      <w:proofErr w:type="spellStart"/>
      <w:r w:rsidRPr="00E92B4B">
        <w:rPr>
          <w:rFonts w:ascii="Times New Roman" w:eastAsia="Times New Roman" w:hAnsi="Times New Roman" w:cs="Times New Roman"/>
          <w:sz w:val="24"/>
          <w:szCs w:val="24"/>
          <w:shd w:val="clear" w:color="auto" w:fill="FFFFFF"/>
          <w:lang w:val="en-US"/>
        </w:rPr>
        <w:t>mobilisation</w:t>
      </w:r>
      <w:proofErr w:type="spellEnd"/>
      <w:r w:rsidRPr="00E92B4B">
        <w:rPr>
          <w:rFonts w:ascii="Times New Roman" w:eastAsia="Times New Roman" w:hAnsi="Times New Roman" w:cs="Times New Roman"/>
          <w:sz w:val="24"/>
          <w:szCs w:val="24"/>
          <w:shd w:val="clear" w:color="auto" w:fill="FFFFFF"/>
          <w:lang w:val="en-US"/>
        </w:rPr>
        <w:t xml:space="preserve"> of substantial investment, and a functional and growing green, social, and sustainable capital market plays a central role in this regard. In 2021, Serbia became the first country in the region and the first European country outside the European Union to issue green Eurobonds, amounting to EUR 1 billion with a seven-year maturity and a coupon rate of only 1.00%. This was followed in June 2024 by the issuance of sustainability-linked Eurobonds in the amount of USD 1.5 billion. These issuances secured significant resources for financing railway development, wastewater infrastructure, sustainable agriculture, afforestation and forest protection, improvements in the waste management sector, and the resolution of key social challenges. Given the substantial importance of these projects for society as a whole, securing additional financing through similar instruments on both domestic and international capital markets will remain one of the priorities in the years ahead.</w:t>
      </w:r>
    </w:p>
    <w:p w14:paraId="3B650B2D" w14:textId="4FE15953" w:rsidR="00E810A2" w:rsidRPr="002B02A7" w:rsidRDefault="00E810A2" w:rsidP="002B02A7">
      <w:pPr>
        <w:ind w:firstLine="708"/>
        <w:jc w:val="both"/>
        <w:rPr>
          <w:rFonts w:ascii="Times New Roman" w:hAnsi="Times New Roman" w:cs="Times New Roman"/>
          <w:b/>
          <w:bCs/>
          <w:i/>
          <w:iCs/>
          <w:sz w:val="22"/>
          <w:szCs w:val="22"/>
          <w:lang w:val="en-US"/>
        </w:rPr>
      </w:pPr>
      <w:proofErr w:type="spellStart"/>
      <w:r w:rsidRPr="002B02A7">
        <w:rPr>
          <w:rFonts w:ascii="Times New Roman" w:hAnsi="Times New Roman" w:cs="Times New Roman"/>
          <w:b/>
          <w:bCs/>
          <w:i/>
          <w:iCs/>
          <w:sz w:val="22"/>
          <w:szCs w:val="22"/>
          <w:lang w:val="en-US"/>
        </w:rPr>
        <w:t>Мера</w:t>
      </w:r>
      <w:proofErr w:type="spellEnd"/>
      <w:r w:rsidRPr="002B02A7">
        <w:rPr>
          <w:rFonts w:ascii="Times New Roman" w:hAnsi="Times New Roman" w:cs="Times New Roman"/>
          <w:b/>
          <w:bCs/>
          <w:i/>
          <w:iCs/>
          <w:sz w:val="22"/>
          <w:szCs w:val="22"/>
          <w:lang w:val="en-US"/>
        </w:rPr>
        <w:t xml:space="preserve"> 2.5: </w:t>
      </w:r>
      <w:r w:rsidR="002B02A7" w:rsidRPr="002B02A7">
        <w:rPr>
          <w:rFonts w:ascii="Times New Roman" w:hAnsi="Times New Roman" w:cs="Times New Roman"/>
          <w:b/>
          <w:bCs/>
          <w:i/>
          <w:iCs/>
          <w:sz w:val="22"/>
          <w:szCs w:val="22"/>
          <w:lang w:val="en-US"/>
        </w:rPr>
        <w:t>Strengthening the capacities of public procurement officials</w:t>
      </w:r>
    </w:p>
    <w:p w14:paraId="3C51411F" w14:textId="08E7946D" w:rsidR="00447BAB" w:rsidRPr="00447BAB" w:rsidRDefault="00447BAB" w:rsidP="00447BAB">
      <w:pPr>
        <w:ind w:firstLine="708"/>
        <w:jc w:val="both"/>
        <w:rPr>
          <w:rFonts w:ascii="Times New Roman" w:hAnsi="Times New Roman" w:cs="Times New Roman"/>
          <w:sz w:val="24"/>
          <w:szCs w:val="24"/>
          <w:lang w:val="en-US"/>
        </w:rPr>
      </w:pPr>
      <w:r w:rsidRPr="00447BAB">
        <w:rPr>
          <w:rFonts w:ascii="Times New Roman" w:hAnsi="Times New Roman" w:cs="Times New Roman"/>
          <w:sz w:val="24"/>
          <w:szCs w:val="24"/>
          <w:lang w:val="en-US"/>
        </w:rPr>
        <w:t xml:space="preserve">The Public Procurement Office continuously </w:t>
      </w:r>
      <w:proofErr w:type="spellStart"/>
      <w:r w:rsidRPr="00447BAB">
        <w:rPr>
          <w:rFonts w:ascii="Times New Roman" w:hAnsi="Times New Roman" w:cs="Times New Roman"/>
          <w:sz w:val="24"/>
          <w:szCs w:val="24"/>
          <w:lang w:val="en-US"/>
        </w:rPr>
        <w:t>organises</w:t>
      </w:r>
      <w:proofErr w:type="spellEnd"/>
      <w:r w:rsidRPr="00447BAB">
        <w:rPr>
          <w:rFonts w:ascii="Times New Roman" w:hAnsi="Times New Roman" w:cs="Times New Roman"/>
          <w:sz w:val="24"/>
          <w:szCs w:val="24"/>
          <w:lang w:val="en-US"/>
        </w:rPr>
        <w:t xml:space="preserve"> training sessions and workshops for representatives of contracting authorities and economic operators, as well as for individuals preparing to take the certification exam for public procurement officers and those who are already certified public procurement officers, with the aim of strengthening the capacities of all participants in the public procurement process. In accordance with the applicable regulations, the Public Procurement Office prescribes the procedures and requirements for obtaining certification as a public procurement officer and maintains the Register of Public </w:t>
      </w:r>
      <w:r w:rsidRPr="00447BAB">
        <w:rPr>
          <w:rFonts w:ascii="Times New Roman" w:hAnsi="Times New Roman" w:cs="Times New Roman"/>
          <w:sz w:val="24"/>
          <w:szCs w:val="24"/>
          <w:lang w:val="en-US"/>
        </w:rPr>
        <w:lastRenderedPageBreak/>
        <w:t>Procurement Officers. To provide professional support in the implementation of public procurement procedures, the Office also publishes a range of practical tools on its website, including guidelines, manuals, and handbooks. The Law on Public Procurement (“Official Gazette of the Republic of Serbia”, Nos. 91/19 and 92/23) stipulates that at least one member of a public procurement committee must be a certified public procurement officer. Given that the procurement committee is responsible for undertaking all actions within the procurement procedure</w:t>
      </w:r>
      <w:r>
        <w:rPr>
          <w:rFonts w:ascii="Times New Roman" w:hAnsi="Times New Roman" w:cs="Times New Roman"/>
          <w:sz w:val="24"/>
          <w:szCs w:val="24"/>
          <w:lang w:val="en-US"/>
        </w:rPr>
        <w:t xml:space="preserve"> - </w:t>
      </w:r>
      <w:r w:rsidRPr="00447BAB">
        <w:rPr>
          <w:rFonts w:ascii="Times New Roman" w:hAnsi="Times New Roman" w:cs="Times New Roman"/>
          <w:sz w:val="24"/>
          <w:szCs w:val="24"/>
          <w:lang w:val="en-US"/>
        </w:rPr>
        <w:t>including preparing procurement notices, drafting tender documentation, evaluating bids, preparing procurement reports, and handling actions related to requests for the protection of rights</w:t>
      </w:r>
      <w:r>
        <w:rPr>
          <w:rFonts w:ascii="Times New Roman" w:hAnsi="Times New Roman" w:cs="Times New Roman"/>
          <w:sz w:val="24"/>
          <w:szCs w:val="24"/>
          <w:lang w:val="en-US"/>
        </w:rPr>
        <w:t xml:space="preserve"> - </w:t>
      </w:r>
      <w:r w:rsidRPr="00447BAB">
        <w:rPr>
          <w:rFonts w:ascii="Times New Roman" w:hAnsi="Times New Roman" w:cs="Times New Roman"/>
          <w:sz w:val="24"/>
          <w:szCs w:val="24"/>
          <w:lang w:val="en-US"/>
        </w:rPr>
        <w:t>the success and legality of public procurement procedures depend significantly on the expertise and qualifications of public procurement officers.</w:t>
      </w:r>
    </w:p>
    <w:p w14:paraId="143C0BEB" w14:textId="3735D1F2" w:rsidR="00447BAB" w:rsidRPr="00447BAB" w:rsidRDefault="00447BAB" w:rsidP="00447BAB">
      <w:pPr>
        <w:ind w:firstLine="708"/>
        <w:jc w:val="both"/>
        <w:rPr>
          <w:rFonts w:ascii="Times New Roman" w:hAnsi="Times New Roman" w:cs="Times New Roman"/>
          <w:sz w:val="24"/>
          <w:szCs w:val="24"/>
          <w:lang w:val="en-US"/>
        </w:rPr>
      </w:pPr>
      <w:r w:rsidRPr="00447BAB">
        <w:rPr>
          <w:rFonts w:ascii="Times New Roman" w:hAnsi="Times New Roman" w:cs="Times New Roman"/>
          <w:sz w:val="24"/>
          <w:szCs w:val="24"/>
          <w:lang w:val="en-US"/>
        </w:rPr>
        <w:t>The Action Plan envisages a range of measures and activities aimed at further enhancing the knowledge and capacities of public procurement officers, with the objective of reducing irregularities in public procurement procedures, ensuring the proper application of the Law on Public Procurement, and promoting the correct use of the Public Procurement Portal. Planned activities, such as training on market research, procurement planning, conflict of interest management, corruption prevention and the development of practical tools, are expected to contribute to strengthening the capacities of public procurement officers and improving their ability to identify, at an early stage, situations that may potentially lead to irregularities in public procurement procedures.</w:t>
      </w:r>
    </w:p>
    <w:p w14:paraId="5EA1FF0D" w14:textId="77777777" w:rsidR="00447BAB" w:rsidRPr="00447BAB" w:rsidRDefault="00447BAB" w:rsidP="00447BAB">
      <w:pPr>
        <w:ind w:firstLine="708"/>
        <w:jc w:val="both"/>
        <w:rPr>
          <w:rFonts w:ascii="Times New Roman" w:hAnsi="Times New Roman" w:cs="Times New Roman"/>
          <w:sz w:val="24"/>
          <w:szCs w:val="24"/>
          <w:lang w:val="en-US"/>
        </w:rPr>
      </w:pPr>
      <w:r w:rsidRPr="00447BAB">
        <w:rPr>
          <w:rFonts w:ascii="Times New Roman" w:hAnsi="Times New Roman" w:cs="Times New Roman"/>
          <w:sz w:val="24"/>
          <w:szCs w:val="24"/>
          <w:lang w:val="en-US"/>
        </w:rPr>
        <w:t>The PFMRP 2026–2030 and the Public Procurement Development Programme of the Republic of Serbia 2024–2028 are fully aligned and coordinated. Only those measures that are not already covered by the Public Procurement Development Programme or the Reform Agenda have been included in the PFMRP 2026–2030, in order to avoid duplication and to ensure complementarity and coherence in the further development of the public procurement system.</w:t>
      </w:r>
    </w:p>
    <w:p w14:paraId="511D1998" w14:textId="77777777" w:rsidR="002F2B70" w:rsidRPr="001053DB" w:rsidRDefault="002F2B70" w:rsidP="002F2B70">
      <w:pPr>
        <w:ind w:firstLine="708"/>
        <w:rPr>
          <w:rFonts w:ascii="Times New Roman" w:eastAsia="Times New Roman" w:hAnsi="Times New Roman" w:cs="Times New Roman"/>
          <w:sz w:val="24"/>
          <w:szCs w:val="24"/>
          <w:shd w:val="clear" w:color="auto" w:fill="FFFFFF"/>
          <w:lang w:val="sr-Cyrl-CS"/>
        </w:rPr>
      </w:pPr>
      <w:r w:rsidRPr="001053DB">
        <w:rPr>
          <w:noProof/>
          <w:lang w:val="en-US"/>
        </w:rPr>
        <w:drawing>
          <wp:inline distT="0" distB="0" distL="0" distR="0" wp14:anchorId="63CF71AB" wp14:editId="0552A28F">
            <wp:extent cx="4953000" cy="2924175"/>
            <wp:effectExtent l="0" t="0" r="0" b="9525"/>
            <wp:docPr id="207309801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46BAC17" w14:textId="0E4B9BDF" w:rsidR="00E45240" w:rsidRPr="00447BAB" w:rsidRDefault="00447BAB" w:rsidP="003D5050">
      <w:pPr>
        <w:jc w:val="center"/>
        <w:rPr>
          <w:rFonts w:ascii="Times New Roman" w:eastAsia="Times New Roman" w:hAnsi="Times New Roman" w:cs="Times New Roman"/>
          <w:sz w:val="24"/>
          <w:szCs w:val="24"/>
          <w:shd w:val="clear" w:color="auto" w:fill="FFFFFF"/>
          <w:lang w:val="en-US"/>
        </w:rPr>
      </w:pPr>
      <w:r>
        <w:rPr>
          <w:rFonts w:ascii="Times New Roman" w:eastAsia="Times New Roman" w:hAnsi="Times New Roman" w:cs="Times New Roman"/>
          <w:sz w:val="24"/>
          <w:szCs w:val="24"/>
          <w:shd w:val="clear" w:color="auto" w:fill="FFFFFF"/>
          <w:lang w:val="en-US"/>
        </w:rPr>
        <w:t>Graph</w:t>
      </w:r>
      <w:r w:rsidR="003D5050" w:rsidRPr="001053DB">
        <w:rPr>
          <w:rFonts w:ascii="Times New Roman" w:eastAsia="Times New Roman" w:hAnsi="Times New Roman" w:cs="Times New Roman"/>
          <w:sz w:val="24"/>
          <w:szCs w:val="24"/>
          <w:shd w:val="clear" w:color="auto" w:fill="FFFFFF"/>
          <w:lang w:val="sr-Cyrl-CS"/>
        </w:rPr>
        <w:t xml:space="preserve"> 5: </w:t>
      </w:r>
      <w:r>
        <w:rPr>
          <w:rFonts w:ascii="Times New Roman" w:eastAsia="Times New Roman" w:hAnsi="Times New Roman" w:cs="Times New Roman"/>
          <w:sz w:val="24"/>
          <w:szCs w:val="24"/>
          <w:shd w:val="clear" w:color="auto" w:fill="FFFFFF"/>
          <w:lang w:val="en-US"/>
        </w:rPr>
        <w:t>Certification of public procurement officers</w:t>
      </w:r>
    </w:p>
    <w:p w14:paraId="17EA5361" w14:textId="77777777" w:rsidR="002B02A7" w:rsidRPr="002B02A7" w:rsidRDefault="002B02A7" w:rsidP="003D5050">
      <w:pPr>
        <w:jc w:val="center"/>
        <w:rPr>
          <w:rFonts w:ascii="Times New Roman" w:eastAsia="Times New Roman" w:hAnsi="Times New Roman" w:cs="Times New Roman"/>
          <w:sz w:val="24"/>
          <w:szCs w:val="24"/>
          <w:shd w:val="clear" w:color="auto" w:fill="FFFFFF"/>
          <w:lang w:val="en-US"/>
        </w:rPr>
      </w:pPr>
    </w:p>
    <w:p w14:paraId="11B5E053" w14:textId="446C48A6" w:rsidR="00503A4C" w:rsidRDefault="002B02A7"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bookmarkStart w:id="13" w:name="_Toc211860024"/>
      <w:r>
        <w:rPr>
          <w:rFonts w:ascii="Times New Roman" w:hAnsi="Times New Roman" w:cs="Times New Roman"/>
          <w:color w:val="auto"/>
          <w:sz w:val="24"/>
          <w:szCs w:val="24"/>
          <w:lang w:val="en-US"/>
        </w:rPr>
        <w:t>specific objective</w:t>
      </w:r>
      <w:r w:rsidR="00503A4C" w:rsidRPr="001053DB">
        <w:rPr>
          <w:rFonts w:ascii="Times New Roman" w:hAnsi="Times New Roman" w:cs="Times New Roman"/>
          <w:color w:val="auto"/>
          <w:sz w:val="24"/>
          <w:szCs w:val="24"/>
          <w:lang w:val="sr-Cyrl-CS"/>
        </w:rPr>
        <w:t xml:space="preserve"> III: </w:t>
      </w:r>
      <w:r w:rsidR="008E7439">
        <w:rPr>
          <w:rFonts w:ascii="Times New Roman" w:hAnsi="Times New Roman" w:cs="Times New Roman"/>
          <w:color w:val="auto"/>
          <w:sz w:val="24"/>
          <w:szCs w:val="24"/>
          <w:lang w:val="en-US"/>
        </w:rPr>
        <w:t>improving budget discipline and more transparent use of budget funds</w:t>
      </w:r>
      <w:r w:rsidR="00503A4C" w:rsidRPr="001053DB">
        <w:rPr>
          <w:rFonts w:ascii="Times New Roman" w:hAnsi="Times New Roman" w:cs="Times New Roman"/>
          <w:color w:val="auto"/>
          <w:sz w:val="24"/>
          <w:szCs w:val="24"/>
          <w:lang w:val="sr-Cyrl-CS"/>
        </w:rPr>
        <w:t xml:space="preserve"> </w:t>
      </w:r>
      <w:bookmarkEnd w:id="13"/>
    </w:p>
    <w:p w14:paraId="3608892F" w14:textId="77777777" w:rsidR="002B02A7" w:rsidRPr="002B02A7" w:rsidRDefault="002B02A7" w:rsidP="002B02A7">
      <w:pPr>
        <w:rPr>
          <w:lang w:val="en-US"/>
        </w:rPr>
      </w:pPr>
    </w:p>
    <w:p w14:paraId="7E3AD6EC" w14:textId="09133781" w:rsidR="00876088" w:rsidRPr="008E7439" w:rsidRDefault="008E7439" w:rsidP="008E7439">
      <w:pPr>
        <w:ind w:firstLine="708"/>
        <w:jc w:val="both"/>
        <w:rPr>
          <w:rFonts w:ascii="Times New Roman" w:hAnsi="Times New Roman" w:cs="Times New Roman"/>
          <w:b/>
          <w:bCs/>
          <w:i/>
          <w:iCs/>
          <w:sz w:val="22"/>
          <w:szCs w:val="22"/>
          <w:lang w:val="en-US"/>
        </w:rPr>
      </w:pPr>
      <w:r>
        <w:rPr>
          <w:rFonts w:ascii="Times New Roman" w:hAnsi="Times New Roman" w:cs="Times New Roman"/>
          <w:b/>
          <w:bCs/>
          <w:i/>
          <w:iCs/>
          <w:sz w:val="22"/>
          <w:szCs w:val="22"/>
          <w:lang w:val="en-US"/>
        </w:rPr>
        <w:t>Measure</w:t>
      </w:r>
      <w:r w:rsidR="00876088" w:rsidRPr="008E7439">
        <w:rPr>
          <w:rFonts w:ascii="Times New Roman" w:hAnsi="Times New Roman" w:cs="Times New Roman"/>
          <w:b/>
          <w:bCs/>
          <w:i/>
          <w:iCs/>
          <w:sz w:val="22"/>
          <w:szCs w:val="22"/>
          <w:lang w:val="en-US"/>
        </w:rPr>
        <w:t xml:space="preserve"> 3.1: </w:t>
      </w:r>
      <w:r w:rsidRPr="008E7439">
        <w:rPr>
          <w:rFonts w:ascii="Times New Roman" w:hAnsi="Times New Roman" w:cs="Times New Roman"/>
          <w:b/>
          <w:bCs/>
          <w:i/>
          <w:iCs/>
          <w:sz w:val="22"/>
          <w:szCs w:val="22"/>
          <w:lang w:val="en-US"/>
        </w:rPr>
        <w:t>Expansion of audit coverage and development of a new audit methodology under the competence of Governmental Audit Office of EU funds</w:t>
      </w:r>
    </w:p>
    <w:p w14:paraId="3EDD8A01" w14:textId="55AD6640" w:rsidR="00447BAB" w:rsidRPr="00447BAB" w:rsidRDefault="00447BAB" w:rsidP="00447BAB">
      <w:pPr>
        <w:ind w:firstLine="708"/>
        <w:jc w:val="both"/>
        <w:rPr>
          <w:rFonts w:ascii="Times New Roman" w:hAnsi="Times New Roman" w:cs="Times New Roman"/>
          <w:sz w:val="24"/>
          <w:szCs w:val="24"/>
          <w:lang w:val="en-US"/>
        </w:rPr>
      </w:pPr>
      <w:r w:rsidRPr="00447BAB">
        <w:rPr>
          <w:rFonts w:ascii="Times New Roman" w:hAnsi="Times New Roman" w:cs="Times New Roman"/>
          <w:sz w:val="24"/>
          <w:szCs w:val="24"/>
          <w:lang w:val="en-US"/>
        </w:rPr>
        <w:t xml:space="preserve">In the previous period, the Rulebook on the Internal </w:t>
      </w:r>
      <w:proofErr w:type="spellStart"/>
      <w:r w:rsidRPr="00447BAB">
        <w:rPr>
          <w:rFonts w:ascii="Times New Roman" w:hAnsi="Times New Roman" w:cs="Times New Roman"/>
          <w:sz w:val="24"/>
          <w:szCs w:val="24"/>
          <w:lang w:val="en-US"/>
        </w:rPr>
        <w:t>Organisation</w:t>
      </w:r>
      <w:proofErr w:type="spellEnd"/>
      <w:r w:rsidRPr="00447BAB">
        <w:rPr>
          <w:rFonts w:ascii="Times New Roman" w:hAnsi="Times New Roman" w:cs="Times New Roman"/>
          <w:sz w:val="24"/>
          <w:szCs w:val="24"/>
          <w:lang w:val="en-US"/>
        </w:rPr>
        <w:t xml:space="preserve"> and Job Classification of the </w:t>
      </w:r>
      <w:r>
        <w:rPr>
          <w:rFonts w:ascii="Times New Roman" w:hAnsi="Times New Roman" w:cs="Times New Roman"/>
          <w:sz w:val="24"/>
          <w:szCs w:val="24"/>
          <w:lang w:val="en-US"/>
        </w:rPr>
        <w:t xml:space="preserve">Governmental </w:t>
      </w:r>
      <w:r w:rsidRPr="00447BAB">
        <w:rPr>
          <w:rFonts w:ascii="Times New Roman" w:hAnsi="Times New Roman" w:cs="Times New Roman"/>
          <w:sz w:val="24"/>
          <w:szCs w:val="24"/>
          <w:lang w:val="en-US"/>
        </w:rPr>
        <w:t>Audit</w:t>
      </w:r>
      <w:r>
        <w:rPr>
          <w:rFonts w:ascii="Times New Roman" w:hAnsi="Times New Roman" w:cs="Times New Roman"/>
          <w:sz w:val="24"/>
          <w:szCs w:val="24"/>
          <w:lang w:val="en-US"/>
        </w:rPr>
        <w:t xml:space="preserve"> Office of EU funds</w:t>
      </w:r>
      <w:r w:rsidRPr="00447BAB">
        <w:rPr>
          <w:rFonts w:ascii="Times New Roman" w:hAnsi="Times New Roman" w:cs="Times New Roman"/>
          <w:sz w:val="24"/>
          <w:szCs w:val="24"/>
          <w:lang w:val="en-US"/>
        </w:rPr>
        <w:t xml:space="preserve"> was adopted, establishing the Internal Audit Unit as a separate, functionally independent </w:t>
      </w:r>
      <w:proofErr w:type="spellStart"/>
      <w:r w:rsidRPr="00447BAB">
        <w:rPr>
          <w:rFonts w:ascii="Times New Roman" w:hAnsi="Times New Roman" w:cs="Times New Roman"/>
          <w:sz w:val="24"/>
          <w:szCs w:val="24"/>
          <w:lang w:val="en-US"/>
        </w:rPr>
        <w:t>organisational</w:t>
      </w:r>
      <w:proofErr w:type="spellEnd"/>
      <w:r w:rsidRPr="00447BAB">
        <w:rPr>
          <w:rFonts w:ascii="Times New Roman" w:hAnsi="Times New Roman" w:cs="Times New Roman"/>
          <w:sz w:val="24"/>
          <w:szCs w:val="24"/>
          <w:lang w:val="en-US"/>
        </w:rPr>
        <w:t xml:space="preserve"> unit responsible for the internal audit of the General Secretariat and Government services. Contacts were established at the management level with the General Secretariat and the 12 Government services covered by internal audit, and a series of meetings was held to introduce and present the work plan.</w:t>
      </w:r>
    </w:p>
    <w:p w14:paraId="540417B6" w14:textId="77777777" w:rsidR="00447BAB" w:rsidRPr="00447BAB" w:rsidRDefault="00447BAB" w:rsidP="00447BAB">
      <w:pPr>
        <w:ind w:firstLine="708"/>
        <w:jc w:val="both"/>
        <w:rPr>
          <w:rFonts w:ascii="Times New Roman" w:hAnsi="Times New Roman" w:cs="Times New Roman"/>
          <w:sz w:val="24"/>
          <w:szCs w:val="24"/>
          <w:lang w:val="en-US"/>
        </w:rPr>
      </w:pPr>
      <w:r w:rsidRPr="00447BAB">
        <w:rPr>
          <w:rFonts w:ascii="Times New Roman" w:hAnsi="Times New Roman" w:cs="Times New Roman"/>
          <w:sz w:val="24"/>
          <w:szCs w:val="24"/>
          <w:lang w:val="en-US"/>
        </w:rPr>
        <w:t>In the coming period, further staffing of the Internal Audit Unit is planned. Activities will focus on the development of audit methodologies and tools, as well as the delivery of practical training related to the new IPARD III Measures 4 (Agri-environmental and Organic Farming Measures) and 6 (Investments in Rural Public Infrastructure). The objective is to provide auditors with guidance and equip them with the necessary tools and techniques for conducting audits, facilitate the exchange of good practices, and strengthen their capacities through practical training and consultations with experts. Support for the implementation of these activities is planned through the TAIEX instrument.</w:t>
      </w:r>
    </w:p>
    <w:p w14:paraId="3C0E88AB" w14:textId="77777777" w:rsidR="00447BAB" w:rsidRPr="00447BAB" w:rsidRDefault="00447BAB" w:rsidP="00447BAB">
      <w:pPr>
        <w:ind w:firstLine="708"/>
        <w:jc w:val="both"/>
        <w:rPr>
          <w:rFonts w:ascii="Times New Roman" w:hAnsi="Times New Roman" w:cs="Times New Roman"/>
          <w:sz w:val="24"/>
          <w:szCs w:val="24"/>
          <w:lang w:val="en-US"/>
        </w:rPr>
      </w:pPr>
      <w:r w:rsidRPr="00447BAB">
        <w:rPr>
          <w:rFonts w:ascii="Times New Roman" w:hAnsi="Times New Roman" w:cs="Times New Roman"/>
          <w:sz w:val="24"/>
          <w:szCs w:val="24"/>
          <w:lang w:val="en-US"/>
        </w:rPr>
        <w:t xml:space="preserve">Given the results-oriented nature of the Reform and Growth Facility, its focus on macroeconomic conditions, progress indicators, and reform targets, the audit of this instrument requires a tailored approach that differs from the audit of IPA programmes, namely the application of performance auditing methodologies. Therefore, it is essential to secure expert support for the development of an appropriate methodological framework and a </w:t>
      </w:r>
      <w:proofErr w:type="spellStart"/>
      <w:r w:rsidRPr="00447BAB">
        <w:rPr>
          <w:rFonts w:ascii="Times New Roman" w:hAnsi="Times New Roman" w:cs="Times New Roman"/>
          <w:sz w:val="24"/>
          <w:szCs w:val="24"/>
          <w:lang w:val="en-US"/>
        </w:rPr>
        <w:t>specialised</w:t>
      </w:r>
      <w:proofErr w:type="spellEnd"/>
      <w:r w:rsidRPr="00447BAB">
        <w:rPr>
          <w:rFonts w:ascii="Times New Roman" w:hAnsi="Times New Roman" w:cs="Times New Roman"/>
          <w:sz w:val="24"/>
          <w:szCs w:val="24"/>
          <w:lang w:val="en-US"/>
        </w:rPr>
        <w:t xml:space="preserve"> training programme.</w:t>
      </w:r>
    </w:p>
    <w:p w14:paraId="71F12926" w14:textId="56D5AA43" w:rsidR="0067567D" w:rsidRPr="008E7439" w:rsidRDefault="008E7439" w:rsidP="008E7439">
      <w:pPr>
        <w:ind w:firstLine="708"/>
        <w:jc w:val="both"/>
        <w:rPr>
          <w:rFonts w:ascii="Times New Roman" w:hAnsi="Times New Roman" w:cs="Times New Roman"/>
          <w:b/>
          <w:bCs/>
          <w:i/>
          <w:iCs/>
          <w:sz w:val="22"/>
          <w:szCs w:val="22"/>
          <w:lang w:val="en-US"/>
        </w:rPr>
      </w:pPr>
      <w:r>
        <w:rPr>
          <w:rFonts w:ascii="Times New Roman" w:hAnsi="Times New Roman" w:cs="Times New Roman"/>
          <w:b/>
          <w:bCs/>
          <w:i/>
          <w:iCs/>
          <w:sz w:val="22"/>
          <w:szCs w:val="22"/>
          <w:lang w:val="en-US"/>
        </w:rPr>
        <w:t>Measure</w:t>
      </w:r>
      <w:r w:rsidR="0067567D" w:rsidRPr="008E7439">
        <w:rPr>
          <w:rFonts w:ascii="Times New Roman" w:hAnsi="Times New Roman" w:cs="Times New Roman"/>
          <w:b/>
          <w:bCs/>
          <w:i/>
          <w:iCs/>
          <w:sz w:val="22"/>
          <w:szCs w:val="22"/>
          <w:lang w:val="en-US"/>
        </w:rPr>
        <w:t xml:space="preserve"> 3.2: </w:t>
      </w:r>
      <w:r w:rsidRPr="008E7439">
        <w:rPr>
          <w:rFonts w:ascii="Times New Roman" w:hAnsi="Times New Roman" w:cs="Times New Roman"/>
          <w:b/>
          <w:bCs/>
          <w:i/>
          <w:iCs/>
          <w:sz w:val="22"/>
          <w:szCs w:val="22"/>
          <w:lang w:val="en-US"/>
        </w:rPr>
        <w:t>Strengthening the system for more efficient and effective management of EU funds and enhancing the capacity of competent institutions in the area of protection of the EU</w:t>
      </w:r>
      <w:r w:rsidRPr="008E7439">
        <w:rPr>
          <w:rFonts w:ascii="Times New Roman" w:hAnsi="Times New Roman" w:cs="Times New Roman"/>
          <w:b/>
          <w:bCs/>
          <w:i/>
          <w:iCs/>
          <w:sz w:val="22"/>
          <w:szCs w:val="22"/>
          <w:lang w:val="sr-Cyrl-CS"/>
        </w:rPr>
        <w:t xml:space="preserve"> </w:t>
      </w:r>
      <w:r w:rsidRPr="008E7439">
        <w:rPr>
          <w:rFonts w:ascii="Times New Roman" w:hAnsi="Times New Roman" w:cs="Times New Roman"/>
          <w:b/>
          <w:bCs/>
          <w:i/>
          <w:iCs/>
          <w:sz w:val="22"/>
          <w:szCs w:val="22"/>
          <w:lang w:val="en-US"/>
        </w:rPr>
        <w:t>interests</w:t>
      </w:r>
    </w:p>
    <w:p w14:paraId="4D4E3DDE" w14:textId="77777777" w:rsidR="00447BAB" w:rsidRPr="00447BAB" w:rsidRDefault="00447BAB" w:rsidP="00447BAB">
      <w:pPr>
        <w:ind w:firstLine="708"/>
        <w:jc w:val="both"/>
        <w:rPr>
          <w:rFonts w:ascii="Times New Roman" w:hAnsi="Times New Roman" w:cs="Times New Roman"/>
          <w:sz w:val="24"/>
          <w:szCs w:val="24"/>
          <w:lang w:val="en-US"/>
        </w:rPr>
      </w:pPr>
      <w:r w:rsidRPr="00447BAB">
        <w:rPr>
          <w:rFonts w:ascii="Times New Roman" w:hAnsi="Times New Roman" w:cs="Times New Roman"/>
          <w:sz w:val="24"/>
          <w:szCs w:val="24"/>
          <w:lang w:val="en-US"/>
        </w:rPr>
        <w:t xml:space="preserve">In line with the European Commission’s 2024 Report (Negotiating Chapter 22 – Regional Policy and Coordination of Structural Instruments), regarding administrative capacity within the EU funds management system, it was assessed that staff shortages continue to hinder the effective functioning of institutions involved in the structure responsible for the indirect management of IPA funds. Although the number of employees has increased compared to previous years, certain institutions still face significant staffing shortages. The National </w:t>
      </w:r>
      <w:proofErr w:type="spellStart"/>
      <w:r w:rsidRPr="00447BAB">
        <w:rPr>
          <w:rFonts w:ascii="Times New Roman" w:hAnsi="Times New Roman" w:cs="Times New Roman"/>
          <w:sz w:val="24"/>
          <w:szCs w:val="24"/>
          <w:lang w:val="en-US"/>
        </w:rPr>
        <w:t>Authorising</w:t>
      </w:r>
      <w:proofErr w:type="spellEnd"/>
      <w:r w:rsidRPr="00447BAB">
        <w:rPr>
          <w:rFonts w:ascii="Times New Roman" w:hAnsi="Times New Roman" w:cs="Times New Roman"/>
          <w:sz w:val="24"/>
          <w:szCs w:val="24"/>
          <w:lang w:val="en-US"/>
        </w:rPr>
        <w:t xml:space="preserve"> Officer Support Unit within the Ministry of Finance conducts regular analyses of administrative capacities and training needs across all institutions responsible for the implementation of IPA programmes on a semi-annual and annual basis and provides support to institutions in identifying the most suitable staffing solutions. In cooperation with the National Academy for Public Administration (NAPA), and with the aim of strengthening </w:t>
      </w:r>
      <w:r w:rsidRPr="00447BAB">
        <w:rPr>
          <w:rFonts w:ascii="Times New Roman" w:hAnsi="Times New Roman" w:cs="Times New Roman"/>
          <w:sz w:val="24"/>
          <w:szCs w:val="24"/>
          <w:lang w:val="en-US"/>
        </w:rPr>
        <w:lastRenderedPageBreak/>
        <w:t>administrative capacities and supporting the professional development of all participants involved in the management of EU funds, a substantial number of training activities have been delivered in recent years, with particular emphasis on the management of irregularities and fraud related to EU funds.</w:t>
      </w:r>
    </w:p>
    <w:p w14:paraId="4DA858B8" w14:textId="4B0C7D71" w:rsidR="00447BAB" w:rsidRPr="00447BAB" w:rsidRDefault="00447BAB" w:rsidP="00447BAB">
      <w:pPr>
        <w:ind w:firstLine="708"/>
        <w:jc w:val="both"/>
        <w:rPr>
          <w:rFonts w:ascii="Times New Roman" w:hAnsi="Times New Roman" w:cs="Times New Roman"/>
          <w:sz w:val="24"/>
          <w:szCs w:val="24"/>
          <w:lang w:val="en-US"/>
        </w:rPr>
      </w:pPr>
      <w:r w:rsidRPr="00447BAB">
        <w:rPr>
          <w:rFonts w:ascii="Times New Roman" w:hAnsi="Times New Roman" w:cs="Times New Roman"/>
          <w:sz w:val="24"/>
          <w:szCs w:val="24"/>
          <w:lang w:val="en-US"/>
        </w:rPr>
        <w:t>In the coming period, continued cooperation with NAPA is expected in relation to the preparation of annual training programmes for civil servants in the field of EU project and programme management, the identification of training needs and the coordination of training activities. The protection of the financial interests of the European Union and the budget of the Republic of Serbia remains one of the priorities of the Ministry of Finance. The relevant structures are committed to enhancing cooperation and communication among all bodies involved in the IPA system, as well as strengthening awareness-raising activities regarding the harmful effects of irresponsible and ineffective management of EU funds and the consequences such practices may have on the budget of the Republic of Serbia.</w:t>
      </w:r>
    </w:p>
    <w:p w14:paraId="4E607A56" w14:textId="39352ED2" w:rsidR="00447BAB" w:rsidRPr="00447BAB" w:rsidRDefault="00447BAB" w:rsidP="00447BAB">
      <w:pPr>
        <w:ind w:firstLine="708"/>
        <w:jc w:val="both"/>
        <w:rPr>
          <w:rFonts w:ascii="Times New Roman" w:hAnsi="Times New Roman" w:cs="Times New Roman"/>
          <w:sz w:val="24"/>
          <w:szCs w:val="24"/>
          <w:lang w:val="en-US"/>
        </w:rPr>
      </w:pPr>
      <w:r w:rsidRPr="00447BAB">
        <w:rPr>
          <w:rFonts w:ascii="Times New Roman" w:hAnsi="Times New Roman" w:cs="Times New Roman"/>
          <w:sz w:val="24"/>
          <w:szCs w:val="24"/>
          <w:lang w:val="en-US"/>
        </w:rPr>
        <w:t xml:space="preserve">In this context, in order to ensure consistency in the actions of the structures and authorities of the Republic of Serbia responsible for the management of EU pre-accession assistance programmes, amendments to the national legal framework are planned concerning the determination of financial corrections applicable to expenditure financed by the European Union in cases of non-compliance with public procurement rules and grant award procedures under the Instrument for Pre-accession Assistance. To establish more effective coordination and communication mechanisms, as well as to develop a common approach to the prevention and detection of financial irregularities, particular emphasis will be placed on </w:t>
      </w:r>
      <w:proofErr w:type="spellStart"/>
      <w:r w:rsidRPr="00447BAB">
        <w:rPr>
          <w:rFonts w:ascii="Times New Roman" w:hAnsi="Times New Roman" w:cs="Times New Roman"/>
          <w:sz w:val="24"/>
          <w:szCs w:val="24"/>
          <w:lang w:val="en-US"/>
        </w:rPr>
        <w:t>organising</w:t>
      </w:r>
      <w:proofErr w:type="spellEnd"/>
      <w:r w:rsidRPr="00447BAB">
        <w:rPr>
          <w:rFonts w:ascii="Times New Roman" w:hAnsi="Times New Roman" w:cs="Times New Roman"/>
          <w:sz w:val="24"/>
          <w:szCs w:val="24"/>
          <w:lang w:val="en-US"/>
        </w:rPr>
        <w:t xml:space="preserve"> regional conferences, seminars, and workshops. These events provide a platform for the exchange of experience, good practices, and professional knowledge among AFCOS, OLAF, judicial authorities and other relevant stakeholders. At the same time, such professional gatherings contribute to strengthening cross-sectoral cooperation, enhancing operational capacities, and building a shared understanding of the challenges associated with the protection of the European Union’s financial interests. In this way, the necessary conditions will be created for more efficient, timely, and transparent action by all key institutions, as well as for the continuous strengthening of human resources in this area. In addition, targeted educational activities are planned to further reinforce interinstitutional cooperation by improving expertise and ensuring greater consistency in the work of relevant institutions. Through ongoing coordination, information exchange, and the development of a common operational approach, conditions will be established for more effective prevention, detection, and prosecution of abuses involving European Union financial resources.</w:t>
      </w:r>
    </w:p>
    <w:p w14:paraId="664219DE" w14:textId="77777777" w:rsidR="00447BAB" w:rsidRDefault="00447BAB" w:rsidP="00447BAB">
      <w:pPr>
        <w:ind w:firstLine="708"/>
        <w:jc w:val="both"/>
        <w:rPr>
          <w:rFonts w:ascii="Times New Roman" w:hAnsi="Times New Roman" w:cs="Times New Roman"/>
          <w:sz w:val="24"/>
          <w:szCs w:val="24"/>
          <w:lang w:val="en-US"/>
        </w:rPr>
      </w:pPr>
      <w:r w:rsidRPr="00447BAB">
        <w:rPr>
          <w:rFonts w:ascii="Times New Roman" w:hAnsi="Times New Roman" w:cs="Times New Roman"/>
          <w:sz w:val="24"/>
          <w:szCs w:val="24"/>
          <w:lang w:val="en-US"/>
        </w:rPr>
        <w:t>In the forthcoming period, with the aim of providing institutional and technical support to strategic planning within AFCOS, activities will focus on the evaluation of the previous three-year Strategic Plan for Combating Fraud and Managing Irregularities in the Use of European Union Financial Resources in the Republic of Serbia for the period 2024–2026, as well as on the preparation of a new strategic plan covering the period 2028–2030.</w:t>
      </w:r>
    </w:p>
    <w:p w14:paraId="48E3DA0E" w14:textId="77777777" w:rsidR="00AE1937" w:rsidRPr="00447BAB" w:rsidRDefault="00AE1937" w:rsidP="00447BAB">
      <w:pPr>
        <w:ind w:firstLine="708"/>
        <w:jc w:val="both"/>
        <w:rPr>
          <w:rFonts w:ascii="Times New Roman" w:hAnsi="Times New Roman" w:cs="Times New Roman"/>
          <w:sz w:val="24"/>
          <w:szCs w:val="24"/>
          <w:lang w:val="en-US"/>
        </w:rPr>
      </w:pPr>
    </w:p>
    <w:p w14:paraId="6540D718" w14:textId="698CC420" w:rsidR="00E45240" w:rsidRPr="001053DB" w:rsidRDefault="008E7439" w:rsidP="005A23A3">
      <w:pPr>
        <w:spacing w:line="259" w:lineRule="auto"/>
        <w:ind w:firstLine="708"/>
        <w:jc w:val="both"/>
        <w:rPr>
          <w:rFonts w:ascii="Times New Roman" w:eastAsia="Aptos" w:hAnsi="Times New Roman" w:cs="Times New Roman"/>
          <w:b/>
          <w:i/>
          <w:kern w:val="2"/>
          <w:sz w:val="22"/>
          <w:szCs w:val="22"/>
          <w:lang w:val="sr-Cyrl-CS"/>
          <w14:ligatures w14:val="standardContextual"/>
        </w:rPr>
      </w:pPr>
      <w:r>
        <w:rPr>
          <w:rFonts w:ascii="Times New Roman" w:eastAsia="Aptos" w:hAnsi="Times New Roman" w:cs="Times New Roman"/>
          <w:b/>
          <w:i/>
          <w:kern w:val="2"/>
          <w:sz w:val="22"/>
          <w:szCs w:val="22"/>
          <w:lang w:val="en-US"/>
          <w14:ligatures w14:val="standardContextual"/>
        </w:rPr>
        <w:lastRenderedPageBreak/>
        <w:t>Measure</w:t>
      </w:r>
      <w:r w:rsidR="00670EC5" w:rsidRPr="001053DB">
        <w:rPr>
          <w:rFonts w:ascii="Times New Roman" w:eastAsia="Aptos" w:hAnsi="Times New Roman" w:cs="Times New Roman"/>
          <w:b/>
          <w:i/>
          <w:kern w:val="2"/>
          <w:sz w:val="22"/>
          <w:szCs w:val="22"/>
          <w:lang w:val="sr-Cyrl-CS"/>
          <w14:ligatures w14:val="standardContextual"/>
        </w:rPr>
        <w:t xml:space="preserve"> 3.3: </w:t>
      </w:r>
      <w:r w:rsidRPr="008E7439">
        <w:rPr>
          <w:rFonts w:ascii="Times New Roman" w:hAnsi="Times New Roman" w:cs="Times New Roman"/>
          <w:b/>
          <w:bCs/>
          <w:i/>
          <w:iCs/>
          <w:sz w:val="22"/>
          <w:szCs w:val="22"/>
          <w:lang w:val="en-US"/>
        </w:rPr>
        <w:t>Increasing the efficiency and effectiveness of inspection oversight</w:t>
      </w:r>
    </w:p>
    <w:p w14:paraId="0A6E9589" w14:textId="016056BC" w:rsidR="00AE1937" w:rsidRPr="00AE1937" w:rsidRDefault="00AE1937" w:rsidP="00AE1937">
      <w:pPr>
        <w:ind w:firstLine="708"/>
        <w:jc w:val="both"/>
        <w:rPr>
          <w:rFonts w:ascii="Times New Roman" w:hAnsi="Times New Roman" w:cs="Times New Roman"/>
          <w:sz w:val="24"/>
          <w:szCs w:val="24"/>
          <w:lang w:val="en-US"/>
        </w:rPr>
      </w:pPr>
      <w:r w:rsidRPr="00AE1937">
        <w:rPr>
          <w:rFonts w:ascii="Times New Roman" w:hAnsi="Times New Roman" w:cs="Times New Roman"/>
          <w:sz w:val="24"/>
          <w:szCs w:val="24"/>
          <w:lang w:val="en-US"/>
        </w:rPr>
        <w:t xml:space="preserve">With the adoption of the Law on Budget Inspection (“Official Gazette of the Republic of Serbia”, No. 118/21) in December 2021, the legislative framework for the comprehensive application of control mechanisms within the public finance system of the Republic of Serbia was completed. The Law on Budget Inspection has been applied since 1 January 2023 and systematically regulates the mandate, procedures, operations, and powers of the budget inspection function. In accordance with this Law and the previous Strategic Plan for Budget Inspection, the budget inspection function was </w:t>
      </w:r>
      <w:proofErr w:type="spellStart"/>
      <w:r w:rsidRPr="00AE1937">
        <w:rPr>
          <w:rFonts w:ascii="Times New Roman" w:hAnsi="Times New Roman" w:cs="Times New Roman"/>
          <w:sz w:val="24"/>
          <w:szCs w:val="24"/>
          <w:lang w:val="en-US"/>
        </w:rPr>
        <w:t>centralised</w:t>
      </w:r>
      <w:proofErr w:type="spellEnd"/>
      <w:r w:rsidRPr="00AE1937">
        <w:rPr>
          <w:rFonts w:ascii="Times New Roman" w:hAnsi="Times New Roman" w:cs="Times New Roman"/>
          <w:sz w:val="24"/>
          <w:szCs w:val="24"/>
          <w:lang w:val="en-US"/>
        </w:rPr>
        <w:t xml:space="preserve"> through the transfer of budget inspectors from the autonomous province and local self-government units, and regional inspection groups were established in Belgrade, Novi Sad, Kragujevac and </w:t>
      </w:r>
      <w:proofErr w:type="spellStart"/>
      <w:r w:rsidRPr="00AE1937">
        <w:rPr>
          <w:rFonts w:ascii="Times New Roman" w:hAnsi="Times New Roman" w:cs="Times New Roman"/>
          <w:sz w:val="24"/>
          <w:szCs w:val="24"/>
          <w:lang w:val="en-US"/>
        </w:rPr>
        <w:t>Niš</w:t>
      </w:r>
      <w:proofErr w:type="spellEnd"/>
      <w:r w:rsidRPr="00AE1937">
        <w:rPr>
          <w:rFonts w:ascii="Times New Roman" w:hAnsi="Times New Roman" w:cs="Times New Roman"/>
          <w:sz w:val="24"/>
          <w:szCs w:val="24"/>
          <w:lang w:val="en-US"/>
        </w:rPr>
        <w:t>.</w:t>
      </w:r>
    </w:p>
    <w:p w14:paraId="4F6B56DA" w14:textId="67EC1B00" w:rsidR="00AE1937" w:rsidRPr="00AE1937" w:rsidRDefault="00AE1937" w:rsidP="00AE1937">
      <w:pPr>
        <w:ind w:firstLine="708"/>
        <w:jc w:val="both"/>
        <w:rPr>
          <w:rFonts w:ascii="Times New Roman" w:hAnsi="Times New Roman" w:cs="Times New Roman"/>
          <w:sz w:val="24"/>
          <w:szCs w:val="24"/>
          <w:lang w:val="en-US"/>
        </w:rPr>
      </w:pPr>
      <w:r w:rsidRPr="00AE1937">
        <w:rPr>
          <w:rFonts w:ascii="Times New Roman" w:hAnsi="Times New Roman" w:cs="Times New Roman"/>
          <w:sz w:val="24"/>
          <w:szCs w:val="24"/>
          <w:lang w:val="en-US"/>
        </w:rPr>
        <w:t>The overarching strategic objective of the Strategic Plan for Budget Inspection for the period 2026–2030 is to strengthen budgetary discipline and promote more transparent use of public funds. The primary purpose of all measures and activities envisaged under the Plan is the protection of the public interest across the entire budget system of the Republic of Serbia. The new Strategic Plan will focus on the further development of the budget inspection function, improved performance management and increasing the impact of budget inspection in ensuring budgetary discipline among users of public funds. In addition, the adoption of methodological guidelines governing the work of budget inspection across different areas of supervision is planned by the end of 2030.</w:t>
      </w:r>
    </w:p>
    <w:p w14:paraId="63EFB7DE" w14:textId="77777777" w:rsidR="00AE1937" w:rsidRPr="00AE1937" w:rsidRDefault="00AE1937" w:rsidP="00AE1937">
      <w:pPr>
        <w:ind w:firstLine="708"/>
        <w:jc w:val="both"/>
        <w:rPr>
          <w:rFonts w:ascii="Times New Roman" w:hAnsi="Times New Roman" w:cs="Times New Roman"/>
          <w:sz w:val="24"/>
          <w:szCs w:val="24"/>
          <w:lang w:val="en-US"/>
        </w:rPr>
      </w:pPr>
      <w:r w:rsidRPr="00AE1937">
        <w:rPr>
          <w:rFonts w:ascii="Times New Roman" w:hAnsi="Times New Roman" w:cs="Times New Roman"/>
          <w:sz w:val="24"/>
          <w:szCs w:val="24"/>
          <w:lang w:val="en-US"/>
        </w:rPr>
        <w:t>The objective of conducting inspection supervision is to protect the financial interests of the budget of the Republic of Serbia by ensuring the lawful and purposeful use of public funds and safeguarding the public interest in the areas subject to inspection oversight.</w:t>
      </w:r>
    </w:p>
    <w:p w14:paraId="7E6DB535" w14:textId="77777777" w:rsidR="00AE1937" w:rsidRPr="00AE1937" w:rsidRDefault="00AE1937" w:rsidP="00AE1937">
      <w:pPr>
        <w:ind w:firstLine="708"/>
        <w:jc w:val="both"/>
        <w:rPr>
          <w:rFonts w:ascii="Times New Roman" w:hAnsi="Times New Roman" w:cs="Times New Roman"/>
          <w:sz w:val="24"/>
          <w:szCs w:val="24"/>
          <w:lang w:val="en-US"/>
        </w:rPr>
      </w:pPr>
      <w:r w:rsidRPr="00AE1937">
        <w:rPr>
          <w:rFonts w:ascii="Times New Roman" w:hAnsi="Times New Roman" w:cs="Times New Roman"/>
          <w:sz w:val="24"/>
          <w:szCs w:val="24"/>
          <w:lang w:val="en-US"/>
        </w:rPr>
        <w:t>The total number of inspection supervisions increased from 67 completed inspections in 2021 to 218 in 2024, representing an increase of 225.4% compared to 2021, as illustrated in the corresponding table and chart.</w:t>
      </w:r>
    </w:p>
    <w:tbl>
      <w:tblPr>
        <w:tblStyle w:val="GridTable1Light-Accent6"/>
        <w:tblW w:w="0" w:type="auto"/>
        <w:tblBorders>
          <w:top w:val="single" w:sz="6" w:space="0" w:color="800080"/>
          <w:left w:val="single" w:sz="6" w:space="0" w:color="800080"/>
          <w:bottom w:val="single" w:sz="6" w:space="0" w:color="800080"/>
          <w:right w:val="single" w:sz="6" w:space="0" w:color="800080"/>
          <w:insideH w:val="single" w:sz="6" w:space="0" w:color="800080"/>
          <w:insideV w:val="single" w:sz="6" w:space="0" w:color="800080"/>
        </w:tblBorders>
        <w:tblLook w:val="04A0" w:firstRow="1" w:lastRow="0" w:firstColumn="1" w:lastColumn="0" w:noHBand="0" w:noVBand="1"/>
      </w:tblPr>
      <w:tblGrid>
        <w:gridCol w:w="4876"/>
        <w:gridCol w:w="1008"/>
        <w:gridCol w:w="1008"/>
        <w:gridCol w:w="1008"/>
        <w:gridCol w:w="1008"/>
      </w:tblGrid>
      <w:tr w:rsidR="00D30238" w:rsidRPr="001053DB" w14:paraId="1EBC5291" w14:textId="77777777" w:rsidTr="004049B3">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876" w:type="dxa"/>
            <w:tcBorders>
              <w:top w:val="single" w:sz="8" w:space="0" w:color="800080"/>
              <w:left w:val="single" w:sz="8" w:space="0" w:color="800080"/>
              <w:bottom w:val="single" w:sz="12" w:space="0" w:color="800080"/>
            </w:tcBorders>
            <w:vAlign w:val="center"/>
          </w:tcPr>
          <w:p w14:paraId="36A4F903" w14:textId="6DCF496C" w:rsidR="00EF3865" w:rsidRPr="00AE1937" w:rsidRDefault="00AE1937" w:rsidP="00835789">
            <w:pPr>
              <w:spacing w:before="80" w:after="80"/>
              <w:rPr>
                <w:rFonts w:ascii="Times New Roman" w:hAnsi="Times New Roman" w:cs="Times New Roman"/>
                <w:sz w:val="20"/>
                <w:szCs w:val="20"/>
                <w:lang w:val="en-US"/>
              </w:rPr>
            </w:pPr>
            <w:r>
              <w:rPr>
                <w:rFonts w:ascii="Times New Roman" w:hAnsi="Times New Roman" w:cs="Times New Roman"/>
                <w:lang w:val="en-US"/>
              </w:rPr>
              <w:t>Implementation year</w:t>
            </w:r>
          </w:p>
        </w:tc>
        <w:tc>
          <w:tcPr>
            <w:tcW w:w="1008" w:type="dxa"/>
            <w:tcBorders>
              <w:top w:val="single" w:sz="8" w:space="0" w:color="800080"/>
              <w:bottom w:val="single" w:sz="12" w:space="0" w:color="800080"/>
              <w:right w:val="single" w:sz="2" w:space="0" w:color="800080"/>
            </w:tcBorders>
            <w:vAlign w:val="center"/>
          </w:tcPr>
          <w:p w14:paraId="71F1AB4C" w14:textId="77777777" w:rsidR="00EF3865" w:rsidRPr="001053DB" w:rsidRDefault="00EF3865" w:rsidP="00835789">
            <w:pPr>
              <w:spacing w:before="80" w:after="8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Cyrl-CS"/>
              </w:rPr>
            </w:pPr>
            <w:r w:rsidRPr="001053DB">
              <w:rPr>
                <w:rFonts w:ascii="Times New Roman" w:hAnsi="Times New Roman" w:cs="Times New Roman"/>
                <w:lang w:val="sr-Cyrl-CS"/>
              </w:rPr>
              <w:t>2021</w:t>
            </w:r>
          </w:p>
        </w:tc>
        <w:tc>
          <w:tcPr>
            <w:tcW w:w="1008" w:type="dxa"/>
            <w:tcBorders>
              <w:top w:val="single" w:sz="8" w:space="0" w:color="800080"/>
              <w:left w:val="single" w:sz="2" w:space="0" w:color="800080"/>
              <w:bottom w:val="single" w:sz="12" w:space="0" w:color="800080"/>
              <w:right w:val="single" w:sz="2" w:space="0" w:color="800080"/>
            </w:tcBorders>
            <w:vAlign w:val="center"/>
          </w:tcPr>
          <w:p w14:paraId="5F458030" w14:textId="77777777" w:rsidR="00EF3865" w:rsidRPr="001053DB" w:rsidRDefault="00EF3865" w:rsidP="00835789">
            <w:pPr>
              <w:spacing w:before="80" w:after="8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Cyrl-CS"/>
              </w:rPr>
            </w:pPr>
            <w:r w:rsidRPr="001053DB">
              <w:rPr>
                <w:rFonts w:ascii="Times New Roman" w:hAnsi="Times New Roman" w:cs="Times New Roman"/>
                <w:lang w:val="sr-Cyrl-CS"/>
              </w:rPr>
              <w:t>2022</w:t>
            </w:r>
          </w:p>
        </w:tc>
        <w:tc>
          <w:tcPr>
            <w:tcW w:w="1008" w:type="dxa"/>
            <w:tcBorders>
              <w:top w:val="single" w:sz="8" w:space="0" w:color="800080"/>
              <w:left w:val="single" w:sz="2" w:space="0" w:color="800080"/>
              <w:bottom w:val="single" w:sz="12" w:space="0" w:color="800080"/>
              <w:right w:val="single" w:sz="2" w:space="0" w:color="800080"/>
            </w:tcBorders>
            <w:vAlign w:val="center"/>
          </w:tcPr>
          <w:p w14:paraId="08539BC4" w14:textId="77777777" w:rsidR="00EF3865" w:rsidRPr="001053DB" w:rsidRDefault="00EF3865" w:rsidP="00835789">
            <w:pPr>
              <w:spacing w:before="80" w:after="8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Cyrl-CS"/>
              </w:rPr>
            </w:pPr>
            <w:r w:rsidRPr="001053DB">
              <w:rPr>
                <w:rFonts w:ascii="Times New Roman" w:hAnsi="Times New Roman" w:cs="Times New Roman"/>
                <w:lang w:val="sr-Cyrl-CS"/>
              </w:rPr>
              <w:t>2023</w:t>
            </w:r>
          </w:p>
        </w:tc>
        <w:tc>
          <w:tcPr>
            <w:tcW w:w="1008" w:type="dxa"/>
            <w:tcBorders>
              <w:top w:val="single" w:sz="8" w:space="0" w:color="800080"/>
              <w:left w:val="single" w:sz="2" w:space="0" w:color="800080"/>
              <w:bottom w:val="single" w:sz="12" w:space="0" w:color="800080"/>
              <w:right w:val="single" w:sz="8" w:space="0" w:color="800080"/>
            </w:tcBorders>
            <w:vAlign w:val="center"/>
          </w:tcPr>
          <w:p w14:paraId="0A8B5804" w14:textId="77777777" w:rsidR="00EF3865" w:rsidRPr="001053DB" w:rsidRDefault="00EF3865" w:rsidP="00835789">
            <w:pPr>
              <w:spacing w:before="80" w:after="8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Cyrl-CS"/>
              </w:rPr>
            </w:pPr>
            <w:r w:rsidRPr="001053DB">
              <w:rPr>
                <w:rFonts w:ascii="Times New Roman" w:hAnsi="Times New Roman" w:cs="Times New Roman"/>
                <w:lang w:val="sr-Cyrl-CS"/>
              </w:rPr>
              <w:t>2024</w:t>
            </w:r>
          </w:p>
        </w:tc>
      </w:tr>
      <w:tr w:rsidR="00D30238" w:rsidRPr="001053DB" w14:paraId="792A9361" w14:textId="77777777" w:rsidTr="004049B3">
        <w:trPr>
          <w:trHeight w:val="510"/>
        </w:trPr>
        <w:tc>
          <w:tcPr>
            <w:cnfStyle w:val="001000000000" w:firstRow="0" w:lastRow="0" w:firstColumn="1" w:lastColumn="0" w:oddVBand="0" w:evenVBand="0" w:oddHBand="0" w:evenHBand="0" w:firstRowFirstColumn="0" w:firstRowLastColumn="0" w:lastRowFirstColumn="0" w:lastRowLastColumn="0"/>
            <w:tcW w:w="4876" w:type="dxa"/>
            <w:tcBorders>
              <w:top w:val="single" w:sz="12" w:space="0" w:color="800080"/>
              <w:left w:val="single" w:sz="8" w:space="0" w:color="800080"/>
              <w:bottom w:val="single" w:sz="2" w:space="0" w:color="800080"/>
            </w:tcBorders>
          </w:tcPr>
          <w:p w14:paraId="39B85899" w14:textId="4B3E3F37" w:rsidR="00EF3865" w:rsidRPr="00AE1937" w:rsidRDefault="00AE1937" w:rsidP="00835789">
            <w:pPr>
              <w:spacing w:before="40" w:after="40"/>
              <w:jc w:val="both"/>
              <w:rPr>
                <w:rFonts w:ascii="Times New Roman" w:hAnsi="Times New Roman" w:cs="Times New Roman"/>
                <w:sz w:val="20"/>
                <w:szCs w:val="20"/>
                <w:lang w:val="en-US"/>
              </w:rPr>
            </w:pPr>
            <w:r>
              <w:rPr>
                <w:rFonts w:ascii="Times New Roman" w:hAnsi="Times New Roman" w:cs="Times New Roman"/>
                <w:lang w:val="en-US"/>
              </w:rPr>
              <w:t>Planned</w:t>
            </w:r>
          </w:p>
        </w:tc>
        <w:tc>
          <w:tcPr>
            <w:tcW w:w="1008" w:type="dxa"/>
            <w:tcBorders>
              <w:top w:val="single" w:sz="12" w:space="0" w:color="800080"/>
              <w:bottom w:val="single" w:sz="2" w:space="0" w:color="800080"/>
              <w:right w:val="single" w:sz="2" w:space="0" w:color="800080"/>
            </w:tcBorders>
          </w:tcPr>
          <w:p w14:paraId="702BA9D7" w14:textId="77777777" w:rsidR="00EF3865" w:rsidRPr="001053DB" w:rsidRDefault="00EF3865" w:rsidP="00835789">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Cyrl-CS"/>
              </w:rPr>
            </w:pPr>
            <w:r w:rsidRPr="001053DB">
              <w:rPr>
                <w:rFonts w:ascii="Times New Roman" w:hAnsi="Times New Roman" w:cs="Times New Roman"/>
                <w:lang w:val="sr-Cyrl-CS"/>
              </w:rPr>
              <w:t>50</w:t>
            </w:r>
          </w:p>
        </w:tc>
        <w:tc>
          <w:tcPr>
            <w:tcW w:w="1008" w:type="dxa"/>
            <w:tcBorders>
              <w:top w:val="single" w:sz="12" w:space="0" w:color="800080"/>
              <w:left w:val="single" w:sz="2" w:space="0" w:color="800080"/>
              <w:bottom w:val="single" w:sz="2" w:space="0" w:color="800080"/>
              <w:right w:val="single" w:sz="2" w:space="0" w:color="800080"/>
            </w:tcBorders>
          </w:tcPr>
          <w:p w14:paraId="561F8927" w14:textId="77777777" w:rsidR="00EF3865" w:rsidRPr="001053DB" w:rsidRDefault="00EF3865" w:rsidP="00835789">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Cyrl-CS"/>
              </w:rPr>
            </w:pPr>
            <w:r w:rsidRPr="001053DB">
              <w:rPr>
                <w:rFonts w:ascii="Times New Roman" w:hAnsi="Times New Roman" w:cs="Times New Roman"/>
                <w:lang w:val="sr-Cyrl-CS"/>
              </w:rPr>
              <w:t>52</w:t>
            </w:r>
          </w:p>
        </w:tc>
        <w:tc>
          <w:tcPr>
            <w:tcW w:w="1008" w:type="dxa"/>
            <w:tcBorders>
              <w:top w:val="single" w:sz="12" w:space="0" w:color="800080"/>
              <w:left w:val="single" w:sz="2" w:space="0" w:color="800080"/>
              <w:bottom w:val="single" w:sz="2" w:space="0" w:color="800080"/>
              <w:right w:val="single" w:sz="2" w:space="0" w:color="800080"/>
            </w:tcBorders>
          </w:tcPr>
          <w:p w14:paraId="12DD7450" w14:textId="77777777" w:rsidR="00EF3865" w:rsidRPr="001053DB" w:rsidRDefault="00EF3865" w:rsidP="00835789">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Cyrl-CS"/>
              </w:rPr>
            </w:pPr>
            <w:r w:rsidRPr="001053DB">
              <w:rPr>
                <w:rFonts w:ascii="Times New Roman" w:hAnsi="Times New Roman" w:cs="Times New Roman"/>
                <w:lang w:val="sr-Cyrl-CS"/>
              </w:rPr>
              <w:t>55</w:t>
            </w:r>
          </w:p>
        </w:tc>
        <w:tc>
          <w:tcPr>
            <w:tcW w:w="1008" w:type="dxa"/>
            <w:tcBorders>
              <w:top w:val="single" w:sz="12" w:space="0" w:color="800080"/>
              <w:left w:val="single" w:sz="2" w:space="0" w:color="800080"/>
              <w:bottom w:val="single" w:sz="2" w:space="0" w:color="800080"/>
              <w:right w:val="single" w:sz="8" w:space="0" w:color="800080"/>
            </w:tcBorders>
          </w:tcPr>
          <w:p w14:paraId="54C3DE0E" w14:textId="77777777" w:rsidR="00EF3865" w:rsidRPr="001053DB" w:rsidRDefault="00EF3865" w:rsidP="00835789">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Cyrl-CS"/>
              </w:rPr>
            </w:pPr>
            <w:r w:rsidRPr="001053DB">
              <w:rPr>
                <w:rFonts w:ascii="Times New Roman" w:hAnsi="Times New Roman" w:cs="Times New Roman"/>
                <w:lang w:val="sr-Cyrl-CS"/>
              </w:rPr>
              <w:t>80</w:t>
            </w:r>
          </w:p>
        </w:tc>
      </w:tr>
      <w:tr w:rsidR="00D30238" w:rsidRPr="001053DB" w14:paraId="5BAA4C29" w14:textId="77777777" w:rsidTr="004049B3">
        <w:trPr>
          <w:trHeight w:val="510"/>
        </w:trPr>
        <w:tc>
          <w:tcPr>
            <w:cnfStyle w:val="001000000000" w:firstRow="0" w:lastRow="0" w:firstColumn="1" w:lastColumn="0" w:oddVBand="0" w:evenVBand="0" w:oddHBand="0" w:evenHBand="0" w:firstRowFirstColumn="0" w:firstRowLastColumn="0" w:lastRowFirstColumn="0" w:lastRowLastColumn="0"/>
            <w:tcW w:w="4876" w:type="dxa"/>
            <w:tcBorders>
              <w:top w:val="single" w:sz="2" w:space="0" w:color="800080"/>
              <w:left w:val="single" w:sz="8" w:space="0" w:color="800080"/>
              <w:bottom w:val="single" w:sz="8" w:space="0" w:color="800080"/>
            </w:tcBorders>
          </w:tcPr>
          <w:p w14:paraId="7164D756" w14:textId="2BA63F23" w:rsidR="00EF3865" w:rsidRPr="00AE1937" w:rsidRDefault="00AE1937" w:rsidP="00835789">
            <w:pPr>
              <w:spacing w:before="40" w:after="40"/>
              <w:rPr>
                <w:rFonts w:ascii="Times New Roman" w:hAnsi="Times New Roman" w:cs="Times New Roman"/>
                <w:sz w:val="20"/>
                <w:szCs w:val="20"/>
                <w:lang w:val="en-US"/>
              </w:rPr>
            </w:pPr>
            <w:r>
              <w:rPr>
                <w:rFonts w:ascii="Times New Roman" w:hAnsi="Times New Roman" w:cs="Times New Roman"/>
                <w:lang w:val="en-US"/>
              </w:rPr>
              <w:t>Number of completed inspection supervisions</w:t>
            </w:r>
          </w:p>
        </w:tc>
        <w:tc>
          <w:tcPr>
            <w:tcW w:w="1008" w:type="dxa"/>
            <w:tcBorders>
              <w:top w:val="single" w:sz="2" w:space="0" w:color="800080"/>
              <w:bottom w:val="single" w:sz="8" w:space="0" w:color="800080"/>
              <w:right w:val="single" w:sz="2" w:space="0" w:color="800080"/>
            </w:tcBorders>
          </w:tcPr>
          <w:p w14:paraId="44A5FC0C" w14:textId="77777777" w:rsidR="00EF3865" w:rsidRPr="001053DB" w:rsidRDefault="00EF3865" w:rsidP="00835789">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Cyrl-CS"/>
              </w:rPr>
            </w:pPr>
            <w:r w:rsidRPr="001053DB">
              <w:rPr>
                <w:rFonts w:ascii="Times New Roman" w:hAnsi="Times New Roman" w:cs="Times New Roman"/>
                <w:lang w:val="sr-Cyrl-CS"/>
              </w:rPr>
              <w:t>67</w:t>
            </w:r>
          </w:p>
        </w:tc>
        <w:tc>
          <w:tcPr>
            <w:tcW w:w="1008" w:type="dxa"/>
            <w:tcBorders>
              <w:top w:val="single" w:sz="2" w:space="0" w:color="800080"/>
              <w:left w:val="single" w:sz="2" w:space="0" w:color="800080"/>
              <w:bottom w:val="single" w:sz="8" w:space="0" w:color="800080"/>
              <w:right w:val="single" w:sz="2" w:space="0" w:color="800080"/>
            </w:tcBorders>
          </w:tcPr>
          <w:p w14:paraId="2EC3314D" w14:textId="77777777" w:rsidR="00EF3865" w:rsidRPr="001053DB" w:rsidRDefault="00EF3865" w:rsidP="00835789">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Cyrl-CS"/>
              </w:rPr>
            </w:pPr>
            <w:r w:rsidRPr="001053DB">
              <w:rPr>
                <w:rFonts w:ascii="Times New Roman" w:hAnsi="Times New Roman" w:cs="Times New Roman"/>
                <w:lang w:val="sr-Cyrl-CS"/>
              </w:rPr>
              <w:t>127</w:t>
            </w:r>
          </w:p>
        </w:tc>
        <w:tc>
          <w:tcPr>
            <w:tcW w:w="1008" w:type="dxa"/>
            <w:tcBorders>
              <w:top w:val="single" w:sz="2" w:space="0" w:color="800080"/>
              <w:left w:val="single" w:sz="2" w:space="0" w:color="800080"/>
              <w:bottom w:val="single" w:sz="8" w:space="0" w:color="800080"/>
              <w:right w:val="single" w:sz="2" w:space="0" w:color="800080"/>
            </w:tcBorders>
          </w:tcPr>
          <w:p w14:paraId="114721C1" w14:textId="77777777" w:rsidR="00EF3865" w:rsidRPr="001053DB" w:rsidRDefault="00EF3865" w:rsidP="00835789">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Cyrl-CS"/>
              </w:rPr>
            </w:pPr>
            <w:r w:rsidRPr="001053DB">
              <w:rPr>
                <w:rFonts w:ascii="Times New Roman" w:hAnsi="Times New Roman" w:cs="Times New Roman"/>
                <w:lang w:val="sr-Cyrl-CS"/>
              </w:rPr>
              <w:t>190</w:t>
            </w:r>
          </w:p>
        </w:tc>
        <w:tc>
          <w:tcPr>
            <w:tcW w:w="1008" w:type="dxa"/>
            <w:tcBorders>
              <w:top w:val="single" w:sz="2" w:space="0" w:color="800080"/>
              <w:left w:val="single" w:sz="2" w:space="0" w:color="800080"/>
              <w:bottom w:val="single" w:sz="8" w:space="0" w:color="800080"/>
              <w:right w:val="single" w:sz="8" w:space="0" w:color="800080"/>
            </w:tcBorders>
          </w:tcPr>
          <w:p w14:paraId="70E6A73A" w14:textId="77777777" w:rsidR="00EF3865" w:rsidRPr="001053DB" w:rsidRDefault="00EF3865" w:rsidP="00835789">
            <w:pPr>
              <w:spacing w:before="40" w:after="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Cyrl-CS"/>
              </w:rPr>
            </w:pPr>
            <w:r w:rsidRPr="001053DB">
              <w:rPr>
                <w:rFonts w:ascii="Times New Roman" w:hAnsi="Times New Roman" w:cs="Times New Roman"/>
                <w:lang w:val="sr-Cyrl-CS"/>
              </w:rPr>
              <w:t>218</w:t>
            </w:r>
          </w:p>
        </w:tc>
      </w:tr>
    </w:tbl>
    <w:p w14:paraId="2F38B6E8" w14:textId="28950669" w:rsidR="00EF3865" w:rsidRPr="00AE1937" w:rsidRDefault="00AE1937" w:rsidP="003D5050">
      <w:pPr>
        <w:spacing w:before="120" w:after="120" w:line="240" w:lineRule="auto"/>
        <w:jc w:val="center"/>
        <w:rPr>
          <w:rFonts w:ascii="Times New Roman" w:hAnsi="Times New Roman" w:cs="Times New Roman"/>
          <w:bCs/>
          <w:lang w:val="en-US"/>
        </w:rPr>
      </w:pPr>
      <w:r>
        <w:rPr>
          <w:rFonts w:ascii="Times New Roman" w:hAnsi="Times New Roman" w:cs="Times New Roman"/>
          <w:bCs/>
          <w:lang w:val="en-US"/>
        </w:rPr>
        <w:t>Table</w:t>
      </w:r>
      <w:r w:rsidR="003D5050" w:rsidRPr="001053DB">
        <w:rPr>
          <w:rFonts w:ascii="Times New Roman" w:hAnsi="Times New Roman" w:cs="Times New Roman"/>
          <w:bCs/>
          <w:lang w:val="sr-Cyrl-CS"/>
        </w:rPr>
        <w:t xml:space="preserve"> </w:t>
      </w:r>
      <w:r w:rsidR="00C7481B" w:rsidRPr="001053DB">
        <w:rPr>
          <w:rFonts w:ascii="Times New Roman" w:hAnsi="Times New Roman" w:cs="Times New Roman"/>
          <w:bCs/>
          <w:lang w:val="sr-Cyrl-CS"/>
        </w:rPr>
        <w:t>4</w:t>
      </w:r>
      <w:r w:rsidR="00EF3865" w:rsidRPr="001053DB">
        <w:rPr>
          <w:rFonts w:ascii="Times New Roman" w:hAnsi="Times New Roman" w:cs="Times New Roman"/>
          <w:bCs/>
          <w:lang w:val="sr-Cyrl-CS"/>
        </w:rPr>
        <w:t xml:space="preserve">: </w:t>
      </w:r>
      <w:r>
        <w:rPr>
          <w:rFonts w:ascii="Times New Roman" w:hAnsi="Times New Roman" w:cs="Times New Roman"/>
          <w:bCs/>
          <w:lang w:val="en-US"/>
        </w:rPr>
        <w:t>Total number of planned and completed inspection supervisions</w:t>
      </w:r>
      <w:r w:rsidR="003D5050" w:rsidRPr="001053DB">
        <w:rPr>
          <w:rFonts w:ascii="Times New Roman" w:hAnsi="Times New Roman" w:cs="Times New Roman"/>
          <w:bCs/>
          <w:lang w:val="sr-Cyrl-CS"/>
        </w:rPr>
        <w:t xml:space="preserve">. </w:t>
      </w:r>
      <w:r>
        <w:rPr>
          <w:rFonts w:ascii="Times New Roman" w:hAnsi="Times New Roman" w:cs="Times New Roman"/>
          <w:lang w:val="en-US"/>
        </w:rPr>
        <w:t>Source: Official records of the Budget Inspection</w:t>
      </w:r>
    </w:p>
    <w:p w14:paraId="2DCDBF58" w14:textId="77777777" w:rsidR="00EF3865" w:rsidRPr="001053DB" w:rsidRDefault="00EF3865" w:rsidP="00835789">
      <w:pPr>
        <w:jc w:val="center"/>
        <w:rPr>
          <w:rFonts w:eastAsia="Times New Roman"/>
          <w:b/>
          <w:szCs w:val="24"/>
          <w:lang w:val="sr-Cyrl-CS"/>
        </w:rPr>
      </w:pPr>
      <w:r w:rsidRPr="001053DB">
        <w:rPr>
          <w:noProof/>
          <w:lang w:val="en-US"/>
        </w:rPr>
        <w:lastRenderedPageBreak/>
        <w:drawing>
          <wp:inline distT="0" distB="0" distL="0" distR="0" wp14:anchorId="5CE69BF8" wp14:editId="30CE6FED">
            <wp:extent cx="4572000" cy="239077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9325D5F" w14:textId="00BEF299" w:rsidR="00982416" w:rsidRPr="00AE1937" w:rsidRDefault="00AE1937" w:rsidP="003D5050">
      <w:pPr>
        <w:spacing w:line="240" w:lineRule="auto"/>
        <w:jc w:val="center"/>
        <w:rPr>
          <w:rFonts w:ascii="Times New Roman" w:hAnsi="Times New Roman" w:cs="Times New Roman"/>
          <w:lang w:val="en-US"/>
        </w:rPr>
      </w:pPr>
      <w:r>
        <w:rPr>
          <w:rFonts w:ascii="Times New Roman" w:hAnsi="Times New Roman" w:cs="Times New Roman"/>
          <w:lang w:val="en-US"/>
        </w:rPr>
        <w:t>Graph</w:t>
      </w:r>
      <w:r w:rsidR="003D5050" w:rsidRPr="001053DB">
        <w:rPr>
          <w:rFonts w:ascii="Times New Roman" w:hAnsi="Times New Roman" w:cs="Times New Roman"/>
          <w:lang w:val="sr-Cyrl-CS"/>
        </w:rPr>
        <w:t xml:space="preserve"> 6</w:t>
      </w:r>
      <w:r w:rsidR="00EF3865" w:rsidRPr="001053DB">
        <w:rPr>
          <w:rFonts w:ascii="Times New Roman" w:hAnsi="Times New Roman" w:cs="Times New Roman"/>
          <w:lang w:val="sr-Cyrl-CS"/>
        </w:rPr>
        <w:t xml:space="preserve">: </w:t>
      </w:r>
      <w:r>
        <w:rPr>
          <w:rFonts w:ascii="Times New Roman" w:hAnsi="Times New Roman" w:cs="Times New Roman"/>
          <w:lang w:val="en-US"/>
        </w:rPr>
        <w:t>Total number of planned and conducted inspections</w:t>
      </w:r>
    </w:p>
    <w:p w14:paraId="1BCDA754" w14:textId="149E3742" w:rsidR="008E7439" w:rsidRPr="008E7439" w:rsidRDefault="005A23A3" w:rsidP="003D5050">
      <w:pPr>
        <w:spacing w:line="240" w:lineRule="auto"/>
        <w:jc w:val="center"/>
        <w:rPr>
          <w:rFonts w:ascii="Times New Roman" w:hAnsi="Times New Roman" w:cs="Times New Roman"/>
          <w:lang w:val="en-US"/>
        </w:rPr>
      </w:pPr>
      <w:r>
        <w:rPr>
          <w:rFonts w:ascii="Times New Roman" w:hAnsi="Times New Roman" w:cs="Times New Roman"/>
          <w:lang w:val="en-US"/>
        </w:rPr>
        <w:t xml:space="preserve"> </w:t>
      </w:r>
    </w:p>
    <w:p w14:paraId="2C34ED84" w14:textId="409CF525" w:rsidR="00C63E40" w:rsidRPr="005A23A3" w:rsidRDefault="005A23A3"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bookmarkStart w:id="14" w:name="_Toc211860025"/>
      <w:r>
        <w:rPr>
          <w:rFonts w:ascii="Times New Roman" w:hAnsi="Times New Roman" w:cs="Times New Roman"/>
          <w:color w:val="auto"/>
          <w:sz w:val="24"/>
          <w:szCs w:val="24"/>
          <w:lang w:val="en-US"/>
        </w:rPr>
        <w:t>specific objective</w:t>
      </w:r>
      <w:r w:rsidR="00C12207" w:rsidRPr="001053DB">
        <w:rPr>
          <w:rFonts w:ascii="Times New Roman" w:hAnsi="Times New Roman" w:cs="Times New Roman"/>
          <w:color w:val="auto"/>
          <w:sz w:val="24"/>
          <w:szCs w:val="24"/>
          <w:lang w:val="sr-Cyrl-CS"/>
        </w:rPr>
        <w:t xml:space="preserve"> IV: </w:t>
      </w:r>
      <w:bookmarkEnd w:id="14"/>
      <w:r>
        <w:rPr>
          <w:rFonts w:ascii="Times New Roman" w:hAnsi="Times New Roman" w:cs="Times New Roman"/>
          <w:color w:val="auto"/>
          <w:sz w:val="24"/>
          <w:szCs w:val="24"/>
          <w:lang w:val="en-US"/>
        </w:rPr>
        <w:t>improvement of the application of the internal financial control system in the public sector</w:t>
      </w:r>
    </w:p>
    <w:p w14:paraId="7596EA78" w14:textId="77777777" w:rsidR="008E7439" w:rsidRPr="008E7439" w:rsidRDefault="008E7439" w:rsidP="008E7439">
      <w:pPr>
        <w:rPr>
          <w:lang w:val="en-US"/>
        </w:rPr>
      </w:pPr>
    </w:p>
    <w:p w14:paraId="645F89DF" w14:textId="04762FE4" w:rsidR="00417DB9" w:rsidRPr="008E7439" w:rsidRDefault="008E7439" w:rsidP="005A23A3">
      <w:pPr>
        <w:spacing w:line="259" w:lineRule="auto"/>
        <w:ind w:firstLine="708"/>
        <w:jc w:val="both"/>
        <w:rPr>
          <w:rFonts w:ascii="Times New Roman" w:eastAsia="Aptos" w:hAnsi="Times New Roman" w:cs="Times New Roman"/>
          <w:b/>
          <w:i/>
          <w:kern w:val="2"/>
          <w:sz w:val="22"/>
          <w:szCs w:val="22"/>
          <w:lang w:val="en-US"/>
          <w14:ligatures w14:val="standardContextual"/>
        </w:rPr>
      </w:pPr>
      <w:r>
        <w:rPr>
          <w:rFonts w:ascii="Times New Roman" w:eastAsia="Aptos" w:hAnsi="Times New Roman" w:cs="Times New Roman"/>
          <w:b/>
          <w:i/>
          <w:kern w:val="2"/>
          <w:sz w:val="22"/>
          <w:szCs w:val="22"/>
          <w:lang w:val="en-US"/>
          <w14:ligatures w14:val="standardContextual"/>
        </w:rPr>
        <w:t>Measure</w:t>
      </w:r>
      <w:r w:rsidR="00437789" w:rsidRPr="008E7439">
        <w:rPr>
          <w:rFonts w:ascii="Times New Roman" w:eastAsia="Aptos" w:hAnsi="Times New Roman" w:cs="Times New Roman"/>
          <w:b/>
          <w:i/>
          <w:kern w:val="2"/>
          <w:sz w:val="22"/>
          <w:szCs w:val="22"/>
          <w:lang w:val="en-US"/>
          <w14:ligatures w14:val="standardContextual"/>
        </w:rPr>
        <w:t xml:space="preserve"> 4.1: </w:t>
      </w:r>
      <w:r w:rsidRPr="008E7439">
        <w:rPr>
          <w:rFonts w:ascii="Times New Roman" w:hAnsi="Times New Roman" w:cs="Times New Roman"/>
          <w:b/>
          <w:bCs/>
          <w:i/>
          <w:iCs/>
          <w:sz w:val="22"/>
          <w:szCs w:val="22"/>
          <w:lang w:val="en-US"/>
        </w:rPr>
        <w:t>Improvement of the internal financial control system in public sector institutions</w:t>
      </w:r>
    </w:p>
    <w:p w14:paraId="4310F140" w14:textId="1A73E4C3" w:rsidR="00AE1937" w:rsidRPr="00AE1937" w:rsidRDefault="00AE1937" w:rsidP="00AE1937">
      <w:pPr>
        <w:ind w:firstLine="708"/>
        <w:jc w:val="both"/>
        <w:rPr>
          <w:rFonts w:ascii="Times New Roman" w:hAnsi="Times New Roman" w:cs="Times New Roman"/>
          <w:sz w:val="24"/>
          <w:szCs w:val="24"/>
          <w:lang w:val="en-US"/>
        </w:rPr>
      </w:pPr>
      <w:r w:rsidRPr="00AE1937">
        <w:rPr>
          <w:rFonts w:ascii="Times New Roman" w:hAnsi="Times New Roman" w:cs="Times New Roman"/>
          <w:sz w:val="24"/>
          <w:szCs w:val="24"/>
          <w:lang w:val="en-US"/>
        </w:rPr>
        <w:t>Financial Management and Control (FMC) is a system of policies, procedures, and activities established, maintained and regularly updated by the head of a public funds user, through which risks are managed in order to provide reasonable assurance that the objectives of the public funds user will be achieved in a proper, economical, efficient and effective manner.</w:t>
      </w:r>
    </w:p>
    <w:p w14:paraId="7C04083D" w14:textId="77777777" w:rsidR="00AE1937" w:rsidRPr="00AE1937" w:rsidRDefault="00AE1937" w:rsidP="00AE1937">
      <w:pPr>
        <w:ind w:firstLine="708"/>
        <w:jc w:val="both"/>
        <w:rPr>
          <w:rFonts w:ascii="Times New Roman" w:hAnsi="Times New Roman" w:cs="Times New Roman"/>
          <w:sz w:val="24"/>
          <w:szCs w:val="24"/>
          <w:lang w:val="en-US"/>
        </w:rPr>
      </w:pPr>
      <w:r w:rsidRPr="00AE1937">
        <w:rPr>
          <w:rFonts w:ascii="Times New Roman" w:hAnsi="Times New Roman" w:cs="Times New Roman"/>
          <w:sz w:val="24"/>
          <w:szCs w:val="24"/>
          <w:lang w:val="en-US"/>
        </w:rPr>
        <w:t>The entire field of internal control has been incorporated into Serbian regulations for more than a decade and has continuously evolved during the previous programming period. The European Commission promotes the reform of public funds management systems based on international public sector internal control standards in order to achieve a higher level of managerial accountability and good governance. The objective is to strengthen the FMC system so that an organization can:</w:t>
      </w:r>
    </w:p>
    <w:p w14:paraId="41BD088B" w14:textId="77777777" w:rsidR="00AE1937" w:rsidRPr="00AE1937" w:rsidRDefault="00AE1937" w:rsidP="00AE1937">
      <w:pPr>
        <w:ind w:firstLine="708"/>
        <w:jc w:val="both"/>
        <w:rPr>
          <w:rFonts w:ascii="Times New Roman" w:hAnsi="Times New Roman" w:cs="Times New Roman"/>
          <w:sz w:val="24"/>
          <w:szCs w:val="24"/>
          <w:lang w:val="en-US"/>
        </w:rPr>
      </w:pPr>
      <w:r w:rsidRPr="00AE1937">
        <w:rPr>
          <w:rFonts w:ascii="Times New Roman" w:hAnsi="Times New Roman" w:cs="Times New Roman"/>
          <w:sz w:val="24"/>
          <w:szCs w:val="24"/>
          <w:lang w:val="en-US"/>
        </w:rPr>
        <w:t>a) achieve its objectives at the lowest possible cost and protect its assets—in other words, operate effectively and efficiently;</w:t>
      </w:r>
    </w:p>
    <w:p w14:paraId="0BFD840E" w14:textId="77777777" w:rsidR="00AE1937" w:rsidRPr="00AE1937" w:rsidRDefault="00AE1937" w:rsidP="00AE1937">
      <w:pPr>
        <w:ind w:firstLine="708"/>
        <w:jc w:val="both"/>
        <w:rPr>
          <w:rFonts w:ascii="Times New Roman" w:hAnsi="Times New Roman" w:cs="Times New Roman"/>
          <w:sz w:val="24"/>
          <w:szCs w:val="24"/>
          <w:lang w:val="en-US"/>
        </w:rPr>
      </w:pPr>
      <w:r w:rsidRPr="00AE1937">
        <w:rPr>
          <w:rFonts w:ascii="Times New Roman" w:hAnsi="Times New Roman" w:cs="Times New Roman"/>
          <w:sz w:val="24"/>
          <w:szCs w:val="24"/>
          <w:lang w:val="en-US"/>
        </w:rPr>
        <w:t>b) operate in compliance with laws and other relevant regulations and standards; and</w:t>
      </w:r>
    </w:p>
    <w:p w14:paraId="17BFD279" w14:textId="77777777" w:rsidR="00AE1937" w:rsidRPr="00AE1937" w:rsidRDefault="00AE1937" w:rsidP="00AE1937">
      <w:pPr>
        <w:ind w:firstLine="708"/>
        <w:jc w:val="both"/>
        <w:rPr>
          <w:rFonts w:ascii="Times New Roman" w:hAnsi="Times New Roman" w:cs="Times New Roman"/>
          <w:sz w:val="24"/>
          <w:szCs w:val="24"/>
          <w:lang w:val="en-US"/>
        </w:rPr>
      </w:pPr>
      <w:r w:rsidRPr="00AE1937">
        <w:rPr>
          <w:rFonts w:ascii="Times New Roman" w:hAnsi="Times New Roman" w:cs="Times New Roman"/>
          <w:sz w:val="24"/>
          <w:szCs w:val="24"/>
          <w:lang w:val="en-US"/>
        </w:rPr>
        <w:t>c) prepare and make available to all external and/or internal stakeholders timely, complete, and accurate financial and non-financial reports in accordance with regulations, applicable standards, and internal acts.</w:t>
      </w:r>
    </w:p>
    <w:p w14:paraId="34FA2714" w14:textId="77777777" w:rsidR="00AE1937" w:rsidRPr="00AE1937" w:rsidRDefault="00AE1937" w:rsidP="00AE1937">
      <w:pPr>
        <w:ind w:firstLine="708"/>
        <w:jc w:val="both"/>
        <w:rPr>
          <w:rFonts w:ascii="Times New Roman" w:hAnsi="Times New Roman" w:cs="Times New Roman"/>
          <w:sz w:val="24"/>
          <w:szCs w:val="24"/>
          <w:lang w:val="en-US"/>
        </w:rPr>
      </w:pPr>
      <w:r w:rsidRPr="00AE1937">
        <w:rPr>
          <w:rFonts w:ascii="Times New Roman" w:hAnsi="Times New Roman" w:cs="Times New Roman"/>
          <w:sz w:val="24"/>
          <w:szCs w:val="24"/>
          <w:lang w:val="en-US"/>
        </w:rPr>
        <w:t xml:space="preserve">The existing legal framework in the Republic of Serbia is based on international internal control standards. The FMC Rulebook prescribes that the elements of the FMC system are aligned with the International Standards of Supreme Audit Institutions (INTOSAI), which </w:t>
      </w:r>
      <w:r w:rsidRPr="00AE1937">
        <w:rPr>
          <w:rFonts w:ascii="Times New Roman" w:hAnsi="Times New Roman" w:cs="Times New Roman"/>
          <w:sz w:val="24"/>
          <w:szCs w:val="24"/>
          <w:lang w:val="en-US"/>
        </w:rPr>
        <w:lastRenderedPageBreak/>
        <w:t>incorporate the COSO framework concept. Strategic planning for the period 2021–2025 was carried out successfully, and the activities planned under the applicable strategic documents aimed at improving Public Internal Financial Control (PIFC) were implemented within the prescribed deadlines as well as through regular operations. During the previous period, extensive communication was established with public funds users (PFUs) at both central and local levels, resulting in new approaches to future work.</w:t>
      </w:r>
    </w:p>
    <w:p w14:paraId="7BB9E9CD" w14:textId="77777777" w:rsidR="00AE1937" w:rsidRPr="00AE1937" w:rsidRDefault="00AE1937" w:rsidP="00AE1937">
      <w:pPr>
        <w:ind w:firstLine="708"/>
        <w:jc w:val="both"/>
        <w:rPr>
          <w:rFonts w:ascii="Times New Roman" w:hAnsi="Times New Roman" w:cs="Times New Roman"/>
          <w:sz w:val="24"/>
          <w:szCs w:val="24"/>
          <w:lang w:val="en-US"/>
        </w:rPr>
      </w:pPr>
      <w:r w:rsidRPr="00AE1937">
        <w:rPr>
          <w:rFonts w:ascii="Times New Roman" w:hAnsi="Times New Roman" w:cs="Times New Roman"/>
          <w:sz w:val="24"/>
          <w:szCs w:val="24"/>
          <w:lang w:val="en-US"/>
        </w:rPr>
        <w:t>The concept of managerial accountability links all aspects of managers’ responsibilities arising from regulations, strategic documents, and the public interest. Therefore, emphasis in the previous period was placed on understanding and embedding this concept into the administrative culture of the public sector as a prerequisite for the effective functioning of internal control systems within organizations.</w:t>
      </w:r>
    </w:p>
    <w:p w14:paraId="264B5EE0" w14:textId="06BCACEB" w:rsidR="00AE1937" w:rsidRPr="00AE1937" w:rsidRDefault="00AE1937" w:rsidP="00AE1937">
      <w:pPr>
        <w:ind w:firstLine="708"/>
        <w:jc w:val="both"/>
        <w:rPr>
          <w:rFonts w:ascii="Times New Roman" w:hAnsi="Times New Roman" w:cs="Times New Roman"/>
          <w:sz w:val="24"/>
          <w:szCs w:val="24"/>
          <w:lang w:val="en-US"/>
        </w:rPr>
      </w:pPr>
      <w:r w:rsidRPr="00AE1937">
        <w:rPr>
          <w:rFonts w:ascii="Times New Roman" w:hAnsi="Times New Roman" w:cs="Times New Roman"/>
          <w:sz w:val="24"/>
          <w:szCs w:val="24"/>
          <w:lang w:val="en-US"/>
        </w:rPr>
        <w:t xml:space="preserve">The Government adopted the Roadmap for the Further Improvement of Managerial Accountability in the Public Administration of the Republic of Serbia on </w:t>
      </w:r>
      <w:r>
        <w:rPr>
          <w:rFonts w:ascii="Times New Roman" w:hAnsi="Times New Roman" w:cs="Times New Roman"/>
          <w:sz w:val="24"/>
          <w:szCs w:val="24"/>
          <w:lang w:val="en-US"/>
        </w:rPr>
        <w:t xml:space="preserve">December </w:t>
      </w:r>
      <w:r w:rsidRPr="00AE1937">
        <w:rPr>
          <w:rFonts w:ascii="Times New Roman" w:hAnsi="Times New Roman" w:cs="Times New Roman"/>
          <w:sz w:val="24"/>
          <w:szCs w:val="24"/>
          <w:lang w:val="en-US"/>
        </w:rPr>
        <w:t>26</w:t>
      </w:r>
      <w:r>
        <w:rPr>
          <w:rFonts w:ascii="Times New Roman" w:hAnsi="Times New Roman" w:cs="Times New Roman"/>
          <w:sz w:val="24"/>
          <w:szCs w:val="24"/>
          <w:lang w:val="en-US"/>
        </w:rPr>
        <w:t>,</w:t>
      </w:r>
      <w:r w:rsidRPr="00AE1937">
        <w:rPr>
          <w:rFonts w:ascii="Times New Roman" w:hAnsi="Times New Roman" w:cs="Times New Roman"/>
          <w:sz w:val="24"/>
          <w:szCs w:val="24"/>
          <w:lang w:val="en-US"/>
        </w:rPr>
        <w:t xml:space="preserve"> 2024. The Roadmap covers three thematic areas with defined objectives and activities, deadlines, responsible institutions, and verification sources, all aimed at advancing this field.</w:t>
      </w:r>
    </w:p>
    <w:p w14:paraId="34838587" w14:textId="77777777" w:rsidR="00AE1937" w:rsidRPr="00AE1937" w:rsidRDefault="00AE1937" w:rsidP="00AE1937">
      <w:pPr>
        <w:ind w:firstLine="708"/>
        <w:jc w:val="both"/>
        <w:rPr>
          <w:rFonts w:ascii="Times New Roman" w:hAnsi="Times New Roman" w:cs="Times New Roman"/>
          <w:sz w:val="24"/>
          <w:szCs w:val="24"/>
          <w:lang w:val="en-US"/>
        </w:rPr>
      </w:pPr>
      <w:r w:rsidRPr="00AE1937">
        <w:rPr>
          <w:rFonts w:ascii="Times New Roman" w:hAnsi="Times New Roman" w:cs="Times New Roman"/>
          <w:sz w:val="24"/>
          <w:szCs w:val="24"/>
          <w:lang w:val="en-US"/>
        </w:rPr>
        <w:t>Since internal control systems are no longer a novelty in the public sector and most organizations have established systems at varying levels of maturity, the greatest attention in recent years has been devoted to further system development and raising awareness of responsible management. Basic training programmes on FMC and Internal Audit (IA) have been modernized. One-day training courses tailored to the specific needs of public funds users are also regularly conducted. The Central Harmonization Unit (CHU) has developed video training courses on FMC and IA, which have been uploaded to the National Academy for Public Administration (NAPA) platform. As a result, awareness among managers and employees of public funds users regarding the importance of the continuous development of internal control systems has increased, contributing to the greater maturity of FMC systems.</w:t>
      </w:r>
    </w:p>
    <w:p w14:paraId="34A650D4" w14:textId="77777777" w:rsidR="00AE1937" w:rsidRPr="00AE1937" w:rsidRDefault="00AE1937" w:rsidP="00AE1937">
      <w:pPr>
        <w:ind w:firstLine="708"/>
        <w:jc w:val="both"/>
        <w:rPr>
          <w:rFonts w:ascii="Times New Roman" w:hAnsi="Times New Roman" w:cs="Times New Roman"/>
          <w:sz w:val="24"/>
          <w:szCs w:val="24"/>
          <w:lang w:val="en-US"/>
        </w:rPr>
      </w:pPr>
      <w:r w:rsidRPr="00AE1937">
        <w:rPr>
          <w:rFonts w:ascii="Times New Roman" w:hAnsi="Times New Roman" w:cs="Times New Roman"/>
          <w:sz w:val="24"/>
          <w:szCs w:val="24"/>
          <w:lang w:val="en-US"/>
        </w:rPr>
        <w:t>Some progress has been achieved in the application of risk assessment principles during the previous programming period, although there remains room for further improvement. Risk management is a continuous process; however, in some cases it is still perceived as a one-time activity, without appropriate adjustments and updates or adequate responses to internal and external changes. Through annual reporting and assessments of FMC system quality, it has been observed that risk registers are not sufficiently used in practice as a tool in the day-to-day activities of organizations. Public funds users have largely failed to define risk mitigation measures, and where such measures do exist, they are often not implemented or updated regularly.</w:t>
      </w:r>
    </w:p>
    <w:p w14:paraId="6B77A51D" w14:textId="77777777" w:rsidR="00AE1937" w:rsidRPr="00AE1937" w:rsidRDefault="00AE1937" w:rsidP="00AE1937">
      <w:pPr>
        <w:ind w:firstLine="708"/>
        <w:jc w:val="both"/>
        <w:rPr>
          <w:rFonts w:ascii="Times New Roman" w:hAnsi="Times New Roman" w:cs="Times New Roman"/>
          <w:sz w:val="24"/>
          <w:szCs w:val="24"/>
          <w:lang w:val="en-US"/>
        </w:rPr>
      </w:pPr>
      <w:r w:rsidRPr="00AE1937">
        <w:rPr>
          <w:rFonts w:ascii="Times New Roman" w:hAnsi="Times New Roman" w:cs="Times New Roman"/>
          <w:sz w:val="24"/>
          <w:szCs w:val="24"/>
          <w:lang w:val="en-US"/>
        </w:rPr>
        <w:t>With regard to irregularity management, it has been concluded that mechanisms for reporting, centrally recording, and deciding on suspected cases of corruption, fraud, errors in financial reporting, procurement-related irregularities, improper handling of equipment, misrepresentation and provision of inaccurate information, and other irregularities have not been established to a sufficient extent.</w:t>
      </w:r>
    </w:p>
    <w:p w14:paraId="68062A0A" w14:textId="00EE317F" w:rsidR="00AE1937" w:rsidRPr="00AE1937" w:rsidRDefault="00AE1937" w:rsidP="00AE1937">
      <w:pPr>
        <w:ind w:firstLine="708"/>
        <w:jc w:val="both"/>
        <w:rPr>
          <w:rFonts w:ascii="Times New Roman" w:hAnsi="Times New Roman" w:cs="Times New Roman"/>
          <w:sz w:val="24"/>
          <w:szCs w:val="24"/>
          <w:lang w:val="en-US"/>
        </w:rPr>
      </w:pPr>
      <w:r w:rsidRPr="00AE1937">
        <w:rPr>
          <w:rFonts w:ascii="Times New Roman" w:hAnsi="Times New Roman" w:cs="Times New Roman"/>
          <w:sz w:val="24"/>
          <w:szCs w:val="24"/>
          <w:lang w:val="en-US"/>
        </w:rPr>
        <w:lastRenderedPageBreak/>
        <w:t>In order to strengthen these areas, the priorities for the coming period, which form part of the PFM</w:t>
      </w:r>
      <w:r w:rsidR="000B1EA6">
        <w:rPr>
          <w:rFonts w:ascii="Times New Roman" w:hAnsi="Times New Roman" w:cs="Times New Roman"/>
          <w:sz w:val="24"/>
          <w:szCs w:val="24"/>
          <w:lang w:val="en-US"/>
        </w:rPr>
        <w:t xml:space="preserve">RP </w:t>
      </w:r>
      <w:r w:rsidRPr="00AE1937">
        <w:rPr>
          <w:rFonts w:ascii="Times New Roman" w:hAnsi="Times New Roman" w:cs="Times New Roman"/>
          <w:sz w:val="24"/>
          <w:szCs w:val="24"/>
          <w:lang w:val="en-US"/>
        </w:rPr>
        <w:t>Action Plan 2026–2028, focus specifically on introducing irregularity management within public sector organizations and improving the application of risk management through support to public funds users. In addition, it is important to continue promoting FMC by highlighting examples of good management practice among public funds users, with the aim of improving understanding of the benefits that a well-established internal control system brings to both managers and employees.</w:t>
      </w:r>
    </w:p>
    <w:p w14:paraId="41643105" w14:textId="70E64B77" w:rsidR="00C56C38" w:rsidRPr="008E7439" w:rsidRDefault="005A23A3" w:rsidP="005A23A3">
      <w:pPr>
        <w:spacing w:line="259" w:lineRule="auto"/>
        <w:ind w:firstLine="706"/>
        <w:jc w:val="both"/>
        <w:rPr>
          <w:rFonts w:ascii="Times New Roman" w:eastAsia="Aptos" w:hAnsi="Times New Roman" w:cs="Times New Roman"/>
          <w:b/>
          <w:i/>
          <w:kern w:val="2"/>
          <w:sz w:val="22"/>
          <w:szCs w:val="22"/>
          <w:lang w:val="en-US"/>
          <w14:ligatures w14:val="standardContextual"/>
        </w:rPr>
      </w:pPr>
      <w:r>
        <w:rPr>
          <w:rFonts w:ascii="Times New Roman" w:eastAsia="Aptos" w:hAnsi="Times New Roman" w:cs="Times New Roman"/>
          <w:b/>
          <w:i/>
          <w:kern w:val="2"/>
          <w:sz w:val="22"/>
          <w:szCs w:val="22"/>
          <w:lang w:val="en-US"/>
          <w14:ligatures w14:val="standardContextual"/>
        </w:rPr>
        <w:t>Measure</w:t>
      </w:r>
      <w:r w:rsidR="00C56C38" w:rsidRPr="008E7439">
        <w:rPr>
          <w:rFonts w:ascii="Times New Roman" w:eastAsia="Aptos" w:hAnsi="Times New Roman" w:cs="Times New Roman"/>
          <w:b/>
          <w:i/>
          <w:kern w:val="2"/>
          <w:sz w:val="22"/>
          <w:szCs w:val="22"/>
          <w:lang w:val="en-US"/>
          <w14:ligatures w14:val="standardContextual"/>
        </w:rPr>
        <w:t xml:space="preserve"> 4.2. </w:t>
      </w:r>
      <w:r w:rsidRPr="005A23A3">
        <w:rPr>
          <w:rFonts w:ascii="Times New Roman" w:hAnsi="Times New Roman" w:cs="Times New Roman"/>
          <w:b/>
          <w:bCs/>
          <w:i/>
          <w:iCs/>
          <w:sz w:val="22"/>
          <w:szCs w:val="22"/>
          <w:lang w:val="en-US"/>
        </w:rPr>
        <w:t>Enhanced internal audit function in the public sector in accordance with international standards and principles</w:t>
      </w:r>
    </w:p>
    <w:p w14:paraId="41672320" w14:textId="31DCF7A6"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Under the Budget System Law and the IA Rulebook, internal audit is defined as an independent and objective assurance and advisory activity designed to add value and improve an organization’s operations. By establishing the internal audit function, an organization is supported in achieving its objectives through a systematic and disciplined approach to evaluating and improving the effectiveness of risk management, control, and governance processes.</w:t>
      </w:r>
    </w:p>
    <w:p w14:paraId="2CBB5379" w14:textId="7777777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A particular focus in the previous period was placed on amending the legal framework in the field of internal audit in order to achieve broader coverage of the internal audit function. The adopted amendments led to the acceleration and simplification of the certification process for internal auditors in the public sector.</w:t>
      </w:r>
    </w:p>
    <w:p w14:paraId="297E226C" w14:textId="333950D5"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 xml:space="preserve">In the upcoming programming period, the focus will be on improving the existing regulatory framework and methodological materials in line with new global internal audit standards. In this context, preparations are also underway to enhance the certification process for obtaining the title of Authorized Internal Auditor in the public sector. In the previous </w:t>
      </w:r>
      <w:r>
        <w:rPr>
          <w:rFonts w:ascii="Times New Roman" w:hAnsi="Times New Roman" w:cs="Times New Roman"/>
          <w:sz w:val="24"/>
          <w:szCs w:val="24"/>
          <w:lang w:val="en-US"/>
        </w:rPr>
        <w:t>PFMRP</w:t>
      </w:r>
      <w:r w:rsidRPr="000B1EA6">
        <w:rPr>
          <w:rFonts w:ascii="Times New Roman" w:hAnsi="Times New Roman" w:cs="Times New Roman"/>
          <w:sz w:val="24"/>
          <w:szCs w:val="24"/>
          <w:lang w:val="en-US"/>
        </w:rPr>
        <w:t>, within the measure related to the modernization of training, activities were implemented that led to the improvement of training and the promotion of FMC and IA. The C</w:t>
      </w:r>
      <w:r>
        <w:rPr>
          <w:rFonts w:ascii="Times New Roman" w:hAnsi="Times New Roman" w:cs="Times New Roman"/>
          <w:sz w:val="24"/>
          <w:szCs w:val="24"/>
          <w:lang w:val="en-US"/>
        </w:rPr>
        <w:t>HU</w:t>
      </w:r>
      <w:r w:rsidRPr="000B1EA6">
        <w:rPr>
          <w:rFonts w:ascii="Times New Roman" w:hAnsi="Times New Roman" w:cs="Times New Roman"/>
          <w:sz w:val="24"/>
          <w:szCs w:val="24"/>
          <w:lang w:val="en-US"/>
        </w:rPr>
        <w:t xml:space="preserve"> prepared an e-learning course in the area of IT internal audit intended for internal auditors in the public sector, and training sessions for the continuous professional development of internal auditors in the public sector were organized. In the upcoming programming period, thematic workshops in the field of internal audit are planned.</w:t>
      </w:r>
    </w:p>
    <w:p w14:paraId="66FB5E6D" w14:textId="7BDCB8A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 xml:space="preserve">Within Measure 4.2, an activity implemented by the </w:t>
      </w:r>
      <w:r>
        <w:rPr>
          <w:rFonts w:ascii="Times New Roman" w:hAnsi="Times New Roman" w:cs="Times New Roman"/>
          <w:sz w:val="24"/>
          <w:szCs w:val="24"/>
          <w:lang w:val="en-US"/>
        </w:rPr>
        <w:t xml:space="preserve">Governmental Audit </w:t>
      </w:r>
      <w:r w:rsidRPr="000B1EA6">
        <w:rPr>
          <w:rFonts w:ascii="Times New Roman" w:hAnsi="Times New Roman" w:cs="Times New Roman"/>
          <w:sz w:val="24"/>
          <w:szCs w:val="24"/>
          <w:lang w:val="en-US"/>
        </w:rPr>
        <w:t xml:space="preserve">Office </w:t>
      </w:r>
      <w:r>
        <w:rPr>
          <w:rFonts w:ascii="Times New Roman" w:hAnsi="Times New Roman" w:cs="Times New Roman"/>
          <w:sz w:val="24"/>
          <w:szCs w:val="24"/>
          <w:lang w:val="en-US"/>
        </w:rPr>
        <w:t>of EU Funds</w:t>
      </w:r>
      <w:r w:rsidRPr="000B1EA6">
        <w:rPr>
          <w:rFonts w:ascii="Times New Roman" w:hAnsi="Times New Roman" w:cs="Times New Roman"/>
          <w:sz w:val="24"/>
          <w:szCs w:val="24"/>
          <w:lang w:val="en-US"/>
        </w:rPr>
        <w:t xml:space="preserve"> in partnership with the CHU is included, relating to the development of a model Charter, Strategic and Annual Plan based on a risk matrix for the audit universe, as well as a methodology for conducting horizontal audits. The aim of this activity is to ensure that the internal audit function covers Government services, which is linked to the achievement of result indicators at the level of this measure.</w:t>
      </w:r>
    </w:p>
    <w:p w14:paraId="63E31E68" w14:textId="1B76A9FB" w:rsidR="00C56C38" w:rsidRPr="005A23A3" w:rsidRDefault="005A23A3" w:rsidP="005A23A3">
      <w:pPr>
        <w:spacing w:line="259" w:lineRule="auto"/>
        <w:ind w:firstLine="706"/>
        <w:jc w:val="both"/>
        <w:rPr>
          <w:rFonts w:ascii="Times New Roman" w:eastAsia="Aptos" w:hAnsi="Times New Roman" w:cs="Times New Roman"/>
          <w:b/>
          <w:i/>
          <w:kern w:val="2"/>
          <w:sz w:val="22"/>
          <w:szCs w:val="22"/>
          <w:lang w:val="en-US"/>
          <w14:ligatures w14:val="standardContextual"/>
        </w:rPr>
      </w:pPr>
      <w:r>
        <w:rPr>
          <w:rFonts w:ascii="Times New Roman" w:eastAsia="Aptos" w:hAnsi="Times New Roman" w:cs="Times New Roman"/>
          <w:b/>
          <w:i/>
          <w:kern w:val="2"/>
          <w:sz w:val="22"/>
          <w:szCs w:val="22"/>
          <w:lang w:val="en-US"/>
          <w14:ligatures w14:val="standardContextual"/>
        </w:rPr>
        <w:t>Measure</w:t>
      </w:r>
      <w:r w:rsidR="00C56C38" w:rsidRPr="005A23A3">
        <w:rPr>
          <w:rFonts w:ascii="Times New Roman" w:eastAsia="Aptos" w:hAnsi="Times New Roman" w:cs="Times New Roman"/>
          <w:b/>
          <w:i/>
          <w:kern w:val="2"/>
          <w:sz w:val="22"/>
          <w:szCs w:val="22"/>
          <w:lang w:val="en-US"/>
          <w14:ligatures w14:val="standardContextual"/>
        </w:rPr>
        <w:t xml:space="preserve"> 4.3: </w:t>
      </w:r>
      <w:r w:rsidRPr="00873EBF">
        <w:rPr>
          <w:rFonts w:ascii="Times New Roman" w:eastAsia="Aptos" w:hAnsi="Times New Roman" w:cs="Times New Roman"/>
          <w:b/>
          <w:i/>
          <w:kern w:val="2"/>
          <w:sz w:val="22"/>
          <w:szCs w:val="22"/>
          <w:lang w:val="en-US"/>
          <w14:ligatures w14:val="standardContextual"/>
        </w:rPr>
        <w:t>Improvement of IT systems to include modules for internal control and internal audit</w:t>
      </w:r>
    </w:p>
    <w:p w14:paraId="67C29C61" w14:textId="5FEC6018"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 xml:space="preserve">The application for Annual Reporting on the </w:t>
      </w:r>
      <w:r>
        <w:rPr>
          <w:rFonts w:ascii="Times New Roman" w:hAnsi="Times New Roman" w:cs="Times New Roman"/>
          <w:sz w:val="24"/>
          <w:szCs w:val="24"/>
          <w:lang w:val="en-US"/>
        </w:rPr>
        <w:t>FMC</w:t>
      </w:r>
      <w:r w:rsidRPr="000B1EA6">
        <w:rPr>
          <w:rFonts w:ascii="Times New Roman" w:hAnsi="Times New Roman" w:cs="Times New Roman"/>
          <w:sz w:val="24"/>
          <w:szCs w:val="24"/>
          <w:lang w:val="en-US"/>
        </w:rPr>
        <w:t xml:space="preserve"> system and internal audit activities is now fully operational. Annual reporting is currently conducted in an automated manner through an application developed in the previous period. In line with the increasing number of </w:t>
      </w:r>
      <w:r w:rsidRPr="000B1EA6">
        <w:rPr>
          <w:rFonts w:ascii="Times New Roman" w:hAnsi="Times New Roman" w:cs="Times New Roman"/>
          <w:sz w:val="24"/>
          <w:szCs w:val="24"/>
          <w:lang w:val="en-US"/>
        </w:rPr>
        <w:lastRenderedPageBreak/>
        <w:t>users reporting on FMC and IA, as well as the need to maintain internal audit registers, further improvements of the reporting application are planned for the upcoming period.</w:t>
      </w:r>
    </w:p>
    <w:p w14:paraId="2FF62050" w14:textId="7777777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A technical specification has been developed, foreseeing the enhancement of the reporting module as well as the development of new FMC and internal audit modules. These upgrades will enable more systematic and efficient maintenance of internal audit-related registers, including the risk register, as well as improved tracking of internal audit recommendations.</w:t>
      </w:r>
    </w:p>
    <w:p w14:paraId="10426632" w14:textId="7777777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Overall, the activity under Measure 4.3 planned in the new programming period is expected to lead to improvements in several areas, including the internal auditor database, training and mentoring activities, as well as the automation of internal audit processes.</w:t>
      </w:r>
    </w:p>
    <w:p w14:paraId="3048D833" w14:textId="77777777" w:rsidR="005A23A3" w:rsidRPr="005A23A3" w:rsidRDefault="005A23A3" w:rsidP="005A23A3">
      <w:pPr>
        <w:spacing w:line="259" w:lineRule="auto"/>
        <w:ind w:firstLine="706"/>
        <w:jc w:val="both"/>
        <w:rPr>
          <w:rFonts w:ascii="Times New Roman" w:eastAsia="Times New Roman" w:hAnsi="Times New Roman" w:cs="Times New Roman"/>
          <w:bCs/>
          <w:iCs/>
          <w:sz w:val="24"/>
          <w:szCs w:val="24"/>
          <w:shd w:val="clear" w:color="auto" w:fill="FFFFFF"/>
          <w:lang w:val="sr-Cyrl-CS"/>
        </w:rPr>
      </w:pPr>
    </w:p>
    <w:p w14:paraId="1BCBE1F8" w14:textId="75F281DB" w:rsidR="005A23A3" w:rsidRDefault="00873EBF"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bookmarkStart w:id="15" w:name="_Toc211860026"/>
      <w:r>
        <w:rPr>
          <w:rFonts w:ascii="Times New Roman" w:hAnsi="Times New Roman" w:cs="Times New Roman"/>
          <w:color w:val="auto"/>
          <w:sz w:val="24"/>
          <w:szCs w:val="24"/>
          <w:lang w:val="en-US"/>
        </w:rPr>
        <w:t>specific objective</w:t>
      </w:r>
      <w:r w:rsidR="00417DB9" w:rsidRPr="001053DB">
        <w:rPr>
          <w:rFonts w:ascii="Times New Roman" w:hAnsi="Times New Roman" w:cs="Times New Roman"/>
          <w:color w:val="auto"/>
          <w:sz w:val="24"/>
          <w:szCs w:val="24"/>
          <w:lang w:val="sr-Cyrl-CS"/>
        </w:rPr>
        <w:t xml:space="preserve"> V: </w:t>
      </w:r>
      <w:r>
        <w:rPr>
          <w:rFonts w:ascii="Times New Roman" w:hAnsi="Times New Roman" w:cs="Times New Roman"/>
          <w:color w:val="auto"/>
          <w:sz w:val="24"/>
          <w:szCs w:val="24"/>
          <w:lang w:val="en-US"/>
        </w:rPr>
        <w:t>improved accounting in the public sector through application of international public sector accounting standards</w:t>
      </w:r>
      <w:r w:rsidR="00417DB9" w:rsidRPr="001053DB">
        <w:rPr>
          <w:rFonts w:ascii="Times New Roman" w:hAnsi="Times New Roman" w:cs="Times New Roman"/>
          <w:color w:val="auto"/>
          <w:sz w:val="24"/>
          <w:szCs w:val="24"/>
          <w:lang w:val="sr-Cyrl-CS"/>
        </w:rPr>
        <w:t xml:space="preserve"> (</w:t>
      </w:r>
      <w:r w:rsidR="00F73912" w:rsidRPr="001053DB">
        <w:rPr>
          <w:rFonts w:ascii="Times New Roman" w:hAnsi="Times New Roman" w:cs="Times New Roman"/>
          <w:color w:val="auto"/>
          <w:sz w:val="24"/>
          <w:szCs w:val="24"/>
          <w:lang w:val="sr-Cyrl-CS"/>
        </w:rPr>
        <w:t>IPSAS</w:t>
      </w:r>
      <w:r w:rsidR="00417DB9" w:rsidRPr="001053DB">
        <w:rPr>
          <w:rFonts w:ascii="Times New Roman" w:hAnsi="Times New Roman" w:cs="Times New Roman"/>
          <w:color w:val="auto"/>
          <w:sz w:val="24"/>
          <w:szCs w:val="24"/>
          <w:lang w:val="sr-Cyrl-CS"/>
        </w:rPr>
        <w:t>)</w:t>
      </w:r>
      <w:bookmarkEnd w:id="15"/>
    </w:p>
    <w:p w14:paraId="1E9287FF" w14:textId="043C63C3" w:rsidR="00417DB9" w:rsidRPr="001053DB" w:rsidRDefault="00417DB9"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sr-Cyrl-CS"/>
        </w:rPr>
      </w:pPr>
      <w:r w:rsidRPr="001053DB">
        <w:rPr>
          <w:rFonts w:ascii="Times New Roman" w:hAnsi="Times New Roman" w:cs="Times New Roman"/>
          <w:color w:val="auto"/>
          <w:sz w:val="24"/>
          <w:szCs w:val="24"/>
          <w:lang w:val="sr-Cyrl-CS"/>
        </w:rPr>
        <w:t xml:space="preserve">  </w:t>
      </w:r>
    </w:p>
    <w:p w14:paraId="74A6EF53" w14:textId="1D4A6129" w:rsidR="00496C9D" w:rsidRPr="00873EBF" w:rsidRDefault="00873EBF" w:rsidP="00873EBF">
      <w:pPr>
        <w:spacing w:line="259" w:lineRule="auto"/>
        <w:ind w:firstLine="706"/>
        <w:jc w:val="both"/>
        <w:rPr>
          <w:rFonts w:ascii="Times New Roman" w:eastAsia="Aptos" w:hAnsi="Times New Roman" w:cs="Times New Roman"/>
          <w:b/>
          <w:i/>
          <w:kern w:val="2"/>
          <w:sz w:val="22"/>
          <w:szCs w:val="22"/>
          <w:lang w:val="en-US"/>
          <w14:ligatures w14:val="standardContextual"/>
        </w:rPr>
      </w:pPr>
      <w:r>
        <w:rPr>
          <w:rFonts w:ascii="Times New Roman" w:eastAsia="Aptos" w:hAnsi="Times New Roman" w:cs="Times New Roman"/>
          <w:b/>
          <w:i/>
          <w:kern w:val="2"/>
          <w:sz w:val="22"/>
          <w:szCs w:val="22"/>
          <w:lang w:val="en-US"/>
          <w14:ligatures w14:val="standardContextual"/>
        </w:rPr>
        <w:t>Measure</w:t>
      </w:r>
      <w:r w:rsidR="00496C9D" w:rsidRPr="00873EBF">
        <w:rPr>
          <w:rFonts w:ascii="Times New Roman" w:eastAsia="Aptos" w:hAnsi="Times New Roman" w:cs="Times New Roman"/>
          <w:b/>
          <w:i/>
          <w:kern w:val="2"/>
          <w:sz w:val="22"/>
          <w:szCs w:val="22"/>
          <w:lang w:val="en-US"/>
          <w14:ligatures w14:val="standardContextual"/>
        </w:rPr>
        <w:t xml:space="preserve"> 5.1: </w:t>
      </w:r>
      <w:r w:rsidRPr="00873EBF">
        <w:rPr>
          <w:rFonts w:ascii="Times New Roman" w:hAnsi="Times New Roman" w:cs="Times New Roman"/>
          <w:b/>
          <w:bCs/>
          <w:i/>
          <w:iCs/>
          <w:sz w:val="22"/>
          <w:szCs w:val="22"/>
          <w:lang w:val="en-US"/>
        </w:rPr>
        <w:t>Application of IPSAS standards on a cash basis for all budget users</w:t>
      </w:r>
    </w:p>
    <w:p w14:paraId="04A792BD" w14:textId="7777777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Ensuring high-quality and transparent financial reporting through the application of International Public Sector Accounting Standards (IPSAS) contributes to greater fiscal accountability and more efficient management of public resources. Reporting in line with international practice also ensures international comparability and provides information that is uniform and understandable to a wide range of users.</w:t>
      </w:r>
    </w:p>
    <w:p w14:paraId="2BB5104A" w14:textId="7777777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By applying IPSAS, accountability in the use of public funds is strengthened, while information is provided that supports more economical, efficient, and effective use of all public sector assets.</w:t>
      </w:r>
    </w:p>
    <w:p w14:paraId="5C3EA020" w14:textId="7777777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In the previous period, in order to harmonize the accounting regulations of the Republic of Serbia with IPSAS, a Commission for Monitoring the Implementation of International Public Sector Accounting Standards was established. In addition, a translation of the IPSAS Cash Basis Standard was provided by the Association of Accountants and Auditors of Serbia (an IFAC member).</w:t>
      </w:r>
    </w:p>
    <w:p w14:paraId="6991E322" w14:textId="13799779"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In cooperation with consultants, the relevant national regulations were amended to ensure alignment with IPSAS Cash Basis requirements. A Rulebook on the method of preparation, compilation and submission of financial statements for budget beneficiaries and beneficiaries of compulsory social insurance funds was adopted, regulating the preparation, content and submission of financial statements and their reporting formats. Furthermore, a Rulebook on accounting policies for budget beneficiaries and beneficiaries of compulsory social insurance funds was adopted, defining accounting policies used for the preparation, compilation, and presentation of financial statements in accordance with IPSAS Cash Basis.</w:t>
      </w:r>
    </w:p>
    <w:p w14:paraId="1CC384B1" w14:textId="7777777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lastRenderedPageBreak/>
        <w:t>To improve the competence of public sector accountants, training sessions and workshops have been organized over recent years.</w:t>
      </w:r>
    </w:p>
    <w:p w14:paraId="13C63F03" w14:textId="7777777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The key indicator for measuring improvements in financial reporting quality under IPSAS Cash Basis will be the audit report of the State Audit Institution on the Final Account of the Budget of the Republic of Serbia or a dedicated audit report. This report will include an opinion on whether the financial statements are compliant with IPSAS Cash Basis.</w:t>
      </w:r>
    </w:p>
    <w:p w14:paraId="376C1F39" w14:textId="7777777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At the level of the measure, the output indicator for all budget users will be a draft financial statement prepared in accordance with IPSAS Cash Basis.</w:t>
      </w:r>
    </w:p>
    <w:p w14:paraId="49F68BF9" w14:textId="7777777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Implementation of this measure requires the preparation of financial statements under IPSAS Cash Basis, meaning the preparation of reports that reflect actual cash inflows and outflows in line with IPSAS requirements.</w:t>
      </w:r>
    </w:p>
    <w:p w14:paraId="1264A720" w14:textId="7777777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To ensure transparency and a better understanding of financial data, detailed notes and explanations accompanying the financial statements are prepared, providing additional information on significant items, policies, and transactions.</w:t>
      </w:r>
    </w:p>
    <w:p w14:paraId="3A6C3E08" w14:textId="77777777" w:rsidR="000B1EA6" w:rsidRPr="000B1EA6" w:rsidRDefault="000B1EA6" w:rsidP="000B1EA6">
      <w:pPr>
        <w:ind w:firstLine="708"/>
        <w:jc w:val="both"/>
        <w:rPr>
          <w:rFonts w:ascii="Times New Roman" w:eastAsia="Aptos" w:hAnsi="Times New Roman" w:cs="Times New Roman"/>
          <w:bCs/>
          <w:iCs/>
          <w:kern w:val="2"/>
          <w:sz w:val="24"/>
          <w:szCs w:val="24"/>
          <w:lang w:val="en-US"/>
          <w14:ligatures w14:val="standardContextual"/>
        </w:rPr>
      </w:pPr>
      <w:r w:rsidRPr="000B1EA6">
        <w:rPr>
          <w:rFonts w:ascii="Times New Roman" w:hAnsi="Times New Roman" w:cs="Times New Roman"/>
          <w:sz w:val="24"/>
          <w:szCs w:val="24"/>
          <w:lang w:val="en-US"/>
        </w:rPr>
        <w:t>Improving the professional competence of accountants will continue as one of the main priorities for strengthening the overall system. In this regard, the Commission for Monitoring the Implementation of IPSAS may, as needed, provide opinions on proposals for more detailed guidelines and training programs for bookkeeping, preparation, and presentation of financial statements in line with IPSAS, thereby facilitating knowledge acquisition and strengthening institutional capacity in public sector accounting.</w:t>
      </w:r>
    </w:p>
    <w:p w14:paraId="5685500F" w14:textId="341F66D2" w:rsidR="00496C9D" w:rsidRPr="00873EBF" w:rsidRDefault="00873EBF" w:rsidP="00873EBF">
      <w:pPr>
        <w:spacing w:line="259" w:lineRule="auto"/>
        <w:ind w:firstLine="706"/>
        <w:jc w:val="both"/>
        <w:rPr>
          <w:rFonts w:ascii="Times New Roman" w:eastAsia="Aptos" w:hAnsi="Times New Roman" w:cs="Times New Roman"/>
          <w:b/>
          <w:i/>
          <w:kern w:val="2"/>
          <w:sz w:val="22"/>
          <w:szCs w:val="22"/>
          <w:lang w:val="en-US"/>
          <w14:ligatures w14:val="standardContextual"/>
        </w:rPr>
      </w:pPr>
      <w:r>
        <w:rPr>
          <w:rFonts w:ascii="Times New Roman" w:eastAsia="Aptos" w:hAnsi="Times New Roman" w:cs="Times New Roman"/>
          <w:b/>
          <w:i/>
          <w:kern w:val="2"/>
          <w:sz w:val="22"/>
          <w:szCs w:val="22"/>
          <w:lang w:val="en-US"/>
          <w14:ligatures w14:val="standardContextual"/>
        </w:rPr>
        <w:t>Measure</w:t>
      </w:r>
      <w:r w:rsidR="00496C9D" w:rsidRPr="00873EBF">
        <w:rPr>
          <w:rFonts w:ascii="Times New Roman" w:eastAsia="Aptos" w:hAnsi="Times New Roman" w:cs="Times New Roman"/>
          <w:b/>
          <w:i/>
          <w:kern w:val="2"/>
          <w:sz w:val="22"/>
          <w:szCs w:val="22"/>
          <w:lang w:val="en-US"/>
          <w14:ligatures w14:val="standardContextual"/>
        </w:rPr>
        <w:t xml:space="preserve"> 5.2:  </w:t>
      </w:r>
      <w:r w:rsidRPr="00873EBF">
        <w:rPr>
          <w:rFonts w:ascii="Times New Roman" w:hAnsi="Times New Roman" w:cs="Times New Roman"/>
          <w:b/>
          <w:bCs/>
          <w:i/>
          <w:iCs/>
          <w:sz w:val="22"/>
          <w:szCs w:val="22"/>
          <w:lang w:val="en-US"/>
        </w:rPr>
        <w:t>Further improvement of budget accounting according to the Public sector accounting improvement plan in line with IPSAS</w:t>
      </w:r>
    </w:p>
    <w:p w14:paraId="70662E22" w14:textId="7777777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This measure is aimed at the gradual improvement of the regulatory and institutional framework of public sector accounting. The main output under this measure will be the development of a Public Sector Accounting Improvement Plan in line with IPSAS, which will serve as a set of guidelines for further activities and steps toward fuller alignment with international standards.</w:t>
      </w:r>
    </w:p>
    <w:p w14:paraId="1B04D11B" w14:textId="7777777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The activities will include the preparation of the Accounting Improvement Plan, including the definition of recommendations for the development and modernization of IT systems to support better reporting and the application of IPSAS.</w:t>
      </w:r>
    </w:p>
    <w:p w14:paraId="22D6AAF0" w14:textId="7777777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Through the development of the Plan’s guidelines, the preconditions are established for a systematic approach to aligning national budgetary accounting with IPSAS standards, thereby improving the quality of financial reporting and strengthening trust in public finances.</w:t>
      </w:r>
    </w:p>
    <w:p w14:paraId="20688086" w14:textId="7777777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 xml:space="preserve">In addition, the translation and availability of IPSAS standards in the Serbian language will be ensured, along with the strengthening of professional capacities of employees in the Treasury Administration through targeted training programmes. These would include study visits focused on </w:t>
      </w:r>
      <w:proofErr w:type="spellStart"/>
      <w:r w:rsidRPr="000B1EA6">
        <w:rPr>
          <w:rFonts w:ascii="Times New Roman" w:hAnsi="Times New Roman" w:cs="Times New Roman"/>
          <w:sz w:val="24"/>
          <w:szCs w:val="24"/>
          <w:lang w:val="en-US"/>
        </w:rPr>
        <w:t>analysing</w:t>
      </w:r>
      <w:proofErr w:type="spellEnd"/>
      <w:r w:rsidRPr="000B1EA6">
        <w:rPr>
          <w:rFonts w:ascii="Times New Roman" w:hAnsi="Times New Roman" w:cs="Times New Roman"/>
          <w:sz w:val="24"/>
          <w:szCs w:val="24"/>
          <w:lang w:val="en-US"/>
        </w:rPr>
        <w:t xml:space="preserve"> the alignment of Serbia’s budgetary accounting with that of </w:t>
      </w:r>
      <w:r w:rsidRPr="000B1EA6">
        <w:rPr>
          <w:rFonts w:ascii="Times New Roman" w:hAnsi="Times New Roman" w:cs="Times New Roman"/>
          <w:sz w:val="24"/>
          <w:szCs w:val="24"/>
          <w:lang w:val="en-US"/>
        </w:rPr>
        <w:lastRenderedPageBreak/>
        <w:t>countries applying IPSAS, with the aim of transferring practical experience and identifying good practices.</w:t>
      </w:r>
    </w:p>
    <w:p w14:paraId="64174528" w14:textId="77777777" w:rsidR="000B1EA6" w:rsidRPr="000B1EA6" w:rsidRDefault="000B1EA6" w:rsidP="000B1EA6">
      <w:pPr>
        <w:ind w:firstLine="708"/>
        <w:jc w:val="both"/>
        <w:rPr>
          <w:rFonts w:ascii="Times New Roman" w:hAnsi="Times New Roman" w:cs="Times New Roman"/>
          <w:sz w:val="24"/>
          <w:szCs w:val="24"/>
          <w:lang w:val="en-US"/>
        </w:rPr>
      </w:pPr>
      <w:r w:rsidRPr="000B1EA6">
        <w:rPr>
          <w:rFonts w:ascii="Times New Roman" w:hAnsi="Times New Roman" w:cs="Times New Roman"/>
          <w:sz w:val="24"/>
          <w:szCs w:val="24"/>
          <w:lang w:val="en-US"/>
        </w:rPr>
        <w:t>Careful selection of countries with a similar legal and institutional framework that have successfully implemented IPSAS is necessary, followed by the organization of study visits to examine implementation approaches, legislative solutions, IT systems, and staff training practices. This will create a solid basis for more consistent and effective application of the standards in the next phases of the reform.</w:t>
      </w:r>
    </w:p>
    <w:p w14:paraId="5DDA73B1" w14:textId="77777777" w:rsidR="00873EBF" w:rsidRPr="00873EBF" w:rsidRDefault="00873EBF" w:rsidP="00873EBF">
      <w:pPr>
        <w:spacing w:line="259" w:lineRule="auto"/>
        <w:ind w:firstLine="706"/>
        <w:jc w:val="both"/>
        <w:rPr>
          <w:rFonts w:ascii="Times New Roman" w:eastAsia="Aptos" w:hAnsi="Times New Roman" w:cs="Times New Roman"/>
          <w:bCs/>
          <w:iCs/>
          <w:kern w:val="2"/>
          <w:sz w:val="24"/>
          <w:szCs w:val="24"/>
          <w:lang w:val="en-US"/>
          <w14:ligatures w14:val="standardContextual"/>
        </w:rPr>
      </w:pPr>
    </w:p>
    <w:p w14:paraId="44A4D144" w14:textId="581082BA" w:rsidR="000E082B" w:rsidRDefault="00873EBF"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bookmarkStart w:id="16" w:name="_Toc211860027"/>
      <w:r>
        <w:rPr>
          <w:rFonts w:ascii="Times New Roman" w:hAnsi="Times New Roman" w:cs="Times New Roman"/>
          <w:color w:val="auto"/>
          <w:sz w:val="24"/>
          <w:szCs w:val="24"/>
          <w:lang w:val="en-US"/>
        </w:rPr>
        <w:t>specific objective</w:t>
      </w:r>
      <w:r w:rsidR="000E082B" w:rsidRPr="001053DB">
        <w:rPr>
          <w:rFonts w:ascii="Times New Roman" w:hAnsi="Times New Roman" w:cs="Times New Roman"/>
          <w:color w:val="auto"/>
          <w:sz w:val="24"/>
          <w:szCs w:val="24"/>
          <w:lang w:val="sr-Cyrl-CS"/>
        </w:rPr>
        <w:t xml:space="preserve"> VI: </w:t>
      </w:r>
      <w:bookmarkEnd w:id="16"/>
      <w:r>
        <w:rPr>
          <w:rFonts w:ascii="Times New Roman" w:hAnsi="Times New Roman" w:cs="Times New Roman"/>
          <w:color w:val="auto"/>
          <w:sz w:val="24"/>
          <w:szCs w:val="24"/>
          <w:lang w:val="en-US"/>
        </w:rPr>
        <w:t>external oversight of public finances enhanced</w:t>
      </w:r>
      <w:r w:rsidR="000E082B" w:rsidRPr="001053DB">
        <w:rPr>
          <w:rFonts w:ascii="Times New Roman" w:hAnsi="Times New Roman" w:cs="Times New Roman"/>
          <w:color w:val="auto"/>
          <w:sz w:val="24"/>
          <w:szCs w:val="24"/>
          <w:lang w:val="sr-Cyrl-CS"/>
        </w:rPr>
        <w:t xml:space="preserve">  </w:t>
      </w:r>
    </w:p>
    <w:p w14:paraId="16A0AF85" w14:textId="77777777" w:rsidR="00873EBF" w:rsidRPr="00873EBF" w:rsidRDefault="00873EBF" w:rsidP="00873EBF">
      <w:pPr>
        <w:rPr>
          <w:lang w:val="en-US"/>
        </w:rPr>
      </w:pPr>
    </w:p>
    <w:p w14:paraId="5DC602CB" w14:textId="051DE1B0" w:rsidR="000E082B" w:rsidRPr="00873EBF" w:rsidRDefault="00873EBF" w:rsidP="00873EBF">
      <w:pPr>
        <w:spacing w:line="259" w:lineRule="auto"/>
        <w:ind w:firstLine="706"/>
        <w:jc w:val="both"/>
        <w:rPr>
          <w:rFonts w:ascii="Times New Roman" w:eastAsia="Aptos" w:hAnsi="Times New Roman" w:cs="Times New Roman"/>
          <w:b/>
          <w:i/>
          <w:kern w:val="2"/>
          <w:sz w:val="22"/>
          <w:szCs w:val="22"/>
          <w:lang w:val="en-US"/>
          <w14:ligatures w14:val="standardContextual"/>
        </w:rPr>
      </w:pPr>
      <w:r>
        <w:rPr>
          <w:rFonts w:ascii="Times New Roman" w:eastAsia="Aptos" w:hAnsi="Times New Roman" w:cs="Times New Roman"/>
          <w:b/>
          <w:i/>
          <w:kern w:val="2"/>
          <w:sz w:val="22"/>
          <w:szCs w:val="22"/>
          <w:lang w:val="en-US"/>
          <w14:ligatures w14:val="standardContextual"/>
        </w:rPr>
        <w:t>Measure</w:t>
      </w:r>
      <w:r w:rsidR="000E082B" w:rsidRPr="00873EBF">
        <w:rPr>
          <w:rFonts w:ascii="Times New Roman" w:eastAsia="Aptos" w:hAnsi="Times New Roman" w:cs="Times New Roman"/>
          <w:b/>
          <w:i/>
          <w:kern w:val="2"/>
          <w:sz w:val="22"/>
          <w:szCs w:val="22"/>
          <w:lang w:val="en-US"/>
          <w14:ligatures w14:val="standardContextual"/>
        </w:rPr>
        <w:t xml:space="preserve"> 6.1: </w:t>
      </w:r>
      <w:r w:rsidRPr="00873EBF">
        <w:rPr>
          <w:rFonts w:ascii="Times New Roman" w:hAnsi="Times New Roman" w:cs="Times New Roman"/>
          <w:b/>
          <w:bCs/>
          <w:i/>
          <w:iCs/>
          <w:sz w:val="22"/>
          <w:szCs w:val="22"/>
          <w:lang w:val="en-US"/>
        </w:rPr>
        <w:t>Strengthening the efficiency and impact of external audit through the integration of modern technologies, improvement of methodology and communication with stakeholders</w:t>
      </w:r>
    </w:p>
    <w:p w14:paraId="56F1D55E" w14:textId="1D308CBD" w:rsidR="00EE0DB0" w:rsidRPr="00EE0DB0" w:rsidRDefault="00EE0DB0" w:rsidP="00EE0DB0">
      <w:pPr>
        <w:ind w:firstLine="708"/>
        <w:jc w:val="both"/>
        <w:rPr>
          <w:rFonts w:ascii="Times New Roman" w:hAnsi="Times New Roman" w:cs="Times New Roman"/>
          <w:sz w:val="24"/>
          <w:szCs w:val="24"/>
          <w:lang w:val="en-US"/>
        </w:rPr>
      </w:pPr>
      <w:r w:rsidRPr="00EE0DB0">
        <w:rPr>
          <w:rFonts w:ascii="Times New Roman" w:hAnsi="Times New Roman" w:cs="Times New Roman"/>
          <w:sz w:val="24"/>
          <w:szCs w:val="24"/>
          <w:lang w:val="en-US"/>
        </w:rPr>
        <w:t>In the previous programming period, the State Audit Institution (SAI) significantly improved both the scope and quality of its work in the areas of performance and compliance auditing. From 2021 to 2024, 64 performance audits were carried out and 71 performance audit reports were published, making this type of audit an established practice within the SAI’s work. These reports covered topics of high public importance. The selection of topics was based on risk assessment, relevance to citizens and the potential for improving public financial management. The expanded scope of these audits led to increased public interest in SAI reports and strengthened the institution’s role in public accountability. In parallel with the expansion of audit coverage, the SAI worked on improving its methodological framework. Internal procedures were enhanced and new methodological documents were developed. Guidelines for formulating findings, conclusions, and recommendations were prepared, standardizing reporting practices and facilitating the implementation of recommendations by audited entities. Procedures for risk analysis and topic selection, as well as report structures, were also improved. To further strengthen the monitoring of recommendation implementation, the SAI significantly enhanced its internal recommendation tracking system. Transparency of the SAI’s work was further strengthened through the development and use of communication tools tailored to different target groups. In terms of communication with the National Assembly, the SAI improved the way it presents its results and strengthened cooperation with the</w:t>
      </w:r>
      <w:r>
        <w:rPr>
          <w:rFonts w:ascii="Times New Roman" w:hAnsi="Times New Roman" w:cs="Times New Roman"/>
          <w:sz w:val="24"/>
          <w:szCs w:val="24"/>
          <w:lang w:val="en-US"/>
        </w:rPr>
        <w:t xml:space="preserve"> Committee on Finance, State budget and Control of public spending</w:t>
      </w:r>
      <w:r w:rsidRPr="00EE0DB0">
        <w:rPr>
          <w:rFonts w:ascii="Times New Roman" w:hAnsi="Times New Roman" w:cs="Times New Roman"/>
          <w:sz w:val="24"/>
          <w:szCs w:val="24"/>
          <w:lang w:val="en-US"/>
        </w:rPr>
        <w:t>, as well as the Subcommittee for Reviewing SAI Audit Reports.</w:t>
      </w:r>
    </w:p>
    <w:p w14:paraId="3801B264" w14:textId="65077731" w:rsidR="00EE0DB0" w:rsidRPr="00EE0DB0" w:rsidRDefault="00EE0DB0" w:rsidP="00EE0DB0">
      <w:pPr>
        <w:ind w:firstLine="708"/>
        <w:jc w:val="both"/>
        <w:rPr>
          <w:rFonts w:ascii="Times New Roman" w:hAnsi="Times New Roman" w:cs="Times New Roman"/>
          <w:sz w:val="24"/>
          <w:szCs w:val="24"/>
          <w:lang w:val="en-US"/>
        </w:rPr>
      </w:pPr>
      <w:r w:rsidRPr="00EE0DB0">
        <w:rPr>
          <w:rFonts w:ascii="Times New Roman" w:hAnsi="Times New Roman" w:cs="Times New Roman"/>
          <w:sz w:val="24"/>
          <w:szCs w:val="24"/>
          <w:lang w:val="en-US"/>
        </w:rPr>
        <w:t xml:space="preserve">Further improvements in the effectiveness and impact of external audit represent a key contribution to strengthening public accountability, transparency, and trust in public fund management. Within Measure 6.1, the SAI will develop and apply improved methodological frameworks for conducting compliance and performance audits, including procedures for topic selection, formulation of findings and recommendations, and report writing with a stronger focus on impact. Special attention will be given to establishing the basis for follow-up audits </w:t>
      </w:r>
      <w:r w:rsidRPr="00EE0DB0">
        <w:rPr>
          <w:rFonts w:ascii="Times New Roman" w:hAnsi="Times New Roman" w:cs="Times New Roman"/>
          <w:sz w:val="24"/>
          <w:szCs w:val="24"/>
          <w:lang w:val="en-US"/>
        </w:rPr>
        <w:lastRenderedPageBreak/>
        <w:t xml:space="preserve">(audit of effects), in line with good international practice. The development of guidelines and procedures will ensure consistent application of standards and greater practicality of recommendations. The introduction of technological solutions will be phased: research and design → piloting in selected audits → full implementation across relevant teams, in line with the SAI Strategy for the </w:t>
      </w:r>
      <w:r>
        <w:rPr>
          <w:rFonts w:ascii="Times New Roman" w:hAnsi="Times New Roman" w:cs="Times New Roman"/>
          <w:sz w:val="24"/>
          <w:szCs w:val="24"/>
          <w:lang w:val="en-US"/>
        </w:rPr>
        <w:t>u</w:t>
      </w:r>
      <w:r w:rsidRPr="00EE0DB0">
        <w:rPr>
          <w:rFonts w:ascii="Times New Roman" w:hAnsi="Times New Roman" w:cs="Times New Roman"/>
          <w:sz w:val="24"/>
          <w:szCs w:val="24"/>
          <w:lang w:val="en-US"/>
        </w:rPr>
        <w:t xml:space="preserve">se of </w:t>
      </w:r>
      <w:r>
        <w:rPr>
          <w:rFonts w:ascii="Times New Roman" w:hAnsi="Times New Roman" w:cs="Times New Roman"/>
          <w:sz w:val="24"/>
          <w:szCs w:val="24"/>
          <w:lang w:val="en-US"/>
        </w:rPr>
        <w:t>t</w:t>
      </w:r>
      <w:r w:rsidRPr="00EE0DB0">
        <w:rPr>
          <w:rFonts w:ascii="Times New Roman" w:hAnsi="Times New Roman" w:cs="Times New Roman"/>
          <w:sz w:val="24"/>
          <w:szCs w:val="24"/>
          <w:lang w:val="en-US"/>
        </w:rPr>
        <w:t xml:space="preserve">echnology in </w:t>
      </w:r>
      <w:r>
        <w:rPr>
          <w:rFonts w:ascii="Times New Roman" w:hAnsi="Times New Roman" w:cs="Times New Roman"/>
          <w:sz w:val="24"/>
          <w:szCs w:val="24"/>
          <w:lang w:val="en-US"/>
        </w:rPr>
        <w:t>a</w:t>
      </w:r>
      <w:r w:rsidRPr="00EE0DB0">
        <w:rPr>
          <w:rFonts w:ascii="Times New Roman" w:hAnsi="Times New Roman" w:cs="Times New Roman"/>
          <w:sz w:val="24"/>
          <w:szCs w:val="24"/>
          <w:lang w:val="en-US"/>
        </w:rPr>
        <w:t xml:space="preserve">udits and </w:t>
      </w:r>
      <w:r>
        <w:rPr>
          <w:rFonts w:ascii="Times New Roman" w:hAnsi="Times New Roman" w:cs="Times New Roman"/>
          <w:sz w:val="24"/>
          <w:szCs w:val="24"/>
          <w:lang w:val="en-US"/>
        </w:rPr>
        <w:t>a</w:t>
      </w:r>
      <w:r w:rsidRPr="00EE0DB0">
        <w:rPr>
          <w:rFonts w:ascii="Times New Roman" w:hAnsi="Times New Roman" w:cs="Times New Roman"/>
          <w:sz w:val="24"/>
          <w:szCs w:val="24"/>
          <w:lang w:val="en-US"/>
        </w:rPr>
        <w:t xml:space="preserve">udit of </w:t>
      </w:r>
      <w:r>
        <w:rPr>
          <w:rFonts w:ascii="Times New Roman" w:hAnsi="Times New Roman" w:cs="Times New Roman"/>
          <w:sz w:val="24"/>
          <w:szCs w:val="24"/>
          <w:lang w:val="en-US"/>
        </w:rPr>
        <w:t>t</w:t>
      </w:r>
      <w:r w:rsidRPr="00EE0DB0">
        <w:rPr>
          <w:rFonts w:ascii="Times New Roman" w:hAnsi="Times New Roman" w:cs="Times New Roman"/>
          <w:sz w:val="24"/>
          <w:szCs w:val="24"/>
          <w:lang w:val="en-US"/>
        </w:rPr>
        <w:t xml:space="preserve">echnology </w:t>
      </w:r>
      <w:r>
        <w:rPr>
          <w:rFonts w:ascii="Times New Roman" w:hAnsi="Times New Roman" w:cs="Times New Roman"/>
          <w:sz w:val="24"/>
          <w:szCs w:val="24"/>
          <w:lang w:val="en-US"/>
        </w:rPr>
        <w:t>u</w:t>
      </w:r>
      <w:r w:rsidRPr="00EE0DB0">
        <w:rPr>
          <w:rFonts w:ascii="Times New Roman" w:hAnsi="Times New Roman" w:cs="Times New Roman"/>
          <w:sz w:val="24"/>
          <w:szCs w:val="24"/>
          <w:lang w:val="en-US"/>
        </w:rPr>
        <w:t xml:space="preserve">se by </w:t>
      </w:r>
      <w:r>
        <w:rPr>
          <w:rFonts w:ascii="Times New Roman" w:hAnsi="Times New Roman" w:cs="Times New Roman"/>
          <w:sz w:val="24"/>
          <w:szCs w:val="24"/>
          <w:lang w:val="en-US"/>
        </w:rPr>
        <w:t>p</w:t>
      </w:r>
      <w:r w:rsidRPr="00EE0DB0">
        <w:rPr>
          <w:rFonts w:ascii="Times New Roman" w:hAnsi="Times New Roman" w:cs="Times New Roman"/>
          <w:sz w:val="24"/>
          <w:szCs w:val="24"/>
          <w:lang w:val="en-US"/>
        </w:rPr>
        <w:t xml:space="preserve">ublic </w:t>
      </w:r>
      <w:r>
        <w:rPr>
          <w:rFonts w:ascii="Times New Roman" w:hAnsi="Times New Roman" w:cs="Times New Roman"/>
          <w:sz w:val="24"/>
          <w:szCs w:val="24"/>
          <w:lang w:val="en-US"/>
        </w:rPr>
        <w:t>f</w:t>
      </w:r>
      <w:r w:rsidRPr="00EE0DB0">
        <w:rPr>
          <w:rFonts w:ascii="Times New Roman" w:hAnsi="Times New Roman" w:cs="Times New Roman"/>
          <w:sz w:val="24"/>
          <w:szCs w:val="24"/>
          <w:lang w:val="en-US"/>
        </w:rPr>
        <w:t xml:space="preserve">unds </w:t>
      </w:r>
      <w:r>
        <w:rPr>
          <w:rFonts w:ascii="Times New Roman" w:hAnsi="Times New Roman" w:cs="Times New Roman"/>
          <w:sz w:val="24"/>
          <w:szCs w:val="24"/>
          <w:lang w:val="en-US"/>
        </w:rPr>
        <w:t>b</w:t>
      </w:r>
      <w:r w:rsidRPr="00EE0DB0">
        <w:rPr>
          <w:rFonts w:ascii="Times New Roman" w:hAnsi="Times New Roman" w:cs="Times New Roman"/>
          <w:sz w:val="24"/>
          <w:szCs w:val="24"/>
          <w:lang w:val="en-US"/>
        </w:rPr>
        <w:t>eneficiaries for the period 2025–2028. Modernization of audit processes through the integration of advanced technologies will ensure that the SAI remains relevant and efficient, aligned with contemporary trends and challenges arising from digital transformation in the public sector. Audit process development will include the use of modern technologies in auditing, audits of technology use by public funds beneficiaries (including audits of emerging technologies), and the development of digital skills and capacities of SAI staff. In addition, the SAI will strengthen communication with key stakeholders, primarily the National Assembly, through regular presentation of reports to the competent committee, as well as continuous improvement of public communication. This will enable better use of audit reports in decision-making processes and in monitoring the implementation of recommendations. The measure also includes investments in human resource development through training, on-the-job learning, peer mentoring, and internal knowledge sharing, as well as the development of an internal database of findings and good practices, with the aim of harmonizing and continuously improving audit practice.</w:t>
      </w:r>
    </w:p>
    <w:p w14:paraId="39502AE9" w14:textId="6E047593" w:rsidR="000F493F" w:rsidRPr="00873EBF" w:rsidRDefault="00873EBF" w:rsidP="00873EBF">
      <w:pPr>
        <w:spacing w:line="259" w:lineRule="auto"/>
        <w:ind w:firstLine="706"/>
        <w:jc w:val="both"/>
        <w:rPr>
          <w:rFonts w:ascii="Times New Roman" w:eastAsia="Aptos" w:hAnsi="Times New Roman" w:cs="Times New Roman"/>
          <w:b/>
          <w:i/>
          <w:kern w:val="2"/>
          <w:sz w:val="22"/>
          <w:szCs w:val="22"/>
          <w:lang w:val="en-US"/>
          <w14:ligatures w14:val="standardContextual"/>
        </w:rPr>
      </w:pPr>
      <w:r>
        <w:rPr>
          <w:rFonts w:ascii="Times New Roman" w:eastAsia="Aptos" w:hAnsi="Times New Roman" w:cs="Times New Roman"/>
          <w:b/>
          <w:i/>
          <w:kern w:val="2"/>
          <w:sz w:val="22"/>
          <w:szCs w:val="22"/>
          <w:lang w:val="en-US"/>
          <w14:ligatures w14:val="standardContextual"/>
        </w:rPr>
        <w:t>Measure</w:t>
      </w:r>
      <w:r w:rsidR="000F493F" w:rsidRPr="00873EBF">
        <w:rPr>
          <w:rFonts w:ascii="Times New Roman" w:eastAsia="Aptos" w:hAnsi="Times New Roman" w:cs="Times New Roman"/>
          <w:b/>
          <w:i/>
          <w:kern w:val="2"/>
          <w:sz w:val="22"/>
          <w:szCs w:val="22"/>
          <w:lang w:val="en-US"/>
          <w14:ligatures w14:val="standardContextual"/>
        </w:rPr>
        <w:t xml:space="preserve"> 6.2: </w:t>
      </w:r>
      <w:r w:rsidRPr="00873EBF">
        <w:rPr>
          <w:rFonts w:ascii="Times New Roman" w:hAnsi="Times New Roman" w:cs="Times New Roman"/>
          <w:b/>
          <w:bCs/>
          <w:i/>
          <w:iCs/>
          <w:sz w:val="22"/>
          <w:szCs w:val="22"/>
          <w:lang w:val="en-US"/>
        </w:rPr>
        <w:t>Ensuring effective parliamentary oversight over public finances</w:t>
      </w:r>
    </w:p>
    <w:p w14:paraId="2C48FDD5" w14:textId="7B571C33" w:rsidR="00526160" w:rsidRPr="00526160" w:rsidRDefault="00526160" w:rsidP="00526160">
      <w:pPr>
        <w:ind w:firstLine="708"/>
        <w:jc w:val="both"/>
        <w:rPr>
          <w:rFonts w:ascii="Times New Roman" w:hAnsi="Times New Roman" w:cs="Times New Roman"/>
          <w:sz w:val="24"/>
          <w:szCs w:val="24"/>
          <w:lang w:val="en-US"/>
        </w:rPr>
      </w:pPr>
      <w:r w:rsidRPr="00526160">
        <w:rPr>
          <w:rFonts w:ascii="Times New Roman" w:hAnsi="Times New Roman" w:cs="Times New Roman"/>
          <w:sz w:val="24"/>
          <w:szCs w:val="24"/>
          <w:lang w:val="en-US"/>
        </w:rPr>
        <w:t xml:space="preserve">Since the establishment of the PFMRP, the system of external oversight of public finances has been established through a partnership between two independent bodies: the State Audit Institution (hereinafter: SAI) and the National Assembly through the Committee on Finance, State </w:t>
      </w:r>
      <w:r>
        <w:rPr>
          <w:rFonts w:ascii="Times New Roman" w:hAnsi="Times New Roman" w:cs="Times New Roman"/>
          <w:sz w:val="24"/>
          <w:szCs w:val="24"/>
          <w:lang w:val="en-US"/>
        </w:rPr>
        <w:t>b</w:t>
      </w:r>
      <w:r w:rsidRPr="00526160">
        <w:rPr>
          <w:rFonts w:ascii="Times New Roman" w:hAnsi="Times New Roman" w:cs="Times New Roman"/>
          <w:sz w:val="24"/>
          <w:szCs w:val="24"/>
          <w:lang w:val="en-US"/>
        </w:rPr>
        <w:t xml:space="preserve">udget and Control of </w:t>
      </w:r>
      <w:r>
        <w:rPr>
          <w:rFonts w:ascii="Times New Roman" w:hAnsi="Times New Roman" w:cs="Times New Roman"/>
          <w:sz w:val="24"/>
          <w:szCs w:val="24"/>
          <w:lang w:val="en-US"/>
        </w:rPr>
        <w:t>p</w:t>
      </w:r>
      <w:r w:rsidRPr="00526160">
        <w:rPr>
          <w:rFonts w:ascii="Times New Roman" w:hAnsi="Times New Roman" w:cs="Times New Roman"/>
          <w:sz w:val="24"/>
          <w:szCs w:val="24"/>
          <w:lang w:val="en-US"/>
        </w:rPr>
        <w:t xml:space="preserve">ublic </w:t>
      </w:r>
      <w:r>
        <w:rPr>
          <w:rFonts w:ascii="Times New Roman" w:hAnsi="Times New Roman" w:cs="Times New Roman"/>
          <w:sz w:val="24"/>
          <w:szCs w:val="24"/>
          <w:lang w:val="en-US"/>
        </w:rPr>
        <w:t>s</w:t>
      </w:r>
      <w:r w:rsidRPr="00526160">
        <w:rPr>
          <w:rFonts w:ascii="Times New Roman" w:hAnsi="Times New Roman" w:cs="Times New Roman"/>
          <w:sz w:val="24"/>
          <w:szCs w:val="24"/>
          <w:lang w:val="en-US"/>
        </w:rPr>
        <w:t xml:space="preserve">pending. In June 2015, these institutions signed a Memorandum of </w:t>
      </w:r>
      <w:r>
        <w:rPr>
          <w:rFonts w:ascii="Times New Roman" w:hAnsi="Times New Roman" w:cs="Times New Roman"/>
          <w:sz w:val="24"/>
          <w:szCs w:val="24"/>
          <w:lang w:val="en-US"/>
        </w:rPr>
        <w:t>u</w:t>
      </w:r>
      <w:r w:rsidRPr="00526160">
        <w:rPr>
          <w:rFonts w:ascii="Times New Roman" w:hAnsi="Times New Roman" w:cs="Times New Roman"/>
          <w:sz w:val="24"/>
          <w:szCs w:val="24"/>
          <w:lang w:val="en-US"/>
        </w:rPr>
        <w:t>nderstanding, which regulated the method of exchanging information related to the implementation, adoption and execution of policies and regulations, as well as projects and other activities and initiatives in the area of financial control and accountability.</w:t>
      </w:r>
    </w:p>
    <w:p w14:paraId="073EAEBF" w14:textId="479DAD44" w:rsidR="00526160" w:rsidRPr="00526160" w:rsidRDefault="00526160" w:rsidP="00526160">
      <w:pPr>
        <w:ind w:firstLine="708"/>
        <w:jc w:val="both"/>
        <w:rPr>
          <w:rFonts w:ascii="Times New Roman" w:hAnsi="Times New Roman" w:cs="Times New Roman"/>
          <w:sz w:val="24"/>
          <w:szCs w:val="24"/>
          <w:lang w:val="en-US"/>
        </w:rPr>
      </w:pPr>
      <w:r w:rsidRPr="00526160">
        <w:rPr>
          <w:rFonts w:ascii="Times New Roman" w:hAnsi="Times New Roman" w:cs="Times New Roman"/>
          <w:sz w:val="24"/>
          <w:szCs w:val="24"/>
          <w:lang w:val="en-US"/>
        </w:rPr>
        <w:t xml:space="preserve">The parliamentary oversight function over public finances has been significantly improved by establishing the Subcommittee for Reviewing Reports on Audits Conducted by the State Audit Institution and further enhanced by adopting Guidelines for </w:t>
      </w:r>
      <w:r>
        <w:rPr>
          <w:rFonts w:ascii="Times New Roman" w:hAnsi="Times New Roman" w:cs="Times New Roman"/>
          <w:sz w:val="24"/>
          <w:szCs w:val="24"/>
          <w:lang w:val="en-US"/>
        </w:rPr>
        <w:t>r</w:t>
      </w:r>
      <w:r w:rsidRPr="00526160">
        <w:rPr>
          <w:rFonts w:ascii="Times New Roman" w:hAnsi="Times New Roman" w:cs="Times New Roman"/>
          <w:sz w:val="24"/>
          <w:szCs w:val="24"/>
          <w:lang w:val="en-US"/>
        </w:rPr>
        <w:t xml:space="preserve">eviewing </w:t>
      </w:r>
      <w:r>
        <w:rPr>
          <w:rFonts w:ascii="Times New Roman" w:hAnsi="Times New Roman" w:cs="Times New Roman"/>
          <w:sz w:val="24"/>
          <w:szCs w:val="24"/>
          <w:lang w:val="en-US"/>
        </w:rPr>
        <w:t>r</w:t>
      </w:r>
      <w:r w:rsidRPr="00526160">
        <w:rPr>
          <w:rFonts w:ascii="Times New Roman" w:hAnsi="Times New Roman" w:cs="Times New Roman"/>
          <w:sz w:val="24"/>
          <w:szCs w:val="24"/>
          <w:lang w:val="en-US"/>
        </w:rPr>
        <w:t>eports of the State Audit Institution on audits of public funds users.</w:t>
      </w:r>
    </w:p>
    <w:p w14:paraId="0AC28B1D" w14:textId="77777777" w:rsidR="00526160" w:rsidRPr="00526160" w:rsidRDefault="00526160" w:rsidP="00526160">
      <w:pPr>
        <w:ind w:firstLine="708"/>
        <w:jc w:val="both"/>
        <w:rPr>
          <w:rFonts w:ascii="Times New Roman" w:hAnsi="Times New Roman" w:cs="Times New Roman"/>
          <w:sz w:val="24"/>
          <w:szCs w:val="24"/>
          <w:lang w:val="en-US"/>
        </w:rPr>
      </w:pPr>
      <w:r w:rsidRPr="00526160">
        <w:rPr>
          <w:rFonts w:ascii="Times New Roman" w:hAnsi="Times New Roman" w:cs="Times New Roman"/>
          <w:sz w:val="24"/>
          <w:szCs w:val="24"/>
          <w:lang w:val="en-US"/>
        </w:rPr>
        <w:t>In line with the recommendations of the PEFA assessment for the Republic of Serbia, the Committee will continue over the next five-year period to develop its oversight function, in particular by holding Committee and Subcommittee sessions outside the premises of the National Assembly, where reports of the State Audit Institution on conducted audits will be reviewed, with the presence of representatives of the Institution and, when necessary, representatives of other relevant authorities, organizations, and institutions at central and local government levels.</w:t>
      </w:r>
    </w:p>
    <w:p w14:paraId="645F9413" w14:textId="77777777" w:rsidR="00526160" w:rsidRPr="00526160" w:rsidRDefault="00526160" w:rsidP="00526160">
      <w:pPr>
        <w:ind w:firstLine="708"/>
        <w:jc w:val="both"/>
        <w:rPr>
          <w:rFonts w:ascii="Times New Roman" w:hAnsi="Times New Roman" w:cs="Times New Roman"/>
          <w:sz w:val="24"/>
          <w:szCs w:val="24"/>
          <w:lang w:val="en-US"/>
        </w:rPr>
      </w:pPr>
      <w:r w:rsidRPr="00526160">
        <w:rPr>
          <w:rFonts w:ascii="Times New Roman" w:hAnsi="Times New Roman" w:cs="Times New Roman"/>
          <w:sz w:val="24"/>
          <w:szCs w:val="24"/>
          <w:lang w:val="en-US"/>
        </w:rPr>
        <w:t xml:space="preserve">In order to strengthen parliamentary oversight of public finances, the Committee will monitor the implementation of measures contained in the conclusions of the National Assembly </w:t>
      </w:r>
      <w:r w:rsidRPr="00526160">
        <w:rPr>
          <w:rFonts w:ascii="Times New Roman" w:hAnsi="Times New Roman" w:cs="Times New Roman"/>
          <w:sz w:val="24"/>
          <w:szCs w:val="24"/>
          <w:lang w:val="en-US"/>
        </w:rPr>
        <w:lastRenderedPageBreak/>
        <w:t>regarding the adoption of the SAI Annual Activity Report. The implementation of measures in these conclusions refers to the preparation of new regulations and by-laws or amendments to existing regulations listed in the annual report of the SAI, which the Government should submit to the National Assembly for consideration and adoption.</w:t>
      </w:r>
    </w:p>
    <w:p w14:paraId="41C0941D" w14:textId="77777777" w:rsidR="00526160" w:rsidRPr="00526160" w:rsidRDefault="00526160" w:rsidP="00526160">
      <w:pPr>
        <w:ind w:firstLine="708"/>
        <w:jc w:val="both"/>
        <w:rPr>
          <w:rFonts w:ascii="Times New Roman" w:hAnsi="Times New Roman" w:cs="Times New Roman"/>
          <w:sz w:val="24"/>
          <w:szCs w:val="24"/>
          <w:lang w:val="en-US"/>
        </w:rPr>
      </w:pPr>
      <w:r w:rsidRPr="00526160">
        <w:rPr>
          <w:rFonts w:ascii="Times New Roman" w:hAnsi="Times New Roman" w:cs="Times New Roman"/>
          <w:sz w:val="24"/>
          <w:szCs w:val="24"/>
          <w:lang w:val="en-US"/>
        </w:rPr>
        <w:t>To increase the efficiency of oversight and monitoring of the implementation of National Assembly conclusions under the competence of the Government – Ministry of Finance, the Ministry will periodically submit reports on the undertaken measures in response to the conclusions of the National Assembly following the adoption of the SAI Annual Report.</w:t>
      </w:r>
    </w:p>
    <w:p w14:paraId="13FEF601" w14:textId="77777777" w:rsidR="00526160" w:rsidRPr="00526160" w:rsidRDefault="00526160" w:rsidP="00526160">
      <w:pPr>
        <w:ind w:firstLine="708"/>
        <w:jc w:val="both"/>
        <w:rPr>
          <w:rFonts w:ascii="Times New Roman" w:hAnsi="Times New Roman" w:cs="Times New Roman"/>
          <w:sz w:val="24"/>
          <w:szCs w:val="24"/>
          <w:lang w:val="en-US"/>
        </w:rPr>
      </w:pPr>
      <w:r w:rsidRPr="00526160">
        <w:rPr>
          <w:rFonts w:ascii="Times New Roman" w:hAnsi="Times New Roman" w:cs="Times New Roman"/>
          <w:sz w:val="24"/>
          <w:szCs w:val="24"/>
          <w:lang w:val="en-US"/>
        </w:rPr>
        <w:t>Given that the PEFA assessment recommended involving other parliamentary committees in reviewing audit reports, in order to further improve the efficiency of oversight over public spending and increase the implementation of recommendations regarding the preparation of new regulations or amendments to existing ones, the Committee will in the coming period hold joint sessions with other relevant parliamentary committees. These joint committee sessions, primarily focused on reviewing performance audit reports, will be held in the presence of representatives of the SAI and other relevant bodies, organizations, and institutions. The final outcome of these sessions will be a joint proposal for conclusions of the committees, which will be submitted to the National Assembly for consideration and adoption. In this way, better oversight of public spending by users will be ensured, strengthening the overall public finance system.</w:t>
      </w:r>
    </w:p>
    <w:p w14:paraId="37303332" w14:textId="77777777" w:rsidR="00526160" w:rsidRPr="00526160" w:rsidRDefault="00526160" w:rsidP="00526160">
      <w:pPr>
        <w:ind w:firstLine="708"/>
        <w:jc w:val="both"/>
        <w:rPr>
          <w:rFonts w:ascii="Times New Roman" w:hAnsi="Times New Roman" w:cs="Times New Roman"/>
          <w:sz w:val="24"/>
          <w:szCs w:val="24"/>
          <w:lang w:val="en-US"/>
        </w:rPr>
      </w:pPr>
      <w:r w:rsidRPr="00526160">
        <w:rPr>
          <w:rFonts w:ascii="Times New Roman" w:hAnsi="Times New Roman" w:cs="Times New Roman"/>
          <w:sz w:val="24"/>
          <w:szCs w:val="24"/>
          <w:lang w:val="en-US"/>
        </w:rPr>
        <w:t>In addition to recommendations to ensure accountability of the executive branch to the National Assembly, the PEFA assessment also suggested creating opportunities for public participation in budget preparation and oversight. Accordingly, in addition to steps taken to strengthen its oversight function regarding audited entities, the National Assembly plans to continue organizing public hearings on the draft budget law and the draft final account of the budget of the Republic of Serbia.</w:t>
      </w:r>
    </w:p>
    <w:p w14:paraId="4F28CCCB" w14:textId="0DC4DCD0" w:rsidR="00526160" w:rsidRPr="00526160" w:rsidRDefault="00526160" w:rsidP="00526160">
      <w:pPr>
        <w:ind w:firstLine="708"/>
        <w:jc w:val="both"/>
        <w:rPr>
          <w:rFonts w:ascii="Times New Roman" w:hAnsi="Times New Roman" w:cs="Times New Roman"/>
          <w:sz w:val="24"/>
          <w:szCs w:val="24"/>
          <w:lang w:val="en-US"/>
        </w:rPr>
      </w:pPr>
      <w:r w:rsidRPr="00526160">
        <w:rPr>
          <w:rFonts w:ascii="Times New Roman" w:hAnsi="Times New Roman" w:cs="Times New Roman"/>
          <w:sz w:val="24"/>
          <w:szCs w:val="24"/>
          <w:lang w:val="en-US"/>
        </w:rPr>
        <w:t xml:space="preserve">Based on the authority granted by the Rules of Procedure of the National Assembly to every committee, as a competent body, to organize public hearings to obtain information or expert opinions on draft laws, clarify certain solutions, or address issues relevant to the implementation of proposed legislation, the Committee on Finance, State </w:t>
      </w:r>
      <w:r>
        <w:rPr>
          <w:rFonts w:ascii="Times New Roman" w:hAnsi="Times New Roman" w:cs="Times New Roman"/>
          <w:sz w:val="24"/>
          <w:szCs w:val="24"/>
          <w:lang w:val="en-US"/>
        </w:rPr>
        <w:t>b</w:t>
      </w:r>
      <w:r w:rsidRPr="00526160">
        <w:rPr>
          <w:rFonts w:ascii="Times New Roman" w:hAnsi="Times New Roman" w:cs="Times New Roman"/>
          <w:sz w:val="24"/>
          <w:szCs w:val="24"/>
          <w:lang w:val="en-US"/>
        </w:rPr>
        <w:t xml:space="preserve">udget and Control of </w:t>
      </w:r>
      <w:r>
        <w:rPr>
          <w:rFonts w:ascii="Times New Roman" w:hAnsi="Times New Roman" w:cs="Times New Roman"/>
          <w:sz w:val="24"/>
          <w:szCs w:val="24"/>
          <w:lang w:val="en-US"/>
        </w:rPr>
        <w:t>p</w:t>
      </w:r>
      <w:r w:rsidRPr="00526160">
        <w:rPr>
          <w:rFonts w:ascii="Times New Roman" w:hAnsi="Times New Roman" w:cs="Times New Roman"/>
          <w:sz w:val="24"/>
          <w:szCs w:val="24"/>
          <w:lang w:val="en-US"/>
        </w:rPr>
        <w:t xml:space="preserve">ublic </w:t>
      </w:r>
      <w:r>
        <w:rPr>
          <w:rFonts w:ascii="Times New Roman" w:hAnsi="Times New Roman" w:cs="Times New Roman"/>
          <w:sz w:val="24"/>
          <w:szCs w:val="24"/>
          <w:lang w:val="en-US"/>
        </w:rPr>
        <w:t>s</w:t>
      </w:r>
      <w:r w:rsidRPr="00526160">
        <w:rPr>
          <w:rFonts w:ascii="Times New Roman" w:hAnsi="Times New Roman" w:cs="Times New Roman"/>
          <w:sz w:val="24"/>
          <w:szCs w:val="24"/>
          <w:lang w:val="en-US"/>
        </w:rPr>
        <w:t>pending will continue to organize public hearings on the draft budget law and the draft final budget account. This will enable members of parliament and other participants to ask questions and receive timely information before the start of the plenary debate in the National Assembly.</w:t>
      </w:r>
    </w:p>
    <w:p w14:paraId="50BD6B97" w14:textId="77777777" w:rsidR="004D23EA" w:rsidRPr="001053DB" w:rsidRDefault="004D23EA" w:rsidP="00836B41">
      <w:pPr>
        <w:pStyle w:val="Heading5"/>
        <w:rPr>
          <w:rFonts w:ascii="Times New Roman" w:hAnsi="Times New Roman" w:cs="Times New Roman"/>
          <w:color w:val="auto"/>
          <w:sz w:val="24"/>
          <w:szCs w:val="24"/>
          <w:lang w:val="sr-Cyrl-CS"/>
        </w:rPr>
        <w:sectPr w:rsidR="004D23EA" w:rsidRPr="001053DB" w:rsidSect="005B6C61">
          <w:headerReference w:type="even" r:id="rId26"/>
          <w:headerReference w:type="default" r:id="rId27"/>
          <w:footerReference w:type="default" r:id="rId28"/>
          <w:headerReference w:type="first" r:id="rId29"/>
          <w:pgSz w:w="11906" w:h="16838"/>
          <w:pgMar w:top="1440" w:right="1440" w:bottom="1440" w:left="1440" w:header="432" w:footer="720" w:gutter="0"/>
          <w:cols w:space="720"/>
          <w:docGrid w:linePitch="360"/>
        </w:sectPr>
      </w:pPr>
    </w:p>
    <w:p w14:paraId="0DD5610A" w14:textId="77777777" w:rsidR="004D23EA" w:rsidRPr="001053DB" w:rsidRDefault="004D23EA" w:rsidP="004D23EA">
      <w:pPr>
        <w:pStyle w:val="Heading5"/>
        <w:jc w:val="center"/>
        <w:rPr>
          <w:rFonts w:ascii="Times New Roman" w:hAnsi="Times New Roman" w:cs="Times New Roman"/>
          <w:color w:val="auto"/>
          <w:sz w:val="24"/>
          <w:szCs w:val="24"/>
          <w:lang w:val="sr-Cyrl-CS"/>
        </w:rPr>
      </w:pPr>
    </w:p>
    <w:p w14:paraId="4DF886A9" w14:textId="36E32B37" w:rsidR="004D23EA" w:rsidRPr="001053DB" w:rsidRDefault="00526160"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sr-Cyrl-CS"/>
        </w:rPr>
      </w:pPr>
      <w:bookmarkStart w:id="17" w:name="_Toc211860028"/>
      <w:r>
        <w:rPr>
          <w:rFonts w:ascii="Times New Roman" w:hAnsi="Times New Roman" w:cs="Times New Roman"/>
          <w:color w:val="auto"/>
          <w:sz w:val="24"/>
          <w:szCs w:val="24"/>
          <w:lang w:val="en-US"/>
        </w:rPr>
        <w:t>key performance indicators in relation to general and specific objectives and measures for their implementation</w:t>
      </w:r>
      <w:bookmarkEnd w:id="17"/>
    </w:p>
    <w:p w14:paraId="5252ECEA" w14:textId="77777777" w:rsidR="004D23EA" w:rsidRPr="001053DB" w:rsidRDefault="004D23EA" w:rsidP="00426D9C">
      <w:pPr>
        <w:spacing w:after="0" w:line="240" w:lineRule="auto"/>
        <w:ind w:firstLine="706"/>
        <w:jc w:val="both"/>
        <w:rPr>
          <w:rFonts w:ascii="Times New Roman" w:hAnsi="Times New Roman" w:cs="Times New Roman"/>
          <w:sz w:val="24"/>
          <w:szCs w:val="24"/>
          <w:lang w:val="sr-Cyrl-CS"/>
        </w:rPr>
      </w:pPr>
    </w:p>
    <w:p w14:paraId="5257BFF2" w14:textId="77777777" w:rsidR="004D23EA" w:rsidRPr="001053DB" w:rsidRDefault="004D23EA" w:rsidP="00426D9C">
      <w:pPr>
        <w:spacing w:after="0" w:line="240" w:lineRule="auto"/>
        <w:ind w:firstLine="706"/>
        <w:jc w:val="both"/>
        <w:rPr>
          <w:rFonts w:ascii="Times New Roman" w:hAnsi="Times New Roman" w:cs="Times New Roman"/>
          <w:sz w:val="24"/>
          <w:szCs w:val="24"/>
          <w:lang w:val="sr-Cyrl-CS"/>
        </w:rPr>
      </w:pPr>
    </w:p>
    <w:tbl>
      <w:tblPr>
        <w:tblW w:w="0" w:type="auto"/>
        <w:jc w:val="center"/>
        <w:tblCellSpacing w:w="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5" w:type="dxa"/>
          <w:left w:w="15" w:type="dxa"/>
          <w:bottom w:w="15" w:type="dxa"/>
          <w:right w:w="15" w:type="dxa"/>
        </w:tblCellMar>
        <w:tblLook w:val="04A0" w:firstRow="1" w:lastRow="0" w:firstColumn="1" w:lastColumn="0" w:noHBand="0" w:noVBand="1"/>
      </w:tblPr>
      <w:tblGrid>
        <w:gridCol w:w="2048"/>
        <w:gridCol w:w="30"/>
        <w:gridCol w:w="2610"/>
        <w:gridCol w:w="45"/>
        <w:gridCol w:w="1336"/>
        <w:gridCol w:w="46"/>
        <w:gridCol w:w="1446"/>
        <w:gridCol w:w="40"/>
        <w:gridCol w:w="30"/>
        <w:gridCol w:w="2205"/>
        <w:gridCol w:w="30"/>
        <w:gridCol w:w="30"/>
        <w:gridCol w:w="2459"/>
        <w:gridCol w:w="60"/>
      </w:tblGrid>
      <w:tr w:rsidR="00D30238" w:rsidRPr="001053DB" w14:paraId="6B2DF13A" w14:textId="77777777" w:rsidTr="004049B3">
        <w:trPr>
          <w:gridAfter w:val="1"/>
          <w:wAfter w:w="15" w:type="dxa"/>
          <w:cantSplit/>
          <w:trHeight w:val="1170"/>
          <w:tblCellSpacing w:w="15" w:type="dxa"/>
          <w:jc w:val="center"/>
        </w:trPr>
        <w:tc>
          <w:tcPr>
            <w:tcW w:w="2033" w:type="dxa"/>
            <w:gridSpan w:val="2"/>
            <w:tcBorders>
              <w:top w:val="single" w:sz="2" w:space="0" w:color="FFFFFF" w:themeColor="background1"/>
              <w:left w:val="single" w:sz="2" w:space="0" w:color="FFFFFF" w:themeColor="background1"/>
              <w:bottom w:val="single" w:sz="2" w:space="0" w:color="FFFFFF" w:themeColor="background1"/>
              <w:right w:val="single" w:sz="2" w:space="0" w:color="FFFFFF" w:themeColor="background1"/>
            </w:tcBorders>
            <w:shd w:val="clear" w:color="auto" w:fill="365F91"/>
            <w:vAlign w:val="center"/>
            <w:hideMark/>
          </w:tcPr>
          <w:p w14:paraId="0B6B992F" w14:textId="3EE7F946" w:rsidR="00F84BAF" w:rsidRPr="00526160" w:rsidRDefault="00526160" w:rsidP="002A789B">
            <w:pPr>
              <w:spacing w:after="0" w:line="240" w:lineRule="auto"/>
              <w:ind w:left="57"/>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Objectives</w:t>
            </w:r>
          </w:p>
        </w:tc>
        <w:tc>
          <w:tcPr>
            <w:tcW w:w="2580" w:type="dxa"/>
            <w:tcBorders>
              <w:top w:val="single" w:sz="2" w:space="0" w:color="FFFFFF" w:themeColor="background1"/>
              <w:left w:val="single" w:sz="2" w:space="0" w:color="FFFFFF" w:themeColor="background1"/>
              <w:bottom w:val="single" w:sz="2" w:space="0" w:color="FFFFFF" w:themeColor="background1"/>
              <w:right w:val="single" w:sz="2" w:space="0" w:color="FFFFFF" w:themeColor="background1"/>
            </w:tcBorders>
            <w:shd w:val="clear" w:color="auto" w:fill="365F91"/>
            <w:vAlign w:val="center"/>
            <w:hideMark/>
          </w:tcPr>
          <w:p w14:paraId="39E053A0" w14:textId="3996549D" w:rsidR="00F84BAF" w:rsidRPr="00526160" w:rsidRDefault="00526160" w:rsidP="002A789B">
            <w:pPr>
              <w:spacing w:after="0" w:line="240" w:lineRule="auto"/>
              <w:ind w:left="57"/>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Indicator</w:t>
            </w:r>
          </w:p>
        </w:tc>
        <w:tc>
          <w:tcPr>
            <w:tcW w:w="1397" w:type="dxa"/>
            <w:gridSpan w:val="3"/>
            <w:tcBorders>
              <w:top w:val="single" w:sz="2" w:space="0" w:color="FFFFFF" w:themeColor="background1"/>
              <w:left w:val="single" w:sz="2" w:space="0" w:color="FFFFFF" w:themeColor="background1"/>
              <w:bottom w:val="single" w:sz="2" w:space="0" w:color="FFFFFF" w:themeColor="background1"/>
              <w:right w:val="single" w:sz="2" w:space="0" w:color="FFFFFF" w:themeColor="background1"/>
            </w:tcBorders>
            <w:shd w:val="clear" w:color="auto" w:fill="365F91"/>
            <w:vAlign w:val="center"/>
            <w:hideMark/>
          </w:tcPr>
          <w:p w14:paraId="6DF4F9C3" w14:textId="7575B729" w:rsidR="00F84BAF" w:rsidRPr="00526160" w:rsidRDefault="00526160" w:rsidP="002A789B">
            <w:pPr>
              <w:spacing w:after="0" w:line="240" w:lineRule="auto"/>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Initial value</w:t>
            </w:r>
          </w:p>
        </w:tc>
        <w:tc>
          <w:tcPr>
            <w:tcW w:w="1416" w:type="dxa"/>
            <w:tcBorders>
              <w:top w:val="single" w:sz="2" w:space="0" w:color="FFFFFF" w:themeColor="background1"/>
              <w:left w:val="single" w:sz="2" w:space="0" w:color="FFFFFF" w:themeColor="background1"/>
              <w:bottom w:val="single" w:sz="2" w:space="0" w:color="FFFFFF" w:themeColor="background1"/>
              <w:right w:val="single" w:sz="2" w:space="0" w:color="FFFFFF" w:themeColor="background1"/>
            </w:tcBorders>
            <w:shd w:val="clear" w:color="auto" w:fill="365F91"/>
            <w:vAlign w:val="center"/>
            <w:hideMark/>
          </w:tcPr>
          <w:p w14:paraId="6A1EA978" w14:textId="6F4F24D4" w:rsidR="00F84BAF" w:rsidRPr="00526160" w:rsidRDefault="00526160" w:rsidP="002A789B">
            <w:pPr>
              <w:spacing w:after="0" w:line="240" w:lineRule="auto"/>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Target value 2030</w:t>
            </w:r>
          </w:p>
        </w:tc>
        <w:tc>
          <w:tcPr>
            <w:tcW w:w="2275" w:type="dxa"/>
            <w:gridSpan w:val="4"/>
            <w:tcBorders>
              <w:top w:val="single" w:sz="2" w:space="0" w:color="FFFFFF" w:themeColor="background1"/>
              <w:left w:val="single" w:sz="2" w:space="0" w:color="FFFFFF" w:themeColor="background1"/>
              <w:bottom w:val="single" w:sz="2" w:space="0" w:color="FFFFFF" w:themeColor="background1"/>
              <w:right w:val="single" w:sz="2" w:space="0" w:color="FFFFFF" w:themeColor="background1"/>
            </w:tcBorders>
            <w:shd w:val="clear" w:color="auto" w:fill="365F91"/>
            <w:vAlign w:val="center"/>
            <w:hideMark/>
          </w:tcPr>
          <w:p w14:paraId="355855B5" w14:textId="4FCCA5C9" w:rsidR="00F84BAF" w:rsidRPr="00526160" w:rsidRDefault="00526160" w:rsidP="002A789B">
            <w:pPr>
              <w:spacing w:after="0" w:line="240" w:lineRule="auto"/>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Relevant institution</w:t>
            </w:r>
          </w:p>
        </w:tc>
        <w:tc>
          <w:tcPr>
            <w:tcW w:w="2459" w:type="dxa"/>
            <w:gridSpan w:val="2"/>
            <w:tcBorders>
              <w:top w:val="single" w:sz="2" w:space="0" w:color="FFFFFF" w:themeColor="background1"/>
              <w:left w:val="single" w:sz="2" w:space="0" w:color="FFFFFF" w:themeColor="background1"/>
              <w:bottom w:val="single" w:sz="2" w:space="0" w:color="FFFFFF" w:themeColor="background1"/>
              <w:right w:val="single" w:sz="2" w:space="0" w:color="FFFFFF" w:themeColor="background1"/>
            </w:tcBorders>
            <w:shd w:val="clear" w:color="auto" w:fill="365F91"/>
            <w:vAlign w:val="center"/>
            <w:hideMark/>
          </w:tcPr>
          <w:p w14:paraId="18DCD6ED" w14:textId="1C1DD56A" w:rsidR="00F84BAF" w:rsidRPr="00526160" w:rsidRDefault="00526160" w:rsidP="002A789B">
            <w:pPr>
              <w:spacing w:after="0" w:line="240" w:lineRule="auto"/>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Source of verification</w:t>
            </w:r>
          </w:p>
        </w:tc>
      </w:tr>
      <w:tr w:rsidR="00D30238" w:rsidRPr="001053DB" w14:paraId="267081ED" w14:textId="77777777" w:rsidTr="002A789B">
        <w:trPr>
          <w:gridAfter w:val="1"/>
          <w:wAfter w:w="15" w:type="dxa"/>
          <w:cantSplit/>
          <w:tblCellSpacing w:w="15" w:type="dxa"/>
          <w:jc w:val="center"/>
        </w:trPr>
        <w:tc>
          <w:tcPr>
            <w:tcW w:w="2033" w:type="dxa"/>
            <w:gridSpan w:val="2"/>
            <w:vMerge w:val="restart"/>
            <w:vAlign w:val="center"/>
            <w:hideMark/>
          </w:tcPr>
          <w:p w14:paraId="5C8C2193" w14:textId="0B5F75AB" w:rsidR="00F84BAF" w:rsidRPr="002B665C" w:rsidRDefault="002B665C" w:rsidP="002A789B">
            <w:pPr>
              <w:spacing w:after="0" w:line="240" w:lineRule="auto"/>
              <w:ind w:left="57"/>
              <w:rPr>
                <w:rFonts w:ascii="Times New Roman" w:eastAsia="Times New Roman" w:hAnsi="Times New Roman" w:cs="Times New Roman"/>
                <w:lang w:val="en-US"/>
              </w:rPr>
            </w:pPr>
            <w:r>
              <w:rPr>
                <w:rFonts w:ascii="Times New Roman" w:eastAsia="Times New Roman" w:hAnsi="Times New Roman" w:cs="Times New Roman"/>
                <w:b/>
                <w:bCs/>
                <w:lang w:val="en-US"/>
              </w:rPr>
              <w:t>General objective</w:t>
            </w:r>
            <w:r w:rsidR="00F84BAF" w:rsidRPr="001053DB">
              <w:rPr>
                <w:rFonts w:ascii="Times New Roman" w:eastAsia="Times New Roman" w:hAnsi="Times New Roman" w:cs="Times New Roman"/>
                <w:b/>
                <w:bCs/>
                <w:lang w:val="sr-Cyrl-CS"/>
              </w:rPr>
              <w:t>:</w:t>
            </w:r>
            <w:r w:rsidR="00F84BAF" w:rsidRPr="001053DB">
              <w:rPr>
                <w:rFonts w:ascii="Times New Roman" w:eastAsia="Times New Roman" w:hAnsi="Times New Roman" w:cs="Times New Roman"/>
                <w:lang w:val="sr-Cyrl-CS"/>
              </w:rPr>
              <w:t xml:space="preserve"> </w:t>
            </w:r>
            <w:r>
              <w:rPr>
                <w:rFonts w:ascii="Times New Roman" w:eastAsia="Times New Roman" w:hAnsi="Times New Roman" w:cs="Times New Roman"/>
                <w:lang w:val="en-US"/>
              </w:rPr>
              <w:t>Achieving sustainable budget with stable ratio of public debt to GDP through better financial management and control, auditing and integration of budget planning with Governmental policies</w:t>
            </w:r>
          </w:p>
        </w:tc>
        <w:tc>
          <w:tcPr>
            <w:tcW w:w="2580" w:type="dxa"/>
            <w:vAlign w:val="center"/>
            <w:hideMark/>
          </w:tcPr>
          <w:p w14:paraId="06F0E6A3" w14:textId="39AAEF97" w:rsidR="00F84BAF" w:rsidRPr="001053DB" w:rsidRDefault="002B665C" w:rsidP="002A789B">
            <w:pPr>
              <w:spacing w:after="0" w:line="240" w:lineRule="auto"/>
              <w:ind w:left="57"/>
              <w:rPr>
                <w:rFonts w:ascii="Times New Roman" w:eastAsia="Times New Roman" w:hAnsi="Times New Roman" w:cs="Times New Roman"/>
                <w:lang w:val="sr-Cyrl-CS"/>
              </w:rPr>
            </w:pPr>
            <w:r>
              <w:rPr>
                <w:rFonts w:ascii="Times New Roman" w:eastAsia="Times New Roman" w:hAnsi="Times New Roman" w:cs="Times New Roman"/>
                <w:lang w:val="en-US"/>
              </w:rPr>
              <w:t>Real GDP growth</w:t>
            </w:r>
            <w:r w:rsidR="00F84BAF" w:rsidRPr="001053DB">
              <w:rPr>
                <w:rFonts w:ascii="Times New Roman" w:eastAsia="Times New Roman" w:hAnsi="Times New Roman" w:cs="Times New Roman"/>
                <w:lang w:val="sr-Cyrl-CS"/>
              </w:rPr>
              <w:t xml:space="preserve"> (%)</w:t>
            </w:r>
          </w:p>
        </w:tc>
        <w:tc>
          <w:tcPr>
            <w:tcW w:w="1397" w:type="dxa"/>
            <w:gridSpan w:val="3"/>
            <w:vAlign w:val="center"/>
            <w:hideMark/>
          </w:tcPr>
          <w:p w14:paraId="62CCB3B5" w14:textId="77777777" w:rsidR="00F84BAF" w:rsidRPr="001053DB" w:rsidRDefault="00F25A36"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3,9</w:t>
            </w:r>
          </w:p>
        </w:tc>
        <w:tc>
          <w:tcPr>
            <w:tcW w:w="1416" w:type="dxa"/>
            <w:vAlign w:val="center"/>
            <w:hideMark/>
          </w:tcPr>
          <w:p w14:paraId="6217254E" w14:textId="25BA4646" w:rsidR="00F84BAF" w:rsidRPr="001053DB" w:rsidRDefault="00F25A36"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3,5</w:t>
            </w:r>
            <w:r w:rsidR="00AD5DF7" w:rsidRPr="001053DB">
              <w:rPr>
                <w:rFonts w:ascii="Times New Roman" w:eastAsia="Times New Roman" w:hAnsi="Times New Roman" w:cs="Times New Roman"/>
                <w:lang w:val="sr-Cyrl-CS"/>
              </w:rPr>
              <w:t xml:space="preserve"> (2028)</w:t>
            </w:r>
          </w:p>
        </w:tc>
        <w:tc>
          <w:tcPr>
            <w:tcW w:w="2275" w:type="dxa"/>
            <w:gridSpan w:val="4"/>
            <w:vAlign w:val="center"/>
            <w:hideMark/>
          </w:tcPr>
          <w:p w14:paraId="2CFF1986" w14:textId="7D943E86" w:rsidR="00F84BAF" w:rsidRPr="00526160" w:rsidRDefault="00526160"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Ministry of Finance</w:t>
            </w:r>
          </w:p>
        </w:tc>
        <w:tc>
          <w:tcPr>
            <w:tcW w:w="2459" w:type="dxa"/>
            <w:gridSpan w:val="2"/>
            <w:vAlign w:val="center"/>
            <w:hideMark/>
          </w:tcPr>
          <w:p w14:paraId="5182EAA4" w14:textId="3DDF3923" w:rsidR="00F84BAF" w:rsidRPr="001053DB" w:rsidRDefault="002B665C"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Fiscal strategy, Economic Reform Programme</w:t>
            </w:r>
          </w:p>
        </w:tc>
      </w:tr>
      <w:tr w:rsidR="00D30238" w:rsidRPr="001053DB" w14:paraId="54B801F8" w14:textId="77777777" w:rsidTr="002A789B">
        <w:trPr>
          <w:gridAfter w:val="1"/>
          <w:wAfter w:w="15" w:type="dxa"/>
          <w:cantSplit/>
          <w:trHeight w:val="2460"/>
          <w:tblCellSpacing w:w="15" w:type="dxa"/>
          <w:jc w:val="center"/>
        </w:trPr>
        <w:tc>
          <w:tcPr>
            <w:tcW w:w="2033" w:type="dxa"/>
            <w:gridSpan w:val="2"/>
            <w:vMerge/>
            <w:vAlign w:val="center"/>
            <w:hideMark/>
          </w:tcPr>
          <w:p w14:paraId="45352D99" w14:textId="77777777" w:rsidR="00F84BAF" w:rsidRPr="001053DB" w:rsidRDefault="00F84BAF" w:rsidP="002A789B">
            <w:pPr>
              <w:spacing w:after="0" w:line="240" w:lineRule="auto"/>
              <w:ind w:left="57"/>
              <w:rPr>
                <w:rFonts w:ascii="Times New Roman" w:eastAsia="Times New Roman" w:hAnsi="Times New Roman" w:cs="Times New Roman"/>
                <w:lang w:val="sr-Cyrl-CS"/>
              </w:rPr>
            </w:pPr>
          </w:p>
        </w:tc>
        <w:tc>
          <w:tcPr>
            <w:tcW w:w="2580" w:type="dxa"/>
            <w:vAlign w:val="center"/>
            <w:hideMark/>
          </w:tcPr>
          <w:p w14:paraId="242331E2" w14:textId="428115B7" w:rsidR="00F84BAF" w:rsidRPr="001053DB" w:rsidRDefault="002B665C" w:rsidP="002A789B">
            <w:pPr>
              <w:spacing w:after="0" w:line="240" w:lineRule="auto"/>
              <w:ind w:left="57"/>
              <w:rPr>
                <w:rFonts w:ascii="Times New Roman" w:eastAsia="Times New Roman" w:hAnsi="Times New Roman" w:cs="Times New Roman"/>
                <w:lang w:val="sr-Cyrl-CS"/>
              </w:rPr>
            </w:pPr>
            <w:r>
              <w:rPr>
                <w:rFonts w:ascii="Times New Roman" w:eastAsia="Times New Roman" w:hAnsi="Times New Roman" w:cs="Times New Roman"/>
                <w:lang w:val="en-US"/>
              </w:rPr>
              <w:t>General government debt level in GDP</w:t>
            </w:r>
            <w:r w:rsidR="00F84BAF" w:rsidRPr="001053DB">
              <w:rPr>
                <w:rFonts w:ascii="Times New Roman" w:eastAsia="Times New Roman" w:hAnsi="Times New Roman" w:cs="Times New Roman"/>
                <w:lang w:val="sr-Cyrl-CS"/>
              </w:rPr>
              <w:t xml:space="preserve"> (%)</w:t>
            </w:r>
          </w:p>
        </w:tc>
        <w:tc>
          <w:tcPr>
            <w:tcW w:w="1397" w:type="dxa"/>
            <w:gridSpan w:val="3"/>
            <w:vAlign w:val="center"/>
            <w:hideMark/>
          </w:tcPr>
          <w:p w14:paraId="753D62C5" w14:textId="77777777" w:rsidR="00F84BAF" w:rsidRPr="001053DB" w:rsidRDefault="00F25A36"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46,9</w:t>
            </w:r>
          </w:p>
        </w:tc>
        <w:tc>
          <w:tcPr>
            <w:tcW w:w="1416" w:type="dxa"/>
            <w:vAlign w:val="center"/>
            <w:hideMark/>
          </w:tcPr>
          <w:p w14:paraId="4F031E32" w14:textId="35902204" w:rsidR="00F84BAF" w:rsidRPr="001053DB" w:rsidRDefault="00F25A36"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44,1</w:t>
            </w:r>
            <w:r w:rsidR="00AD5DF7" w:rsidRPr="001053DB">
              <w:rPr>
                <w:rFonts w:ascii="Times New Roman" w:eastAsia="Times New Roman" w:hAnsi="Times New Roman" w:cs="Times New Roman"/>
                <w:lang w:val="sr-Cyrl-CS"/>
              </w:rPr>
              <w:t xml:space="preserve"> (2028)</w:t>
            </w:r>
          </w:p>
        </w:tc>
        <w:tc>
          <w:tcPr>
            <w:tcW w:w="2275" w:type="dxa"/>
            <w:gridSpan w:val="4"/>
            <w:vAlign w:val="center"/>
            <w:hideMark/>
          </w:tcPr>
          <w:p w14:paraId="45AA3D1B" w14:textId="68F6F99A" w:rsidR="00F84BAF" w:rsidRPr="001053DB" w:rsidRDefault="00526160"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w:t>
            </w:r>
          </w:p>
        </w:tc>
        <w:tc>
          <w:tcPr>
            <w:tcW w:w="2459" w:type="dxa"/>
            <w:gridSpan w:val="2"/>
            <w:vAlign w:val="center"/>
            <w:hideMark/>
          </w:tcPr>
          <w:p w14:paraId="2EF6FF97" w14:textId="3F2891C8"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Fiscal strategy, Economic Reform Programme</w:t>
            </w:r>
          </w:p>
        </w:tc>
      </w:tr>
      <w:tr w:rsidR="00D30238" w:rsidRPr="001053DB" w14:paraId="7C8C9D75" w14:textId="77777777" w:rsidTr="002A789B">
        <w:trPr>
          <w:gridAfter w:val="1"/>
          <w:wAfter w:w="15" w:type="dxa"/>
          <w:cantSplit/>
          <w:tblCellSpacing w:w="15" w:type="dxa"/>
          <w:jc w:val="center"/>
        </w:trPr>
        <w:tc>
          <w:tcPr>
            <w:tcW w:w="2033" w:type="dxa"/>
            <w:gridSpan w:val="2"/>
            <w:vAlign w:val="center"/>
          </w:tcPr>
          <w:p w14:paraId="32307730" w14:textId="2BEC0309" w:rsidR="00F84BAF" w:rsidRPr="001A6BBC" w:rsidRDefault="002B665C" w:rsidP="002A789B">
            <w:pPr>
              <w:spacing w:after="0" w:line="240" w:lineRule="auto"/>
              <w:ind w:left="57"/>
              <w:rPr>
                <w:rFonts w:ascii="Times New Roman" w:eastAsia="Times New Roman" w:hAnsi="Times New Roman" w:cs="Times New Roman"/>
                <w:lang w:val="en-US"/>
              </w:rPr>
            </w:pPr>
            <w:r>
              <w:rPr>
                <w:rFonts w:ascii="Times New Roman" w:eastAsia="Times New Roman" w:hAnsi="Times New Roman" w:cs="Times New Roman"/>
                <w:b/>
                <w:bCs/>
                <w:lang w:val="en-US"/>
              </w:rPr>
              <w:t>Specific objective</w:t>
            </w:r>
            <w:r w:rsidR="00F84BAF" w:rsidRPr="001053DB">
              <w:rPr>
                <w:rFonts w:ascii="Times New Roman" w:eastAsia="Times New Roman" w:hAnsi="Times New Roman" w:cs="Times New Roman"/>
                <w:b/>
                <w:bCs/>
                <w:lang w:val="sr-Cyrl-CS"/>
              </w:rPr>
              <w:t xml:space="preserve"> I: </w:t>
            </w:r>
            <w:r w:rsidR="001A6BBC">
              <w:rPr>
                <w:rFonts w:ascii="Times New Roman" w:eastAsia="Times New Roman" w:hAnsi="Times New Roman" w:cs="Times New Roman"/>
                <w:bCs/>
                <w:lang w:val="en-US"/>
              </w:rPr>
              <w:t>Capacity for budget planning and public investment management improved</w:t>
            </w:r>
          </w:p>
        </w:tc>
        <w:tc>
          <w:tcPr>
            <w:tcW w:w="2580" w:type="dxa"/>
            <w:vAlign w:val="center"/>
          </w:tcPr>
          <w:p w14:paraId="08593C17" w14:textId="6B217C62" w:rsidR="00F84BAF" w:rsidRPr="001053DB" w:rsidRDefault="001A6BBC" w:rsidP="002A789B">
            <w:pPr>
              <w:spacing w:after="0" w:line="240" w:lineRule="auto"/>
              <w:ind w:left="57"/>
              <w:rPr>
                <w:rFonts w:ascii="Times New Roman" w:eastAsia="Times New Roman" w:hAnsi="Times New Roman" w:cs="Times New Roman"/>
                <w:lang w:val="sr-Cyrl-CS"/>
              </w:rPr>
            </w:pPr>
            <w:r>
              <w:rPr>
                <w:rFonts w:ascii="Times New Roman" w:eastAsia="Times New Roman" w:hAnsi="Times New Roman" w:cs="Times New Roman"/>
                <w:lang w:val="en-US"/>
              </w:rPr>
              <w:t>General government deficit up to 3% of GDP</w:t>
            </w:r>
            <w:r w:rsidR="00591125" w:rsidRPr="001053DB">
              <w:rPr>
                <w:rFonts w:ascii="Times New Roman" w:eastAsia="Times New Roman" w:hAnsi="Times New Roman" w:cs="Times New Roman"/>
                <w:lang w:val="sr-Cyrl-CS"/>
              </w:rPr>
              <w:t xml:space="preserve"> (%)</w:t>
            </w:r>
          </w:p>
        </w:tc>
        <w:tc>
          <w:tcPr>
            <w:tcW w:w="1397" w:type="dxa"/>
            <w:gridSpan w:val="3"/>
            <w:vAlign w:val="center"/>
          </w:tcPr>
          <w:p w14:paraId="6262F50D" w14:textId="77777777" w:rsidR="00F84BAF" w:rsidRPr="001053DB" w:rsidRDefault="00FE322C"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 у 2024</w:t>
            </w:r>
          </w:p>
        </w:tc>
        <w:tc>
          <w:tcPr>
            <w:tcW w:w="1416" w:type="dxa"/>
            <w:vAlign w:val="center"/>
          </w:tcPr>
          <w:p w14:paraId="095FE47E" w14:textId="4BDC30B0" w:rsidR="00FE322C" w:rsidRPr="001053DB" w:rsidRDefault="00FE322C"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2,5</w:t>
            </w:r>
            <w:r w:rsidR="00591125" w:rsidRPr="001053DB">
              <w:rPr>
                <w:rFonts w:ascii="Times New Roman" w:eastAsia="Times New Roman" w:hAnsi="Times New Roman" w:cs="Times New Roman"/>
                <w:lang w:val="sr-Cyrl-CS"/>
              </w:rPr>
              <w:t xml:space="preserve">  </w:t>
            </w:r>
            <w:r w:rsidR="00AD5DF7" w:rsidRPr="001053DB">
              <w:rPr>
                <w:rFonts w:ascii="Times New Roman" w:eastAsia="Times New Roman" w:hAnsi="Times New Roman" w:cs="Times New Roman"/>
                <w:lang w:val="sr-Cyrl-CS"/>
              </w:rPr>
              <w:t>(</w:t>
            </w:r>
            <w:r w:rsidR="00591125" w:rsidRPr="001053DB">
              <w:rPr>
                <w:rFonts w:ascii="Times New Roman" w:eastAsia="Times New Roman" w:hAnsi="Times New Roman" w:cs="Times New Roman"/>
                <w:lang w:val="sr-Cyrl-CS"/>
              </w:rPr>
              <w:t>2028</w:t>
            </w:r>
            <w:r w:rsidR="00AD5DF7" w:rsidRPr="001053DB">
              <w:rPr>
                <w:rFonts w:ascii="Times New Roman" w:eastAsia="Times New Roman" w:hAnsi="Times New Roman" w:cs="Times New Roman"/>
                <w:lang w:val="sr-Cyrl-CS"/>
              </w:rPr>
              <w:t>)</w:t>
            </w:r>
          </w:p>
        </w:tc>
        <w:tc>
          <w:tcPr>
            <w:tcW w:w="2275" w:type="dxa"/>
            <w:gridSpan w:val="4"/>
            <w:vAlign w:val="center"/>
          </w:tcPr>
          <w:p w14:paraId="3ECD7769" w14:textId="55AB4D98" w:rsidR="00F84BAF" w:rsidRPr="001053DB" w:rsidRDefault="00526160"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w:t>
            </w:r>
          </w:p>
        </w:tc>
        <w:tc>
          <w:tcPr>
            <w:tcW w:w="2459" w:type="dxa"/>
            <w:gridSpan w:val="2"/>
            <w:vAlign w:val="center"/>
          </w:tcPr>
          <w:p w14:paraId="6B6AD57A" w14:textId="4823B192"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Revised Fiscal strategy</w:t>
            </w:r>
          </w:p>
        </w:tc>
      </w:tr>
      <w:tr w:rsidR="00D30238" w:rsidRPr="001053DB" w14:paraId="2AC4DBE3" w14:textId="77777777" w:rsidTr="002A789B">
        <w:trPr>
          <w:gridAfter w:val="1"/>
          <w:wAfter w:w="15" w:type="dxa"/>
          <w:cantSplit/>
          <w:tblCellSpacing w:w="15" w:type="dxa"/>
          <w:jc w:val="center"/>
        </w:trPr>
        <w:tc>
          <w:tcPr>
            <w:tcW w:w="2033" w:type="dxa"/>
            <w:gridSpan w:val="2"/>
            <w:shd w:val="clear" w:color="auto" w:fill="ECECEC"/>
            <w:vAlign w:val="center"/>
          </w:tcPr>
          <w:p w14:paraId="39818053" w14:textId="0D51D641" w:rsidR="00F84BAF" w:rsidRPr="002B665C" w:rsidRDefault="002B665C" w:rsidP="002A789B">
            <w:pPr>
              <w:spacing w:after="0" w:line="240" w:lineRule="auto"/>
              <w:ind w:left="57"/>
              <w:jc w:val="center"/>
              <w:rPr>
                <w:rFonts w:ascii="Times New Roman" w:eastAsia="Times New Roman" w:hAnsi="Times New Roman" w:cs="Times New Roman"/>
                <w:lang w:val="en-US"/>
              </w:rPr>
            </w:pPr>
            <w:r>
              <w:rPr>
                <w:rFonts w:ascii="Times New Roman" w:eastAsia="Times New Roman" w:hAnsi="Times New Roman" w:cs="Times New Roman"/>
                <w:b/>
                <w:bCs/>
                <w:lang w:val="en-US"/>
              </w:rPr>
              <w:t>Measure</w:t>
            </w:r>
          </w:p>
        </w:tc>
        <w:tc>
          <w:tcPr>
            <w:tcW w:w="2580" w:type="dxa"/>
            <w:shd w:val="clear" w:color="auto" w:fill="ECECEC"/>
            <w:vAlign w:val="center"/>
          </w:tcPr>
          <w:p w14:paraId="3824BC81" w14:textId="5095957B" w:rsidR="00F84BAF" w:rsidRPr="002B665C" w:rsidRDefault="002B665C" w:rsidP="002A789B">
            <w:pPr>
              <w:spacing w:after="0" w:line="240" w:lineRule="auto"/>
              <w:ind w:left="57"/>
              <w:jc w:val="center"/>
              <w:rPr>
                <w:rFonts w:ascii="Times New Roman" w:eastAsia="Times New Roman" w:hAnsi="Times New Roman" w:cs="Times New Roman"/>
                <w:lang w:val="en-US"/>
              </w:rPr>
            </w:pPr>
            <w:r>
              <w:rPr>
                <w:rFonts w:ascii="Times New Roman" w:eastAsia="Times New Roman" w:hAnsi="Times New Roman" w:cs="Times New Roman"/>
                <w:b/>
                <w:bCs/>
                <w:lang w:val="en-US"/>
              </w:rPr>
              <w:t>Indicator</w:t>
            </w:r>
          </w:p>
        </w:tc>
        <w:tc>
          <w:tcPr>
            <w:tcW w:w="1397" w:type="dxa"/>
            <w:gridSpan w:val="3"/>
            <w:shd w:val="clear" w:color="auto" w:fill="ECECEC"/>
            <w:vAlign w:val="center"/>
          </w:tcPr>
          <w:p w14:paraId="74607E39" w14:textId="5D517DC1"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Initial value/year</w:t>
            </w:r>
          </w:p>
        </w:tc>
        <w:tc>
          <w:tcPr>
            <w:tcW w:w="1416" w:type="dxa"/>
            <w:shd w:val="clear" w:color="auto" w:fill="ECECEC"/>
            <w:vAlign w:val="center"/>
          </w:tcPr>
          <w:p w14:paraId="34D736FC" w14:textId="538B4639"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Target value 2030</w:t>
            </w:r>
          </w:p>
        </w:tc>
        <w:tc>
          <w:tcPr>
            <w:tcW w:w="2275" w:type="dxa"/>
            <w:gridSpan w:val="4"/>
            <w:shd w:val="clear" w:color="auto" w:fill="ECECEC"/>
            <w:vAlign w:val="center"/>
          </w:tcPr>
          <w:p w14:paraId="3F653923" w14:textId="56BF1EEE"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Relevant Institution</w:t>
            </w:r>
          </w:p>
        </w:tc>
        <w:tc>
          <w:tcPr>
            <w:tcW w:w="2459" w:type="dxa"/>
            <w:gridSpan w:val="2"/>
            <w:shd w:val="clear" w:color="auto" w:fill="ECECEC"/>
            <w:vAlign w:val="center"/>
          </w:tcPr>
          <w:p w14:paraId="294DDA85" w14:textId="3F1495D8"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Source of verification</w:t>
            </w:r>
          </w:p>
        </w:tc>
      </w:tr>
      <w:tr w:rsidR="00D30238" w:rsidRPr="001053DB" w14:paraId="2C93E57F" w14:textId="77777777" w:rsidTr="002A789B">
        <w:trPr>
          <w:gridAfter w:val="1"/>
          <w:wAfter w:w="15" w:type="dxa"/>
          <w:cantSplit/>
          <w:trHeight w:val="1701"/>
          <w:tblCellSpacing w:w="15" w:type="dxa"/>
          <w:jc w:val="center"/>
        </w:trPr>
        <w:tc>
          <w:tcPr>
            <w:tcW w:w="2033" w:type="dxa"/>
            <w:gridSpan w:val="2"/>
            <w:vAlign w:val="center"/>
          </w:tcPr>
          <w:p w14:paraId="5D345673" w14:textId="21D0B865" w:rsidR="00857906" w:rsidRPr="001A6BBC" w:rsidRDefault="001A6BBC" w:rsidP="002A789B">
            <w:pPr>
              <w:spacing w:after="0" w:line="240" w:lineRule="auto"/>
              <w:ind w:left="57"/>
              <w:rPr>
                <w:rFonts w:ascii="Times New Roman" w:eastAsia="Times New Roman" w:hAnsi="Times New Roman" w:cs="Times New Roman"/>
                <w:b/>
                <w:bCs/>
                <w:lang w:val="en-US"/>
              </w:rPr>
            </w:pPr>
            <w:r>
              <w:rPr>
                <w:rFonts w:ascii="Times New Roman" w:eastAsia="Times New Roman" w:hAnsi="Times New Roman" w:cs="Times New Roman"/>
                <w:b/>
                <w:bCs/>
                <w:lang w:val="en-US"/>
              </w:rPr>
              <w:lastRenderedPageBreak/>
              <w:t>Measure</w:t>
            </w:r>
            <w:r w:rsidR="00857906" w:rsidRPr="001053DB">
              <w:rPr>
                <w:rFonts w:ascii="Times New Roman" w:eastAsia="Times New Roman" w:hAnsi="Times New Roman" w:cs="Times New Roman"/>
                <w:b/>
                <w:bCs/>
                <w:lang w:val="sr-Cyrl-CS"/>
              </w:rPr>
              <w:t xml:space="preserve"> 1.1:</w:t>
            </w:r>
            <w:r w:rsidR="00857906" w:rsidRPr="001053DB">
              <w:rPr>
                <w:rFonts w:ascii="Times New Roman" w:eastAsia="Times New Roman" w:hAnsi="Times New Roman" w:cs="Times New Roman"/>
                <w:lang w:val="sr-Cyrl-CS"/>
              </w:rPr>
              <w:t xml:space="preserve"> </w:t>
            </w:r>
            <w:r>
              <w:rPr>
                <w:rFonts w:ascii="Times New Roman" w:eastAsia="Times New Roman" w:hAnsi="Times New Roman" w:cs="Times New Roman"/>
                <w:lang w:val="en-US"/>
              </w:rPr>
              <w:t>Improvement of the programme budget and medium-term expenditure framework</w:t>
            </w:r>
          </w:p>
        </w:tc>
        <w:tc>
          <w:tcPr>
            <w:tcW w:w="2580" w:type="dxa"/>
            <w:vAlign w:val="center"/>
          </w:tcPr>
          <w:p w14:paraId="3BE56274" w14:textId="1DF5C61E" w:rsidR="00857906" w:rsidRPr="001053DB" w:rsidRDefault="001A6BBC" w:rsidP="002A789B">
            <w:pPr>
              <w:spacing w:after="0" w:line="240" w:lineRule="auto"/>
              <w:ind w:left="57"/>
              <w:rPr>
                <w:rFonts w:ascii="Times New Roman" w:eastAsia="Times New Roman" w:hAnsi="Times New Roman" w:cs="Times New Roman"/>
                <w:b/>
                <w:bCs/>
                <w:lang w:val="sr-Cyrl-CS"/>
              </w:rPr>
            </w:pPr>
            <w:r>
              <w:rPr>
                <w:rFonts w:ascii="Times New Roman" w:eastAsia="Times New Roman" w:hAnsi="Times New Roman" w:cs="Times New Roman"/>
                <w:lang w:val="en-US"/>
              </w:rPr>
              <w:t>Percentage of healthcare institutions applying the programme budget</w:t>
            </w:r>
            <w:r w:rsidR="00591125" w:rsidRPr="001053DB">
              <w:rPr>
                <w:rFonts w:ascii="Times New Roman" w:eastAsia="Times New Roman" w:hAnsi="Times New Roman" w:cs="Times New Roman"/>
                <w:lang w:val="sr-Cyrl-CS"/>
              </w:rPr>
              <w:t xml:space="preserve"> (%)</w:t>
            </w:r>
          </w:p>
        </w:tc>
        <w:tc>
          <w:tcPr>
            <w:tcW w:w="1397" w:type="dxa"/>
            <w:gridSpan w:val="3"/>
            <w:vAlign w:val="center"/>
          </w:tcPr>
          <w:p w14:paraId="69FECC76" w14:textId="77777777" w:rsidR="00857906" w:rsidRPr="001053DB" w:rsidRDefault="00857906" w:rsidP="002A789B">
            <w:pPr>
              <w:spacing w:after="0" w:line="240" w:lineRule="auto"/>
              <w:jc w:val="center"/>
              <w:rPr>
                <w:rFonts w:ascii="Times New Roman" w:eastAsia="Times New Roman" w:hAnsi="Times New Roman" w:cs="Times New Roman"/>
                <w:b/>
                <w:bCs/>
                <w:lang w:val="sr-Cyrl-CS"/>
              </w:rPr>
            </w:pPr>
            <w:r w:rsidRPr="001053DB">
              <w:rPr>
                <w:rFonts w:ascii="Times New Roman" w:eastAsia="Times New Roman" w:hAnsi="Times New Roman" w:cs="Times New Roman"/>
                <w:lang w:val="sr-Cyrl-CS"/>
              </w:rPr>
              <w:t>0 (2025)</w:t>
            </w:r>
          </w:p>
        </w:tc>
        <w:tc>
          <w:tcPr>
            <w:tcW w:w="1416" w:type="dxa"/>
            <w:vAlign w:val="center"/>
          </w:tcPr>
          <w:p w14:paraId="6EF6C047" w14:textId="77777777" w:rsidR="00857906" w:rsidRPr="001053DB" w:rsidRDefault="00857906"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100</w:t>
            </w:r>
          </w:p>
        </w:tc>
        <w:tc>
          <w:tcPr>
            <w:tcW w:w="2275" w:type="dxa"/>
            <w:gridSpan w:val="4"/>
            <w:vAlign w:val="center"/>
          </w:tcPr>
          <w:p w14:paraId="0B3B55D6" w14:textId="6E33AF25" w:rsidR="00857906" w:rsidRPr="001053DB" w:rsidRDefault="00526160" w:rsidP="002A789B">
            <w:pPr>
              <w:spacing w:after="0" w:line="240" w:lineRule="auto"/>
              <w:jc w:val="center"/>
              <w:rPr>
                <w:rFonts w:ascii="Times New Roman" w:eastAsia="Times New Roman" w:hAnsi="Times New Roman" w:cs="Times New Roman"/>
                <w:b/>
                <w:bCs/>
                <w:lang w:val="sr-Cyrl-CS"/>
              </w:rPr>
            </w:pPr>
            <w:r>
              <w:rPr>
                <w:rFonts w:ascii="Times New Roman" w:eastAsia="Times New Roman" w:hAnsi="Times New Roman" w:cs="Times New Roman"/>
                <w:lang w:val="en-US"/>
              </w:rPr>
              <w:t>Ministry of Finance</w:t>
            </w:r>
          </w:p>
        </w:tc>
        <w:tc>
          <w:tcPr>
            <w:tcW w:w="2459" w:type="dxa"/>
            <w:gridSpan w:val="2"/>
            <w:vAlign w:val="center"/>
          </w:tcPr>
          <w:p w14:paraId="7E58B7E6" w14:textId="0E424DFD" w:rsidR="00857906" w:rsidRPr="001A6BBC" w:rsidRDefault="001A6BBC" w:rsidP="002A789B">
            <w:pPr>
              <w:spacing w:after="0" w:line="240" w:lineRule="auto"/>
              <w:jc w:val="center"/>
              <w:rPr>
                <w:rFonts w:ascii="Times New Roman" w:eastAsia="Times New Roman" w:hAnsi="Times New Roman" w:cs="Times New Roman"/>
                <w:b/>
                <w:bCs/>
                <w:lang w:val="en-US"/>
              </w:rPr>
            </w:pPr>
            <w:r>
              <w:rPr>
                <w:rFonts w:ascii="Times New Roman" w:eastAsia="Times New Roman" w:hAnsi="Times New Roman" w:cs="Times New Roman"/>
                <w:lang w:val="en-US"/>
              </w:rPr>
              <w:t>Software for budget preparation of healthcare institutions</w:t>
            </w:r>
          </w:p>
        </w:tc>
      </w:tr>
      <w:tr w:rsidR="00D30238" w:rsidRPr="001053DB" w14:paraId="2D4FE63E" w14:textId="77777777" w:rsidTr="002A789B">
        <w:trPr>
          <w:gridAfter w:val="1"/>
          <w:wAfter w:w="15" w:type="dxa"/>
          <w:cantSplit/>
          <w:trHeight w:val="1701"/>
          <w:tblCellSpacing w:w="15" w:type="dxa"/>
          <w:jc w:val="center"/>
        </w:trPr>
        <w:tc>
          <w:tcPr>
            <w:tcW w:w="2033" w:type="dxa"/>
            <w:gridSpan w:val="2"/>
            <w:vAlign w:val="center"/>
          </w:tcPr>
          <w:p w14:paraId="40D80530" w14:textId="58C19A0C" w:rsidR="00F84BAF" w:rsidRPr="001A6BBC" w:rsidRDefault="001A6BBC" w:rsidP="002A789B">
            <w:pPr>
              <w:spacing w:after="0" w:line="240" w:lineRule="auto"/>
              <w:ind w:left="57"/>
              <w:rPr>
                <w:rFonts w:ascii="Times New Roman" w:eastAsia="Times New Roman" w:hAnsi="Times New Roman" w:cs="Times New Roman"/>
                <w:lang w:val="en-US"/>
              </w:rPr>
            </w:pPr>
            <w:r>
              <w:rPr>
                <w:rFonts w:ascii="Times New Roman" w:eastAsia="Times New Roman" w:hAnsi="Times New Roman" w:cs="Times New Roman"/>
                <w:b/>
                <w:bCs/>
                <w:lang w:val="en-US"/>
              </w:rPr>
              <w:t>Measure</w:t>
            </w:r>
            <w:r w:rsidR="00F84BAF" w:rsidRPr="001053DB">
              <w:rPr>
                <w:rFonts w:ascii="Times New Roman" w:eastAsia="Times New Roman" w:hAnsi="Times New Roman" w:cs="Times New Roman"/>
                <w:b/>
                <w:bCs/>
                <w:lang w:val="sr-Cyrl-CS"/>
              </w:rPr>
              <w:t xml:space="preserve"> 1.2:</w:t>
            </w:r>
            <w:r w:rsidR="00F84BAF" w:rsidRPr="001053DB">
              <w:rPr>
                <w:rFonts w:ascii="Times New Roman" w:eastAsia="Times New Roman" w:hAnsi="Times New Roman" w:cs="Times New Roman"/>
                <w:lang w:val="sr-Cyrl-CS"/>
              </w:rPr>
              <w:t xml:space="preserve"> </w:t>
            </w:r>
            <w:r>
              <w:rPr>
                <w:rFonts w:ascii="Times New Roman" w:eastAsia="Times New Roman" w:hAnsi="Times New Roman" w:cs="Times New Roman"/>
                <w:lang w:val="en-US"/>
              </w:rPr>
              <w:t>Strengthening institutional capacities and improving the methodological framework for green budgeting</w:t>
            </w:r>
          </w:p>
        </w:tc>
        <w:tc>
          <w:tcPr>
            <w:tcW w:w="2580" w:type="dxa"/>
            <w:vAlign w:val="center"/>
          </w:tcPr>
          <w:p w14:paraId="3A4BEA4A" w14:textId="36DD84D0" w:rsidR="00F84BAF" w:rsidRPr="001053DB" w:rsidRDefault="001A6BBC" w:rsidP="002A789B">
            <w:pPr>
              <w:spacing w:after="0" w:line="240" w:lineRule="auto"/>
              <w:ind w:left="57"/>
              <w:rPr>
                <w:rFonts w:ascii="Times New Roman" w:eastAsia="Times New Roman" w:hAnsi="Times New Roman" w:cs="Times New Roman"/>
                <w:i/>
                <w:lang w:val="sr-Cyrl-CS"/>
              </w:rPr>
            </w:pPr>
            <w:r>
              <w:rPr>
                <w:rFonts w:ascii="Times New Roman" w:eastAsia="Times New Roman" w:hAnsi="Times New Roman" w:cs="Times New Roman"/>
                <w:lang w:val="en-US"/>
              </w:rPr>
              <w:t>Coverage of the application of the green budgeting methodology across all levels of government</w:t>
            </w:r>
            <w:r w:rsidR="00DF41D9" w:rsidRPr="001053DB">
              <w:rPr>
                <w:rFonts w:ascii="Times New Roman" w:eastAsia="Times New Roman" w:hAnsi="Times New Roman" w:cs="Times New Roman"/>
                <w:lang w:val="sr-Cyrl-CS"/>
              </w:rPr>
              <w:t xml:space="preserve"> </w:t>
            </w:r>
            <w:r w:rsidR="00591125" w:rsidRPr="001053DB">
              <w:rPr>
                <w:rFonts w:ascii="Times New Roman" w:eastAsia="Times New Roman" w:hAnsi="Times New Roman" w:cs="Times New Roman"/>
                <w:lang w:val="sr-Cyrl-CS"/>
              </w:rPr>
              <w:t>(%)</w:t>
            </w:r>
          </w:p>
        </w:tc>
        <w:tc>
          <w:tcPr>
            <w:tcW w:w="1397" w:type="dxa"/>
            <w:gridSpan w:val="3"/>
            <w:vAlign w:val="center"/>
          </w:tcPr>
          <w:p w14:paraId="0D67E949" w14:textId="77777777" w:rsidR="00F84BAF" w:rsidRPr="001053DB" w:rsidRDefault="00857906"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50 (2025)</w:t>
            </w:r>
          </w:p>
        </w:tc>
        <w:tc>
          <w:tcPr>
            <w:tcW w:w="1416" w:type="dxa"/>
            <w:vAlign w:val="center"/>
          </w:tcPr>
          <w:p w14:paraId="666D452C" w14:textId="77777777" w:rsidR="00F84BAF" w:rsidRPr="001053DB" w:rsidRDefault="00857906"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100</w:t>
            </w:r>
          </w:p>
        </w:tc>
        <w:tc>
          <w:tcPr>
            <w:tcW w:w="2275" w:type="dxa"/>
            <w:gridSpan w:val="4"/>
            <w:vAlign w:val="center"/>
          </w:tcPr>
          <w:p w14:paraId="090396E8" w14:textId="712BD308" w:rsidR="00F84BAF" w:rsidRPr="001053DB" w:rsidRDefault="00526160"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w:t>
            </w:r>
          </w:p>
        </w:tc>
        <w:tc>
          <w:tcPr>
            <w:tcW w:w="2459" w:type="dxa"/>
            <w:gridSpan w:val="2"/>
            <w:vAlign w:val="center"/>
          </w:tcPr>
          <w:p w14:paraId="69C107AA" w14:textId="35BCFC43" w:rsidR="00F84BAF" w:rsidRPr="001053DB" w:rsidRDefault="002B665C"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 report</w:t>
            </w:r>
          </w:p>
        </w:tc>
      </w:tr>
      <w:tr w:rsidR="00D30238" w:rsidRPr="001053DB" w14:paraId="738E647B" w14:textId="77777777" w:rsidTr="002A789B">
        <w:trPr>
          <w:gridAfter w:val="1"/>
          <w:wAfter w:w="15" w:type="dxa"/>
          <w:cantSplit/>
          <w:trHeight w:val="1701"/>
          <w:tblCellSpacing w:w="15" w:type="dxa"/>
          <w:jc w:val="center"/>
        </w:trPr>
        <w:tc>
          <w:tcPr>
            <w:tcW w:w="2033" w:type="dxa"/>
            <w:gridSpan w:val="2"/>
            <w:vAlign w:val="center"/>
          </w:tcPr>
          <w:p w14:paraId="6D40980F" w14:textId="08FFAD3E" w:rsidR="00F84BAF" w:rsidRPr="001A6BBC" w:rsidRDefault="001A6BBC" w:rsidP="002A789B">
            <w:pPr>
              <w:spacing w:after="0" w:line="240" w:lineRule="auto"/>
              <w:ind w:left="57"/>
              <w:rPr>
                <w:rFonts w:ascii="Times New Roman" w:eastAsia="Times New Roman" w:hAnsi="Times New Roman" w:cs="Times New Roman"/>
                <w:lang w:val="en-US"/>
              </w:rPr>
            </w:pPr>
            <w:r>
              <w:rPr>
                <w:rFonts w:ascii="Times New Roman" w:eastAsia="Times New Roman" w:hAnsi="Times New Roman" w:cs="Times New Roman"/>
                <w:b/>
                <w:bCs/>
                <w:lang w:val="en-US"/>
              </w:rPr>
              <w:t>Measure</w:t>
            </w:r>
            <w:r w:rsidR="00F84BAF" w:rsidRPr="001053DB">
              <w:rPr>
                <w:rFonts w:ascii="Times New Roman" w:eastAsia="Times New Roman" w:hAnsi="Times New Roman" w:cs="Times New Roman"/>
                <w:b/>
                <w:bCs/>
                <w:lang w:val="sr-Cyrl-CS"/>
              </w:rPr>
              <w:t xml:space="preserve"> 1.3:</w:t>
            </w:r>
            <w:r w:rsidR="00F84BAF" w:rsidRPr="001053DB">
              <w:rPr>
                <w:rFonts w:ascii="Times New Roman" w:eastAsia="Times New Roman" w:hAnsi="Times New Roman" w:cs="Times New Roman"/>
                <w:lang w:val="sr-Cyrl-CS"/>
              </w:rPr>
              <w:t xml:space="preserve"> </w:t>
            </w:r>
            <w:r>
              <w:rPr>
                <w:rFonts w:ascii="Times New Roman" w:eastAsia="Times New Roman" w:hAnsi="Times New Roman" w:cs="Times New Roman"/>
                <w:lang w:val="en-US"/>
              </w:rPr>
              <w:t>Harmonization of the budget process in the Republic of Serbia with the budget process in the European Union</w:t>
            </w:r>
          </w:p>
        </w:tc>
        <w:tc>
          <w:tcPr>
            <w:tcW w:w="2580" w:type="dxa"/>
            <w:vAlign w:val="center"/>
          </w:tcPr>
          <w:p w14:paraId="621678D9" w14:textId="721A7D32" w:rsidR="00F84BAF" w:rsidRPr="001053DB" w:rsidRDefault="001A6BBC" w:rsidP="002A789B">
            <w:pPr>
              <w:spacing w:after="0" w:line="240" w:lineRule="auto"/>
              <w:ind w:left="57"/>
              <w:rPr>
                <w:rFonts w:ascii="Times New Roman" w:eastAsia="Times New Roman" w:hAnsi="Times New Roman" w:cs="Times New Roman"/>
                <w:i/>
                <w:lang w:val="sr-Cyrl-CS"/>
              </w:rPr>
            </w:pPr>
            <w:r>
              <w:rPr>
                <w:rFonts w:ascii="Times New Roman" w:hAnsi="Times New Roman" w:cs="Times New Roman"/>
                <w:lang w:val="en-US"/>
              </w:rPr>
              <w:t>Percentage of trained budget analysts in the Ministry of Finance</w:t>
            </w:r>
            <w:r w:rsidRPr="001053DB">
              <w:rPr>
                <w:rFonts w:ascii="Times New Roman" w:eastAsia="Times New Roman" w:hAnsi="Times New Roman" w:cs="Times New Roman"/>
                <w:lang w:val="sr-Cyrl-CS"/>
              </w:rPr>
              <w:t xml:space="preserve"> </w:t>
            </w:r>
            <w:r w:rsidR="00591125" w:rsidRPr="001053DB">
              <w:rPr>
                <w:rFonts w:ascii="Times New Roman" w:eastAsia="Times New Roman" w:hAnsi="Times New Roman" w:cs="Times New Roman"/>
                <w:lang w:val="sr-Cyrl-CS"/>
              </w:rPr>
              <w:t>(%)</w:t>
            </w:r>
          </w:p>
        </w:tc>
        <w:tc>
          <w:tcPr>
            <w:tcW w:w="1397" w:type="dxa"/>
            <w:gridSpan w:val="3"/>
            <w:vAlign w:val="center"/>
          </w:tcPr>
          <w:p w14:paraId="13271159" w14:textId="77777777" w:rsidR="00F84BAF" w:rsidRPr="001053DB" w:rsidRDefault="00AE1E64"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 (2025)</w:t>
            </w:r>
          </w:p>
        </w:tc>
        <w:tc>
          <w:tcPr>
            <w:tcW w:w="1416" w:type="dxa"/>
            <w:vAlign w:val="center"/>
          </w:tcPr>
          <w:p w14:paraId="5CD1481D" w14:textId="77777777" w:rsidR="00F84BAF" w:rsidRPr="001053DB" w:rsidRDefault="00AE1E64"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100</w:t>
            </w:r>
          </w:p>
        </w:tc>
        <w:tc>
          <w:tcPr>
            <w:tcW w:w="2275" w:type="dxa"/>
            <w:gridSpan w:val="4"/>
            <w:vAlign w:val="center"/>
          </w:tcPr>
          <w:p w14:paraId="63C876FF" w14:textId="2EF54ABE" w:rsidR="00F84BAF" w:rsidRPr="001053DB" w:rsidRDefault="00526160"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w:t>
            </w:r>
          </w:p>
        </w:tc>
        <w:tc>
          <w:tcPr>
            <w:tcW w:w="2459" w:type="dxa"/>
            <w:gridSpan w:val="2"/>
            <w:vAlign w:val="center"/>
          </w:tcPr>
          <w:p w14:paraId="1C89F526" w14:textId="690B6AFC"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Ministry of Finance report</w:t>
            </w:r>
          </w:p>
        </w:tc>
      </w:tr>
      <w:tr w:rsidR="00D30238" w:rsidRPr="001053DB" w14:paraId="7983190B" w14:textId="77777777" w:rsidTr="00D53FD7">
        <w:trPr>
          <w:gridAfter w:val="1"/>
          <w:wAfter w:w="15" w:type="dxa"/>
          <w:cantSplit/>
          <w:trHeight w:val="1701"/>
          <w:tblCellSpacing w:w="15" w:type="dxa"/>
          <w:jc w:val="center"/>
        </w:trPr>
        <w:tc>
          <w:tcPr>
            <w:tcW w:w="2033" w:type="dxa"/>
            <w:gridSpan w:val="2"/>
            <w:vAlign w:val="center"/>
          </w:tcPr>
          <w:p w14:paraId="38B1ACEF" w14:textId="712B80E2" w:rsidR="00F84BAF" w:rsidRPr="001A6BBC" w:rsidRDefault="001A6BBC" w:rsidP="002A789B">
            <w:pPr>
              <w:spacing w:after="0" w:line="240" w:lineRule="auto"/>
              <w:ind w:left="57"/>
              <w:rPr>
                <w:rFonts w:ascii="Times New Roman" w:eastAsia="Times New Roman" w:hAnsi="Times New Roman" w:cs="Times New Roman"/>
                <w:lang w:val="en-US"/>
              </w:rPr>
            </w:pPr>
            <w:r>
              <w:rPr>
                <w:rFonts w:ascii="Times New Roman" w:eastAsia="Times New Roman" w:hAnsi="Times New Roman" w:cs="Times New Roman"/>
                <w:b/>
                <w:bCs/>
                <w:lang w:val="en-US"/>
              </w:rPr>
              <w:t>Measure</w:t>
            </w:r>
            <w:r w:rsidR="00F84BAF" w:rsidRPr="001053DB">
              <w:rPr>
                <w:rFonts w:ascii="Times New Roman" w:eastAsia="Times New Roman" w:hAnsi="Times New Roman" w:cs="Times New Roman"/>
                <w:b/>
                <w:bCs/>
                <w:lang w:val="sr-Cyrl-CS"/>
              </w:rPr>
              <w:t xml:space="preserve"> 1.4:</w:t>
            </w:r>
            <w:r w:rsidR="00F84BAF" w:rsidRPr="001053DB">
              <w:rPr>
                <w:rFonts w:ascii="Times New Roman" w:eastAsia="Times New Roman" w:hAnsi="Times New Roman" w:cs="Times New Roman"/>
                <w:lang w:val="sr-Cyrl-CS"/>
              </w:rPr>
              <w:t xml:space="preserve"> </w:t>
            </w:r>
            <w:r>
              <w:rPr>
                <w:rFonts w:ascii="Times New Roman" w:eastAsia="Times New Roman" w:hAnsi="Times New Roman" w:cs="Times New Roman"/>
                <w:lang w:val="en-US"/>
              </w:rPr>
              <w:t>Improvement of the environment for efficient management of capital projects</w:t>
            </w:r>
          </w:p>
        </w:tc>
        <w:tc>
          <w:tcPr>
            <w:tcW w:w="2580" w:type="dxa"/>
            <w:vAlign w:val="center"/>
          </w:tcPr>
          <w:p w14:paraId="1344162F" w14:textId="41FCC541" w:rsidR="00F84BAF" w:rsidRPr="001053DB" w:rsidRDefault="001A6BBC" w:rsidP="002A789B">
            <w:pPr>
              <w:spacing w:after="0" w:line="240" w:lineRule="auto"/>
              <w:ind w:left="57"/>
              <w:rPr>
                <w:rFonts w:ascii="Times New Roman" w:eastAsia="Times New Roman" w:hAnsi="Times New Roman" w:cs="Times New Roman"/>
                <w:lang w:val="sr-Cyrl-CS"/>
              </w:rPr>
            </w:pPr>
            <w:r w:rsidRPr="00BB217D">
              <w:rPr>
                <w:rFonts w:ascii="Times New Roman" w:eastAsia="Times New Roman" w:hAnsi="Times New Roman" w:cs="Times New Roman"/>
                <w:lang w:eastAsia="en-GB"/>
              </w:rPr>
              <w:t>Percentage of capital projects included in the budget, subject to assessment and evaluated in accordance with the methodology governing capital projects</w:t>
            </w:r>
            <w:r w:rsidRPr="001053DB">
              <w:rPr>
                <w:rFonts w:ascii="Times New Roman" w:eastAsia="Times New Roman" w:hAnsi="Times New Roman" w:cs="Times New Roman"/>
                <w:lang w:val="sr-Cyrl-CS"/>
              </w:rPr>
              <w:t xml:space="preserve"> </w:t>
            </w:r>
            <w:r w:rsidR="00591125" w:rsidRPr="001053DB">
              <w:rPr>
                <w:rFonts w:ascii="Times New Roman" w:eastAsia="Times New Roman" w:hAnsi="Times New Roman" w:cs="Times New Roman"/>
                <w:lang w:val="sr-Cyrl-CS"/>
              </w:rPr>
              <w:t>(%)</w:t>
            </w:r>
          </w:p>
        </w:tc>
        <w:tc>
          <w:tcPr>
            <w:tcW w:w="1397" w:type="dxa"/>
            <w:gridSpan w:val="3"/>
            <w:vAlign w:val="center"/>
          </w:tcPr>
          <w:p w14:paraId="3613B5E2" w14:textId="77777777" w:rsidR="00F84BAF" w:rsidRPr="001053DB" w:rsidRDefault="000A3875"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60</w:t>
            </w:r>
            <w:r w:rsidR="00F84BAF" w:rsidRPr="001053DB">
              <w:rPr>
                <w:rFonts w:ascii="Times New Roman" w:eastAsia="Times New Roman" w:hAnsi="Times New Roman" w:cs="Times New Roman"/>
                <w:lang w:val="sr-Cyrl-CS"/>
              </w:rPr>
              <w:t xml:space="preserve"> (2025)</w:t>
            </w:r>
          </w:p>
        </w:tc>
        <w:tc>
          <w:tcPr>
            <w:tcW w:w="1416" w:type="dxa"/>
            <w:vAlign w:val="center"/>
          </w:tcPr>
          <w:p w14:paraId="2D356A68" w14:textId="23058039" w:rsidR="00F84BAF" w:rsidRPr="001053DB" w:rsidRDefault="00D53FD7"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90 (2028)</w:t>
            </w:r>
          </w:p>
        </w:tc>
        <w:tc>
          <w:tcPr>
            <w:tcW w:w="2275" w:type="dxa"/>
            <w:gridSpan w:val="4"/>
            <w:vAlign w:val="center"/>
          </w:tcPr>
          <w:p w14:paraId="753FE04F" w14:textId="479E7392" w:rsidR="00F84BAF" w:rsidRPr="001053DB" w:rsidRDefault="00526160"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w:t>
            </w:r>
          </w:p>
        </w:tc>
        <w:tc>
          <w:tcPr>
            <w:tcW w:w="2459" w:type="dxa"/>
            <w:gridSpan w:val="2"/>
            <w:vAlign w:val="center"/>
          </w:tcPr>
          <w:p w14:paraId="2E8D304F" w14:textId="5E66E076" w:rsidR="00F84BAF" w:rsidRPr="001A6BBC" w:rsidRDefault="001A6BB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Budget law</w:t>
            </w:r>
            <w:r w:rsidR="00F84BAF" w:rsidRPr="001053DB">
              <w:rPr>
                <w:rFonts w:ascii="Times New Roman" w:eastAsia="Times New Roman" w:hAnsi="Times New Roman" w:cs="Times New Roman"/>
                <w:lang w:val="sr-Cyrl-CS"/>
              </w:rPr>
              <w:t xml:space="preserve"> / </w:t>
            </w:r>
            <w:r>
              <w:rPr>
                <w:rFonts w:ascii="Times New Roman" w:eastAsia="Times New Roman" w:hAnsi="Times New Roman" w:cs="Times New Roman"/>
                <w:lang w:val="en-US"/>
              </w:rPr>
              <w:t>Commission for Capital Investments</w:t>
            </w:r>
          </w:p>
        </w:tc>
      </w:tr>
      <w:tr w:rsidR="00D30238" w:rsidRPr="001053DB" w14:paraId="6D0208A2" w14:textId="77777777" w:rsidTr="002A789B">
        <w:trPr>
          <w:gridAfter w:val="1"/>
          <w:wAfter w:w="15" w:type="dxa"/>
          <w:cantSplit/>
          <w:trHeight w:val="1337"/>
          <w:tblCellSpacing w:w="15" w:type="dxa"/>
          <w:jc w:val="center"/>
        </w:trPr>
        <w:tc>
          <w:tcPr>
            <w:tcW w:w="2003" w:type="dxa"/>
            <w:vMerge w:val="restart"/>
            <w:vAlign w:val="center"/>
          </w:tcPr>
          <w:p w14:paraId="3564ACBD" w14:textId="11A50E01" w:rsidR="00F84BAF" w:rsidRPr="001A6BBC" w:rsidRDefault="001A6BBC" w:rsidP="002A789B">
            <w:pPr>
              <w:spacing w:after="0" w:line="240" w:lineRule="auto"/>
              <w:ind w:left="57"/>
              <w:rPr>
                <w:rFonts w:ascii="Times New Roman" w:eastAsia="Times New Roman" w:hAnsi="Times New Roman" w:cs="Times New Roman"/>
                <w:b/>
                <w:bCs/>
                <w:lang w:val="en-US"/>
              </w:rPr>
            </w:pPr>
            <w:r>
              <w:rPr>
                <w:rFonts w:ascii="Times New Roman" w:eastAsia="Times New Roman" w:hAnsi="Times New Roman" w:cs="Times New Roman"/>
                <w:b/>
                <w:bCs/>
                <w:lang w:val="en-US"/>
              </w:rPr>
              <w:t>Measure</w:t>
            </w:r>
            <w:r w:rsidR="00F84BAF" w:rsidRPr="001053DB">
              <w:rPr>
                <w:rFonts w:ascii="Times New Roman" w:eastAsia="Times New Roman" w:hAnsi="Times New Roman" w:cs="Times New Roman"/>
                <w:b/>
                <w:bCs/>
                <w:lang w:val="sr-Cyrl-CS"/>
              </w:rPr>
              <w:t xml:space="preserve"> 1.5:</w:t>
            </w:r>
            <w:r w:rsidR="00F84BAF" w:rsidRPr="001053DB">
              <w:rPr>
                <w:rFonts w:ascii="Times New Roman" w:eastAsia="Times New Roman" w:hAnsi="Times New Roman" w:cs="Times New Roman"/>
                <w:lang w:val="sr-Cyrl-CS"/>
              </w:rPr>
              <w:t xml:space="preserve"> </w:t>
            </w:r>
            <w:r>
              <w:rPr>
                <w:rFonts w:ascii="Times New Roman" w:eastAsia="Times New Roman" w:hAnsi="Times New Roman" w:cs="Times New Roman"/>
                <w:lang w:val="en-US"/>
              </w:rPr>
              <w:t>Strengthening the capacities of the Section for fiscal risk monitoring</w:t>
            </w:r>
          </w:p>
        </w:tc>
        <w:tc>
          <w:tcPr>
            <w:tcW w:w="2610" w:type="dxa"/>
            <w:gridSpan w:val="2"/>
            <w:vAlign w:val="center"/>
          </w:tcPr>
          <w:p w14:paraId="72439E4E" w14:textId="4EDA8DC5" w:rsidR="00F84BAF" w:rsidRPr="001053DB" w:rsidRDefault="001A6BBC" w:rsidP="002A789B">
            <w:pPr>
              <w:spacing w:after="0" w:line="240" w:lineRule="auto"/>
              <w:ind w:left="57"/>
              <w:rPr>
                <w:rFonts w:ascii="Times New Roman" w:eastAsia="Times New Roman" w:hAnsi="Times New Roman" w:cs="Times New Roman"/>
                <w:b/>
                <w:bCs/>
                <w:lang w:val="sr-Cyrl-CS"/>
              </w:rPr>
            </w:pPr>
            <w:r>
              <w:rPr>
                <w:rFonts w:ascii="Times New Roman" w:hAnsi="Times New Roman" w:cs="Times New Roman"/>
                <w:lang w:val="en-US"/>
              </w:rPr>
              <w:t>Published report on fiscal risks</w:t>
            </w:r>
          </w:p>
        </w:tc>
        <w:tc>
          <w:tcPr>
            <w:tcW w:w="1397" w:type="dxa"/>
            <w:gridSpan w:val="3"/>
            <w:vAlign w:val="center"/>
          </w:tcPr>
          <w:p w14:paraId="271D19C3" w14:textId="0F619922" w:rsidR="00F84BAF" w:rsidRPr="001053DB" w:rsidRDefault="002B665C" w:rsidP="002A789B">
            <w:pPr>
              <w:spacing w:after="0" w:line="240" w:lineRule="auto"/>
              <w:jc w:val="center"/>
              <w:rPr>
                <w:rFonts w:ascii="Times New Roman" w:eastAsia="Times New Roman" w:hAnsi="Times New Roman" w:cs="Times New Roman"/>
                <w:bCs/>
                <w:lang w:val="sr-Cyrl-CS"/>
              </w:rPr>
            </w:pPr>
            <w:r>
              <w:rPr>
                <w:rFonts w:ascii="Times New Roman" w:eastAsia="Times New Roman" w:hAnsi="Times New Roman" w:cs="Times New Roman"/>
                <w:bCs/>
                <w:lang w:val="en-US"/>
              </w:rPr>
              <w:t>No</w:t>
            </w:r>
            <w:r w:rsidR="00A10B75" w:rsidRPr="001053DB">
              <w:rPr>
                <w:rFonts w:ascii="Times New Roman" w:eastAsia="Times New Roman" w:hAnsi="Times New Roman" w:cs="Times New Roman"/>
                <w:bCs/>
                <w:lang w:val="sr-Cyrl-CS"/>
              </w:rPr>
              <w:t xml:space="preserve"> (202</w:t>
            </w:r>
            <w:r w:rsidR="0079145D" w:rsidRPr="001053DB">
              <w:rPr>
                <w:rFonts w:ascii="Times New Roman" w:eastAsia="Times New Roman" w:hAnsi="Times New Roman" w:cs="Times New Roman"/>
                <w:bCs/>
                <w:lang w:val="sr-Cyrl-CS"/>
              </w:rPr>
              <w:t>5</w:t>
            </w:r>
            <w:r w:rsidR="00A10B75" w:rsidRPr="001053DB">
              <w:rPr>
                <w:rFonts w:ascii="Times New Roman" w:eastAsia="Times New Roman" w:hAnsi="Times New Roman" w:cs="Times New Roman"/>
                <w:bCs/>
                <w:lang w:val="sr-Cyrl-CS"/>
              </w:rPr>
              <w:t>)</w:t>
            </w:r>
          </w:p>
        </w:tc>
        <w:tc>
          <w:tcPr>
            <w:tcW w:w="1456" w:type="dxa"/>
            <w:gridSpan w:val="2"/>
            <w:vAlign w:val="center"/>
          </w:tcPr>
          <w:p w14:paraId="22721865" w14:textId="08020D88" w:rsidR="00F84BAF" w:rsidRPr="002B665C" w:rsidRDefault="002B665C" w:rsidP="002A789B">
            <w:pPr>
              <w:spacing w:after="0" w:line="240" w:lineRule="auto"/>
              <w:jc w:val="center"/>
              <w:rPr>
                <w:rFonts w:ascii="Times New Roman" w:eastAsia="Times New Roman" w:hAnsi="Times New Roman" w:cs="Times New Roman"/>
                <w:bCs/>
                <w:lang w:val="en-US"/>
              </w:rPr>
            </w:pPr>
            <w:r>
              <w:rPr>
                <w:rFonts w:ascii="Times New Roman" w:eastAsia="Times New Roman" w:hAnsi="Times New Roman" w:cs="Times New Roman"/>
                <w:bCs/>
                <w:lang w:val="en-US"/>
              </w:rPr>
              <w:t>Yes</w:t>
            </w:r>
          </w:p>
        </w:tc>
        <w:tc>
          <w:tcPr>
            <w:tcW w:w="2205" w:type="dxa"/>
            <w:gridSpan w:val="2"/>
            <w:vAlign w:val="center"/>
          </w:tcPr>
          <w:p w14:paraId="0E1EAA45" w14:textId="1FCBDC87" w:rsidR="00F84BAF" w:rsidRPr="001053DB" w:rsidRDefault="00526160" w:rsidP="002A789B">
            <w:pPr>
              <w:spacing w:after="0" w:line="240" w:lineRule="auto"/>
              <w:jc w:val="center"/>
              <w:rPr>
                <w:rFonts w:ascii="Times New Roman" w:eastAsia="Times New Roman" w:hAnsi="Times New Roman" w:cs="Times New Roman"/>
                <w:b/>
                <w:bCs/>
                <w:lang w:val="sr-Cyrl-CS"/>
              </w:rPr>
            </w:pPr>
            <w:r>
              <w:rPr>
                <w:rFonts w:ascii="Times New Roman" w:eastAsia="Times New Roman" w:hAnsi="Times New Roman" w:cs="Times New Roman"/>
                <w:lang w:val="en-US"/>
              </w:rPr>
              <w:t>Ministry of Finance</w:t>
            </w:r>
          </w:p>
        </w:tc>
        <w:tc>
          <w:tcPr>
            <w:tcW w:w="2489" w:type="dxa"/>
            <w:gridSpan w:val="3"/>
            <w:vAlign w:val="center"/>
          </w:tcPr>
          <w:p w14:paraId="4976C8CC" w14:textId="14EF7992" w:rsidR="00F84BAF" w:rsidRPr="001053DB" w:rsidRDefault="002B665C" w:rsidP="002A789B">
            <w:pPr>
              <w:spacing w:after="0" w:line="240" w:lineRule="auto"/>
              <w:jc w:val="center"/>
              <w:rPr>
                <w:rFonts w:ascii="Times New Roman" w:eastAsia="Times New Roman" w:hAnsi="Times New Roman" w:cs="Times New Roman"/>
                <w:b/>
                <w:bCs/>
                <w:lang w:val="sr-Cyrl-CS"/>
              </w:rPr>
            </w:pPr>
            <w:r>
              <w:rPr>
                <w:rFonts w:ascii="Times New Roman" w:eastAsia="Times New Roman" w:hAnsi="Times New Roman" w:cs="Times New Roman"/>
                <w:lang w:val="en-US"/>
              </w:rPr>
              <w:t>Ministry of Finance website</w:t>
            </w:r>
          </w:p>
        </w:tc>
      </w:tr>
      <w:tr w:rsidR="00D30238" w:rsidRPr="001053DB" w14:paraId="2D382128" w14:textId="77777777" w:rsidTr="002A789B">
        <w:trPr>
          <w:gridAfter w:val="1"/>
          <w:wAfter w:w="15" w:type="dxa"/>
          <w:cantSplit/>
          <w:tblCellSpacing w:w="15" w:type="dxa"/>
          <w:jc w:val="center"/>
        </w:trPr>
        <w:tc>
          <w:tcPr>
            <w:tcW w:w="2003" w:type="dxa"/>
            <w:vMerge/>
            <w:vAlign w:val="center"/>
          </w:tcPr>
          <w:p w14:paraId="0212167B" w14:textId="77777777" w:rsidR="00F84BAF" w:rsidRPr="001053DB" w:rsidRDefault="00F84BAF" w:rsidP="002A789B">
            <w:pPr>
              <w:spacing w:after="0" w:line="240" w:lineRule="auto"/>
              <w:ind w:left="57"/>
              <w:rPr>
                <w:rFonts w:ascii="Times New Roman" w:eastAsia="Times New Roman" w:hAnsi="Times New Roman" w:cs="Times New Roman"/>
                <w:b/>
                <w:bCs/>
                <w:lang w:val="sr-Cyrl-CS"/>
              </w:rPr>
            </w:pPr>
          </w:p>
        </w:tc>
        <w:tc>
          <w:tcPr>
            <w:tcW w:w="2610" w:type="dxa"/>
            <w:gridSpan w:val="2"/>
            <w:vAlign w:val="center"/>
          </w:tcPr>
          <w:p w14:paraId="0AF52841" w14:textId="02F7D95F" w:rsidR="00F84BAF" w:rsidRPr="001053DB" w:rsidRDefault="001A6BBC" w:rsidP="002A789B">
            <w:pPr>
              <w:spacing w:after="0" w:line="240" w:lineRule="auto"/>
              <w:ind w:left="57"/>
              <w:rPr>
                <w:rFonts w:ascii="Times New Roman" w:eastAsia="Times New Roman" w:hAnsi="Times New Roman" w:cs="Times New Roman"/>
                <w:lang w:val="sr-Cyrl-CS"/>
              </w:rPr>
            </w:pPr>
            <w:r w:rsidRPr="003368B3">
              <w:rPr>
                <w:rFonts w:ascii="Times New Roman" w:hAnsi="Times New Roman" w:cs="Times New Roman"/>
              </w:rPr>
              <w:t>Amendments</w:t>
            </w:r>
            <w:r>
              <w:rPr>
                <w:rFonts w:ascii="Times New Roman" w:hAnsi="Times New Roman" w:cs="Times New Roman"/>
                <w:lang w:val="en-US"/>
              </w:rPr>
              <w:t xml:space="preserve"> and additions</w:t>
            </w:r>
            <w:r w:rsidRPr="003368B3">
              <w:rPr>
                <w:rFonts w:ascii="Times New Roman" w:hAnsi="Times New Roman" w:cs="Times New Roman"/>
              </w:rPr>
              <w:t xml:space="preserve"> of the Unified Methodology for Monitoring Fiscal Risks in the Republic of Serbia</w:t>
            </w:r>
          </w:p>
        </w:tc>
        <w:tc>
          <w:tcPr>
            <w:tcW w:w="1397" w:type="dxa"/>
            <w:gridSpan w:val="3"/>
            <w:vAlign w:val="center"/>
          </w:tcPr>
          <w:p w14:paraId="7A160899" w14:textId="5B82B2D1" w:rsidR="00F84BAF" w:rsidRPr="001053DB" w:rsidRDefault="002B665C"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No</w:t>
            </w:r>
            <w:r w:rsidR="00A10B75" w:rsidRPr="001053DB">
              <w:rPr>
                <w:rFonts w:ascii="Times New Roman" w:eastAsia="Times New Roman" w:hAnsi="Times New Roman" w:cs="Times New Roman"/>
                <w:lang w:val="sr-Cyrl-CS"/>
              </w:rPr>
              <w:t xml:space="preserve"> (202</w:t>
            </w:r>
            <w:r w:rsidR="0079145D" w:rsidRPr="001053DB">
              <w:rPr>
                <w:rFonts w:ascii="Times New Roman" w:eastAsia="Times New Roman" w:hAnsi="Times New Roman" w:cs="Times New Roman"/>
                <w:lang w:val="sr-Cyrl-CS"/>
              </w:rPr>
              <w:t>5</w:t>
            </w:r>
            <w:r w:rsidR="00A10B75" w:rsidRPr="001053DB">
              <w:rPr>
                <w:rFonts w:ascii="Times New Roman" w:eastAsia="Times New Roman" w:hAnsi="Times New Roman" w:cs="Times New Roman"/>
                <w:lang w:val="sr-Cyrl-CS"/>
              </w:rPr>
              <w:t>)</w:t>
            </w:r>
          </w:p>
        </w:tc>
        <w:tc>
          <w:tcPr>
            <w:tcW w:w="1456" w:type="dxa"/>
            <w:gridSpan w:val="2"/>
            <w:vAlign w:val="center"/>
          </w:tcPr>
          <w:p w14:paraId="3A54D540" w14:textId="65FEA336"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Yes</w:t>
            </w:r>
          </w:p>
        </w:tc>
        <w:tc>
          <w:tcPr>
            <w:tcW w:w="2205" w:type="dxa"/>
            <w:gridSpan w:val="2"/>
            <w:vAlign w:val="center"/>
          </w:tcPr>
          <w:p w14:paraId="6385D6BC" w14:textId="77F4FA52" w:rsidR="00F84BAF" w:rsidRPr="001053DB" w:rsidRDefault="00526160"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w:t>
            </w:r>
          </w:p>
        </w:tc>
        <w:tc>
          <w:tcPr>
            <w:tcW w:w="2489" w:type="dxa"/>
            <w:gridSpan w:val="3"/>
            <w:vAlign w:val="center"/>
          </w:tcPr>
          <w:p w14:paraId="208BC603" w14:textId="22B1388A"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Ministry of Finance website</w:t>
            </w:r>
          </w:p>
        </w:tc>
      </w:tr>
      <w:tr w:rsidR="00D30238" w:rsidRPr="001053DB" w14:paraId="0FF28147" w14:textId="77777777" w:rsidTr="002A789B">
        <w:trPr>
          <w:gridAfter w:val="1"/>
          <w:wAfter w:w="15" w:type="dxa"/>
          <w:cantSplit/>
          <w:tblCellSpacing w:w="15" w:type="dxa"/>
          <w:jc w:val="center"/>
        </w:trPr>
        <w:tc>
          <w:tcPr>
            <w:tcW w:w="2003" w:type="dxa"/>
            <w:vAlign w:val="center"/>
          </w:tcPr>
          <w:p w14:paraId="5D5CBA9F" w14:textId="0E621DB8" w:rsidR="00F84BAF" w:rsidRPr="001A6BBC" w:rsidRDefault="001A6BBC" w:rsidP="002A789B">
            <w:pPr>
              <w:spacing w:after="0" w:line="240" w:lineRule="auto"/>
              <w:ind w:left="57"/>
              <w:rPr>
                <w:rFonts w:ascii="Times New Roman" w:eastAsia="Times New Roman" w:hAnsi="Times New Roman" w:cs="Times New Roman"/>
                <w:b/>
                <w:bCs/>
                <w:lang w:val="en-US"/>
              </w:rPr>
            </w:pPr>
            <w:r>
              <w:rPr>
                <w:rFonts w:ascii="Times New Roman" w:eastAsia="Times New Roman" w:hAnsi="Times New Roman" w:cs="Times New Roman"/>
                <w:b/>
                <w:bCs/>
                <w:lang w:val="en-US"/>
              </w:rPr>
              <w:t>Measure</w:t>
            </w:r>
            <w:r w:rsidR="00F84BAF" w:rsidRPr="001053DB">
              <w:rPr>
                <w:rFonts w:ascii="Times New Roman" w:eastAsia="Times New Roman" w:hAnsi="Times New Roman" w:cs="Times New Roman"/>
                <w:b/>
                <w:bCs/>
                <w:lang w:val="sr-Cyrl-CS"/>
              </w:rPr>
              <w:t xml:space="preserve"> 1.6:</w:t>
            </w:r>
            <w:r w:rsidR="00F84BAF" w:rsidRPr="001053DB">
              <w:rPr>
                <w:rFonts w:ascii="Times New Roman" w:eastAsia="Times New Roman" w:hAnsi="Times New Roman" w:cs="Times New Roman"/>
                <w:lang w:val="sr-Cyrl-CS"/>
              </w:rPr>
              <w:t xml:space="preserve"> </w:t>
            </w:r>
            <w:r>
              <w:rPr>
                <w:rFonts w:ascii="Times New Roman" w:eastAsia="Times New Roman" w:hAnsi="Times New Roman" w:cs="Times New Roman"/>
                <w:lang w:val="en-US"/>
              </w:rPr>
              <w:t>Establishment of a system for coordination and management of EU own resources</w:t>
            </w:r>
          </w:p>
        </w:tc>
        <w:tc>
          <w:tcPr>
            <w:tcW w:w="2610" w:type="dxa"/>
            <w:gridSpan w:val="2"/>
            <w:vAlign w:val="center"/>
          </w:tcPr>
          <w:p w14:paraId="49703D5A" w14:textId="4AA94CE2" w:rsidR="00F84BAF" w:rsidRPr="001053DB" w:rsidRDefault="001A6BBC" w:rsidP="002A789B">
            <w:pPr>
              <w:spacing w:after="0" w:line="240" w:lineRule="auto"/>
              <w:ind w:left="57"/>
              <w:rPr>
                <w:rFonts w:ascii="Times New Roman" w:eastAsia="Times New Roman" w:hAnsi="Times New Roman" w:cs="Times New Roman"/>
                <w:lang w:val="sr-Cyrl-CS"/>
              </w:rPr>
            </w:pPr>
            <w:r w:rsidRPr="0065561F">
              <w:rPr>
                <w:rFonts w:ascii="Times New Roman" w:eastAsia="Times New Roman" w:hAnsi="Times New Roman" w:cs="Times New Roman"/>
                <w:bCs/>
                <w:color w:val="000000"/>
                <w:lang w:eastAsia="en-GB"/>
              </w:rPr>
              <w:t>Level of progress within Negotiation chapter 33</w:t>
            </w:r>
          </w:p>
        </w:tc>
        <w:tc>
          <w:tcPr>
            <w:tcW w:w="1397" w:type="dxa"/>
            <w:gridSpan w:val="3"/>
            <w:vAlign w:val="center"/>
          </w:tcPr>
          <w:p w14:paraId="71EE8C7F" w14:textId="215AFD55" w:rsidR="00F84BAF" w:rsidRPr="001053DB" w:rsidRDefault="001A6BBC"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No progress achieved</w:t>
            </w:r>
            <w:r w:rsidR="00F84BAF" w:rsidRPr="001053DB">
              <w:rPr>
                <w:rFonts w:ascii="Times New Roman" w:eastAsia="Times New Roman" w:hAnsi="Times New Roman" w:cs="Times New Roman"/>
                <w:lang w:val="sr-Cyrl-CS"/>
              </w:rPr>
              <w:t xml:space="preserve"> (2025)</w:t>
            </w:r>
          </w:p>
        </w:tc>
        <w:tc>
          <w:tcPr>
            <w:tcW w:w="1456" w:type="dxa"/>
            <w:gridSpan w:val="2"/>
            <w:vAlign w:val="center"/>
          </w:tcPr>
          <w:p w14:paraId="6790C611" w14:textId="3038165C" w:rsidR="00F84BAF" w:rsidRPr="001A6BBC" w:rsidRDefault="001A6BB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Some progress</w:t>
            </w:r>
          </w:p>
        </w:tc>
        <w:tc>
          <w:tcPr>
            <w:tcW w:w="2205" w:type="dxa"/>
            <w:gridSpan w:val="2"/>
            <w:vAlign w:val="center"/>
          </w:tcPr>
          <w:p w14:paraId="380B639A" w14:textId="424B9D40" w:rsidR="00F84BAF" w:rsidRPr="001053DB" w:rsidRDefault="00526160"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w:t>
            </w:r>
          </w:p>
        </w:tc>
        <w:tc>
          <w:tcPr>
            <w:tcW w:w="2489" w:type="dxa"/>
            <w:gridSpan w:val="3"/>
            <w:vAlign w:val="center"/>
          </w:tcPr>
          <w:p w14:paraId="27F8D43A" w14:textId="581D916E"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EC report</w:t>
            </w:r>
          </w:p>
        </w:tc>
      </w:tr>
      <w:tr w:rsidR="00D30238" w:rsidRPr="001053DB" w14:paraId="6B4ADD83" w14:textId="77777777" w:rsidTr="002A789B">
        <w:trPr>
          <w:gridAfter w:val="1"/>
          <w:wAfter w:w="15" w:type="dxa"/>
          <w:cantSplit/>
          <w:tblCellSpacing w:w="15" w:type="dxa"/>
          <w:jc w:val="center"/>
        </w:trPr>
        <w:tc>
          <w:tcPr>
            <w:tcW w:w="2003" w:type="dxa"/>
            <w:vMerge w:val="restart"/>
            <w:vAlign w:val="center"/>
          </w:tcPr>
          <w:p w14:paraId="655629DA" w14:textId="51DA2C33" w:rsidR="00F84BAF" w:rsidRPr="001A6BBC" w:rsidRDefault="001A6BBC" w:rsidP="002A789B">
            <w:pPr>
              <w:spacing w:after="0" w:line="240" w:lineRule="auto"/>
              <w:ind w:left="57"/>
              <w:rPr>
                <w:rFonts w:ascii="Times New Roman" w:eastAsia="Times New Roman" w:hAnsi="Times New Roman" w:cs="Times New Roman"/>
                <w:b/>
                <w:bCs/>
                <w:lang w:val="en-US"/>
              </w:rPr>
            </w:pPr>
            <w:r>
              <w:rPr>
                <w:rFonts w:ascii="Times New Roman" w:eastAsia="Times New Roman" w:hAnsi="Times New Roman" w:cs="Times New Roman"/>
                <w:b/>
                <w:bCs/>
                <w:lang w:val="en-US"/>
              </w:rPr>
              <w:t>Measure</w:t>
            </w:r>
            <w:r w:rsidR="00F84BAF" w:rsidRPr="001053DB">
              <w:rPr>
                <w:rFonts w:ascii="Times New Roman" w:eastAsia="Times New Roman" w:hAnsi="Times New Roman" w:cs="Times New Roman"/>
                <w:b/>
                <w:bCs/>
                <w:lang w:val="sr-Cyrl-CS"/>
              </w:rPr>
              <w:t xml:space="preserve"> 1.7:</w:t>
            </w:r>
            <w:r w:rsidR="00F84BAF" w:rsidRPr="001053DB">
              <w:rPr>
                <w:rFonts w:ascii="Times New Roman" w:eastAsia="Times New Roman" w:hAnsi="Times New Roman" w:cs="Times New Roman"/>
                <w:lang w:val="sr-Cyrl-CS"/>
              </w:rPr>
              <w:t xml:space="preserve"> </w:t>
            </w:r>
            <w:r>
              <w:rPr>
                <w:rFonts w:ascii="Times New Roman" w:eastAsia="Times New Roman" w:hAnsi="Times New Roman" w:cs="Times New Roman"/>
                <w:lang w:val="en-US"/>
              </w:rPr>
              <w:t>Improvement of medium-term planning</w:t>
            </w:r>
          </w:p>
        </w:tc>
        <w:tc>
          <w:tcPr>
            <w:tcW w:w="2610" w:type="dxa"/>
            <w:gridSpan w:val="2"/>
            <w:vAlign w:val="center"/>
          </w:tcPr>
          <w:p w14:paraId="35907EB7" w14:textId="13B28F7A" w:rsidR="00F84BAF" w:rsidRPr="001053DB" w:rsidRDefault="001A6BBC" w:rsidP="002A789B">
            <w:pPr>
              <w:spacing w:after="0" w:line="240" w:lineRule="auto"/>
              <w:ind w:left="57"/>
              <w:rPr>
                <w:rFonts w:ascii="Times New Roman" w:eastAsia="Times New Roman" w:hAnsi="Times New Roman" w:cs="Times New Roman"/>
                <w:lang w:val="sr-Cyrl-CS"/>
              </w:rPr>
            </w:pPr>
            <w:r w:rsidRPr="005E74E9">
              <w:rPr>
                <w:rFonts w:ascii="Times New Roman" w:eastAsia="Times New Roman" w:hAnsi="Times New Roman" w:cs="Times New Roman"/>
                <w:color w:val="000000"/>
                <w:lang w:eastAsia="en-GB"/>
              </w:rPr>
              <w:t>Number of adopted and published medium-term plans of entities obliged to conduct medium-term planning at the republic level</w:t>
            </w:r>
          </w:p>
        </w:tc>
        <w:tc>
          <w:tcPr>
            <w:tcW w:w="1397" w:type="dxa"/>
            <w:gridSpan w:val="3"/>
            <w:vAlign w:val="center"/>
          </w:tcPr>
          <w:p w14:paraId="035A0940" w14:textId="77777777" w:rsidR="00F84BAF" w:rsidRPr="001053DB" w:rsidRDefault="00F84BAF"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29 (2025)</w:t>
            </w:r>
          </w:p>
        </w:tc>
        <w:tc>
          <w:tcPr>
            <w:tcW w:w="1456" w:type="dxa"/>
            <w:gridSpan w:val="2"/>
            <w:vAlign w:val="center"/>
          </w:tcPr>
          <w:p w14:paraId="30219CC4" w14:textId="7D3F6614" w:rsidR="00F84BAF" w:rsidRPr="001053DB" w:rsidRDefault="00717838"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3</w:t>
            </w:r>
            <w:r w:rsidR="00D43D1B" w:rsidRPr="001053DB">
              <w:rPr>
                <w:rFonts w:ascii="Times New Roman" w:eastAsia="Times New Roman" w:hAnsi="Times New Roman" w:cs="Times New Roman"/>
                <w:lang w:val="sr-Cyrl-CS"/>
              </w:rPr>
              <w:t>5</w:t>
            </w:r>
          </w:p>
        </w:tc>
        <w:tc>
          <w:tcPr>
            <w:tcW w:w="2205" w:type="dxa"/>
            <w:gridSpan w:val="2"/>
            <w:vAlign w:val="center"/>
          </w:tcPr>
          <w:p w14:paraId="1487CDBE" w14:textId="3D422096" w:rsidR="00F84BAF" w:rsidRPr="00526160" w:rsidRDefault="00526160"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Public Policy Secretariat</w:t>
            </w:r>
          </w:p>
        </w:tc>
        <w:tc>
          <w:tcPr>
            <w:tcW w:w="2489" w:type="dxa"/>
            <w:gridSpan w:val="3"/>
            <w:vAlign w:val="center"/>
          </w:tcPr>
          <w:p w14:paraId="38ECB0E4" w14:textId="7A802DE6" w:rsidR="00F84BAF" w:rsidRPr="001053DB" w:rsidRDefault="002B665C"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Websites of the institutions</w:t>
            </w:r>
          </w:p>
        </w:tc>
      </w:tr>
      <w:tr w:rsidR="00D30238" w:rsidRPr="001053DB" w14:paraId="2F918E1A" w14:textId="77777777" w:rsidTr="002A789B">
        <w:trPr>
          <w:gridAfter w:val="1"/>
          <w:wAfter w:w="15" w:type="dxa"/>
          <w:cantSplit/>
          <w:tblCellSpacing w:w="15" w:type="dxa"/>
          <w:jc w:val="center"/>
        </w:trPr>
        <w:tc>
          <w:tcPr>
            <w:tcW w:w="2003" w:type="dxa"/>
            <w:vMerge/>
            <w:vAlign w:val="center"/>
          </w:tcPr>
          <w:p w14:paraId="3220DDC1" w14:textId="77777777" w:rsidR="00F84BAF" w:rsidRPr="001053DB" w:rsidRDefault="00F84BAF" w:rsidP="002A789B">
            <w:pPr>
              <w:spacing w:after="0" w:line="240" w:lineRule="auto"/>
              <w:ind w:left="57"/>
              <w:rPr>
                <w:rFonts w:ascii="Times New Roman" w:eastAsia="Times New Roman" w:hAnsi="Times New Roman" w:cs="Times New Roman"/>
                <w:b/>
                <w:bCs/>
                <w:lang w:val="sr-Cyrl-CS"/>
              </w:rPr>
            </w:pPr>
          </w:p>
        </w:tc>
        <w:tc>
          <w:tcPr>
            <w:tcW w:w="2610" w:type="dxa"/>
            <w:gridSpan w:val="2"/>
            <w:vAlign w:val="center"/>
          </w:tcPr>
          <w:p w14:paraId="31E815FF" w14:textId="2F2CFA93" w:rsidR="00F84BAF" w:rsidRPr="001053DB" w:rsidRDefault="001A6BBC" w:rsidP="002A789B">
            <w:pPr>
              <w:spacing w:after="0" w:line="240" w:lineRule="auto"/>
              <w:ind w:left="57"/>
              <w:rPr>
                <w:rFonts w:ascii="Times New Roman" w:eastAsia="Times New Roman" w:hAnsi="Times New Roman" w:cs="Times New Roman"/>
                <w:lang w:val="sr-Cyrl-CS"/>
              </w:rPr>
            </w:pPr>
            <w:r w:rsidRPr="005E74E9">
              <w:rPr>
                <w:rFonts w:ascii="Times New Roman" w:eastAsia="Times New Roman" w:hAnsi="Times New Roman" w:cs="Times New Roman"/>
                <w:color w:val="000000"/>
                <w:lang w:eastAsia="en-GB"/>
              </w:rPr>
              <w:t>Percentage of published reports on the implementation of medium-term plans in relation to the total number of published medium-term plans valid for the year being reported on</w:t>
            </w:r>
            <w:r w:rsidRPr="001053DB">
              <w:rPr>
                <w:rFonts w:ascii="Times New Roman" w:eastAsia="Times New Roman" w:hAnsi="Times New Roman" w:cs="Times New Roman"/>
                <w:lang w:val="sr-Cyrl-CS"/>
              </w:rPr>
              <w:t xml:space="preserve"> </w:t>
            </w:r>
            <w:r w:rsidR="00591125" w:rsidRPr="001053DB">
              <w:rPr>
                <w:rFonts w:ascii="Times New Roman" w:eastAsia="Times New Roman" w:hAnsi="Times New Roman" w:cs="Times New Roman"/>
                <w:lang w:val="sr-Cyrl-CS"/>
              </w:rPr>
              <w:t>(%)</w:t>
            </w:r>
          </w:p>
        </w:tc>
        <w:tc>
          <w:tcPr>
            <w:tcW w:w="1397" w:type="dxa"/>
            <w:gridSpan w:val="3"/>
            <w:vAlign w:val="center"/>
          </w:tcPr>
          <w:p w14:paraId="2FA0AC28" w14:textId="77777777" w:rsidR="00F84BAF" w:rsidRPr="001053DB" w:rsidRDefault="00F84BAF"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92 (2024)</w:t>
            </w:r>
          </w:p>
        </w:tc>
        <w:tc>
          <w:tcPr>
            <w:tcW w:w="1456" w:type="dxa"/>
            <w:gridSpan w:val="2"/>
            <w:vAlign w:val="center"/>
          </w:tcPr>
          <w:p w14:paraId="41F9502D" w14:textId="77777777" w:rsidR="00F84BAF" w:rsidRPr="001053DB" w:rsidRDefault="00717838"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95</w:t>
            </w:r>
          </w:p>
        </w:tc>
        <w:tc>
          <w:tcPr>
            <w:tcW w:w="2205" w:type="dxa"/>
            <w:gridSpan w:val="2"/>
            <w:vAlign w:val="center"/>
          </w:tcPr>
          <w:p w14:paraId="1485996E" w14:textId="3AF7E58B" w:rsidR="00F84BAF" w:rsidRPr="00526160" w:rsidRDefault="00526160"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Public Policy Secretariat</w:t>
            </w:r>
          </w:p>
        </w:tc>
        <w:tc>
          <w:tcPr>
            <w:tcW w:w="2489" w:type="dxa"/>
            <w:gridSpan w:val="3"/>
            <w:vAlign w:val="center"/>
          </w:tcPr>
          <w:p w14:paraId="645BC496" w14:textId="1D72C735"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Websites of the institutions</w:t>
            </w:r>
          </w:p>
        </w:tc>
      </w:tr>
      <w:tr w:rsidR="00D30238" w:rsidRPr="001053DB" w14:paraId="126B4933" w14:textId="77777777" w:rsidTr="002A789B">
        <w:trPr>
          <w:gridAfter w:val="1"/>
          <w:wAfter w:w="15" w:type="dxa"/>
          <w:cantSplit/>
          <w:tblCellSpacing w:w="15" w:type="dxa"/>
          <w:jc w:val="center"/>
        </w:trPr>
        <w:tc>
          <w:tcPr>
            <w:tcW w:w="2003" w:type="dxa"/>
            <w:vAlign w:val="center"/>
          </w:tcPr>
          <w:p w14:paraId="7E054C97" w14:textId="1517EFC5" w:rsidR="00F84BAF" w:rsidRPr="001A6BBC" w:rsidRDefault="001A6BBC" w:rsidP="002A789B">
            <w:pPr>
              <w:spacing w:after="0" w:line="240" w:lineRule="auto"/>
              <w:ind w:left="57"/>
              <w:rPr>
                <w:rFonts w:ascii="Times New Roman" w:eastAsia="Times New Roman" w:hAnsi="Times New Roman" w:cs="Times New Roman"/>
                <w:b/>
                <w:bCs/>
                <w:lang w:val="en-US"/>
              </w:rPr>
            </w:pPr>
            <w:r>
              <w:rPr>
                <w:rFonts w:ascii="Times New Roman" w:eastAsia="Times New Roman" w:hAnsi="Times New Roman" w:cs="Times New Roman"/>
                <w:b/>
                <w:bCs/>
                <w:lang w:val="en-US"/>
              </w:rPr>
              <w:t>Specific objective</w:t>
            </w:r>
            <w:r w:rsidR="00F84BAF" w:rsidRPr="001053DB">
              <w:rPr>
                <w:rFonts w:ascii="Times New Roman" w:eastAsia="Times New Roman" w:hAnsi="Times New Roman" w:cs="Times New Roman"/>
                <w:b/>
                <w:bCs/>
                <w:lang w:val="sr-Cyrl-CS"/>
              </w:rPr>
              <w:t xml:space="preserve"> II: </w:t>
            </w:r>
            <w:r>
              <w:rPr>
                <w:rFonts w:ascii="Times New Roman" w:eastAsia="Times New Roman" w:hAnsi="Times New Roman" w:cs="Times New Roman"/>
                <w:bCs/>
                <w:lang w:val="en-US"/>
              </w:rPr>
              <w:t>Efficient collection and management of budget funds</w:t>
            </w:r>
          </w:p>
        </w:tc>
        <w:tc>
          <w:tcPr>
            <w:tcW w:w="2610" w:type="dxa"/>
            <w:gridSpan w:val="2"/>
            <w:vAlign w:val="center"/>
          </w:tcPr>
          <w:p w14:paraId="2C583232" w14:textId="5589D2CC" w:rsidR="00F84BAF" w:rsidRPr="001053DB" w:rsidRDefault="001A6BBC" w:rsidP="002A789B">
            <w:pPr>
              <w:spacing w:after="0" w:line="240" w:lineRule="auto"/>
              <w:ind w:left="57"/>
              <w:rPr>
                <w:rFonts w:ascii="Times New Roman" w:eastAsia="Times New Roman" w:hAnsi="Times New Roman" w:cs="Times New Roman"/>
                <w:lang w:val="sr-Cyrl-CS"/>
              </w:rPr>
            </w:pPr>
            <w:r w:rsidRPr="00603113">
              <w:rPr>
                <w:rFonts w:ascii="Times New Roman" w:eastAsia="Times New Roman" w:hAnsi="Times New Roman" w:cs="Times New Roman"/>
                <w:color w:val="000000"/>
                <w:lang w:eastAsia="en-GB"/>
              </w:rPr>
              <w:t>Actual revenues and expenditures of the state sector budget on an annual basis are within 5% of those projected in the fiscal strategy</w:t>
            </w:r>
            <w:r w:rsidRPr="001053DB">
              <w:rPr>
                <w:rFonts w:ascii="Times New Roman" w:eastAsia="Times New Roman" w:hAnsi="Times New Roman" w:cs="Times New Roman"/>
                <w:bCs/>
                <w:lang w:val="sr-Cyrl-CS"/>
              </w:rPr>
              <w:t xml:space="preserve"> </w:t>
            </w:r>
            <w:r w:rsidR="00591125" w:rsidRPr="001053DB">
              <w:rPr>
                <w:rFonts w:ascii="Times New Roman" w:eastAsia="Times New Roman" w:hAnsi="Times New Roman" w:cs="Times New Roman"/>
                <w:bCs/>
                <w:lang w:val="sr-Cyrl-CS"/>
              </w:rPr>
              <w:t>(%)</w:t>
            </w:r>
          </w:p>
        </w:tc>
        <w:tc>
          <w:tcPr>
            <w:tcW w:w="1397" w:type="dxa"/>
            <w:gridSpan w:val="3"/>
            <w:vAlign w:val="center"/>
          </w:tcPr>
          <w:p w14:paraId="4E8A6D06" w14:textId="1828FD90" w:rsidR="00F84BAF" w:rsidRPr="001053DB" w:rsidRDefault="001A6BBC" w:rsidP="002A789B">
            <w:pPr>
              <w:spacing w:after="0" w:line="240" w:lineRule="auto"/>
              <w:jc w:val="center"/>
              <w:rPr>
                <w:rFonts w:ascii="Times New Roman" w:eastAsia="Times New Roman" w:hAnsi="Times New Roman" w:cs="Times New Roman"/>
                <w:lang w:val="sr-Cyrl-CS"/>
              </w:rPr>
            </w:pPr>
            <w:r>
              <w:rPr>
                <w:rFonts w:ascii="Times New Roman" w:hAnsi="Times New Roman" w:cs="Times New Roman"/>
                <w:lang w:val="en-US"/>
              </w:rPr>
              <w:t>Within the range of up to</w:t>
            </w:r>
            <w:r w:rsidRPr="00AA19A8">
              <w:rPr>
                <w:rFonts w:ascii="Times New Roman" w:hAnsi="Times New Roman" w:cs="Times New Roman"/>
                <w:lang w:val="sr-Cyrl-CS"/>
              </w:rPr>
              <w:t xml:space="preserve"> 5%</w:t>
            </w:r>
            <w:r w:rsidR="00591125" w:rsidRPr="001053DB">
              <w:rPr>
                <w:rFonts w:ascii="Times New Roman" w:eastAsia="Times New Roman" w:hAnsi="Times New Roman" w:cs="Times New Roman"/>
                <w:lang w:val="sr-Cyrl-CS"/>
              </w:rPr>
              <w:t xml:space="preserve">- </w:t>
            </w:r>
            <w:r w:rsidR="00F84BAF" w:rsidRPr="001053DB">
              <w:rPr>
                <w:rFonts w:ascii="Times New Roman" w:eastAsia="Times New Roman" w:hAnsi="Times New Roman" w:cs="Times New Roman"/>
                <w:bCs/>
                <w:lang w:val="sr-Cyrl-CS"/>
              </w:rPr>
              <w:t>2025</w:t>
            </w:r>
          </w:p>
        </w:tc>
        <w:tc>
          <w:tcPr>
            <w:tcW w:w="1456" w:type="dxa"/>
            <w:gridSpan w:val="2"/>
            <w:vAlign w:val="center"/>
          </w:tcPr>
          <w:p w14:paraId="2F85563F" w14:textId="6CD01BEE" w:rsidR="00F84BAF" w:rsidRPr="001053DB" w:rsidRDefault="001A6BBC" w:rsidP="002A789B">
            <w:pPr>
              <w:spacing w:after="0" w:line="240" w:lineRule="auto"/>
              <w:jc w:val="center"/>
              <w:rPr>
                <w:rFonts w:ascii="Times New Roman" w:eastAsia="Times New Roman" w:hAnsi="Times New Roman" w:cs="Times New Roman"/>
                <w:lang w:val="sr-Cyrl-CS"/>
              </w:rPr>
            </w:pPr>
            <w:r>
              <w:rPr>
                <w:rFonts w:ascii="Times New Roman" w:hAnsi="Times New Roman" w:cs="Times New Roman"/>
                <w:lang w:val="en-US"/>
              </w:rPr>
              <w:t>Within the range of up to</w:t>
            </w:r>
            <w:r w:rsidRPr="00AA19A8">
              <w:rPr>
                <w:rFonts w:ascii="Times New Roman" w:hAnsi="Times New Roman" w:cs="Times New Roman"/>
                <w:lang w:val="sr-Cyrl-CS"/>
              </w:rPr>
              <w:t xml:space="preserve"> 5%</w:t>
            </w:r>
            <w:r>
              <w:rPr>
                <w:rFonts w:ascii="Times New Roman" w:hAnsi="Times New Roman" w:cs="Times New Roman"/>
                <w:lang w:val="en-US"/>
              </w:rPr>
              <w:t xml:space="preserve"> for all years</w:t>
            </w:r>
          </w:p>
        </w:tc>
        <w:tc>
          <w:tcPr>
            <w:tcW w:w="2205" w:type="dxa"/>
            <w:gridSpan w:val="2"/>
            <w:vAlign w:val="center"/>
          </w:tcPr>
          <w:p w14:paraId="294A8B46" w14:textId="49BD7C1B" w:rsidR="00F84BAF" w:rsidRPr="001053DB" w:rsidRDefault="00526160"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w:t>
            </w:r>
          </w:p>
        </w:tc>
        <w:tc>
          <w:tcPr>
            <w:tcW w:w="2489" w:type="dxa"/>
            <w:gridSpan w:val="3"/>
            <w:vAlign w:val="center"/>
          </w:tcPr>
          <w:p w14:paraId="2BCDD4D9" w14:textId="2388E054"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Fiscal strategy</w:t>
            </w:r>
          </w:p>
        </w:tc>
      </w:tr>
      <w:tr w:rsidR="00D30238" w:rsidRPr="001053DB" w14:paraId="3160AFA9" w14:textId="77777777" w:rsidTr="002A789B">
        <w:trPr>
          <w:gridAfter w:val="1"/>
          <w:wAfter w:w="15" w:type="dxa"/>
          <w:cantSplit/>
          <w:tblCellSpacing w:w="15" w:type="dxa"/>
          <w:jc w:val="center"/>
        </w:trPr>
        <w:tc>
          <w:tcPr>
            <w:tcW w:w="2033" w:type="dxa"/>
            <w:gridSpan w:val="2"/>
            <w:shd w:val="clear" w:color="auto" w:fill="ECECEC"/>
            <w:vAlign w:val="center"/>
          </w:tcPr>
          <w:p w14:paraId="38E3DE21" w14:textId="05E4D028" w:rsidR="00F84BAF" w:rsidRPr="002B665C" w:rsidRDefault="002B665C" w:rsidP="002A789B">
            <w:pPr>
              <w:spacing w:after="0" w:line="240" w:lineRule="auto"/>
              <w:ind w:left="57"/>
              <w:jc w:val="center"/>
              <w:rPr>
                <w:rFonts w:ascii="Times New Roman" w:eastAsia="Times New Roman" w:hAnsi="Times New Roman" w:cs="Times New Roman"/>
                <w:lang w:val="en-US"/>
              </w:rPr>
            </w:pPr>
            <w:r>
              <w:rPr>
                <w:rFonts w:ascii="Times New Roman" w:eastAsia="Times New Roman" w:hAnsi="Times New Roman" w:cs="Times New Roman"/>
                <w:b/>
                <w:bCs/>
                <w:lang w:val="en-US"/>
              </w:rPr>
              <w:t>Measure</w:t>
            </w:r>
          </w:p>
        </w:tc>
        <w:tc>
          <w:tcPr>
            <w:tcW w:w="2580" w:type="dxa"/>
            <w:shd w:val="clear" w:color="auto" w:fill="ECECEC"/>
            <w:vAlign w:val="center"/>
          </w:tcPr>
          <w:p w14:paraId="18CD5F19" w14:textId="689A816F" w:rsidR="00F84BAF" w:rsidRPr="002B665C" w:rsidRDefault="002B665C" w:rsidP="002A789B">
            <w:pPr>
              <w:spacing w:after="0" w:line="240" w:lineRule="auto"/>
              <w:ind w:left="57"/>
              <w:jc w:val="center"/>
              <w:rPr>
                <w:rFonts w:ascii="Times New Roman" w:eastAsia="Times New Roman" w:hAnsi="Times New Roman" w:cs="Times New Roman"/>
                <w:lang w:val="en-US"/>
              </w:rPr>
            </w:pPr>
            <w:r>
              <w:rPr>
                <w:rFonts w:ascii="Times New Roman" w:eastAsia="Times New Roman" w:hAnsi="Times New Roman" w:cs="Times New Roman"/>
                <w:b/>
                <w:bCs/>
                <w:lang w:val="en-US"/>
              </w:rPr>
              <w:t>Indicator</w:t>
            </w:r>
          </w:p>
        </w:tc>
        <w:tc>
          <w:tcPr>
            <w:tcW w:w="1397" w:type="dxa"/>
            <w:gridSpan w:val="3"/>
            <w:shd w:val="clear" w:color="auto" w:fill="ECECEC"/>
            <w:vAlign w:val="center"/>
          </w:tcPr>
          <w:p w14:paraId="19C60406" w14:textId="2C26C467"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Initial value/year</w:t>
            </w:r>
          </w:p>
        </w:tc>
        <w:tc>
          <w:tcPr>
            <w:tcW w:w="1416" w:type="dxa"/>
            <w:shd w:val="clear" w:color="auto" w:fill="ECECEC"/>
            <w:vAlign w:val="center"/>
          </w:tcPr>
          <w:p w14:paraId="5C9507A9" w14:textId="0936D743"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Target value 2030</w:t>
            </w:r>
          </w:p>
        </w:tc>
        <w:tc>
          <w:tcPr>
            <w:tcW w:w="2275" w:type="dxa"/>
            <w:gridSpan w:val="4"/>
            <w:shd w:val="clear" w:color="auto" w:fill="ECECEC"/>
            <w:vAlign w:val="center"/>
          </w:tcPr>
          <w:p w14:paraId="5C53C20C" w14:textId="190376F8"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Relevant Institution</w:t>
            </w:r>
          </w:p>
        </w:tc>
        <w:tc>
          <w:tcPr>
            <w:tcW w:w="2459" w:type="dxa"/>
            <w:gridSpan w:val="2"/>
            <w:shd w:val="clear" w:color="auto" w:fill="ECECEC"/>
            <w:vAlign w:val="center"/>
          </w:tcPr>
          <w:p w14:paraId="14483688" w14:textId="0B15EDBC"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Source of verification</w:t>
            </w:r>
          </w:p>
        </w:tc>
      </w:tr>
      <w:tr w:rsidR="00D30238" w:rsidRPr="001053DB" w14:paraId="45708C40" w14:textId="77777777" w:rsidTr="002A789B">
        <w:trPr>
          <w:gridAfter w:val="1"/>
          <w:wAfter w:w="15" w:type="dxa"/>
          <w:cantSplit/>
          <w:tblCellSpacing w:w="15" w:type="dxa"/>
          <w:jc w:val="center"/>
        </w:trPr>
        <w:tc>
          <w:tcPr>
            <w:tcW w:w="2003" w:type="dxa"/>
            <w:vAlign w:val="center"/>
          </w:tcPr>
          <w:p w14:paraId="653FBF55" w14:textId="496CC70C" w:rsidR="00F84BAF" w:rsidRPr="001A6BBC" w:rsidRDefault="001A6BBC" w:rsidP="002A789B">
            <w:pPr>
              <w:spacing w:after="0" w:line="240" w:lineRule="auto"/>
              <w:ind w:left="57"/>
              <w:rPr>
                <w:rFonts w:ascii="Times New Roman" w:eastAsia="Times New Roman" w:hAnsi="Times New Roman" w:cs="Times New Roman"/>
                <w:b/>
                <w:bCs/>
                <w:lang w:val="en-US"/>
              </w:rPr>
            </w:pPr>
            <w:r>
              <w:rPr>
                <w:rFonts w:ascii="Times New Roman" w:eastAsia="Times New Roman" w:hAnsi="Times New Roman" w:cs="Times New Roman"/>
                <w:b/>
                <w:bCs/>
                <w:lang w:val="en-US"/>
              </w:rPr>
              <w:lastRenderedPageBreak/>
              <w:t>Measure</w:t>
            </w:r>
            <w:r w:rsidR="00F84BAF" w:rsidRPr="001053DB">
              <w:rPr>
                <w:rFonts w:ascii="Times New Roman" w:eastAsia="Times New Roman" w:hAnsi="Times New Roman" w:cs="Times New Roman"/>
                <w:b/>
                <w:bCs/>
                <w:lang w:val="sr-Cyrl-CS"/>
              </w:rPr>
              <w:t xml:space="preserve"> 2.1:</w:t>
            </w:r>
            <w:r w:rsidR="00F84BAF" w:rsidRPr="001053DB">
              <w:rPr>
                <w:rFonts w:ascii="Times New Roman" w:eastAsia="Times New Roman" w:hAnsi="Times New Roman" w:cs="Times New Roman"/>
                <w:lang w:val="sr-Cyrl-CS"/>
              </w:rPr>
              <w:t xml:space="preserve"> </w:t>
            </w:r>
            <w:r>
              <w:rPr>
                <w:rFonts w:ascii="Times New Roman" w:eastAsia="Times New Roman" w:hAnsi="Times New Roman" w:cs="Times New Roman"/>
                <w:lang w:val="en-US"/>
              </w:rPr>
              <w:t>Efficient collection of budget revenues under the competence of the Tax Administration</w:t>
            </w:r>
          </w:p>
        </w:tc>
        <w:tc>
          <w:tcPr>
            <w:tcW w:w="2610" w:type="dxa"/>
            <w:gridSpan w:val="2"/>
            <w:vAlign w:val="center"/>
          </w:tcPr>
          <w:p w14:paraId="599C1105" w14:textId="24DF99EE" w:rsidR="00F84BAF" w:rsidRPr="001A6BBC" w:rsidRDefault="001A6BBC" w:rsidP="001A6BBC">
            <w:pPr>
              <w:tabs>
                <w:tab w:val="left" w:pos="9923"/>
              </w:tabs>
              <w:rPr>
                <w:rFonts w:ascii="Times New Roman" w:eastAsia="Times New Roman" w:hAnsi="Times New Roman" w:cs="Times New Roman"/>
                <w:color w:val="000000"/>
                <w:lang w:val="en-US" w:eastAsia="en-GB"/>
              </w:rPr>
            </w:pPr>
            <w:r w:rsidRPr="00603113">
              <w:rPr>
                <w:rFonts w:ascii="Times New Roman" w:eastAsia="Times New Roman" w:hAnsi="Times New Roman" w:cs="Times New Roman"/>
                <w:color w:val="000000"/>
                <w:lang w:eastAsia="en-GB"/>
              </w:rPr>
              <w:t>Percentage of realized collection compared to the approved budget estimate (personal income tax, corporate income tax, gross domestic VAT, gross excises</w:t>
            </w:r>
          </w:p>
        </w:tc>
        <w:tc>
          <w:tcPr>
            <w:tcW w:w="1397" w:type="dxa"/>
            <w:gridSpan w:val="3"/>
            <w:vAlign w:val="center"/>
          </w:tcPr>
          <w:p w14:paraId="5345D14B" w14:textId="77777777" w:rsidR="00F84BAF" w:rsidRPr="001053DB" w:rsidRDefault="00591125" w:rsidP="002A789B">
            <w:pPr>
              <w:spacing w:after="0" w:line="240" w:lineRule="auto"/>
              <w:jc w:val="center"/>
              <w:rPr>
                <w:rFonts w:ascii="Times New Roman" w:eastAsia="Times New Roman" w:hAnsi="Times New Roman" w:cs="Times New Roman"/>
                <w:bCs/>
                <w:lang w:val="sr-Cyrl-CS"/>
              </w:rPr>
            </w:pPr>
            <w:r w:rsidRPr="001053DB">
              <w:rPr>
                <w:rFonts w:ascii="Times New Roman" w:eastAsia="Times New Roman" w:hAnsi="Times New Roman" w:cs="Times New Roman"/>
                <w:lang w:val="sr-Cyrl-CS"/>
              </w:rPr>
              <w:t>10</w:t>
            </w:r>
            <w:r w:rsidR="00A02F70" w:rsidRPr="001053DB">
              <w:rPr>
                <w:rFonts w:ascii="Times New Roman" w:eastAsia="Times New Roman" w:hAnsi="Times New Roman" w:cs="Times New Roman"/>
                <w:lang w:val="sr-Cyrl-CS"/>
              </w:rPr>
              <w:t>4,4</w:t>
            </w:r>
            <w:r w:rsidRPr="001053DB">
              <w:rPr>
                <w:rFonts w:ascii="Times New Roman" w:eastAsia="Times New Roman" w:hAnsi="Times New Roman" w:cs="Times New Roman"/>
                <w:lang w:val="sr-Cyrl-CS"/>
              </w:rPr>
              <w:t xml:space="preserve"> - </w:t>
            </w:r>
            <w:r w:rsidR="00F84BAF" w:rsidRPr="001053DB">
              <w:rPr>
                <w:rFonts w:ascii="Times New Roman" w:eastAsia="Times New Roman" w:hAnsi="Times New Roman" w:cs="Times New Roman"/>
                <w:lang w:val="sr-Cyrl-CS"/>
              </w:rPr>
              <w:t>2024</w:t>
            </w:r>
          </w:p>
        </w:tc>
        <w:tc>
          <w:tcPr>
            <w:tcW w:w="1456" w:type="dxa"/>
            <w:gridSpan w:val="2"/>
            <w:vAlign w:val="center"/>
          </w:tcPr>
          <w:p w14:paraId="387B1A57" w14:textId="77777777" w:rsidR="00F84BAF" w:rsidRPr="001053DB" w:rsidRDefault="002040E7"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100</w:t>
            </w:r>
          </w:p>
        </w:tc>
        <w:tc>
          <w:tcPr>
            <w:tcW w:w="2205" w:type="dxa"/>
            <w:gridSpan w:val="2"/>
            <w:vAlign w:val="center"/>
          </w:tcPr>
          <w:p w14:paraId="65AE4B41" w14:textId="712F8D19" w:rsidR="00F84BAF" w:rsidRPr="00526160" w:rsidRDefault="00526160"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Tax Administration</w:t>
            </w:r>
          </w:p>
        </w:tc>
        <w:tc>
          <w:tcPr>
            <w:tcW w:w="2489" w:type="dxa"/>
            <w:gridSpan w:val="3"/>
            <w:vAlign w:val="center"/>
          </w:tcPr>
          <w:p w14:paraId="6A89D9AC" w14:textId="4E1FDF5C" w:rsidR="00F84BAF" w:rsidRPr="001053DB" w:rsidRDefault="001A6BBC"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Budget Law</w:t>
            </w:r>
            <w:r w:rsidR="00F84BAF" w:rsidRPr="001053DB">
              <w:rPr>
                <w:rFonts w:ascii="Times New Roman" w:eastAsia="Times New Roman" w:hAnsi="Times New Roman" w:cs="Times New Roman"/>
                <w:lang w:val="sr-Cyrl-CS"/>
              </w:rPr>
              <w:t xml:space="preserve"> / </w:t>
            </w:r>
            <w:r>
              <w:rPr>
                <w:rFonts w:ascii="Times New Roman" w:eastAsia="Times New Roman" w:hAnsi="Times New Roman" w:cs="Times New Roman"/>
                <w:lang w:val="en-US"/>
              </w:rPr>
              <w:t>Tax Administration report</w:t>
            </w:r>
          </w:p>
        </w:tc>
      </w:tr>
      <w:tr w:rsidR="00D30238" w:rsidRPr="001053DB" w14:paraId="6D9B1CAE" w14:textId="77777777" w:rsidTr="002A789B">
        <w:trPr>
          <w:gridAfter w:val="1"/>
          <w:wAfter w:w="15" w:type="dxa"/>
          <w:cantSplit/>
          <w:tblCellSpacing w:w="15" w:type="dxa"/>
          <w:jc w:val="center"/>
        </w:trPr>
        <w:tc>
          <w:tcPr>
            <w:tcW w:w="2003" w:type="dxa"/>
            <w:vAlign w:val="center"/>
          </w:tcPr>
          <w:p w14:paraId="09C15B41" w14:textId="037BDE3A" w:rsidR="00F84BAF" w:rsidRPr="001A6BBC" w:rsidRDefault="00465FFB" w:rsidP="002A789B">
            <w:pPr>
              <w:spacing w:after="0" w:line="240" w:lineRule="auto"/>
              <w:ind w:left="57"/>
              <w:rPr>
                <w:rFonts w:ascii="Times New Roman" w:eastAsia="Times New Roman" w:hAnsi="Times New Roman" w:cs="Times New Roman"/>
                <w:b/>
                <w:bCs/>
                <w:lang w:val="en-US"/>
              </w:rPr>
            </w:pPr>
            <w:r>
              <w:rPr>
                <w:rFonts w:ascii="Times New Roman" w:eastAsia="Times New Roman" w:hAnsi="Times New Roman" w:cs="Times New Roman"/>
                <w:b/>
                <w:bCs/>
                <w:lang w:val="en-US"/>
              </w:rPr>
              <w:t>Measure</w:t>
            </w:r>
            <w:r w:rsidR="00F84BAF" w:rsidRPr="001053DB">
              <w:rPr>
                <w:rFonts w:ascii="Times New Roman" w:eastAsia="Times New Roman" w:hAnsi="Times New Roman" w:cs="Times New Roman"/>
                <w:b/>
                <w:bCs/>
                <w:lang w:val="sr-Cyrl-CS"/>
              </w:rPr>
              <w:t xml:space="preserve"> 2.2:</w:t>
            </w:r>
            <w:r w:rsidR="00F84BAF" w:rsidRPr="001053DB">
              <w:rPr>
                <w:rFonts w:ascii="Times New Roman" w:eastAsia="Times New Roman" w:hAnsi="Times New Roman" w:cs="Times New Roman"/>
                <w:lang w:val="sr-Cyrl-CS"/>
              </w:rPr>
              <w:t xml:space="preserve"> </w:t>
            </w:r>
            <w:r w:rsidR="001A6BBC">
              <w:rPr>
                <w:rFonts w:ascii="Times New Roman" w:eastAsia="Times New Roman" w:hAnsi="Times New Roman" w:cs="Times New Roman"/>
                <w:lang w:val="en-US"/>
              </w:rPr>
              <w:t>Reduction of administrative burden and improvement of efficiency in providing electronic services under the competence of Tobacco administration</w:t>
            </w:r>
          </w:p>
        </w:tc>
        <w:tc>
          <w:tcPr>
            <w:tcW w:w="2610" w:type="dxa"/>
            <w:gridSpan w:val="2"/>
            <w:vAlign w:val="center"/>
          </w:tcPr>
          <w:p w14:paraId="59D68495" w14:textId="269FCA51" w:rsidR="00F84BAF" w:rsidRPr="001053DB" w:rsidRDefault="001A6BBC" w:rsidP="002A789B">
            <w:pPr>
              <w:spacing w:after="0" w:line="240" w:lineRule="auto"/>
              <w:ind w:left="57"/>
              <w:rPr>
                <w:rFonts w:ascii="Times New Roman" w:eastAsia="Times New Roman" w:hAnsi="Times New Roman" w:cs="Times New Roman"/>
                <w:bCs/>
                <w:lang w:val="sr-Cyrl-CS"/>
              </w:rPr>
            </w:pPr>
            <w:r w:rsidRPr="00DF525B">
              <w:rPr>
                <w:rFonts w:ascii="Times New Roman" w:hAnsi="Times New Roman" w:cs="Times New Roman"/>
              </w:rPr>
              <w:t>Percentage of business entities submitting reports electronically via the portal</w:t>
            </w:r>
          </w:p>
        </w:tc>
        <w:tc>
          <w:tcPr>
            <w:tcW w:w="1397" w:type="dxa"/>
            <w:gridSpan w:val="3"/>
            <w:vAlign w:val="center"/>
          </w:tcPr>
          <w:p w14:paraId="15A93C45" w14:textId="77777777" w:rsidR="00F84BAF" w:rsidRPr="001053DB" w:rsidRDefault="00F84BAF" w:rsidP="002A789B">
            <w:pPr>
              <w:spacing w:after="0" w:line="240" w:lineRule="auto"/>
              <w:jc w:val="center"/>
              <w:rPr>
                <w:rFonts w:ascii="Times New Roman" w:eastAsia="Times New Roman" w:hAnsi="Times New Roman" w:cs="Times New Roman"/>
                <w:bCs/>
                <w:lang w:val="sr-Cyrl-CS"/>
              </w:rPr>
            </w:pPr>
            <w:r w:rsidRPr="001053DB">
              <w:rPr>
                <w:rFonts w:ascii="Times New Roman" w:eastAsia="Times New Roman" w:hAnsi="Times New Roman" w:cs="Times New Roman"/>
                <w:lang w:val="sr-Cyrl-CS"/>
              </w:rPr>
              <w:t>0 (2025)</w:t>
            </w:r>
          </w:p>
        </w:tc>
        <w:tc>
          <w:tcPr>
            <w:tcW w:w="1456" w:type="dxa"/>
            <w:gridSpan w:val="2"/>
            <w:vAlign w:val="center"/>
          </w:tcPr>
          <w:p w14:paraId="1879EB60" w14:textId="77777777" w:rsidR="00F84BAF" w:rsidRPr="001053DB" w:rsidRDefault="002040E7"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100</w:t>
            </w:r>
          </w:p>
        </w:tc>
        <w:tc>
          <w:tcPr>
            <w:tcW w:w="2205" w:type="dxa"/>
            <w:gridSpan w:val="2"/>
            <w:vAlign w:val="center"/>
          </w:tcPr>
          <w:p w14:paraId="18478038" w14:textId="16A5B4E9" w:rsidR="00F84BAF" w:rsidRPr="001053DB" w:rsidRDefault="00526160"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w:t>
            </w:r>
          </w:p>
        </w:tc>
        <w:tc>
          <w:tcPr>
            <w:tcW w:w="2489" w:type="dxa"/>
            <w:gridSpan w:val="3"/>
            <w:vAlign w:val="center"/>
          </w:tcPr>
          <w:p w14:paraId="0A0E9C9E" w14:textId="3127DAD6" w:rsidR="00F84BAF" w:rsidRPr="001053DB" w:rsidRDefault="001A6BBC" w:rsidP="002A789B">
            <w:pPr>
              <w:spacing w:after="0" w:line="240" w:lineRule="auto"/>
              <w:jc w:val="center"/>
              <w:rPr>
                <w:rFonts w:ascii="Times New Roman" w:eastAsia="Times New Roman" w:hAnsi="Times New Roman" w:cs="Times New Roman"/>
                <w:lang w:val="sr-Cyrl-CS"/>
              </w:rPr>
            </w:pPr>
            <w:r w:rsidRPr="00DF525B">
              <w:rPr>
                <w:rFonts w:ascii="Times New Roman" w:eastAsia="Times New Roman" w:hAnsi="Times New Roman" w:cs="Times New Roman"/>
                <w:lang w:eastAsia="en-GB"/>
              </w:rPr>
              <w:t>Portal for electronic submission of reports</w:t>
            </w:r>
          </w:p>
        </w:tc>
      </w:tr>
      <w:tr w:rsidR="00D30238" w:rsidRPr="001053DB" w14:paraId="2D96DCC7" w14:textId="77777777" w:rsidTr="002A789B">
        <w:trPr>
          <w:gridAfter w:val="1"/>
          <w:wAfter w:w="15" w:type="dxa"/>
          <w:cantSplit/>
          <w:tblCellSpacing w:w="15" w:type="dxa"/>
          <w:jc w:val="center"/>
        </w:trPr>
        <w:tc>
          <w:tcPr>
            <w:tcW w:w="2003" w:type="dxa"/>
            <w:vMerge w:val="restart"/>
            <w:vAlign w:val="center"/>
          </w:tcPr>
          <w:p w14:paraId="72A843C2" w14:textId="30ABF94A" w:rsidR="00F84BAF" w:rsidRPr="00465FFB" w:rsidRDefault="00465FFB" w:rsidP="002A789B">
            <w:pPr>
              <w:spacing w:after="0" w:line="240" w:lineRule="auto"/>
              <w:ind w:left="57"/>
              <w:rPr>
                <w:rFonts w:ascii="Times New Roman" w:eastAsia="Times New Roman" w:hAnsi="Times New Roman" w:cs="Times New Roman"/>
                <w:b/>
                <w:bCs/>
                <w:lang w:val="en-US"/>
              </w:rPr>
            </w:pPr>
            <w:r>
              <w:rPr>
                <w:rFonts w:ascii="Times New Roman" w:eastAsia="Times New Roman" w:hAnsi="Times New Roman" w:cs="Times New Roman"/>
                <w:b/>
                <w:bCs/>
                <w:lang w:val="en-US"/>
              </w:rPr>
              <w:t>Measure</w:t>
            </w:r>
            <w:r w:rsidR="00F84BAF" w:rsidRPr="001053DB">
              <w:rPr>
                <w:rFonts w:ascii="Times New Roman" w:eastAsia="Times New Roman" w:hAnsi="Times New Roman" w:cs="Times New Roman"/>
                <w:b/>
                <w:bCs/>
                <w:lang w:val="sr-Cyrl-CS"/>
              </w:rPr>
              <w:t xml:space="preserve"> 2.3:</w:t>
            </w:r>
            <w:r w:rsidR="00F84BAF" w:rsidRPr="001053DB">
              <w:rPr>
                <w:rFonts w:ascii="Times New Roman" w:eastAsia="Times New Roman" w:hAnsi="Times New Roman" w:cs="Times New Roman"/>
                <w:lang w:val="sr-Cyrl-CS"/>
              </w:rPr>
              <w:t xml:space="preserve"> </w:t>
            </w:r>
            <w:r>
              <w:rPr>
                <w:rFonts w:ascii="Times New Roman" w:eastAsia="Times New Roman" w:hAnsi="Times New Roman" w:cs="Times New Roman"/>
                <w:lang w:val="en-US"/>
              </w:rPr>
              <w:t>Strengthening the administrative capacities of the Customs Administration</w:t>
            </w:r>
          </w:p>
        </w:tc>
        <w:tc>
          <w:tcPr>
            <w:tcW w:w="2610" w:type="dxa"/>
            <w:gridSpan w:val="2"/>
            <w:vAlign w:val="center"/>
          </w:tcPr>
          <w:p w14:paraId="3C3C4FC1" w14:textId="1C0F56F7" w:rsidR="00F84BAF" w:rsidRPr="001053DB" w:rsidRDefault="00465FFB" w:rsidP="002A789B">
            <w:pPr>
              <w:spacing w:after="0" w:line="240" w:lineRule="auto"/>
              <w:ind w:left="57"/>
              <w:rPr>
                <w:rFonts w:ascii="Times New Roman" w:eastAsia="Times New Roman" w:hAnsi="Times New Roman" w:cs="Times New Roman"/>
                <w:lang w:val="sr-Cyrl-CS"/>
              </w:rPr>
            </w:pPr>
            <w:r w:rsidRPr="000C122F">
              <w:rPr>
                <w:rFonts w:ascii="Times New Roman" w:hAnsi="Times New Roman" w:cs="Times New Roman"/>
              </w:rPr>
              <w:t>Percentage of realized collection of customs duties in relation to the projected budget estimate</w:t>
            </w:r>
          </w:p>
        </w:tc>
        <w:tc>
          <w:tcPr>
            <w:tcW w:w="1397" w:type="dxa"/>
            <w:gridSpan w:val="3"/>
            <w:vAlign w:val="center"/>
          </w:tcPr>
          <w:p w14:paraId="70CC76B4" w14:textId="77777777" w:rsidR="00F84BAF" w:rsidRPr="001053DB" w:rsidRDefault="00F84BAF"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101,64 (2024)</w:t>
            </w:r>
          </w:p>
        </w:tc>
        <w:tc>
          <w:tcPr>
            <w:tcW w:w="1456" w:type="dxa"/>
            <w:gridSpan w:val="2"/>
            <w:vAlign w:val="center"/>
          </w:tcPr>
          <w:p w14:paraId="6EF2BE31" w14:textId="77777777" w:rsidR="00F84BAF" w:rsidRPr="001053DB" w:rsidRDefault="002040E7"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100</w:t>
            </w:r>
          </w:p>
        </w:tc>
        <w:tc>
          <w:tcPr>
            <w:tcW w:w="2205" w:type="dxa"/>
            <w:gridSpan w:val="2"/>
            <w:vAlign w:val="center"/>
          </w:tcPr>
          <w:p w14:paraId="71773FBB" w14:textId="6CE6E948" w:rsidR="00F84BAF" w:rsidRPr="00526160" w:rsidRDefault="00526160"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Customs Administration</w:t>
            </w:r>
          </w:p>
        </w:tc>
        <w:tc>
          <w:tcPr>
            <w:tcW w:w="2489" w:type="dxa"/>
            <w:gridSpan w:val="3"/>
            <w:vAlign w:val="center"/>
          </w:tcPr>
          <w:p w14:paraId="06D4D25D" w14:textId="6A763592" w:rsidR="00F84BAF" w:rsidRPr="00465FFB" w:rsidRDefault="00465FFB"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Budget Law</w:t>
            </w:r>
          </w:p>
        </w:tc>
      </w:tr>
      <w:tr w:rsidR="00D30238" w:rsidRPr="001053DB" w14:paraId="506E52EB" w14:textId="77777777" w:rsidTr="002A789B">
        <w:trPr>
          <w:gridAfter w:val="1"/>
          <w:wAfter w:w="15" w:type="dxa"/>
          <w:cantSplit/>
          <w:tblCellSpacing w:w="15" w:type="dxa"/>
          <w:jc w:val="center"/>
        </w:trPr>
        <w:tc>
          <w:tcPr>
            <w:tcW w:w="2003" w:type="dxa"/>
            <w:vMerge/>
            <w:vAlign w:val="center"/>
          </w:tcPr>
          <w:p w14:paraId="0FA09177" w14:textId="77777777" w:rsidR="00F84BAF" w:rsidRPr="001053DB" w:rsidRDefault="00F84BAF" w:rsidP="002A789B">
            <w:pPr>
              <w:spacing w:after="0" w:line="240" w:lineRule="auto"/>
              <w:ind w:left="57"/>
              <w:jc w:val="center"/>
              <w:rPr>
                <w:rFonts w:ascii="Times New Roman" w:eastAsia="Times New Roman" w:hAnsi="Times New Roman" w:cs="Times New Roman"/>
                <w:b/>
                <w:bCs/>
                <w:lang w:val="sr-Cyrl-CS"/>
              </w:rPr>
            </w:pPr>
          </w:p>
        </w:tc>
        <w:tc>
          <w:tcPr>
            <w:tcW w:w="2610" w:type="dxa"/>
            <w:gridSpan w:val="2"/>
            <w:vAlign w:val="center"/>
          </w:tcPr>
          <w:p w14:paraId="1DF94D89" w14:textId="12A7C244" w:rsidR="00F84BAF" w:rsidRPr="001053DB" w:rsidRDefault="00465FFB" w:rsidP="00465FFB">
            <w:pPr>
              <w:spacing w:after="0" w:line="240" w:lineRule="auto"/>
              <w:ind w:left="57"/>
              <w:rPr>
                <w:rFonts w:ascii="Times New Roman" w:eastAsia="Times New Roman" w:hAnsi="Times New Roman" w:cs="Times New Roman"/>
                <w:b/>
                <w:bCs/>
                <w:lang w:val="sr-Cyrl-CS"/>
              </w:rPr>
            </w:pPr>
            <w:r w:rsidRPr="000C122F">
              <w:rPr>
                <w:rFonts w:ascii="Times New Roman" w:hAnsi="Times New Roman" w:cs="Times New Roman"/>
              </w:rPr>
              <w:t>Percentage of realized collection of import VAT in relation to the projected budget estimate</w:t>
            </w:r>
          </w:p>
        </w:tc>
        <w:tc>
          <w:tcPr>
            <w:tcW w:w="1397" w:type="dxa"/>
            <w:gridSpan w:val="3"/>
            <w:vAlign w:val="center"/>
          </w:tcPr>
          <w:p w14:paraId="0020494E" w14:textId="77777777" w:rsidR="00DF41D9" w:rsidRPr="001053DB" w:rsidRDefault="00F84BAF"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97,72</w:t>
            </w:r>
          </w:p>
          <w:p w14:paraId="71A8E237" w14:textId="77777777" w:rsidR="00F84BAF" w:rsidRPr="001053DB" w:rsidRDefault="00F84BAF" w:rsidP="002A789B">
            <w:pPr>
              <w:spacing w:after="0" w:line="240" w:lineRule="auto"/>
              <w:jc w:val="center"/>
              <w:rPr>
                <w:rFonts w:ascii="Times New Roman" w:eastAsia="Times New Roman" w:hAnsi="Times New Roman" w:cs="Times New Roman"/>
                <w:b/>
                <w:bCs/>
                <w:lang w:val="sr-Cyrl-CS"/>
              </w:rPr>
            </w:pPr>
            <w:r w:rsidRPr="001053DB">
              <w:rPr>
                <w:rFonts w:ascii="Times New Roman" w:eastAsia="Times New Roman" w:hAnsi="Times New Roman" w:cs="Times New Roman"/>
                <w:lang w:val="sr-Cyrl-CS"/>
              </w:rPr>
              <w:t>(2024)</w:t>
            </w:r>
          </w:p>
        </w:tc>
        <w:tc>
          <w:tcPr>
            <w:tcW w:w="1456" w:type="dxa"/>
            <w:gridSpan w:val="2"/>
            <w:vAlign w:val="center"/>
          </w:tcPr>
          <w:p w14:paraId="76FB509D" w14:textId="77777777" w:rsidR="00F84BAF" w:rsidRPr="001053DB" w:rsidRDefault="002040E7" w:rsidP="002A789B">
            <w:pPr>
              <w:spacing w:after="0" w:line="240" w:lineRule="auto"/>
              <w:jc w:val="center"/>
              <w:rPr>
                <w:rFonts w:ascii="Times New Roman" w:eastAsia="Times New Roman" w:hAnsi="Times New Roman" w:cs="Times New Roman"/>
                <w:bCs/>
                <w:lang w:val="sr-Cyrl-CS"/>
              </w:rPr>
            </w:pPr>
            <w:r w:rsidRPr="001053DB">
              <w:rPr>
                <w:rFonts w:ascii="Times New Roman" w:eastAsia="Times New Roman" w:hAnsi="Times New Roman" w:cs="Times New Roman"/>
                <w:bCs/>
                <w:lang w:val="sr-Cyrl-CS"/>
              </w:rPr>
              <w:t>100</w:t>
            </w:r>
          </w:p>
        </w:tc>
        <w:tc>
          <w:tcPr>
            <w:tcW w:w="2205" w:type="dxa"/>
            <w:gridSpan w:val="2"/>
            <w:vAlign w:val="center"/>
          </w:tcPr>
          <w:p w14:paraId="22509032" w14:textId="7A853680" w:rsidR="00F84BAF" w:rsidRPr="00526160" w:rsidRDefault="00526160" w:rsidP="002A789B">
            <w:pPr>
              <w:spacing w:after="0" w:line="240" w:lineRule="auto"/>
              <w:jc w:val="center"/>
              <w:rPr>
                <w:rFonts w:ascii="Times New Roman" w:eastAsia="Times New Roman" w:hAnsi="Times New Roman" w:cs="Times New Roman"/>
                <w:b/>
                <w:bCs/>
                <w:lang w:val="en-US"/>
              </w:rPr>
            </w:pPr>
            <w:r>
              <w:rPr>
                <w:rFonts w:ascii="Times New Roman" w:eastAsia="Times New Roman" w:hAnsi="Times New Roman" w:cs="Times New Roman"/>
                <w:lang w:val="en-US"/>
              </w:rPr>
              <w:t>Customs Administration</w:t>
            </w:r>
          </w:p>
        </w:tc>
        <w:tc>
          <w:tcPr>
            <w:tcW w:w="2489" w:type="dxa"/>
            <w:gridSpan w:val="3"/>
            <w:vAlign w:val="center"/>
          </w:tcPr>
          <w:p w14:paraId="07B89D11" w14:textId="79F8A568" w:rsidR="00F84BAF" w:rsidRPr="00465FFB" w:rsidRDefault="00465FFB" w:rsidP="002A789B">
            <w:pPr>
              <w:spacing w:after="0" w:line="240" w:lineRule="auto"/>
              <w:jc w:val="center"/>
              <w:rPr>
                <w:rFonts w:ascii="Times New Roman" w:eastAsia="Times New Roman" w:hAnsi="Times New Roman" w:cs="Times New Roman"/>
                <w:b/>
                <w:bCs/>
                <w:lang w:val="en-US"/>
              </w:rPr>
            </w:pPr>
            <w:r>
              <w:rPr>
                <w:rFonts w:ascii="Times New Roman" w:eastAsia="Times New Roman" w:hAnsi="Times New Roman" w:cs="Times New Roman"/>
                <w:lang w:val="en-US"/>
              </w:rPr>
              <w:t>Budget Law</w:t>
            </w:r>
          </w:p>
        </w:tc>
      </w:tr>
      <w:tr w:rsidR="00D30238" w:rsidRPr="001053DB" w14:paraId="157957C2" w14:textId="77777777" w:rsidTr="002A789B">
        <w:trPr>
          <w:gridAfter w:val="1"/>
          <w:wAfter w:w="15" w:type="dxa"/>
          <w:cantSplit/>
          <w:tblCellSpacing w:w="15" w:type="dxa"/>
          <w:jc w:val="center"/>
        </w:trPr>
        <w:tc>
          <w:tcPr>
            <w:tcW w:w="2003" w:type="dxa"/>
            <w:vAlign w:val="center"/>
          </w:tcPr>
          <w:p w14:paraId="336FCEA0" w14:textId="433DF91F" w:rsidR="00F84BAF" w:rsidRPr="00465FFB" w:rsidRDefault="00465FFB" w:rsidP="002A789B">
            <w:pPr>
              <w:spacing w:after="0" w:line="240" w:lineRule="auto"/>
              <w:ind w:left="57"/>
              <w:rPr>
                <w:rFonts w:ascii="Times New Roman" w:eastAsia="Times New Roman" w:hAnsi="Times New Roman" w:cs="Times New Roman"/>
                <w:b/>
                <w:bCs/>
                <w:lang w:val="en-US"/>
              </w:rPr>
            </w:pPr>
            <w:r>
              <w:rPr>
                <w:rFonts w:ascii="Times New Roman" w:eastAsia="Times New Roman" w:hAnsi="Times New Roman" w:cs="Times New Roman"/>
                <w:b/>
                <w:bCs/>
                <w:lang w:val="en-US"/>
              </w:rPr>
              <w:t>Measure</w:t>
            </w:r>
            <w:r w:rsidR="00F84BAF" w:rsidRPr="001053DB">
              <w:rPr>
                <w:rFonts w:ascii="Times New Roman" w:eastAsia="Times New Roman" w:hAnsi="Times New Roman" w:cs="Times New Roman"/>
                <w:b/>
                <w:bCs/>
                <w:lang w:val="sr-Cyrl-CS"/>
              </w:rPr>
              <w:t xml:space="preserve"> 2.4:</w:t>
            </w:r>
            <w:r w:rsidR="00F84BAF" w:rsidRPr="001053DB">
              <w:rPr>
                <w:rFonts w:ascii="Times New Roman" w:eastAsia="Times New Roman" w:hAnsi="Times New Roman" w:cs="Times New Roman"/>
                <w:lang w:val="sr-Cyrl-CS"/>
              </w:rPr>
              <w:t xml:space="preserve"> </w:t>
            </w:r>
            <w:r>
              <w:rPr>
                <w:rFonts w:ascii="Times New Roman" w:eastAsia="Times New Roman" w:hAnsi="Times New Roman" w:cs="Times New Roman"/>
                <w:lang w:val="en-US"/>
              </w:rPr>
              <w:t>Efficient public debt management</w:t>
            </w:r>
          </w:p>
        </w:tc>
        <w:tc>
          <w:tcPr>
            <w:tcW w:w="2610" w:type="dxa"/>
            <w:gridSpan w:val="2"/>
            <w:vAlign w:val="center"/>
          </w:tcPr>
          <w:p w14:paraId="63568E04" w14:textId="16809282" w:rsidR="00F84BAF" w:rsidRPr="001053DB" w:rsidRDefault="00465FFB" w:rsidP="002A789B">
            <w:pPr>
              <w:spacing w:after="0" w:line="240" w:lineRule="auto"/>
              <w:ind w:left="57"/>
              <w:rPr>
                <w:rFonts w:ascii="Times New Roman" w:eastAsia="Times New Roman" w:hAnsi="Times New Roman" w:cs="Times New Roman"/>
                <w:lang w:val="sr-Cyrl-CS"/>
              </w:rPr>
            </w:pPr>
            <w:r w:rsidRPr="007F74A9">
              <w:rPr>
                <w:rFonts w:ascii="Times New Roman" w:hAnsi="Times New Roman" w:cs="Times New Roman"/>
              </w:rPr>
              <w:t>Share of interest expen</w:t>
            </w:r>
            <w:proofErr w:type="spellStart"/>
            <w:r>
              <w:rPr>
                <w:rFonts w:ascii="Times New Roman" w:hAnsi="Times New Roman" w:cs="Times New Roman"/>
                <w:lang w:val="en-US"/>
              </w:rPr>
              <w:t>ditures</w:t>
            </w:r>
            <w:proofErr w:type="spellEnd"/>
            <w:r w:rsidRPr="007F74A9">
              <w:rPr>
                <w:rFonts w:ascii="Times New Roman" w:hAnsi="Times New Roman" w:cs="Times New Roman"/>
              </w:rPr>
              <w:t xml:space="preserve"> in GDP</w:t>
            </w:r>
          </w:p>
        </w:tc>
        <w:tc>
          <w:tcPr>
            <w:tcW w:w="1397" w:type="dxa"/>
            <w:gridSpan w:val="3"/>
            <w:vAlign w:val="center"/>
          </w:tcPr>
          <w:p w14:paraId="0A930AA5" w14:textId="77777777" w:rsidR="00DF41D9" w:rsidRPr="001053DB" w:rsidRDefault="00341BB4"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2.0</w:t>
            </w:r>
          </w:p>
          <w:p w14:paraId="460C1197" w14:textId="42011CCF" w:rsidR="00F84BAF" w:rsidRPr="001053DB" w:rsidRDefault="00F84BAF"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(202</w:t>
            </w:r>
            <w:r w:rsidR="00341BB4" w:rsidRPr="001053DB">
              <w:rPr>
                <w:rFonts w:ascii="Times New Roman" w:eastAsia="Times New Roman" w:hAnsi="Times New Roman" w:cs="Times New Roman"/>
                <w:lang w:val="sr-Cyrl-CS"/>
              </w:rPr>
              <w:t>5</w:t>
            </w:r>
            <w:r w:rsidRPr="001053DB">
              <w:rPr>
                <w:rFonts w:ascii="Times New Roman" w:eastAsia="Times New Roman" w:hAnsi="Times New Roman" w:cs="Times New Roman"/>
                <w:lang w:val="sr-Cyrl-CS"/>
              </w:rPr>
              <w:t>)</w:t>
            </w:r>
          </w:p>
        </w:tc>
        <w:tc>
          <w:tcPr>
            <w:tcW w:w="1456" w:type="dxa"/>
            <w:gridSpan w:val="2"/>
            <w:vAlign w:val="center"/>
          </w:tcPr>
          <w:p w14:paraId="580BA9CB" w14:textId="147C2FCE" w:rsidR="00F84BAF" w:rsidRPr="001053DB" w:rsidRDefault="00341BB4"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1.9</w:t>
            </w:r>
            <w:r w:rsidR="006F0DF8" w:rsidRPr="001053DB">
              <w:rPr>
                <w:rFonts w:ascii="Times New Roman" w:eastAsia="Times New Roman" w:hAnsi="Times New Roman" w:cs="Times New Roman"/>
                <w:lang w:val="sr-Cyrl-CS"/>
              </w:rPr>
              <w:t xml:space="preserve"> (2028)</w:t>
            </w:r>
          </w:p>
        </w:tc>
        <w:tc>
          <w:tcPr>
            <w:tcW w:w="2205" w:type="dxa"/>
            <w:gridSpan w:val="2"/>
            <w:vAlign w:val="center"/>
          </w:tcPr>
          <w:p w14:paraId="527DA5B7" w14:textId="5D0873F5" w:rsidR="00F84BAF" w:rsidRPr="00526160" w:rsidRDefault="00526160"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Public Debt Administration</w:t>
            </w:r>
          </w:p>
        </w:tc>
        <w:tc>
          <w:tcPr>
            <w:tcW w:w="2489" w:type="dxa"/>
            <w:gridSpan w:val="3"/>
            <w:vAlign w:val="center"/>
          </w:tcPr>
          <w:p w14:paraId="394B3692" w14:textId="3462A09B" w:rsidR="00F84BAF" w:rsidRPr="00465FFB" w:rsidRDefault="00465FFB"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Annual report</w:t>
            </w:r>
          </w:p>
        </w:tc>
      </w:tr>
      <w:tr w:rsidR="00D30238" w:rsidRPr="001053DB" w14:paraId="302873C1" w14:textId="77777777" w:rsidTr="002A789B">
        <w:trPr>
          <w:gridAfter w:val="1"/>
          <w:wAfter w:w="15" w:type="dxa"/>
          <w:cantSplit/>
          <w:tblCellSpacing w:w="15" w:type="dxa"/>
          <w:jc w:val="center"/>
        </w:trPr>
        <w:tc>
          <w:tcPr>
            <w:tcW w:w="2003" w:type="dxa"/>
            <w:vAlign w:val="center"/>
          </w:tcPr>
          <w:p w14:paraId="6B286359" w14:textId="59387A8C" w:rsidR="00F84BAF" w:rsidRPr="00465FFB" w:rsidRDefault="00F84BAF" w:rsidP="002A789B">
            <w:pPr>
              <w:spacing w:after="0" w:line="240" w:lineRule="auto"/>
              <w:ind w:left="57"/>
              <w:rPr>
                <w:rFonts w:ascii="Times New Roman" w:eastAsia="Times New Roman" w:hAnsi="Times New Roman" w:cs="Times New Roman"/>
                <w:b/>
                <w:bCs/>
                <w:lang w:val="en-US"/>
              </w:rPr>
            </w:pPr>
            <w:r w:rsidRPr="001053DB">
              <w:rPr>
                <w:rFonts w:ascii="Times New Roman" w:eastAsia="Times New Roman" w:hAnsi="Times New Roman" w:cs="Times New Roman"/>
                <w:b/>
                <w:bCs/>
                <w:lang w:val="sr-Cyrl-CS"/>
              </w:rPr>
              <w:t>М</w:t>
            </w:r>
            <w:proofErr w:type="spellStart"/>
            <w:r w:rsidR="00465FFB">
              <w:rPr>
                <w:rFonts w:ascii="Times New Roman" w:eastAsia="Times New Roman" w:hAnsi="Times New Roman" w:cs="Times New Roman"/>
                <w:b/>
                <w:bCs/>
                <w:lang w:val="en-US"/>
              </w:rPr>
              <w:t>easure</w:t>
            </w:r>
            <w:proofErr w:type="spellEnd"/>
            <w:r w:rsidRPr="001053DB">
              <w:rPr>
                <w:rFonts w:ascii="Times New Roman" w:eastAsia="Times New Roman" w:hAnsi="Times New Roman" w:cs="Times New Roman"/>
                <w:b/>
                <w:bCs/>
                <w:lang w:val="sr-Cyrl-CS"/>
              </w:rPr>
              <w:t xml:space="preserve"> 2.5:</w:t>
            </w:r>
            <w:r w:rsidRPr="001053DB">
              <w:rPr>
                <w:rFonts w:ascii="Times New Roman" w:eastAsia="Times New Roman" w:hAnsi="Times New Roman" w:cs="Times New Roman"/>
                <w:lang w:val="sr-Cyrl-CS"/>
              </w:rPr>
              <w:t xml:space="preserve"> </w:t>
            </w:r>
            <w:r w:rsidR="00465FFB">
              <w:rPr>
                <w:rFonts w:ascii="Times New Roman" w:eastAsia="Times New Roman" w:hAnsi="Times New Roman" w:cs="Times New Roman"/>
                <w:lang w:val="en-US"/>
              </w:rPr>
              <w:t>Strengthening the capacities of public procurement officials</w:t>
            </w:r>
          </w:p>
        </w:tc>
        <w:tc>
          <w:tcPr>
            <w:tcW w:w="2610" w:type="dxa"/>
            <w:gridSpan w:val="2"/>
            <w:vAlign w:val="center"/>
          </w:tcPr>
          <w:p w14:paraId="07783E2E" w14:textId="3850325A" w:rsidR="00F84BAF" w:rsidRPr="001053DB" w:rsidRDefault="00465FFB" w:rsidP="002A789B">
            <w:pPr>
              <w:spacing w:after="0" w:line="240" w:lineRule="auto"/>
              <w:ind w:left="57"/>
              <w:rPr>
                <w:rFonts w:ascii="Times New Roman" w:eastAsia="Times New Roman" w:hAnsi="Times New Roman" w:cs="Times New Roman"/>
                <w:lang w:val="sr-Cyrl-CS"/>
              </w:rPr>
            </w:pPr>
            <w:r w:rsidRPr="009328FB">
              <w:rPr>
                <w:rFonts w:ascii="Times New Roman" w:eastAsia="Times New Roman" w:hAnsi="Times New Roman" w:cs="Times New Roman"/>
                <w:color w:val="000000"/>
                <w:lang w:eastAsia="en-GB"/>
              </w:rPr>
              <w:t>Number of certified public procurement officials</w:t>
            </w:r>
          </w:p>
        </w:tc>
        <w:tc>
          <w:tcPr>
            <w:tcW w:w="1397" w:type="dxa"/>
            <w:gridSpan w:val="3"/>
            <w:vAlign w:val="center"/>
          </w:tcPr>
          <w:p w14:paraId="2AF60D1B" w14:textId="77777777" w:rsidR="00F84BAF" w:rsidRPr="001053DB" w:rsidRDefault="00F84BAF"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5529 (2024)</w:t>
            </w:r>
          </w:p>
        </w:tc>
        <w:tc>
          <w:tcPr>
            <w:tcW w:w="1456" w:type="dxa"/>
            <w:gridSpan w:val="2"/>
            <w:vAlign w:val="center"/>
          </w:tcPr>
          <w:p w14:paraId="3C618699" w14:textId="75DF0CC0" w:rsidR="00F84BAF" w:rsidRPr="001053DB" w:rsidRDefault="006F0DF8"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6300</w:t>
            </w:r>
          </w:p>
        </w:tc>
        <w:tc>
          <w:tcPr>
            <w:tcW w:w="2205" w:type="dxa"/>
            <w:gridSpan w:val="2"/>
            <w:vAlign w:val="center"/>
          </w:tcPr>
          <w:p w14:paraId="0475617E" w14:textId="05F183B1" w:rsidR="00F84BAF" w:rsidRPr="00526160" w:rsidRDefault="00526160"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Public Procurement Office</w:t>
            </w:r>
          </w:p>
        </w:tc>
        <w:tc>
          <w:tcPr>
            <w:tcW w:w="2489" w:type="dxa"/>
            <w:gridSpan w:val="3"/>
            <w:vAlign w:val="center"/>
          </w:tcPr>
          <w:p w14:paraId="2629E44F" w14:textId="44F67E9A" w:rsidR="00F84BAF" w:rsidRPr="00465FFB" w:rsidRDefault="00465FFB"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Annual report on public procurement</w:t>
            </w:r>
          </w:p>
        </w:tc>
      </w:tr>
      <w:tr w:rsidR="00D30238" w:rsidRPr="001053DB" w14:paraId="7F725406" w14:textId="77777777" w:rsidTr="002A789B">
        <w:trPr>
          <w:gridAfter w:val="1"/>
          <w:wAfter w:w="15" w:type="dxa"/>
          <w:cantSplit/>
          <w:tblCellSpacing w:w="15" w:type="dxa"/>
          <w:jc w:val="center"/>
        </w:trPr>
        <w:tc>
          <w:tcPr>
            <w:tcW w:w="2003" w:type="dxa"/>
            <w:vAlign w:val="center"/>
          </w:tcPr>
          <w:p w14:paraId="1AED90C7" w14:textId="406B5703" w:rsidR="00F84BAF" w:rsidRPr="00465FFB" w:rsidRDefault="00465FFB" w:rsidP="002A789B">
            <w:pPr>
              <w:spacing w:after="0" w:line="240" w:lineRule="auto"/>
              <w:ind w:left="57"/>
              <w:rPr>
                <w:rFonts w:ascii="Times New Roman" w:eastAsia="Times New Roman" w:hAnsi="Times New Roman" w:cs="Times New Roman"/>
                <w:b/>
                <w:bCs/>
                <w:lang w:val="en-US"/>
              </w:rPr>
            </w:pPr>
            <w:r>
              <w:rPr>
                <w:rFonts w:ascii="Times New Roman" w:eastAsia="Times New Roman" w:hAnsi="Times New Roman" w:cs="Times New Roman"/>
                <w:b/>
                <w:bCs/>
                <w:lang w:val="en-US"/>
              </w:rPr>
              <w:lastRenderedPageBreak/>
              <w:t>Specific objective</w:t>
            </w:r>
            <w:r w:rsidR="00F84BAF" w:rsidRPr="001053DB">
              <w:rPr>
                <w:rFonts w:ascii="Times New Roman" w:eastAsia="Times New Roman" w:hAnsi="Times New Roman" w:cs="Times New Roman"/>
                <w:b/>
                <w:bCs/>
                <w:lang w:val="sr-Cyrl-CS"/>
              </w:rPr>
              <w:t xml:space="preserve"> III: </w:t>
            </w:r>
            <w:r>
              <w:rPr>
                <w:rFonts w:ascii="Times New Roman" w:eastAsia="Times New Roman" w:hAnsi="Times New Roman" w:cs="Times New Roman"/>
                <w:bCs/>
                <w:lang w:val="en-US"/>
              </w:rPr>
              <w:t>Improving budget discipline and more transparent use of public funds</w:t>
            </w:r>
          </w:p>
        </w:tc>
        <w:tc>
          <w:tcPr>
            <w:tcW w:w="2610" w:type="dxa"/>
            <w:gridSpan w:val="2"/>
            <w:vAlign w:val="center"/>
          </w:tcPr>
          <w:p w14:paraId="26D7D7B8" w14:textId="39E70E91" w:rsidR="00F84BAF" w:rsidRPr="001053DB" w:rsidRDefault="00465FFB" w:rsidP="002A789B">
            <w:pPr>
              <w:spacing w:after="0" w:line="240" w:lineRule="auto"/>
              <w:ind w:left="57"/>
              <w:rPr>
                <w:rFonts w:ascii="Times New Roman" w:eastAsia="Times New Roman" w:hAnsi="Times New Roman" w:cs="Times New Roman"/>
                <w:lang w:val="sr-Cyrl-CS"/>
              </w:rPr>
            </w:pPr>
            <w:r>
              <w:rPr>
                <w:rFonts w:ascii="Times New Roman" w:hAnsi="Times New Roman" w:cs="Times New Roman"/>
                <w:lang w:val="en-US"/>
              </w:rPr>
              <w:t>Level of achieved progress within Negotiating Chapter 22</w:t>
            </w:r>
          </w:p>
        </w:tc>
        <w:tc>
          <w:tcPr>
            <w:tcW w:w="1397" w:type="dxa"/>
            <w:gridSpan w:val="3"/>
            <w:vAlign w:val="center"/>
          </w:tcPr>
          <w:p w14:paraId="417B74E0" w14:textId="4480C5BA" w:rsidR="00F84BAF" w:rsidRPr="001053DB" w:rsidRDefault="00465FFB" w:rsidP="002A789B">
            <w:pPr>
              <w:spacing w:after="0" w:line="240" w:lineRule="auto"/>
              <w:jc w:val="center"/>
              <w:rPr>
                <w:rFonts w:ascii="Times New Roman" w:eastAsia="Times New Roman" w:hAnsi="Times New Roman" w:cs="Times New Roman"/>
                <w:lang w:val="sr-Cyrl-CS"/>
              </w:rPr>
            </w:pPr>
            <w:r>
              <w:rPr>
                <w:rFonts w:ascii="Times New Roman" w:hAnsi="Times New Roman" w:cs="Times New Roman"/>
                <w:lang w:val="en-US"/>
              </w:rPr>
              <w:t>Moderately prepared</w:t>
            </w:r>
            <w:r w:rsidRPr="001053DB">
              <w:rPr>
                <w:rFonts w:ascii="Times New Roman" w:eastAsia="Times New Roman" w:hAnsi="Times New Roman" w:cs="Times New Roman"/>
                <w:lang w:val="sr-Cyrl-CS"/>
              </w:rPr>
              <w:t xml:space="preserve"> </w:t>
            </w:r>
            <w:r w:rsidR="00591125" w:rsidRPr="001053DB">
              <w:rPr>
                <w:rFonts w:ascii="Times New Roman" w:eastAsia="Times New Roman" w:hAnsi="Times New Roman" w:cs="Times New Roman"/>
                <w:lang w:val="sr-Cyrl-CS"/>
              </w:rPr>
              <w:t>-2025</w:t>
            </w:r>
          </w:p>
        </w:tc>
        <w:tc>
          <w:tcPr>
            <w:tcW w:w="1456" w:type="dxa"/>
            <w:gridSpan w:val="2"/>
            <w:vAlign w:val="center"/>
          </w:tcPr>
          <w:p w14:paraId="383F96B5" w14:textId="46ECD0A7" w:rsidR="00F84BAF" w:rsidRPr="001053DB" w:rsidRDefault="00465FFB"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bCs/>
                <w:lang w:val="en-US"/>
              </w:rPr>
              <w:t>Good level of preparation</w:t>
            </w:r>
            <w:r w:rsidR="00AD5DF7" w:rsidRPr="001053DB">
              <w:rPr>
                <w:rFonts w:ascii="Times New Roman" w:eastAsia="Times New Roman" w:hAnsi="Times New Roman" w:cs="Times New Roman"/>
                <w:bCs/>
                <w:lang w:val="sr-Cyrl-CS"/>
              </w:rPr>
              <w:t>(2028)</w:t>
            </w:r>
          </w:p>
        </w:tc>
        <w:tc>
          <w:tcPr>
            <w:tcW w:w="2205" w:type="dxa"/>
            <w:gridSpan w:val="2"/>
            <w:vAlign w:val="center"/>
          </w:tcPr>
          <w:p w14:paraId="7A8575B7" w14:textId="7F1AA0C4" w:rsidR="00F84BAF" w:rsidRPr="001053DB" w:rsidRDefault="00526160"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w:t>
            </w:r>
          </w:p>
        </w:tc>
        <w:tc>
          <w:tcPr>
            <w:tcW w:w="2489" w:type="dxa"/>
            <w:gridSpan w:val="3"/>
            <w:vAlign w:val="center"/>
          </w:tcPr>
          <w:p w14:paraId="6D01F71F" w14:textId="51AA2014" w:rsidR="00F84BAF" w:rsidRPr="00465FFB" w:rsidRDefault="00465FFB"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Cs/>
                <w:lang w:val="en-US"/>
              </w:rPr>
              <w:t>EC Annual report</w:t>
            </w:r>
          </w:p>
        </w:tc>
      </w:tr>
      <w:tr w:rsidR="00D30238" w:rsidRPr="001053DB" w14:paraId="7BE7B1FD" w14:textId="77777777" w:rsidTr="002A789B">
        <w:trPr>
          <w:gridAfter w:val="1"/>
          <w:wAfter w:w="15" w:type="dxa"/>
          <w:cantSplit/>
          <w:tblCellSpacing w:w="15" w:type="dxa"/>
          <w:jc w:val="center"/>
        </w:trPr>
        <w:tc>
          <w:tcPr>
            <w:tcW w:w="2003" w:type="dxa"/>
            <w:shd w:val="clear" w:color="auto" w:fill="ECECEC"/>
            <w:vAlign w:val="center"/>
          </w:tcPr>
          <w:p w14:paraId="600E5C72" w14:textId="3ECA883D" w:rsidR="00F84BAF" w:rsidRPr="002B665C" w:rsidRDefault="002B665C" w:rsidP="002A789B">
            <w:pPr>
              <w:spacing w:after="0" w:line="240" w:lineRule="auto"/>
              <w:ind w:left="57"/>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Measure</w:t>
            </w:r>
          </w:p>
        </w:tc>
        <w:tc>
          <w:tcPr>
            <w:tcW w:w="2610" w:type="dxa"/>
            <w:gridSpan w:val="2"/>
            <w:shd w:val="clear" w:color="auto" w:fill="ECECEC"/>
            <w:vAlign w:val="center"/>
          </w:tcPr>
          <w:p w14:paraId="21FD5B68" w14:textId="520DBC03" w:rsidR="00F84BAF" w:rsidRPr="002B665C" w:rsidRDefault="002B665C" w:rsidP="002A789B">
            <w:pPr>
              <w:spacing w:after="0" w:line="240" w:lineRule="auto"/>
              <w:ind w:left="57"/>
              <w:jc w:val="center"/>
              <w:rPr>
                <w:rFonts w:ascii="Times New Roman" w:eastAsia="Times New Roman" w:hAnsi="Times New Roman" w:cs="Times New Roman"/>
                <w:lang w:val="en-US"/>
              </w:rPr>
            </w:pPr>
            <w:r>
              <w:rPr>
                <w:rFonts w:ascii="Times New Roman" w:eastAsia="Times New Roman" w:hAnsi="Times New Roman" w:cs="Times New Roman"/>
                <w:b/>
                <w:bCs/>
                <w:lang w:val="en-US"/>
              </w:rPr>
              <w:t>Indicator</w:t>
            </w:r>
          </w:p>
        </w:tc>
        <w:tc>
          <w:tcPr>
            <w:tcW w:w="1397" w:type="dxa"/>
            <w:gridSpan w:val="3"/>
            <w:shd w:val="clear" w:color="auto" w:fill="ECECEC"/>
            <w:vAlign w:val="center"/>
          </w:tcPr>
          <w:p w14:paraId="0FA85E08" w14:textId="358F8FA8"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Initial value/year</w:t>
            </w:r>
          </w:p>
        </w:tc>
        <w:tc>
          <w:tcPr>
            <w:tcW w:w="1456" w:type="dxa"/>
            <w:gridSpan w:val="2"/>
            <w:shd w:val="clear" w:color="auto" w:fill="ECECEC"/>
            <w:vAlign w:val="center"/>
          </w:tcPr>
          <w:p w14:paraId="492C03B1" w14:textId="1C2666CF"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Target value 2030</w:t>
            </w:r>
          </w:p>
        </w:tc>
        <w:tc>
          <w:tcPr>
            <w:tcW w:w="2205" w:type="dxa"/>
            <w:gridSpan w:val="2"/>
            <w:shd w:val="clear" w:color="auto" w:fill="ECECEC"/>
            <w:vAlign w:val="center"/>
          </w:tcPr>
          <w:p w14:paraId="38966C47" w14:textId="5703CF3A"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Relevant Institution</w:t>
            </w:r>
          </w:p>
        </w:tc>
        <w:tc>
          <w:tcPr>
            <w:tcW w:w="2489" w:type="dxa"/>
            <w:gridSpan w:val="3"/>
            <w:shd w:val="clear" w:color="auto" w:fill="ECECEC"/>
            <w:vAlign w:val="center"/>
          </w:tcPr>
          <w:p w14:paraId="7DC4A480" w14:textId="5B31FD85"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Source of verification</w:t>
            </w:r>
          </w:p>
        </w:tc>
      </w:tr>
      <w:tr w:rsidR="00D30238" w:rsidRPr="001053DB" w14:paraId="1497D1AE" w14:textId="77777777" w:rsidTr="002A789B">
        <w:trPr>
          <w:gridAfter w:val="1"/>
          <w:wAfter w:w="15" w:type="dxa"/>
          <w:cantSplit/>
          <w:tblCellSpacing w:w="15" w:type="dxa"/>
          <w:jc w:val="center"/>
        </w:trPr>
        <w:tc>
          <w:tcPr>
            <w:tcW w:w="2003" w:type="dxa"/>
            <w:vAlign w:val="center"/>
          </w:tcPr>
          <w:p w14:paraId="02A441E8" w14:textId="5AD7AEE2" w:rsidR="00F84BAF" w:rsidRPr="00465FFB" w:rsidRDefault="00F84BAF" w:rsidP="002A789B">
            <w:pPr>
              <w:spacing w:after="0" w:line="240" w:lineRule="auto"/>
              <w:ind w:left="57"/>
              <w:rPr>
                <w:rFonts w:ascii="Times New Roman" w:eastAsia="Times New Roman" w:hAnsi="Times New Roman" w:cs="Times New Roman"/>
                <w:b/>
                <w:bCs/>
                <w:lang w:val="en-US"/>
              </w:rPr>
            </w:pPr>
            <w:r w:rsidRPr="001053DB">
              <w:rPr>
                <w:rFonts w:ascii="Times New Roman" w:eastAsia="Times New Roman" w:hAnsi="Times New Roman" w:cs="Times New Roman"/>
                <w:b/>
                <w:bCs/>
                <w:lang w:val="sr-Cyrl-CS"/>
              </w:rPr>
              <w:t>М</w:t>
            </w:r>
            <w:proofErr w:type="spellStart"/>
            <w:r w:rsidR="00465FFB">
              <w:rPr>
                <w:rFonts w:ascii="Times New Roman" w:eastAsia="Times New Roman" w:hAnsi="Times New Roman" w:cs="Times New Roman"/>
                <w:b/>
                <w:bCs/>
                <w:lang w:val="en-US"/>
              </w:rPr>
              <w:t>easure</w:t>
            </w:r>
            <w:proofErr w:type="spellEnd"/>
            <w:r w:rsidRPr="001053DB">
              <w:rPr>
                <w:rFonts w:ascii="Times New Roman" w:eastAsia="Times New Roman" w:hAnsi="Times New Roman" w:cs="Times New Roman"/>
                <w:b/>
                <w:bCs/>
                <w:lang w:val="sr-Cyrl-CS"/>
              </w:rPr>
              <w:t xml:space="preserve"> 3.1:</w:t>
            </w:r>
            <w:r w:rsidRPr="001053DB">
              <w:rPr>
                <w:rFonts w:ascii="Times New Roman" w:eastAsia="Times New Roman" w:hAnsi="Times New Roman" w:cs="Times New Roman"/>
                <w:lang w:val="sr-Cyrl-CS"/>
              </w:rPr>
              <w:t xml:space="preserve"> </w:t>
            </w:r>
            <w:r w:rsidR="00465FFB">
              <w:rPr>
                <w:rFonts w:ascii="Times New Roman" w:eastAsia="Times New Roman" w:hAnsi="Times New Roman" w:cs="Times New Roman"/>
                <w:lang w:val="en-US"/>
              </w:rPr>
              <w:t>Expansion of audit coverage and development of a new audit methodology under the competence of Governmental Audit Office of EU funds</w:t>
            </w:r>
          </w:p>
        </w:tc>
        <w:tc>
          <w:tcPr>
            <w:tcW w:w="2610" w:type="dxa"/>
            <w:gridSpan w:val="2"/>
            <w:vAlign w:val="center"/>
          </w:tcPr>
          <w:p w14:paraId="728112A8" w14:textId="69F42067" w:rsidR="00F84BAF" w:rsidRPr="001053DB" w:rsidRDefault="00465FFB" w:rsidP="002A789B">
            <w:pPr>
              <w:spacing w:after="0" w:line="240" w:lineRule="auto"/>
              <w:ind w:left="57"/>
              <w:rPr>
                <w:rFonts w:ascii="Times New Roman" w:eastAsia="Times New Roman" w:hAnsi="Times New Roman" w:cs="Times New Roman"/>
                <w:lang w:val="sr-Cyrl-CS"/>
              </w:rPr>
            </w:pPr>
            <w:r w:rsidRPr="00F81E49">
              <w:rPr>
                <w:rFonts w:ascii="Times New Roman" w:eastAsia="Times New Roman" w:hAnsi="Times New Roman" w:cs="Times New Roman"/>
                <w:color w:val="000000"/>
                <w:lang w:eastAsia="en-GB"/>
              </w:rPr>
              <w:t>Number of developed methodological frameworks for audits</w:t>
            </w:r>
          </w:p>
        </w:tc>
        <w:tc>
          <w:tcPr>
            <w:tcW w:w="1397" w:type="dxa"/>
            <w:gridSpan w:val="3"/>
            <w:vAlign w:val="center"/>
          </w:tcPr>
          <w:p w14:paraId="5CB5ABC5" w14:textId="77777777" w:rsidR="00F84BAF" w:rsidRPr="001053DB" w:rsidRDefault="00F84BAF"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 (2025)</w:t>
            </w:r>
          </w:p>
        </w:tc>
        <w:tc>
          <w:tcPr>
            <w:tcW w:w="1456" w:type="dxa"/>
            <w:gridSpan w:val="2"/>
            <w:vAlign w:val="center"/>
          </w:tcPr>
          <w:p w14:paraId="408B9555" w14:textId="77777777" w:rsidR="00F84BAF" w:rsidRPr="001053DB" w:rsidRDefault="006006C1"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 (2026)</w:t>
            </w:r>
          </w:p>
        </w:tc>
        <w:tc>
          <w:tcPr>
            <w:tcW w:w="2205" w:type="dxa"/>
            <w:gridSpan w:val="2"/>
            <w:vAlign w:val="center"/>
          </w:tcPr>
          <w:p w14:paraId="45ECC5E1" w14:textId="0A17E74B" w:rsidR="00F84BAF" w:rsidRPr="00526160" w:rsidRDefault="00526160"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Governmental Audit Office of EU Funds</w:t>
            </w:r>
          </w:p>
        </w:tc>
        <w:tc>
          <w:tcPr>
            <w:tcW w:w="2489" w:type="dxa"/>
            <w:gridSpan w:val="3"/>
            <w:vAlign w:val="center"/>
          </w:tcPr>
          <w:p w14:paraId="27702713" w14:textId="59CDC0CB"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Decision on adoption</w:t>
            </w:r>
          </w:p>
        </w:tc>
      </w:tr>
      <w:tr w:rsidR="00D30238" w:rsidRPr="001053DB" w14:paraId="7189F976" w14:textId="77777777" w:rsidTr="002A789B">
        <w:trPr>
          <w:gridAfter w:val="1"/>
          <w:wAfter w:w="15" w:type="dxa"/>
          <w:cantSplit/>
          <w:tblCellSpacing w:w="15" w:type="dxa"/>
          <w:jc w:val="center"/>
        </w:trPr>
        <w:tc>
          <w:tcPr>
            <w:tcW w:w="2003" w:type="dxa"/>
            <w:vAlign w:val="center"/>
          </w:tcPr>
          <w:p w14:paraId="1F53C885" w14:textId="026525B8" w:rsidR="00F84BAF" w:rsidRPr="00465FFB" w:rsidRDefault="00465FFB" w:rsidP="002A789B">
            <w:pPr>
              <w:spacing w:after="0" w:line="240" w:lineRule="auto"/>
              <w:ind w:left="57"/>
              <w:rPr>
                <w:rFonts w:ascii="Times New Roman" w:eastAsia="Times New Roman" w:hAnsi="Times New Roman" w:cs="Times New Roman"/>
                <w:b/>
                <w:bCs/>
                <w:lang w:val="en-US"/>
              </w:rPr>
            </w:pPr>
            <w:r>
              <w:rPr>
                <w:rFonts w:ascii="Times New Roman" w:eastAsia="Times New Roman" w:hAnsi="Times New Roman" w:cs="Times New Roman"/>
                <w:b/>
                <w:bCs/>
                <w:lang w:val="en-US"/>
              </w:rPr>
              <w:t>Measure</w:t>
            </w:r>
            <w:r w:rsidR="00F84BAF" w:rsidRPr="001053DB">
              <w:rPr>
                <w:rFonts w:ascii="Times New Roman" w:eastAsia="Times New Roman" w:hAnsi="Times New Roman" w:cs="Times New Roman"/>
                <w:b/>
                <w:bCs/>
                <w:lang w:val="sr-Cyrl-CS"/>
              </w:rPr>
              <w:t xml:space="preserve"> 3.2:</w:t>
            </w:r>
            <w:r w:rsidR="00F84BAF" w:rsidRPr="001053DB">
              <w:rPr>
                <w:rFonts w:ascii="Times New Roman" w:eastAsia="Times New Roman" w:hAnsi="Times New Roman" w:cs="Times New Roman"/>
                <w:lang w:val="sr-Cyrl-CS"/>
              </w:rPr>
              <w:t xml:space="preserve"> </w:t>
            </w:r>
            <w:r>
              <w:rPr>
                <w:rFonts w:ascii="Times New Roman" w:eastAsia="Times New Roman" w:hAnsi="Times New Roman" w:cs="Times New Roman"/>
                <w:lang w:val="en-US"/>
              </w:rPr>
              <w:t>Strengthening the system for more efficient and effective management of EU funds and enhancing the capacity of competent institutions in the area of protection of EU interests</w:t>
            </w:r>
          </w:p>
        </w:tc>
        <w:tc>
          <w:tcPr>
            <w:tcW w:w="2610" w:type="dxa"/>
            <w:gridSpan w:val="2"/>
            <w:vAlign w:val="center"/>
          </w:tcPr>
          <w:p w14:paraId="6C4054A8" w14:textId="05B582D8" w:rsidR="00F84BAF" w:rsidRPr="001053DB" w:rsidRDefault="00465FFB" w:rsidP="002A789B">
            <w:pPr>
              <w:spacing w:after="0" w:line="240" w:lineRule="auto"/>
              <w:ind w:left="57"/>
              <w:rPr>
                <w:rFonts w:ascii="Times New Roman" w:eastAsia="Times New Roman" w:hAnsi="Times New Roman" w:cs="Times New Roman"/>
                <w:b/>
                <w:lang w:val="sr-Cyrl-CS"/>
              </w:rPr>
            </w:pPr>
            <w:r w:rsidRPr="009F481A">
              <w:rPr>
                <w:rFonts w:ascii="Times New Roman" w:hAnsi="Times New Roman" w:cs="Times New Roman"/>
              </w:rPr>
              <w:t>Percentage of confirmed irregularities identified during on-the-spot and administrative controls in relation to the total number of confirmed cases of irregularities</w:t>
            </w:r>
          </w:p>
        </w:tc>
        <w:tc>
          <w:tcPr>
            <w:tcW w:w="1397" w:type="dxa"/>
            <w:gridSpan w:val="3"/>
            <w:vAlign w:val="center"/>
          </w:tcPr>
          <w:p w14:paraId="7AFC8FAA" w14:textId="77777777" w:rsidR="00F84BAF" w:rsidRPr="001053DB" w:rsidRDefault="00F84BAF" w:rsidP="002A789B">
            <w:pPr>
              <w:spacing w:after="0" w:line="240" w:lineRule="auto"/>
              <w:jc w:val="center"/>
              <w:rPr>
                <w:rFonts w:ascii="Times New Roman" w:eastAsia="Times New Roman" w:hAnsi="Times New Roman" w:cs="Times New Roman"/>
                <w:b/>
                <w:lang w:val="sr-Cyrl-CS"/>
              </w:rPr>
            </w:pPr>
            <w:r w:rsidRPr="001053DB">
              <w:rPr>
                <w:rFonts w:ascii="Times New Roman" w:eastAsia="Times New Roman" w:hAnsi="Times New Roman" w:cs="Times New Roman"/>
                <w:lang w:val="sr-Cyrl-CS"/>
              </w:rPr>
              <w:t>85 (2025)</w:t>
            </w:r>
          </w:p>
        </w:tc>
        <w:tc>
          <w:tcPr>
            <w:tcW w:w="1456" w:type="dxa"/>
            <w:gridSpan w:val="2"/>
            <w:vAlign w:val="center"/>
          </w:tcPr>
          <w:p w14:paraId="4620567B" w14:textId="72F937CA" w:rsidR="00F84BAF" w:rsidRPr="001053DB" w:rsidRDefault="007879E0"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85</w:t>
            </w:r>
            <w:r w:rsidR="006F0DF8" w:rsidRPr="001053DB">
              <w:rPr>
                <w:rFonts w:ascii="Times New Roman" w:eastAsia="Times New Roman" w:hAnsi="Times New Roman" w:cs="Times New Roman"/>
                <w:lang w:val="sr-Cyrl-CS"/>
              </w:rPr>
              <w:t xml:space="preserve"> (2028)</w:t>
            </w:r>
          </w:p>
        </w:tc>
        <w:tc>
          <w:tcPr>
            <w:tcW w:w="2205" w:type="dxa"/>
            <w:gridSpan w:val="2"/>
            <w:vAlign w:val="center"/>
          </w:tcPr>
          <w:p w14:paraId="61A291E9" w14:textId="1577C391" w:rsidR="00F84BAF" w:rsidRPr="001053DB" w:rsidRDefault="00526160" w:rsidP="002A789B">
            <w:pPr>
              <w:spacing w:after="0" w:line="240" w:lineRule="auto"/>
              <w:jc w:val="center"/>
              <w:rPr>
                <w:rFonts w:ascii="Times New Roman" w:eastAsia="Times New Roman" w:hAnsi="Times New Roman" w:cs="Times New Roman"/>
                <w:b/>
                <w:lang w:val="sr-Cyrl-CS"/>
              </w:rPr>
            </w:pPr>
            <w:r>
              <w:rPr>
                <w:rFonts w:ascii="Times New Roman" w:eastAsia="Times New Roman" w:hAnsi="Times New Roman" w:cs="Times New Roman"/>
                <w:lang w:val="en-US"/>
              </w:rPr>
              <w:t>Ministry of Finance</w:t>
            </w:r>
          </w:p>
        </w:tc>
        <w:tc>
          <w:tcPr>
            <w:tcW w:w="2489" w:type="dxa"/>
            <w:gridSpan w:val="3"/>
            <w:vAlign w:val="center"/>
          </w:tcPr>
          <w:p w14:paraId="34C480B2" w14:textId="26E2EEFD" w:rsidR="00F84BAF" w:rsidRPr="00526160" w:rsidRDefault="00F84BAF" w:rsidP="002A789B">
            <w:pPr>
              <w:spacing w:after="0" w:line="240" w:lineRule="auto"/>
              <w:jc w:val="center"/>
              <w:rPr>
                <w:rFonts w:ascii="Times New Roman" w:eastAsia="Times New Roman" w:hAnsi="Times New Roman" w:cs="Times New Roman"/>
                <w:b/>
                <w:lang w:val="en-US"/>
              </w:rPr>
            </w:pPr>
            <w:r w:rsidRPr="001053DB">
              <w:rPr>
                <w:rFonts w:ascii="Times New Roman" w:eastAsia="Times New Roman" w:hAnsi="Times New Roman" w:cs="Times New Roman"/>
                <w:i/>
                <w:lang w:val="sr-Cyrl-CS"/>
              </w:rPr>
              <w:t>AFIS-IMS</w:t>
            </w:r>
            <w:r w:rsidRPr="001053DB">
              <w:rPr>
                <w:rFonts w:ascii="Times New Roman" w:eastAsia="Times New Roman" w:hAnsi="Times New Roman" w:cs="Times New Roman"/>
                <w:lang w:val="sr-Cyrl-CS"/>
              </w:rPr>
              <w:t xml:space="preserve"> </w:t>
            </w:r>
            <w:r w:rsidR="00526160">
              <w:rPr>
                <w:rFonts w:ascii="Times New Roman" w:eastAsia="Times New Roman" w:hAnsi="Times New Roman" w:cs="Times New Roman"/>
                <w:lang w:val="en-US"/>
              </w:rPr>
              <w:t>system</w:t>
            </w:r>
          </w:p>
        </w:tc>
      </w:tr>
      <w:tr w:rsidR="00D30238" w:rsidRPr="001053DB" w14:paraId="271D135F" w14:textId="77777777" w:rsidTr="002A789B">
        <w:trPr>
          <w:gridAfter w:val="1"/>
          <w:wAfter w:w="15" w:type="dxa"/>
          <w:cantSplit/>
          <w:tblCellSpacing w:w="15" w:type="dxa"/>
          <w:jc w:val="center"/>
        </w:trPr>
        <w:tc>
          <w:tcPr>
            <w:tcW w:w="2003" w:type="dxa"/>
            <w:vAlign w:val="center"/>
          </w:tcPr>
          <w:p w14:paraId="55342B09" w14:textId="70C47797" w:rsidR="00F84BAF" w:rsidRPr="00465FFB" w:rsidRDefault="00465FFB" w:rsidP="002A789B">
            <w:pPr>
              <w:spacing w:after="0" w:line="240" w:lineRule="auto"/>
              <w:ind w:left="57"/>
              <w:rPr>
                <w:rFonts w:ascii="Times New Roman" w:eastAsia="Times New Roman" w:hAnsi="Times New Roman" w:cs="Times New Roman"/>
                <w:b/>
                <w:bCs/>
                <w:lang w:val="en-US"/>
              </w:rPr>
            </w:pPr>
            <w:r>
              <w:rPr>
                <w:rFonts w:ascii="Times New Roman" w:eastAsia="Times New Roman" w:hAnsi="Times New Roman" w:cs="Times New Roman"/>
                <w:b/>
                <w:bCs/>
                <w:lang w:val="en-US"/>
              </w:rPr>
              <w:t>Measure</w:t>
            </w:r>
            <w:r w:rsidR="00F84BAF" w:rsidRPr="001053DB">
              <w:rPr>
                <w:rFonts w:ascii="Times New Roman" w:eastAsia="Times New Roman" w:hAnsi="Times New Roman" w:cs="Times New Roman"/>
                <w:b/>
                <w:bCs/>
                <w:lang w:val="sr-Cyrl-CS"/>
              </w:rPr>
              <w:t xml:space="preserve"> 3.3:</w:t>
            </w:r>
            <w:r w:rsidR="00F84BAF" w:rsidRPr="001053DB">
              <w:rPr>
                <w:rFonts w:ascii="Times New Roman" w:eastAsia="Times New Roman" w:hAnsi="Times New Roman" w:cs="Times New Roman"/>
                <w:lang w:val="sr-Cyrl-CS"/>
              </w:rPr>
              <w:t xml:space="preserve"> </w:t>
            </w:r>
            <w:r>
              <w:rPr>
                <w:rFonts w:ascii="Times New Roman" w:eastAsia="Times New Roman" w:hAnsi="Times New Roman" w:cs="Times New Roman"/>
                <w:lang w:val="en-US"/>
              </w:rPr>
              <w:t>Increasing the efficiency and effectiveness of inspection oversight</w:t>
            </w:r>
          </w:p>
        </w:tc>
        <w:tc>
          <w:tcPr>
            <w:tcW w:w="2610" w:type="dxa"/>
            <w:gridSpan w:val="2"/>
            <w:vAlign w:val="center"/>
          </w:tcPr>
          <w:p w14:paraId="4D63EC2F" w14:textId="5CD33BD1" w:rsidR="00F84BAF" w:rsidRPr="001053DB" w:rsidRDefault="00465FFB" w:rsidP="002A789B">
            <w:pPr>
              <w:spacing w:after="0" w:line="240" w:lineRule="auto"/>
              <w:ind w:left="57"/>
              <w:rPr>
                <w:rFonts w:ascii="Times New Roman" w:eastAsia="Times New Roman" w:hAnsi="Times New Roman" w:cs="Times New Roman"/>
                <w:lang w:val="sr-Cyrl-CS"/>
              </w:rPr>
            </w:pPr>
            <w:r w:rsidRPr="008927DB">
              <w:rPr>
                <w:rFonts w:ascii="Times New Roman" w:hAnsi="Times New Roman" w:cs="Times New Roman"/>
              </w:rPr>
              <w:t>Percentage of inspections conducted in response to complaints included in the annual inspection plan for the current year, relative to the number of complaints received within the jurisdiction of the Budget Inspection in the previous year.</w:t>
            </w:r>
          </w:p>
        </w:tc>
        <w:tc>
          <w:tcPr>
            <w:tcW w:w="1397" w:type="dxa"/>
            <w:gridSpan w:val="3"/>
            <w:vAlign w:val="center"/>
          </w:tcPr>
          <w:p w14:paraId="0D68A0D7" w14:textId="77777777" w:rsidR="00F84BAF" w:rsidRPr="001053DB" w:rsidRDefault="00F84BAF"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47 (2024)</w:t>
            </w:r>
          </w:p>
        </w:tc>
        <w:tc>
          <w:tcPr>
            <w:tcW w:w="1456" w:type="dxa"/>
            <w:gridSpan w:val="2"/>
            <w:vAlign w:val="center"/>
          </w:tcPr>
          <w:p w14:paraId="01EF22D0" w14:textId="1D178048" w:rsidR="00F84BAF" w:rsidRPr="001053DB" w:rsidRDefault="006F0DF8"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61</w:t>
            </w:r>
          </w:p>
        </w:tc>
        <w:tc>
          <w:tcPr>
            <w:tcW w:w="2205" w:type="dxa"/>
            <w:gridSpan w:val="2"/>
            <w:vAlign w:val="center"/>
          </w:tcPr>
          <w:p w14:paraId="4E173CB6" w14:textId="016B766B" w:rsidR="00F84BAF" w:rsidRPr="00526160" w:rsidRDefault="00526160"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Budget inspection</w:t>
            </w:r>
          </w:p>
        </w:tc>
        <w:tc>
          <w:tcPr>
            <w:tcW w:w="2489" w:type="dxa"/>
            <w:gridSpan w:val="3"/>
            <w:vAlign w:val="center"/>
          </w:tcPr>
          <w:p w14:paraId="6C80DFF8" w14:textId="4CE938E7" w:rsidR="00F84BAF" w:rsidRPr="00526160" w:rsidRDefault="00526160"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Annual report</w:t>
            </w:r>
          </w:p>
        </w:tc>
      </w:tr>
      <w:tr w:rsidR="00D30238" w:rsidRPr="001053DB" w14:paraId="6A346166" w14:textId="77777777" w:rsidTr="002A789B">
        <w:trPr>
          <w:gridAfter w:val="1"/>
          <w:wAfter w:w="15" w:type="dxa"/>
          <w:cantSplit/>
          <w:tblCellSpacing w:w="15" w:type="dxa"/>
          <w:jc w:val="center"/>
        </w:trPr>
        <w:tc>
          <w:tcPr>
            <w:tcW w:w="2003" w:type="dxa"/>
            <w:vAlign w:val="center"/>
          </w:tcPr>
          <w:p w14:paraId="217CFB1B" w14:textId="25FE0AA6" w:rsidR="00F84BAF" w:rsidRPr="00465FFB" w:rsidRDefault="00465FFB" w:rsidP="002A789B">
            <w:pPr>
              <w:spacing w:after="0" w:line="240" w:lineRule="auto"/>
              <w:ind w:left="57"/>
              <w:rPr>
                <w:rFonts w:ascii="Times New Roman" w:eastAsia="Times New Roman" w:hAnsi="Times New Roman" w:cs="Times New Roman"/>
                <w:b/>
                <w:bCs/>
                <w:lang w:val="en-US"/>
              </w:rPr>
            </w:pPr>
            <w:r>
              <w:rPr>
                <w:rFonts w:ascii="Times New Roman" w:eastAsia="Times New Roman" w:hAnsi="Times New Roman" w:cs="Times New Roman"/>
                <w:b/>
                <w:bCs/>
                <w:lang w:val="en-US"/>
              </w:rPr>
              <w:lastRenderedPageBreak/>
              <w:t>Specific objective</w:t>
            </w:r>
            <w:r w:rsidR="00F84BAF" w:rsidRPr="001053DB">
              <w:rPr>
                <w:rFonts w:ascii="Times New Roman" w:eastAsia="Times New Roman" w:hAnsi="Times New Roman" w:cs="Times New Roman"/>
                <w:b/>
                <w:bCs/>
                <w:lang w:val="sr-Cyrl-CS"/>
              </w:rPr>
              <w:t xml:space="preserve"> IV: </w:t>
            </w:r>
            <w:r>
              <w:rPr>
                <w:rFonts w:ascii="Times New Roman" w:eastAsia="Times New Roman" w:hAnsi="Times New Roman" w:cs="Times New Roman"/>
                <w:bCs/>
                <w:lang w:val="en-US"/>
              </w:rPr>
              <w:t>Improvement of the application of the internal financial control system in the public sector</w:t>
            </w:r>
          </w:p>
        </w:tc>
        <w:tc>
          <w:tcPr>
            <w:tcW w:w="2610" w:type="dxa"/>
            <w:gridSpan w:val="2"/>
            <w:vAlign w:val="center"/>
          </w:tcPr>
          <w:p w14:paraId="52B9FB3F" w14:textId="74C0F0F3" w:rsidR="00F84BAF" w:rsidRPr="001053DB" w:rsidRDefault="00465FFB" w:rsidP="002A789B">
            <w:pPr>
              <w:spacing w:after="0" w:line="240" w:lineRule="auto"/>
              <w:ind w:left="57"/>
              <w:rPr>
                <w:rFonts w:ascii="Times New Roman" w:eastAsia="Times New Roman" w:hAnsi="Times New Roman" w:cs="Times New Roman"/>
                <w:lang w:val="sr-Cyrl-CS"/>
              </w:rPr>
            </w:pPr>
            <w:r w:rsidRPr="007A2D73">
              <w:rPr>
                <w:rFonts w:ascii="Times New Roman" w:hAnsi="Times New Roman" w:cs="Times New Roman"/>
                <w:bCs/>
              </w:rPr>
              <w:t>Level of progress identified in the area of Internal Financial Control in the EC progress report on the</w:t>
            </w:r>
            <w:r w:rsidRPr="007A2D73">
              <w:rPr>
                <w:rFonts w:ascii="Times New Roman" w:hAnsi="Times New Roman" w:cs="Times New Roman"/>
                <w:bCs/>
                <w:lang w:val="en-US"/>
              </w:rPr>
              <w:t xml:space="preserve"> </w:t>
            </w:r>
            <w:r w:rsidRPr="007A2D73">
              <w:rPr>
                <w:rFonts w:ascii="Times New Roman" w:hAnsi="Times New Roman" w:cs="Times New Roman"/>
                <w:bCs/>
              </w:rPr>
              <w:t>Republic of Serbia for the given year</w:t>
            </w:r>
          </w:p>
        </w:tc>
        <w:tc>
          <w:tcPr>
            <w:tcW w:w="1397" w:type="dxa"/>
            <w:gridSpan w:val="3"/>
            <w:vAlign w:val="center"/>
          </w:tcPr>
          <w:p w14:paraId="43E881D1" w14:textId="22FA4A31" w:rsidR="00F84BAF" w:rsidRPr="00465FFB" w:rsidRDefault="00F84BAF" w:rsidP="002A789B">
            <w:pPr>
              <w:spacing w:after="0" w:line="240" w:lineRule="auto"/>
              <w:jc w:val="center"/>
              <w:rPr>
                <w:rFonts w:ascii="Times New Roman" w:eastAsia="Times New Roman" w:hAnsi="Times New Roman" w:cs="Times New Roman"/>
                <w:lang w:val="en-US"/>
              </w:rPr>
            </w:pPr>
            <w:r w:rsidRPr="001053DB">
              <w:rPr>
                <w:rFonts w:ascii="Times New Roman" w:eastAsia="Times New Roman" w:hAnsi="Times New Roman" w:cs="Times New Roman"/>
                <w:bCs/>
                <w:lang w:val="sr-Cyrl-CS"/>
              </w:rPr>
              <w:t xml:space="preserve">2025: </w:t>
            </w:r>
            <w:r w:rsidR="00465FFB">
              <w:rPr>
                <w:rFonts w:ascii="Times New Roman" w:eastAsia="Times New Roman" w:hAnsi="Times New Roman" w:cs="Times New Roman"/>
                <w:bCs/>
                <w:lang w:val="en-US"/>
              </w:rPr>
              <w:t>Moderately prepared</w:t>
            </w:r>
          </w:p>
        </w:tc>
        <w:tc>
          <w:tcPr>
            <w:tcW w:w="1456" w:type="dxa"/>
            <w:gridSpan w:val="2"/>
            <w:vAlign w:val="center"/>
          </w:tcPr>
          <w:p w14:paraId="49C91846" w14:textId="3E9D558F" w:rsidR="00F84BAF" w:rsidRPr="00465FFB" w:rsidRDefault="00465FFB"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Good level of preparation</w:t>
            </w:r>
          </w:p>
        </w:tc>
        <w:tc>
          <w:tcPr>
            <w:tcW w:w="2205" w:type="dxa"/>
            <w:gridSpan w:val="2"/>
            <w:vAlign w:val="center"/>
          </w:tcPr>
          <w:p w14:paraId="42B51E1B" w14:textId="393BA6B5" w:rsidR="00F84BAF" w:rsidRPr="001053DB" w:rsidRDefault="002B665C"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 CHU</w:t>
            </w:r>
          </w:p>
        </w:tc>
        <w:tc>
          <w:tcPr>
            <w:tcW w:w="2489" w:type="dxa"/>
            <w:gridSpan w:val="3"/>
            <w:vAlign w:val="center"/>
          </w:tcPr>
          <w:p w14:paraId="3950C222" w14:textId="0577DE4A"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Cs/>
                <w:lang w:val="en-US"/>
              </w:rPr>
              <w:t>Annual report on Serbia</w:t>
            </w:r>
          </w:p>
        </w:tc>
      </w:tr>
      <w:tr w:rsidR="00D30238" w:rsidRPr="001053DB" w14:paraId="147A2743" w14:textId="77777777" w:rsidTr="002A789B">
        <w:trPr>
          <w:gridAfter w:val="1"/>
          <w:wAfter w:w="15" w:type="dxa"/>
          <w:cantSplit/>
          <w:tblCellSpacing w:w="15" w:type="dxa"/>
          <w:jc w:val="center"/>
        </w:trPr>
        <w:tc>
          <w:tcPr>
            <w:tcW w:w="2003" w:type="dxa"/>
            <w:shd w:val="clear" w:color="auto" w:fill="ECECEC"/>
            <w:vAlign w:val="center"/>
          </w:tcPr>
          <w:p w14:paraId="12D11C18" w14:textId="1F3E6870" w:rsidR="00F84BAF" w:rsidRPr="002B665C" w:rsidRDefault="002B665C" w:rsidP="00C47974">
            <w:pPr>
              <w:spacing w:after="0" w:line="240" w:lineRule="auto"/>
              <w:ind w:left="57"/>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Measure</w:t>
            </w:r>
          </w:p>
        </w:tc>
        <w:tc>
          <w:tcPr>
            <w:tcW w:w="2610" w:type="dxa"/>
            <w:gridSpan w:val="2"/>
            <w:shd w:val="clear" w:color="auto" w:fill="ECECEC"/>
            <w:vAlign w:val="center"/>
          </w:tcPr>
          <w:p w14:paraId="7B2F836E" w14:textId="6A2E77AC" w:rsidR="00F84BAF" w:rsidRPr="002B665C" w:rsidRDefault="002B665C" w:rsidP="002A789B">
            <w:pPr>
              <w:spacing w:after="0" w:line="240" w:lineRule="auto"/>
              <w:ind w:left="57"/>
              <w:jc w:val="center"/>
              <w:rPr>
                <w:rFonts w:ascii="Times New Roman" w:eastAsia="Times New Roman" w:hAnsi="Times New Roman" w:cs="Times New Roman"/>
                <w:lang w:val="en-US"/>
              </w:rPr>
            </w:pPr>
            <w:r>
              <w:rPr>
                <w:rFonts w:ascii="Times New Roman" w:eastAsia="Times New Roman" w:hAnsi="Times New Roman" w:cs="Times New Roman"/>
                <w:b/>
                <w:bCs/>
                <w:lang w:val="en-US"/>
              </w:rPr>
              <w:t>Indicator</w:t>
            </w:r>
          </w:p>
        </w:tc>
        <w:tc>
          <w:tcPr>
            <w:tcW w:w="1397" w:type="dxa"/>
            <w:gridSpan w:val="3"/>
            <w:shd w:val="clear" w:color="auto" w:fill="ECECEC"/>
            <w:vAlign w:val="center"/>
          </w:tcPr>
          <w:p w14:paraId="68D2146F" w14:textId="25E0F850"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Initial value/year</w:t>
            </w:r>
          </w:p>
        </w:tc>
        <w:tc>
          <w:tcPr>
            <w:tcW w:w="1456" w:type="dxa"/>
            <w:gridSpan w:val="2"/>
            <w:shd w:val="clear" w:color="auto" w:fill="ECECEC"/>
            <w:vAlign w:val="center"/>
          </w:tcPr>
          <w:p w14:paraId="5E66E1BB" w14:textId="5316A15B" w:rsidR="00F84BAF" w:rsidRPr="002B665C" w:rsidRDefault="002B665C" w:rsidP="002A789B">
            <w:pPr>
              <w:spacing w:after="0" w:line="240" w:lineRule="auto"/>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Target value 2030</w:t>
            </w:r>
          </w:p>
        </w:tc>
        <w:tc>
          <w:tcPr>
            <w:tcW w:w="2205" w:type="dxa"/>
            <w:gridSpan w:val="2"/>
            <w:shd w:val="clear" w:color="auto" w:fill="ECECEC"/>
            <w:vAlign w:val="center"/>
          </w:tcPr>
          <w:p w14:paraId="2BEEA2FE" w14:textId="384CC944"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Relevant Institution</w:t>
            </w:r>
          </w:p>
        </w:tc>
        <w:tc>
          <w:tcPr>
            <w:tcW w:w="2489" w:type="dxa"/>
            <w:gridSpan w:val="3"/>
            <w:shd w:val="clear" w:color="auto" w:fill="ECECEC"/>
            <w:vAlign w:val="center"/>
          </w:tcPr>
          <w:p w14:paraId="7CEFBEDD" w14:textId="4081AD8D"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Source of verification</w:t>
            </w:r>
          </w:p>
        </w:tc>
      </w:tr>
      <w:tr w:rsidR="00D30238" w:rsidRPr="001053DB" w14:paraId="55FE9CAF" w14:textId="77777777" w:rsidTr="002A789B">
        <w:trPr>
          <w:gridAfter w:val="1"/>
          <w:wAfter w:w="15" w:type="dxa"/>
          <w:cantSplit/>
          <w:tblCellSpacing w:w="15" w:type="dxa"/>
          <w:jc w:val="center"/>
        </w:trPr>
        <w:tc>
          <w:tcPr>
            <w:tcW w:w="2003" w:type="dxa"/>
            <w:vMerge w:val="restart"/>
            <w:vAlign w:val="center"/>
          </w:tcPr>
          <w:p w14:paraId="2D40FC4C" w14:textId="5D6BC253" w:rsidR="00F84BAF" w:rsidRPr="00465FFB" w:rsidRDefault="00F84BAF" w:rsidP="002A789B">
            <w:pPr>
              <w:spacing w:after="0" w:line="240" w:lineRule="auto"/>
              <w:ind w:left="57"/>
              <w:rPr>
                <w:rFonts w:ascii="Times New Roman" w:eastAsia="Times New Roman" w:hAnsi="Times New Roman" w:cs="Times New Roman"/>
                <w:b/>
                <w:bCs/>
                <w:lang w:val="en-US"/>
              </w:rPr>
            </w:pPr>
            <w:r w:rsidRPr="001053DB">
              <w:rPr>
                <w:rFonts w:ascii="Times New Roman" w:eastAsia="Times New Roman" w:hAnsi="Times New Roman" w:cs="Times New Roman"/>
                <w:b/>
                <w:bCs/>
                <w:lang w:val="sr-Cyrl-CS"/>
              </w:rPr>
              <w:t>М</w:t>
            </w:r>
            <w:proofErr w:type="spellStart"/>
            <w:r w:rsidR="00465FFB">
              <w:rPr>
                <w:rFonts w:ascii="Times New Roman" w:eastAsia="Times New Roman" w:hAnsi="Times New Roman" w:cs="Times New Roman"/>
                <w:b/>
                <w:bCs/>
                <w:lang w:val="en-US"/>
              </w:rPr>
              <w:t>easure</w:t>
            </w:r>
            <w:proofErr w:type="spellEnd"/>
            <w:r w:rsidRPr="001053DB">
              <w:rPr>
                <w:rFonts w:ascii="Times New Roman" w:eastAsia="Times New Roman" w:hAnsi="Times New Roman" w:cs="Times New Roman"/>
                <w:b/>
                <w:bCs/>
                <w:lang w:val="sr-Cyrl-CS"/>
              </w:rPr>
              <w:t xml:space="preserve"> 4.1:</w:t>
            </w:r>
            <w:r w:rsidRPr="001053DB">
              <w:rPr>
                <w:rFonts w:ascii="Times New Roman" w:eastAsia="Times New Roman" w:hAnsi="Times New Roman" w:cs="Times New Roman"/>
                <w:lang w:val="sr-Cyrl-CS"/>
              </w:rPr>
              <w:t xml:space="preserve"> </w:t>
            </w:r>
            <w:r w:rsidR="00465FFB">
              <w:rPr>
                <w:rFonts w:ascii="Times New Roman" w:eastAsia="Times New Roman" w:hAnsi="Times New Roman" w:cs="Times New Roman"/>
                <w:lang w:val="en-US"/>
              </w:rPr>
              <w:t>Improvement of the internal financial control system in public sector institutions</w:t>
            </w:r>
          </w:p>
        </w:tc>
        <w:tc>
          <w:tcPr>
            <w:tcW w:w="2610" w:type="dxa"/>
            <w:gridSpan w:val="2"/>
            <w:vAlign w:val="center"/>
          </w:tcPr>
          <w:p w14:paraId="311BC9F9" w14:textId="34B50E59" w:rsidR="00F84BAF" w:rsidRPr="001053DB" w:rsidRDefault="00465FFB" w:rsidP="002A789B">
            <w:pPr>
              <w:spacing w:after="0" w:line="240" w:lineRule="auto"/>
              <w:ind w:left="57"/>
              <w:rPr>
                <w:rFonts w:ascii="Times New Roman" w:eastAsia="Times New Roman" w:hAnsi="Times New Roman" w:cs="Times New Roman"/>
                <w:lang w:val="sr-Cyrl-CS"/>
              </w:rPr>
            </w:pPr>
            <w:r w:rsidRPr="007A2D73">
              <w:rPr>
                <w:rFonts w:ascii="Times New Roman" w:hAnsi="Times New Roman" w:cs="Times New Roman"/>
                <w:bCs/>
              </w:rPr>
              <w:t>Percentage of priority public sector bodies (PSBs) submitting reports on the state of the IFC system</w:t>
            </w:r>
            <w:r w:rsidRPr="001053DB">
              <w:rPr>
                <w:rFonts w:ascii="Times New Roman" w:eastAsia="Times New Roman" w:hAnsi="Times New Roman" w:cs="Times New Roman"/>
                <w:lang w:val="sr-Cyrl-CS"/>
              </w:rPr>
              <w:t xml:space="preserve"> </w:t>
            </w:r>
            <w:r w:rsidR="00F85DA6" w:rsidRPr="001053DB">
              <w:rPr>
                <w:rFonts w:ascii="Times New Roman" w:eastAsia="Times New Roman" w:hAnsi="Times New Roman" w:cs="Times New Roman"/>
                <w:lang w:val="sr-Cyrl-CS"/>
              </w:rPr>
              <w:t>(%)</w:t>
            </w:r>
          </w:p>
        </w:tc>
        <w:tc>
          <w:tcPr>
            <w:tcW w:w="1397" w:type="dxa"/>
            <w:gridSpan w:val="3"/>
            <w:vAlign w:val="center"/>
          </w:tcPr>
          <w:p w14:paraId="1220318C" w14:textId="77777777" w:rsidR="00F84BAF" w:rsidRPr="001053DB" w:rsidRDefault="00F84BAF"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86,78 (2024)</w:t>
            </w:r>
          </w:p>
        </w:tc>
        <w:tc>
          <w:tcPr>
            <w:tcW w:w="1456" w:type="dxa"/>
            <w:gridSpan w:val="2"/>
            <w:vAlign w:val="center"/>
          </w:tcPr>
          <w:p w14:paraId="78198466" w14:textId="24E08B78" w:rsidR="00F84BAF" w:rsidRPr="001053DB" w:rsidRDefault="00722EDA"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9</w:t>
            </w:r>
            <w:r w:rsidR="006F0DF8" w:rsidRPr="001053DB">
              <w:rPr>
                <w:rFonts w:ascii="Times New Roman" w:eastAsia="Times New Roman" w:hAnsi="Times New Roman" w:cs="Times New Roman"/>
                <w:lang w:val="sr-Cyrl-CS"/>
              </w:rPr>
              <w:t>7</w:t>
            </w:r>
          </w:p>
        </w:tc>
        <w:tc>
          <w:tcPr>
            <w:tcW w:w="2205" w:type="dxa"/>
            <w:gridSpan w:val="2"/>
            <w:vAlign w:val="center"/>
          </w:tcPr>
          <w:p w14:paraId="05F93445" w14:textId="3928193B" w:rsidR="00F84BAF" w:rsidRPr="001053DB" w:rsidRDefault="002B665C"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w:t>
            </w:r>
          </w:p>
        </w:tc>
        <w:tc>
          <w:tcPr>
            <w:tcW w:w="2489" w:type="dxa"/>
            <w:gridSpan w:val="3"/>
            <w:vAlign w:val="center"/>
          </w:tcPr>
          <w:p w14:paraId="4456EE3E" w14:textId="3CD38D18" w:rsidR="00F84BAF" w:rsidRPr="00465FFB" w:rsidRDefault="00465FFB"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Consolidated annual report</w:t>
            </w:r>
          </w:p>
        </w:tc>
      </w:tr>
      <w:tr w:rsidR="00D30238" w:rsidRPr="001053DB" w14:paraId="35FD24A5" w14:textId="77777777" w:rsidTr="002A789B">
        <w:trPr>
          <w:gridAfter w:val="1"/>
          <w:wAfter w:w="15" w:type="dxa"/>
          <w:cantSplit/>
          <w:tblCellSpacing w:w="15" w:type="dxa"/>
          <w:jc w:val="center"/>
        </w:trPr>
        <w:tc>
          <w:tcPr>
            <w:tcW w:w="2003" w:type="dxa"/>
            <w:vMerge/>
            <w:vAlign w:val="center"/>
          </w:tcPr>
          <w:p w14:paraId="23CDCF73" w14:textId="77777777" w:rsidR="00F84BAF" w:rsidRPr="001053DB" w:rsidRDefault="00F84BAF" w:rsidP="002A789B">
            <w:pPr>
              <w:spacing w:after="0" w:line="240" w:lineRule="auto"/>
              <w:ind w:left="57"/>
              <w:rPr>
                <w:rFonts w:ascii="Times New Roman" w:eastAsia="Times New Roman" w:hAnsi="Times New Roman" w:cs="Times New Roman"/>
                <w:b/>
                <w:bCs/>
                <w:lang w:val="sr-Cyrl-CS"/>
              </w:rPr>
            </w:pPr>
          </w:p>
        </w:tc>
        <w:tc>
          <w:tcPr>
            <w:tcW w:w="2610" w:type="dxa"/>
            <w:gridSpan w:val="2"/>
            <w:vAlign w:val="center"/>
          </w:tcPr>
          <w:p w14:paraId="299C3B81" w14:textId="0E303B37" w:rsidR="00F84BAF" w:rsidRPr="001053DB" w:rsidRDefault="00465FFB" w:rsidP="002A789B">
            <w:pPr>
              <w:spacing w:after="0" w:line="240" w:lineRule="auto"/>
              <w:ind w:left="57"/>
              <w:rPr>
                <w:rFonts w:ascii="Times New Roman" w:eastAsia="Times New Roman" w:hAnsi="Times New Roman" w:cs="Times New Roman"/>
                <w:lang w:val="sr-Cyrl-CS"/>
              </w:rPr>
            </w:pPr>
            <w:r w:rsidRPr="007A2D73">
              <w:rPr>
                <w:rFonts w:ascii="Times New Roman" w:hAnsi="Times New Roman" w:cs="Times New Roman"/>
                <w:bCs/>
              </w:rPr>
              <w:t>Percentage of priority PSBs that have prepared a risk register</w:t>
            </w:r>
            <w:r w:rsidRPr="001053DB">
              <w:rPr>
                <w:rFonts w:ascii="Times New Roman" w:eastAsia="Times New Roman" w:hAnsi="Times New Roman" w:cs="Times New Roman"/>
                <w:lang w:val="sr-Cyrl-CS"/>
              </w:rPr>
              <w:t xml:space="preserve"> </w:t>
            </w:r>
            <w:r w:rsidR="00F85DA6" w:rsidRPr="001053DB">
              <w:rPr>
                <w:rFonts w:ascii="Times New Roman" w:eastAsia="Times New Roman" w:hAnsi="Times New Roman" w:cs="Times New Roman"/>
                <w:lang w:val="sr-Cyrl-CS"/>
              </w:rPr>
              <w:t>(%)</w:t>
            </w:r>
          </w:p>
        </w:tc>
        <w:tc>
          <w:tcPr>
            <w:tcW w:w="1397" w:type="dxa"/>
            <w:gridSpan w:val="3"/>
            <w:vAlign w:val="center"/>
          </w:tcPr>
          <w:p w14:paraId="69A39DB3" w14:textId="77777777" w:rsidR="00DF41D9" w:rsidRPr="001053DB" w:rsidRDefault="00F84BAF"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72,19</w:t>
            </w:r>
          </w:p>
          <w:p w14:paraId="44E5D410" w14:textId="77777777" w:rsidR="00F84BAF" w:rsidRPr="001053DB" w:rsidRDefault="00F84BAF"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(2024)</w:t>
            </w:r>
          </w:p>
        </w:tc>
        <w:tc>
          <w:tcPr>
            <w:tcW w:w="1456" w:type="dxa"/>
            <w:gridSpan w:val="2"/>
            <w:vAlign w:val="center"/>
          </w:tcPr>
          <w:p w14:paraId="40054334" w14:textId="43A05B1B" w:rsidR="00F84BAF" w:rsidRPr="001053DB" w:rsidRDefault="006F0DF8"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90</w:t>
            </w:r>
          </w:p>
        </w:tc>
        <w:tc>
          <w:tcPr>
            <w:tcW w:w="2205" w:type="dxa"/>
            <w:gridSpan w:val="2"/>
            <w:vAlign w:val="center"/>
          </w:tcPr>
          <w:p w14:paraId="24EFF01E" w14:textId="4A88B01D" w:rsidR="00F84BAF" w:rsidRPr="001053DB" w:rsidRDefault="002B665C"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w:t>
            </w:r>
          </w:p>
        </w:tc>
        <w:tc>
          <w:tcPr>
            <w:tcW w:w="2489" w:type="dxa"/>
            <w:gridSpan w:val="3"/>
            <w:vAlign w:val="center"/>
          </w:tcPr>
          <w:p w14:paraId="23DB7AA7" w14:textId="3F846672" w:rsidR="00F84BAF" w:rsidRPr="001053DB" w:rsidRDefault="00465FFB"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Consolidated annual report</w:t>
            </w:r>
          </w:p>
        </w:tc>
      </w:tr>
      <w:tr w:rsidR="00D30238" w:rsidRPr="001053DB" w14:paraId="75FC6A33" w14:textId="77777777" w:rsidTr="002A789B">
        <w:trPr>
          <w:gridAfter w:val="1"/>
          <w:wAfter w:w="15" w:type="dxa"/>
          <w:cantSplit/>
          <w:tblCellSpacing w:w="15" w:type="dxa"/>
          <w:jc w:val="center"/>
        </w:trPr>
        <w:tc>
          <w:tcPr>
            <w:tcW w:w="2003" w:type="dxa"/>
            <w:vMerge w:val="restart"/>
            <w:vAlign w:val="center"/>
          </w:tcPr>
          <w:p w14:paraId="4B73AED3" w14:textId="472A4481" w:rsidR="00F84BAF" w:rsidRPr="00465FFB" w:rsidRDefault="00F84BAF" w:rsidP="002A789B">
            <w:pPr>
              <w:spacing w:after="0" w:line="240" w:lineRule="auto"/>
              <w:ind w:left="57"/>
              <w:rPr>
                <w:rFonts w:ascii="Times New Roman" w:eastAsia="Times New Roman" w:hAnsi="Times New Roman" w:cs="Times New Roman"/>
                <w:b/>
                <w:bCs/>
                <w:lang w:val="en-US"/>
              </w:rPr>
            </w:pPr>
            <w:r w:rsidRPr="001053DB">
              <w:rPr>
                <w:rFonts w:ascii="Times New Roman" w:eastAsia="Times New Roman" w:hAnsi="Times New Roman" w:cs="Times New Roman"/>
                <w:b/>
                <w:bCs/>
                <w:lang w:val="sr-Cyrl-CS"/>
              </w:rPr>
              <w:t>М</w:t>
            </w:r>
            <w:proofErr w:type="spellStart"/>
            <w:r w:rsidR="00465FFB">
              <w:rPr>
                <w:rFonts w:ascii="Times New Roman" w:eastAsia="Times New Roman" w:hAnsi="Times New Roman" w:cs="Times New Roman"/>
                <w:b/>
                <w:bCs/>
                <w:lang w:val="en-US"/>
              </w:rPr>
              <w:t>easures</w:t>
            </w:r>
            <w:proofErr w:type="spellEnd"/>
            <w:r w:rsidRPr="001053DB">
              <w:rPr>
                <w:rFonts w:ascii="Times New Roman" w:eastAsia="Times New Roman" w:hAnsi="Times New Roman" w:cs="Times New Roman"/>
                <w:b/>
                <w:bCs/>
                <w:lang w:val="sr-Cyrl-CS"/>
              </w:rPr>
              <w:t xml:space="preserve"> 4.2:</w:t>
            </w:r>
            <w:r w:rsidRPr="001053DB">
              <w:rPr>
                <w:rFonts w:ascii="Times New Roman" w:eastAsia="Times New Roman" w:hAnsi="Times New Roman" w:cs="Times New Roman"/>
                <w:lang w:val="sr-Cyrl-CS"/>
              </w:rPr>
              <w:t xml:space="preserve"> </w:t>
            </w:r>
            <w:r w:rsidR="00465FFB">
              <w:rPr>
                <w:rFonts w:ascii="Times New Roman" w:eastAsia="Times New Roman" w:hAnsi="Times New Roman" w:cs="Times New Roman"/>
                <w:lang w:val="en-US"/>
              </w:rPr>
              <w:t>Enhanced internal audit function in the public sector in accordance with international standards and principles</w:t>
            </w:r>
          </w:p>
          <w:p w14:paraId="3006A92C" w14:textId="77777777" w:rsidR="00F84BAF" w:rsidRPr="001053DB" w:rsidRDefault="00F84BAF" w:rsidP="002A789B">
            <w:pPr>
              <w:spacing w:after="0" w:line="240" w:lineRule="auto"/>
              <w:ind w:left="57"/>
              <w:jc w:val="center"/>
              <w:rPr>
                <w:rFonts w:ascii="Times New Roman" w:eastAsia="Times New Roman" w:hAnsi="Times New Roman" w:cs="Times New Roman"/>
                <w:b/>
                <w:bCs/>
                <w:lang w:val="sr-Cyrl-CS"/>
              </w:rPr>
            </w:pPr>
          </w:p>
        </w:tc>
        <w:tc>
          <w:tcPr>
            <w:tcW w:w="2610" w:type="dxa"/>
            <w:gridSpan w:val="2"/>
            <w:vAlign w:val="center"/>
          </w:tcPr>
          <w:p w14:paraId="0A94D2A2" w14:textId="7F391D2B" w:rsidR="00F84BAF" w:rsidRPr="001053DB" w:rsidRDefault="00465FFB" w:rsidP="002A789B">
            <w:pPr>
              <w:spacing w:after="0" w:line="240" w:lineRule="auto"/>
              <w:ind w:left="57"/>
              <w:rPr>
                <w:rFonts w:ascii="Times New Roman" w:eastAsia="Times New Roman" w:hAnsi="Times New Roman" w:cs="Times New Roman"/>
                <w:lang w:val="sr-Cyrl-CS"/>
              </w:rPr>
            </w:pPr>
            <w:r w:rsidRPr="00233512">
              <w:rPr>
                <w:rFonts w:ascii="Times New Roman" w:hAnsi="Times New Roman" w:cs="Times New Roman"/>
                <w:bCs/>
              </w:rPr>
              <w:t>Percentage of priority public sector bodies (PSBs) that have an internal auditor employed in the organization (from those required by law to have an internal audit unit)</w:t>
            </w:r>
            <w:r w:rsidRPr="001053DB">
              <w:rPr>
                <w:rFonts w:ascii="Times New Roman" w:eastAsia="Times New Roman" w:hAnsi="Times New Roman" w:cs="Times New Roman"/>
                <w:lang w:val="sr-Cyrl-CS"/>
              </w:rPr>
              <w:t xml:space="preserve"> </w:t>
            </w:r>
            <w:r w:rsidR="00F85DA6" w:rsidRPr="001053DB">
              <w:rPr>
                <w:rFonts w:ascii="Times New Roman" w:eastAsia="Times New Roman" w:hAnsi="Times New Roman" w:cs="Times New Roman"/>
                <w:lang w:val="sr-Cyrl-CS"/>
              </w:rPr>
              <w:t>(%)</w:t>
            </w:r>
          </w:p>
        </w:tc>
        <w:tc>
          <w:tcPr>
            <w:tcW w:w="1397" w:type="dxa"/>
            <w:gridSpan w:val="3"/>
            <w:vAlign w:val="center"/>
          </w:tcPr>
          <w:p w14:paraId="4E50D5AA" w14:textId="73B11B31" w:rsidR="00F84BAF" w:rsidRPr="001053DB" w:rsidRDefault="000F1FA8"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80,82</w:t>
            </w:r>
            <w:r w:rsidR="00D53FD7" w:rsidRPr="001053DB">
              <w:rPr>
                <w:rFonts w:ascii="Times New Roman" w:eastAsia="Times New Roman" w:hAnsi="Times New Roman" w:cs="Times New Roman"/>
                <w:lang w:val="sr-Cyrl-CS"/>
              </w:rPr>
              <w:t xml:space="preserve"> </w:t>
            </w:r>
            <w:r w:rsidR="00F84BAF" w:rsidRPr="001053DB">
              <w:rPr>
                <w:rFonts w:ascii="Times New Roman" w:eastAsia="Times New Roman" w:hAnsi="Times New Roman" w:cs="Times New Roman"/>
                <w:lang w:val="sr-Cyrl-CS"/>
              </w:rPr>
              <w:t>(2024)</w:t>
            </w:r>
          </w:p>
        </w:tc>
        <w:tc>
          <w:tcPr>
            <w:tcW w:w="1456" w:type="dxa"/>
            <w:gridSpan w:val="2"/>
            <w:vAlign w:val="center"/>
          </w:tcPr>
          <w:p w14:paraId="0E21BA5F" w14:textId="24A380AB" w:rsidR="00F84BAF" w:rsidRPr="001053DB" w:rsidRDefault="006F0DF8"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90</w:t>
            </w:r>
          </w:p>
        </w:tc>
        <w:tc>
          <w:tcPr>
            <w:tcW w:w="2205" w:type="dxa"/>
            <w:gridSpan w:val="2"/>
            <w:vAlign w:val="center"/>
          </w:tcPr>
          <w:p w14:paraId="3EF7794C" w14:textId="3BC3BD29" w:rsidR="00F84BAF" w:rsidRPr="001053DB" w:rsidRDefault="002B665C"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w:t>
            </w:r>
          </w:p>
        </w:tc>
        <w:tc>
          <w:tcPr>
            <w:tcW w:w="2489" w:type="dxa"/>
            <w:gridSpan w:val="3"/>
            <w:vAlign w:val="center"/>
          </w:tcPr>
          <w:p w14:paraId="36F52796" w14:textId="262D55D8" w:rsidR="00F84BAF" w:rsidRPr="00465FFB" w:rsidRDefault="00465FFB"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Consolidated annual report</w:t>
            </w:r>
            <w:r w:rsidR="00F84BAF" w:rsidRPr="001053DB">
              <w:rPr>
                <w:rFonts w:ascii="Times New Roman" w:eastAsia="Times New Roman" w:hAnsi="Times New Roman" w:cs="Times New Roman"/>
                <w:lang w:val="sr-Cyrl-CS"/>
              </w:rPr>
              <w:t xml:space="preserve"> / </w:t>
            </w:r>
            <w:r>
              <w:rPr>
                <w:rFonts w:ascii="Times New Roman" w:eastAsia="Times New Roman" w:hAnsi="Times New Roman" w:cs="Times New Roman"/>
                <w:lang w:val="en-US"/>
              </w:rPr>
              <w:t>reports</w:t>
            </w:r>
          </w:p>
        </w:tc>
      </w:tr>
      <w:tr w:rsidR="00D30238" w:rsidRPr="001053DB" w14:paraId="11CE356F" w14:textId="77777777" w:rsidTr="002A789B">
        <w:trPr>
          <w:gridAfter w:val="1"/>
          <w:wAfter w:w="15" w:type="dxa"/>
          <w:cantSplit/>
          <w:tblCellSpacing w:w="15" w:type="dxa"/>
          <w:jc w:val="center"/>
        </w:trPr>
        <w:tc>
          <w:tcPr>
            <w:tcW w:w="2003" w:type="dxa"/>
            <w:vMerge/>
            <w:vAlign w:val="center"/>
          </w:tcPr>
          <w:p w14:paraId="6F831605" w14:textId="77777777" w:rsidR="00F84BAF" w:rsidRPr="001053DB" w:rsidRDefault="00F84BAF" w:rsidP="002A789B">
            <w:pPr>
              <w:spacing w:after="0" w:line="240" w:lineRule="auto"/>
              <w:ind w:left="57"/>
              <w:jc w:val="center"/>
              <w:rPr>
                <w:rFonts w:ascii="Times New Roman" w:eastAsia="Times New Roman" w:hAnsi="Times New Roman" w:cs="Times New Roman"/>
                <w:b/>
                <w:bCs/>
                <w:lang w:val="sr-Cyrl-CS"/>
              </w:rPr>
            </w:pPr>
          </w:p>
        </w:tc>
        <w:tc>
          <w:tcPr>
            <w:tcW w:w="2610" w:type="dxa"/>
            <w:gridSpan w:val="2"/>
            <w:vAlign w:val="center"/>
          </w:tcPr>
          <w:p w14:paraId="12F0A273" w14:textId="10CA65A3" w:rsidR="00F84BAF" w:rsidRPr="001053DB" w:rsidRDefault="00465FFB" w:rsidP="002A789B">
            <w:pPr>
              <w:spacing w:after="0" w:line="240" w:lineRule="auto"/>
              <w:ind w:left="57"/>
              <w:rPr>
                <w:rFonts w:ascii="Times New Roman" w:eastAsia="Times New Roman" w:hAnsi="Times New Roman" w:cs="Times New Roman"/>
                <w:b/>
                <w:lang w:val="sr-Cyrl-CS"/>
              </w:rPr>
            </w:pPr>
            <w:r w:rsidRPr="00233512">
              <w:rPr>
                <w:rFonts w:ascii="Times New Roman" w:eastAsia="Times New Roman" w:hAnsi="Times New Roman" w:cs="Times New Roman"/>
                <w:bCs/>
                <w:color w:val="000000"/>
                <w:lang w:eastAsia="en-GB"/>
              </w:rPr>
              <w:t>Total number of improved materials in the area of internal financial control</w:t>
            </w:r>
          </w:p>
        </w:tc>
        <w:tc>
          <w:tcPr>
            <w:tcW w:w="1397" w:type="dxa"/>
            <w:gridSpan w:val="3"/>
            <w:vAlign w:val="center"/>
          </w:tcPr>
          <w:p w14:paraId="3494C728" w14:textId="77777777" w:rsidR="00F84BAF" w:rsidRPr="001053DB" w:rsidRDefault="00F84BAF" w:rsidP="002A789B">
            <w:pPr>
              <w:spacing w:after="0" w:line="240" w:lineRule="auto"/>
              <w:jc w:val="center"/>
              <w:rPr>
                <w:rFonts w:ascii="Times New Roman" w:eastAsia="Times New Roman" w:hAnsi="Times New Roman" w:cs="Times New Roman"/>
                <w:b/>
                <w:lang w:val="sr-Cyrl-CS"/>
              </w:rPr>
            </w:pPr>
            <w:r w:rsidRPr="001053DB">
              <w:rPr>
                <w:rFonts w:ascii="Times New Roman" w:eastAsia="Times New Roman" w:hAnsi="Times New Roman" w:cs="Times New Roman"/>
                <w:lang w:val="sr-Cyrl-CS"/>
              </w:rPr>
              <w:t>0 (2025)</w:t>
            </w:r>
          </w:p>
        </w:tc>
        <w:tc>
          <w:tcPr>
            <w:tcW w:w="1456" w:type="dxa"/>
            <w:gridSpan w:val="2"/>
            <w:vAlign w:val="center"/>
          </w:tcPr>
          <w:p w14:paraId="4AA917E8" w14:textId="1EC0C811" w:rsidR="00F84BAF" w:rsidRPr="001053DB" w:rsidRDefault="00DE7697"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4</w:t>
            </w:r>
            <w:r w:rsidR="006F0DF8" w:rsidRPr="001053DB">
              <w:rPr>
                <w:rFonts w:ascii="Times New Roman" w:eastAsia="Times New Roman" w:hAnsi="Times New Roman" w:cs="Times New Roman"/>
                <w:lang w:val="sr-Cyrl-CS"/>
              </w:rPr>
              <w:t xml:space="preserve"> (2028)</w:t>
            </w:r>
          </w:p>
        </w:tc>
        <w:tc>
          <w:tcPr>
            <w:tcW w:w="2205" w:type="dxa"/>
            <w:gridSpan w:val="2"/>
            <w:vAlign w:val="center"/>
          </w:tcPr>
          <w:p w14:paraId="5406F8F8" w14:textId="35B9606F" w:rsidR="00F84BAF" w:rsidRPr="001053DB" w:rsidRDefault="002B665C" w:rsidP="002A789B">
            <w:pPr>
              <w:spacing w:after="0" w:line="240" w:lineRule="auto"/>
              <w:jc w:val="center"/>
              <w:rPr>
                <w:rFonts w:ascii="Times New Roman" w:eastAsia="Times New Roman" w:hAnsi="Times New Roman" w:cs="Times New Roman"/>
                <w:b/>
                <w:lang w:val="sr-Cyrl-CS"/>
              </w:rPr>
            </w:pPr>
            <w:r>
              <w:rPr>
                <w:rFonts w:ascii="Times New Roman" w:eastAsia="Times New Roman" w:hAnsi="Times New Roman" w:cs="Times New Roman"/>
                <w:lang w:val="en-US"/>
              </w:rPr>
              <w:t>Ministry of Finance</w:t>
            </w:r>
          </w:p>
        </w:tc>
        <w:tc>
          <w:tcPr>
            <w:tcW w:w="2489" w:type="dxa"/>
            <w:gridSpan w:val="3"/>
            <w:vAlign w:val="center"/>
          </w:tcPr>
          <w:p w14:paraId="2A8A2C32" w14:textId="13A2BA51" w:rsidR="00F84BAF" w:rsidRPr="00465FFB" w:rsidRDefault="00465FFB" w:rsidP="002A789B">
            <w:pPr>
              <w:spacing w:after="0" w:line="240" w:lineRule="auto"/>
              <w:jc w:val="center"/>
              <w:rPr>
                <w:rFonts w:ascii="Times New Roman" w:eastAsia="Times New Roman" w:hAnsi="Times New Roman" w:cs="Times New Roman"/>
                <w:b/>
                <w:lang w:val="en-US"/>
              </w:rPr>
            </w:pPr>
            <w:r>
              <w:rPr>
                <w:rFonts w:ascii="Times New Roman" w:eastAsia="Times New Roman" w:hAnsi="Times New Roman" w:cs="Times New Roman"/>
                <w:lang w:val="en-US"/>
              </w:rPr>
              <w:t>Materials published on the website</w:t>
            </w:r>
          </w:p>
        </w:tc>
      </w:tr>
      <w:tr w:rsidR="00D30238" w:rsidRPr="001053DB" w14:paraId="044DC7DE" w14:textId="77777777" w:rsidTr="002A789B">
        <w:trPr>
          <w:gridAfter w:val="1"/>
          <w:wAfter w:w="15" w:type="dxa"/>
          <w:cantSplit/>
          <w:tblCellSpacing w:w="15" w:type="dxa"/>
          <w:jc w:val="center"/>
        </w:trPr>
        <w:tc>
          <w:tcPr>
            <w:tcW w:w="2003" w:type="dxa"/>
            <w:vAlign w:val="center"/>
          </w:tcPr>
          <w:p w14:paraId="2EE4B0CD" w14:textId="3122CAD8" w:rsidR="00F84BAF" w:rsidRPr="00465FFB" w:rsidRDefault="00F84BAF" w:rsidP="002A789B">
            <w:pPr>
              <w:spacing w:after="0" w:line="240" w:lineRule="auto"/>
              <w:ind w:left="57"/>
              <w:rPr>
                <w:rFonts w:ascii="Times New Roman" w:eastAsia="Times New Roman" w:hAnsi="Times New Roman" w:cs="Times New Roman"/>
                <w:b/>
                <w:bCs/>
                <w:lang w:val="en-US"/>
              </w:rPr>
            </w:pPr>
            <w:r w:rsidRPr="001053DB">
              <w:rPr>
                <w:rFonts w:ascii="Times New Roman" w:eastAsia="Times New Roman" w:hAnsi="Times New Roman" w:cs="Times New Roman"/>
                <w:b/>
                <w:bCs/>
                <w:lang w:val="sr-Cyrl-CS"/>
              </w:rPr>
              <w:t>М</w:t>
            </w:r>
            <w:proofErr w:type="spellStart"/>
            <w:r w:rsidR="00465FFB">
              <w:rPr>
                <w:rFonts w:ascii="Times New Roman" w:eastAsia="Times New Roman" w:hAnsi="Times New Roman" w:cs="Times New Roman"/>
                <w:b/>
                <w:bCs/>
                <w:lang w:val="en-US"/>
              </w:rPr>
              <w:t>easure</w:t>
            </w:r>
            <w:proofErr w:type="spellEnd"/>
            <w:r w:rsidRPr="001053DB">
              <w:rPr>
                <w:rFonts w:ascii="Times New Roman" w:eastAsia="Times New Roman" w:hAnsi="Times New Roman" w:cs="Times New Roman"/>
                <w:b/>
                <w:bCs/>
                <w:lang w:val="sr-Cyrl-CS"/>
              </w:rPr>
              <w:t xml:space="preserve"> 4.3:</w:t>
            </w:r>
            <w:r w:rsidRPr="001053DB">
              <w:rPr>
                <w:rFonts w:ascii="Times New Roman" w:eastAsia="Times New Roman" w:hAnsi="Times New Roman" w:cs="Times New Roman"/>
                <w:lang w:val="sr-Cyrl-CS"/>
              </w:rPr>
              <w:t xml:space="preserve"> </w:t>
            </w:r>
            <w:r w:rsidR="00465FFB">
              <w:rPr>
                <w:rFonts w:ascii="Times New Roman" w:eastAsia="Times New Roman" w:hAnsi="Times New Roman" w:cs="Times New Roman"/>
                <w:lang w:val="en-US"/>
              </w:rPr>
              <w:t>Improvement of IT systems to include modules for internal control and internal audit</w:t>
            </w:r>
          </w:p>
        </w:tc>
        <w:tc>
          <w:tcPr>
            <w:tcW w:w="2610" w:type="dxa"/>
            <w:gridSpan w:val="2"/>
            <w:vAlign w:val="center"/>
          </w:tcPr>
          <w:p w14:paraId="165F7B45" w14:textId="3546E882" w:rsidR="00F84BAF" w:rsidRPr="001053DB" w:rsidRDefault="00465FFB" w:rsidP="002A789B">
            <w:pPr>
              <w:spacing w:after="0" w:line="240" w:lineRule="auto"/>
              <w:ind w:left="57"/>
              <w:rPr>
                <w:rFonts w:ascii="Times New Roman" w:eastAsia="Times New Roman" w:hAnsi="Times New Roman" w:cs="Times New Roman"/>
                <w:lang w:val="sr-Cyrl-CS"/>
              </w:rPr>
            </w:pPr>
            <w:r w:rsidRPr="00267BAC">
              <w:rPr>
                <w:rFonts w:ascii="Times New Roman" w:hAnsi="Times New Roman" w:cs="Times New Roman"/>
                <w:bCs/>
              </w:rPr>
              <w:t>Total number of established modules within the IT system</w:t>
            </w:r>
          </w:p>
        </w:tc>
        <w:tc>
          <w:tcPr>
            <w:tcW w:w="1397" w:type="dxa"/>
            <w:gridSpan w:val="3"/>
            <w:vAlign w:val="center"/>
          </w:tcPr>
          <w:p w14:paraId="6808D4E4" w14:textId="77777777" w:rsidR="00F84BAF" w:rsidRPr="001053DB" w:rsidRDefault="00F84BAF"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 (2025)</w:t>
            </w:r>
          </w:p>
        </w:tc>
        <w:tc>
          <w:tcPr>
            <w:tcW w:w="1456" w:type="dxa"/>
            <w:gridSpan w:val="2"/>
            <w:vAlign w:val="center"/>
          </w:tcPr>
          <w:p w14:paraId="35DC0BF7" w14:textId="77777777" w:rsidR="00F84BAF" w:rsidRPr="001053DB" w:rsidRDefault="007879E0"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3 (2027)</w:t>
            </w:r>
          </w:p>
        </w:tc>
        <w:tc>
          <w:tcPr>
            <w:tcW w:w="2205" w:type="dxa"/>
            <w:gridSpan w:val="2"/>
            <w:vAlign w:val="center"/>
          </w:tcPr>
          <w:p w14:paraId="55C3D41A" w14:textId="7F080FA7" w:rsidR="00F84BAF" w:rsidRPr="001053DB" w:rsidRDefault="002B665C"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w:t>
            </w:r>
          </w:p>
        </w:tc>
        <w:tc>
          <w:tcPr>
            <w:tcW w:w="2489" w:type="dxa"/>
            <w:gridSpan w:val="3"/>
            <w:vAlign w:val="center"/>
          </w:tcPr>
          <w:p w14:paraId="54ACCD53" w14:textId="1E2CAFF0" w:rsidR="00F84BAF" w:rsidRPr="00465FFB" w:rsidRDefault="00465FFB"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Reports on development of IT systems</w:t>
            </w:r>
          </w:p>
        </w:tc>
      </w:tr>
      <w:tr w:rsidR="00D30238" w:rsidRPr="001053DB" w14:paraId="6F78763E" w14:textId="77777777" w:rsidTr="002A789B">
        <w:trPr>
          <w:gridAfter w:val="1"/>
          <w:wAfter w:w="15" w:type="dxa"/>
          <w:cantSplit/>
          <w:tblCellSpacing w:w="15" w:type="dxa"/>
          <w:jc w:val="center"/>
        </w:trPr>
        <w:tc>
          <w:tcPr>
            <w:tcW w:w="2003" w:type="dxa"/>
            <w:vAlign w:val="center"/>
          </w:tcPr>
          <w:p w14:paraId="36F9338A" w14:textId="45A4784C" w:rsidR="00F84BAF" w:rsidRPr="001053DB" w:rsidRDefault="00465FFB" w:rsidP="002A789B">
            <w:pPr>
              <w:spacing w:after="0" w:line="240" w:lineRule="auto"/>
              <w:ind w:left="57"/>
              <w:rPr>
                <w:rFonts w:ascii="Times New Roman" w:eastAsia="Times New Roman" w:hAnsi="Times New Roman" w:cs="Times New Roman"/>
                <w:b/>
                <w:bCs/>
                <w:lang w:val="sr-Cyrl-CS"/>
              </w:rPr>
            </w:pPr>
            <w:r>
              <w:rPr>
                <w:rFonts w:ascii="Times New Roman" w:eastAsia="Times New Roman" w:hAnsi="Times New Roman" w:cs="Times New Roman"/>
                <w:b/>
                <w:bCs/>
                <w:lang w:val="en-US"/>
              </w:rPr>
              <w:lastRenderedPageBreak/>
              <w:t>Specific objective</w:t>
            </w:r>
            <w:r w:rsidR="00F84BAF" w:rsidRPr="001053DB">
              <w:rPr>
                <w:rFonts w:ascii="Times New Roman" w:eastAsia="Times New Roman" w:hAnsi="Times New Roman" w:cs="Times New Roman"/>
                <w:b/>
                <w:bCs/>
                <w:lang w:val="sr-Cyrl-CS"/>
              </w:rPr>
              <w:t xml:space="preserve"> V: </w:t>
            </w:r>
            <w:r>
              <w:rPr>
                <w:rFonts w:ascii="Times New Roman" w:eastAsia="Times New Roman" w:hAnsi="Times New Roman" w:cs="Times New Roman"/>
                <w:bCs/>
                <w:lang w:val="en-US"/>
              </w:rPr>
              <w:t>Improved accounting in the public sector through application of International public sector accounting standards</w:t>
            </w:r>
            <w:r w:rsidR="00F84BAF" w:rsidRPr="001053DB">
              <w:rPr>
                <w:rFonts w:ascii="Times New Roman" w:eastAsia="Times New Roman" w:hAnsi="Times New Roman" w:cs="Times New Roman"/>
                <w:bCs/>
                <w:lang w:val="sr-Cyrl-CS"/>
              </w:rPr>
              <w:t xml:space="preserve"> (</w:t>
            </w:r>
            <w:r w:rsidR="00F84BAF" w:rsidRPr="001053DB">
              <w:rPr>
                <w:rFonts w:ascii="Times New Roman" w:eastAsia="Times New Roman" w:hAnsi="Times New Roman" w:cs="Times New Roman"/>
                <w:bCs/>
                <w:i/>
                <w:lang w:val="sr-Cyrl-CS"/>
              </w:rPr>
              <w:t>IPSAS</w:t>
            </w:r>
            <w:r w:rsidR="00F84BAF" w:rsidRPr="001053DB">
              <w:rPr>
                <w:rFonts w:ascii="Times New Roman" w:eastAsia="Times New Roman" w:hAnsi="Times New Roman" w:cs="Times New Roman"/>
                <w:bCs/>
                <w:lang w:val="sr-Cyrl-CS"/>
              </w:rPr>
              <w:t>)</w:t>
            </w:r>
            <w:r w:rsidR="00613C47" w:rsidRPr="001053DB">
              <w:rPr>
                <w:rFonts w:ascii="Times New Roman" w:eastAsia="Times New Roman" w:hAnsi="Times New Roman" w:cs="Times New Roman"/>
                <w:bCs/>
                <w:lang w:val="sr-Cyrl-CS"/>
              </w:rPr>
              <w:t xml:space="preserve"> </w:t>
            </w:r>
          </w:p>
        </w:tc>
        <w:tc>
          <w:tcPr>
            <w:tcW w:w="2610" w:type="dxa"/>
            <w:gridSpan w:val="2"/>
            <w:vAlign w:val="center"/>
          </w:tcPr>
          <w:p w14:paraId="113B0F33" w14:textId="59D246EB" w:rsidR="00F84BAF" w:rsidRPr="001053DB" w:rsidRDefault="00465FFB" w:rsidP="002A789B">
            <w:pPr>
              <w:spacing w:after="0" w:line="240" w:lineRule="auto"/>
              <w:ind w:left="57"/>
              <w:rPr>
                <w:rFonts w:ascii="Times New Roman" w:eastAsia="Times New Roman" w:hAnsi="Times New Roman" w:cs="Times New Roman"/>
                <w:lang w:val="sr-Cyrl-CS"/>
              </w:rPr>
            </w:pPr>
            <w:r w:rsidRPr="00267BAC">
              <w:rPr>
                <w:rFonts w:ascii="Times New Roman" w:hAnsi="Times New Roman" w:cs="Times New Roman"/>
              </w:rPr>
              <w:t>Improved quality of financial statements in terms of the application of cash-based IPSAS, according to the SAI (State Audit Institution) report on the audit of the budget final account</w:t>
            </w:r>
          </w:p>
        </w:tc>
        <w:tc>
          <w:tcPr>
            <w:tcW w:w="1397" w:type="dxa"/>
            <w:gridSpan w:val="3"/>
            <w:vAlign w:val="center"/>
          </w:tcPr>
          <w:p w14:paraId="21C2D7BE" w14:textId="4A307537" w:rsidR="00F84BAF" w:rsidRPr="00825A38" w:rsidRDefault="00825A38"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Cs/>
                <w:lang w:val="en-US"/>
              </w:rPr>
              <w:t>No</w:t>
            </w:r>
          </w:p>
        </w:tc>
        <w:tc>
          <w:tcPr>
            <w:tcW w:w="1456" w:type="dxa"/>
            <w:gridSpan w:val="2"/>
            <w:vAlign w:val="center"/>
          </w:tcPr>
          <w:p w14:paraId="4ADB610D" w14:textId="6C754E30" w:rsidR="00F84BAF" w:rsidRPr="00825A38" w:rsidRDefault="00825A38"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Yes</w:t>
            </w:r>
          </w:p>
        </w:tc>
        <w:tc>
          <w:tcPr>
            <w:tcW w:w="2205" w:type="dxa"/>
            <w:gridSpan w:val="2"/>
            <w:vAlign w:val="center"/>
          </w:tcPr>
          <w:p w14:paraId="5D26FF12" w14:textId="7BD68DF3" w:rsidR="00F84BAF" w:rsidRPr="001053DB" w:rsidRDefault="002B665C"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Ministry of Finance</w:t>
            </w:r>
          </w:p>
        </w:tc>
        <w:tc>
          <w:tcPr>
            <w:tcW w:w="2489" w:type="dxa"/>
            <w:gridSpan w:val="3"/>
            <w:vAlign w:val="center"/>
          </w:tcPr>
          <w:p w14:paraId="3C143D17" w14:textId="4E4444EC" w:rsidR="00F84BAF" w:rsidRPr="001053DB" w:rsidRDefault="00825A38" w:rsidP="009065CD">
            <w:pPr>
              <w:spacing w:after="0" w:line="240" w:lineRule="auto"/>
              <w:jc w:val="center"/>
              <w:rPr>
                <w:rFonts w:ascii="Times New Roman" w:eastAsia="Times New Roman" w:hAnsi="Times New Roman" w:cs="Times New Roman"/>
                <w:lang w:val="sr-Cyrl-CS"/>
              </w:rPr>
            </w:pPr>
            <w:r w:rsidRPr="00267BAC">
              <w:rPr>
                <w:rFonts w:ascii="Times New Roman" w:eastAsia="Times New Roman" w:hAnsi="Times New Roman" w:cs="Times New Roman"/>
                <w:bCs/>
                <w:lang w:eastAsia="en-GB"/>
              </w:rPr>
              <w:t>Annual report of SAI or SAI report on the audit of the budget final account of the Republic of Serbia</w:t>
            </w:r>
          </w:p>
        </w:tc>
      </w:tr>
      <w:tr w:rsidR="00D30238" w:rsidRPr="001053DB" w14:paraId="677884CC" w14:textId="77777777" w:rsidTr="002A789B">
        <w:trPr>
          <w:gridAfter w:val="1"/>
          <w:wAfter w:w="15" w:type="dxa"/>
          <w:cantSplit/>
          <w:tblCellSpacing w:w="15" w:type="dxa"/>
          <w:jc w:val="center"/>
        </w:trPr>
        <w:tc>
          <w:tcPr>
            <w:tcW w:w="2003" w:type="dxa"/>
            <w:shd w:val="clear" w:color="auto" w:fill="ECECEC"/>
            <w:vAlign w:val="center"/>
          </w:tcPr>
          <w:p w14:paraId="7B5D0F06" w14:textId="7A794E18" w:rsidR="00F84BAF" w:rsidRPr="002B665C" w:rsidRDefault="002B665C" w:rsidP="002A789B">
            <w:pPr>
              <w:spacing w:after="0" w:line="240" w:lineRule="auto"/>
              <w:ind w:left="57"/>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Measure</w:t>
            </w:r>
          </w:p>
        </w:tc>
        <w:tc>
          <w:tcPr>
            <w:tcW w:w="2610" w:type="dxa"/>
            <w:gridSpan w:val="2"/>
            <w:shd w:val="clear" w:color="auto" w:fill="ECECEC"/>
            <w:vAlign w:val="center"/>
          </w:tcPr>
          <w:p w14:paraId="3C16459A" w14:textId="1E2F9CFE" w:rsidR="00F84BAF" w:rsidRPr="002B665C" w:rsidRDefault="002B665C" w:rsidP="002A789B">
            <w:pPr>
              <w:spacing w:after="0" w:line="240" w:lineRule="auto"/>
              <w:ind w:left="57"/>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Indicator</w:t>
            </w:r>
          </w:p>
        </w:tc>
        <w:tc>
          <w:tcPr>
            <w:tcW w:w="1397" w:type="dxa"/>
            <w:gridSpan w:val="3"/>
            <w:shd w:val="clear" w:color="auto" w:fill="ECECEC"/>
            <w:vAlign w:val="center"/>
          </w:tcPr>
          <w:p w14:paraId="3D78F87E" w14:textId="4EC87D66" w:rsidR="00F84BAF" w:rsidRPr="002B665C" w:rsidRDefault="002B665C" w:rsidP="002A789B">
            <w:pPr>
              <w:spacing w:after="0" w:line="240" w:lineRule="auto"/>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Initial value/year</w:t>
            </w:r>
          </w:p>
        </w:tc>
        <w:tc>
          <w:tcPr>
            <w:tcW w:w="1456" w:type="dxa"/>
            <w:gridSpan w:val="2"/>
            <w:shd w:val="clear" w:color="auto" w:fill="ECECEC"/>
            <w:vAlign w:val="center"/>
          </w:tcPr>
          <w:p w14:paraId="64E1C18E" w14:textId="5605FB62" w:rsidR="00F84BAF" w:rsidRPr="002B665C" w:rsidRDefault="002B665C" w:rsidP="002A789B">
            <w:pPr>
              <w:spacing w:after="0" w:line="240" w:lineRule="auto"/>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Target value 2028</w:t>
            </w:r>
          </w:p>
        </w:tc>
        <w:tc>
          <w:tcPr>
            <w:tcW w:w="2205" w:type="dxa"/>
            <w:gridSpan w:val="2"/>
            <w:shd w:val="clear" w:color="auto" w:fill="ECECEC"/>
            <w:vAlign w:val="center"/>
          </w:tcPr>
          <w:p w14:paraId="43CB3EE0" w14:textId="36B8EE8F" w:rsidR="00F84BAF" w:rsidRPr="002B665C" w:rsidRDefault="002B665C" w:rsidP="002A789B">
            <w:pPr>
              <w:spacing w:after="0" w:line="240" w:lineRule="auto"/>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Relevant Institution</w:t>
            </w:r>
          </w:p>
        </w:tc>
        <w:tc>
          <w:tcPr>
            <w:tcW w:w="2489" w:type="dxa"/>
            <w:gridSpan w:val="3"/>
            <w:shd w:val="clear" w:color="auto" w:fill="ECECEC"/>
            <w:vAlign w:val="center"/>
          </w:tcPr>
          <w:p w14:paraId="6737EC7E" w14:textId="593B631D" w:rsidR="00F84BAF" w:rsidRPr="002B665C" w:rsidRDefault="002B665C" w:rsidP="002A789B">
            <w:pPr>
              <w:spacing w:after="0" w:line="240" w:lineRule="auto"/>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Source of verification</w:t>
            </w:r>
          </w:p>
        </w:tc>
      </w:tr>
      <w:tr w:rsidR="00D30238" w:rsidRPr="001053DB" w14:paraId="120252C1" w14:textId="77777777" w:rsidTr="002A789B">
        <w:trPr>
          <w:gridAfter w:val="1"/>
          <w:wAfter w:w="15" w:type="dxa"/>
          <w:cantSplit/>
          <w:tblCellSpacing w:w="15" w:type="dxa"/>
          <w:jc w:val="center"/>
        </w:trPr>
        <w:tc>
          <w:tcPr>
            <w:tcW w:w="2003" w:type="dxa"/>
            <w:vAlign w:val="center"/>
          </w:tcPr>
          <w:p w14:paraId="158B7CF3" w14:textId="3EE815C6" w:rsidR="00F84BAF" w:rsidRPr="00825A38" w:rsidRDefault="00F84BAF" w:rsidP="002A789B">
            <w:pPr>
              <w:spacing w:after="0" w:line="240" w:lineRule="auto"/>
              <w:ind w:left="57"/>
              <w:rPr>
                <w:rFonts w:ascii="Times New Roman" w:eastAsia="Times New Roman" w:hAnsi="Times New Roman" w:cs="Times New Roman"/>
                <w:b/>
                <w:bCs/>
                <w:lang w:val="en-US"/>
              </w:rPr>
            </w:pPr>
            <w:r w:rsidRPr="001053DB">
              <w:rPr>
                <w:rFonts w:ascii="Times New Roman" w:eastAsia="Times New Roman" w:hAnsi="Times New Roman" w:cs="Times New Roman"/>
                <w:b/>
                <w:bCs/>
                <w:lang w:val="sr-Cyrl-CS"/>
              </w:rPr>
              <w:t>М</w:t>
            </w:r>
            <w:proofErr w:type="spellStart"/>
            <w:r w:rsidR="00825A38">
              <w:rPr>
                <w:rFonts w:ascii="Times New Roman" w:eastAsia="Times New Roman" w:hAnsi="Times New Roman" w:cs="Times New Roman"/>
                <w:b/>
                <w:bCs/>
                <w:lang w:val="en-US"/>
              </w:rPr>
              <w:t>easure</w:t>
            </w:r>
            <w:proofErr w:type="spellEnd"/>
            <w:r w:rsidRPr="001053DB">
              <w:rPr>
                <w:rFonts w:ascii="Times New Roman" w:eastAsia="Times New Roman" w:hAnsi="Times New Roman" w:cs="Times New Roman"/>
                <w:b/>
                <w:bCs/>
                <w:lang w:val="sr-Cyrl-CS"/>
              </w:rPr>
              <w:t xml:space="preserve"> 5.1:</w:t>
            </w:r>
            <w:r w:rsidRPr="001053DB">
              <w:rPr>
                <w:rFonts w:ascii="Times New Roman" w:eastAsia="Times New Roman" w:hAnsi="Times New Roman" w:cs="Times New Roman"/>
                <w:lang w:val="sr-Cyrl-CS"/>
              </w:rPr>
              <w:t xml:space="preserve"> </w:t>
            </w:r>
            <w:r w:rsidR="00825A38">
              <w:rPr>
                <w:rFonts w:ascii="Times New Roman" w:eastAsia="Times New Roman" w:hAnsi="Times New Roman" w:cs="Times New Roman"/>
                <w:lang w:val="en-US"/>
              </w:rPr>
              <w:t>Application of IPSAS standards on a cash basis for all budget users</w:t>
            </w:r>
          </w:p>
        </w:tc>
        <w:tc>
          <w:tcPr>
            <w:tcW w:w="2610" w:type="dxa"/>
            <w:gridSpan w:val="2"/>
            <w:vAlign w:val="center"/>
          </w:tcPr>
          <w:p w14:paraId="23452CE7" w14:textId="49D43984" w:rsidR="00F84BAF" w:rsidRPr="001053DB" w:rsidRDefault="00825A38" w:rsidP="002A789B">
            <w:pPr>
              <w:spacing w:after="0" w:line="240" w:lineRule="auto"/>
              <w:ind w:left="57"/>
              <w:rPr>
                <w:rFonts w:ascii="Times New Roman" w:eastAsia="Times New Roman" w:hAnsi="Times New Roman" w:cs="Times New Roman"/>
                <w:lang w:val="sr-Cyrl-CS"/>
              </w:rPr>
            </w:pPr>
            <w:r w:rsidRPr="00267BAC">
              <w:rPr>
                <w:rFonts w:ascii="Times New Roman" w:hAnsi="Times New Roman" w:cs="Times New Roman"/>
              </w:rPr>
              <w:t>Draft financial statement prepared in accordance with IPSAS on a cash basis</w:t>
            </w:r>
          </w:p>
        </w:tc>
        <w:tc>
          <w:tcPr>
            <w:tcW w:w="1397" w:type="dxa"/>
            <w:gridSpan w:val="3"/>
            <w:vAlign w:val="center"/>
          </w:tcPr>
          <w:p w14:paraId="2FD85D5B" w14:textId="729F79C8" w:rsidR="00F84BAF" w:rsidRPr="001053DB" w:rsidRDefault="002B665C" w:rsidP="002A789B">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No</w:t>
            </w:r>
            <w:r w:rsidR="00F84BAF" w:rsidRPr="001053DB">
              <w:rPr>
                <w:rFonts w:ascii="Times New Roman" w:eastAsia="Times New Roman" w:hAnsi="Times New Roman" w:cs="Times New Roman"/>
                <w:lang w:val="sr-Cyrl-CS"/>
              </w:rPr>
              <w:t xml:space="preserve"> (2025)</w:t>
            </w:r>
          </w:p>
        </w:tc>
        <w:tc>
          <w:tcPr>
            <w:tcW w:w="1456" w:type="dxa"/>
            <w:gridSpan w:val="2"/>
            <w:vAlign w:val="center"/>
          </w:tcPr>
          <w:p w14:paraId="1A8231D2" w14:textId="5F097F3A"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Yes</w:t>
            </w:r>
          </w:p>
        </w:tc>
        <w:tc>
          <w:tcPr>
            <w:tcW w:w="2205" w:type="dxa"/>
            <w:gridSpan w:val="2"/>
            <w:vAlign w:val="center"/>
          </w:tcPr>
          <w:p w14:paraId="0FBDFCE4" w14:textId="4F1BF234"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Ministry of Finance</w:t>
            </w:r>
            <w:r w:rsidRPr="001053DB">
              <w:rPr>
                <w:rFonts w:ascii="Times New Roman" w:eastAsia="Times New Roman" w:hAnsi="Times New Roman" w:cs="Times New Roman"/>
                <w:lang w:val="sr-Cyrl-CS"/>
              </w:rPr>
              <w:t xml:space="preserve"> </w:t>
            </w:r>
            <w:r w:rsidR="00F84BAF" w:rsidRPr="001053DB">
              <w:rPr>
                <w:rFonts w:ascii="Times New Roman" w:eastAsia="Times New Roman" w:hAnsi="Times New Roman" w:cs="Times New Roman"/>
                <w:lang w:val="sr-Cyrl-CS"/>
              </w:rPr>
              <w:t xml:space="preserve">/ </w:t>
            </w:r>
            <w:r>
              <w:rPr>
                <w:rFonts w:ascii="Times New Roman" w:eastAsia="Times New Roman" w:hAnsi="Times New Roman" w:cs="Times New Roman"/>
                <w:lang w:val="en-US"/>
              </w:rPr>
              <w:t>Treasury Administration</w:t>
            </w:r>
          </w:p>
        </w:tc>
        <w:tc>
          <w:tcPr>
            <w:tcW w:w="2489" w:type="dxa"/>
            <w:gridSpan w:val="3"/>
            <w:vAlign w:val="center"/>
          </w:tcPr>
          <w:p w14:paraId="069B61C4" w14:textId="438E1DEF"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SAI report</w:t>
            </w:r>
          </w:p>
        </w:tc>
      </w:tr>
      <w:tr w:rsidR="00D30238" w:rsidRPr="001053DB" w14:paraId="527EA922" w14:textId="77777777" w:rsidTr="002A789B">
        <w:trPr>
          <w:gridAfter w:val="1"/>
          <w:wAfter w:w="15" w:type="dxa"/>
          <w:cantSplit/>
          <w:tblCellSpacing w:w="15" w:type="dxa"/>
          <w:jc w:val="center"/>
        </w:trPr>
        <w:tc>
          <w:tcPr>
            <w:tcW w:w="2003" w:type="dxa"/>
            <w:vAlign w:val="center"/>
          </w:tcPr>
          <w:p w14:paraId="7E2D7294" w14:textId="614B8F5E" w:rsidR="00F84BAF" w:rsidRPr="001053DB" w:rsidRDefault="00F84BAF" w:rsidP="002A789B">
            <w:pPr>
              <w:spacing w:after="0" w:line="240" w:lineRule="auto"/>
              <w:ind w:left="57"/>
              <w:rPr>
                <w:rFonts w:ascii="Times New Roman" w:eastAsia="Times New Roman" w:hAnsi="Times New Roman" w:cs="Times New Roman"/>
                <w:b/>
                <w:bCs/>
                <w:lang w:val="sr-Cyrl-CS"/>
              </w:rPr>
            </w:pPr>
            <w:r w:rsidRPr="001053DB">
              <w:rPr>
                <w:rFonts w:ascii="Times New Roman" w:eastAsia="Times New Roman" w:hAnsi="Times New Roman" w:cs="Times New Roman"/>
                <w:b/>
                <w:bCs/>
                <w:lang w:val="sr-Cyrl-CS"/>
              </w:rPr>
              <w:t>М</w:t>
            </w:r>
            <w:proofErr w:type="spellStart"/>
            <w:r w:rsidR="00825A38">
              <w:rPr>
                <w:rFonts w:ascii="Times New Roman" w:eastAsia="Times New Roman" w:hAnsi="Times New Roman" w:cs="Times New Roman"/>
                <w:b/>
                <w:bCs/>
                <w:lang w:val="en-US"/>
              </w:rPr>
              <w:t>easure</w:t>
            </w:r>
            <w:proofErr w:type="spellEnd"/>
            <w:r w:rsidRPr="001053DB">
              <w:rPr>
                <w:rFonts w:ascii="Times New Roman" w:eastAsia="Times New Roman" w:hAnsi="Times New Roman" w:cs="Times New Roman"/>
                <w:b/>
                <w:bCs/>
                <w:lang w:val="sr-Cyrl-CS"/>
              </w:rPr>
              <w:t xml:space="preserve"> 5.2:</w:t>
            </w:r>
            <w:r w:rsidRPr="001053DB">
              <w:rPr>
                <w:rFonts w:ascii="Times New Roman" w:eastAsia="Times New Roman" w:hAnsi="Times New Roman" w:cs="Times New Roman"/>
                <w:lang w:val="sr-Cyrl-CS"/>
              </w:rPr>
              <w:t xml:space="preserve"> </w:t>
            </w:r>
            <w:r w:rsidR="00825A38">
              <w:rPr>
                <w:rFonts w:ascii="Times New Roman" w:eastAsia="Times New Roman" w:hAnsi="Times New Roman" w:cs="Times New Roman"/>
                <w:lang w:val="en-US"/>
              </w:rPr>
              <w:t>Further improvement of budget accounting according to the Public sector accounting improvement plan in line with</w:t>
            </w:r>
            <w:r w:rsidRPr="001053DB">
              <w:rPr>
                <w:rFonts w:ascii="Times New Roman" w:eastAsia="Times New Roman" w:hAnsi="Times New Roman" w:cs="Times New Roman"/>
                <w:lang w:val="sr-Cyrl-CS"/>
              </w:rPr>
              <w:t xml:space="preserve"> </w:t>
            </w:r>
            <w:r w:rsidRPr="001053DB">
              <w:rPr>
                <w:rFonts w:ascii="Times New Roman" w:eastAsia="Times New Roman" w:hAnsi="Times New Roman" w:cs="Times New Roman"/>
                <w:i/>
                <w:lang w:val="sr-Cyrl-CS"/>
              </w:rPr>
              <w:t>IPSAS</w:t>
            </w:r>
          </w:p>
        </w:tc>
        <w:tc>
          <w:tcPr>
            <w:tcW w:w="2610" w:type="dxa"/>
            <w:gridSpan w:val="2"/>
            <w:vAlign w:val="center"/>
          </w:tcPr>
          <w:p w14:paraId="30918802" w14:textId="34C7A93C" w:rsidR="00F84BAF" w:rsidRPr="001053DB" w:rsidRDefault="00825A38" w:rsidP="002A789B">
            <w:pPr>
              <w:spacing w:after="0" w:line="240" w:lineRule="auto"/>
              <w:ind w:left="57"/>
              <w:rPr>
                <w:rFonts w:ascii="Times New Roman" w:eastAsia="Times New Roman" w:hAnsi="Times New Roman" w:cs="Times New Roman"/>
                <w:b/>
                <w:lang w:val="sr-Cyrl-CS"/>
              </w:rPr>
            </w:pPr>
            <w:r w:rsidRPr="00D94D1E">
              <w:rPr>
                <w:rFonts w:ascii="Times New Roman" w:hAnsi="Times New Roman" w:cs="Times New Roman"/>
              </w:rPr>
              <w:t>Drafted Public sector accounting improvement plan in accordance with IPSAS</w:t>
            </w:r>
          </w:p>
        </w:tc>
        <w:tc>
          <w:tcPr>
            <w:tcW w:w="1397" w:type="dxa"/>
            <w:gridSpan w:val="3"/>
            <w:vAlign w:val="center"/>
          </w:tcPr>
          <w:p w14:paraId="5A1B9276" w14:textId="6759501E" w:rsidR="00F84BAF" w:rsidRPr="001053DB" w:rsidRDefault="002B665C" w:rsidP="002A789B">
            <w:pPr>
              <w:spacing w:after="0" w:line="240" w:lineRule="auto"/>
              <w:jc w:val="center"/>
              <w:rPr>
                <w:rFonts w:ascii="Times New Roman" w:eastAsia="Times New Roman" w:hAnsi="Times New Roman" w:cs="Times New Roman"/>
                <w:b/>
                <w:lang w:val="sr-Cyrl-CS"/>
              </w:rPr>
            </w:pPr>
            <w:r>
              <w:rPr>
                <w:rFonts w:ascii="Times New Roman" w:eastAsia="Times New Roman" w:hAnsi="Times New Roman" w:cs="Times New Roman"/>
                <w:lang w:val="en-US"/>
              </w:rPr>
              <w:t>No</w:t>
            </w:r>
            <w:r w:rsidR="00F84BAF" w:rsidRPr="001053DB">
              <w:rPr>
                <w:rFonts w:ascii="Times New Roman" w:eastAsia="Times New Roman" w:hAnsi="Times New Roman" w:cs="Times New Roman"/>
                <w:lang w:val="sr-Cyrl-CS"/>
              </w:rPr>
              <w:t xml:space="preserve"> (2025)</w:t>
            </w:r>
          </w:p>
        </w:tc>
        <w:tc>
          <w:tcPr>
            <w:tcW w:w="1456" w:type="dxa"/>
            <w:gridSpan w:val="2"/>
            <w:vAlign w:val="center"/>
          </w:tcPr>
          <w:p w14:paraId="6ECE9B9F" w14:textId="34D9E933" w:rsidR="00F84BAF" w:rsidRPr="001053DB" w:rsidRDefault="002B665C" w:rsidP="002A789B">
            <w:pPr>
              <w:spacing w:after="0" w:line="240" w:lineRule="auto"/>
              <w:jc w:val="center"/>
              <w:rPr>
                <w:rFonts w:ascii="Times New Roman" w:eastAsia="Times New Roman" w:hAnsi="Times New Roman" w:cs="Times New Roman"/>
                <w:b/>
                <w:lang w:val="sr-Cyrl-CS"/>
              </w:rPr>
            </w:pPr>
            <w:r>
              <w:rPr>
                <w:rFonts w:ascii="Times New Roman" w:eastAsia="Times New Roman" w:hAnsi="Times New Roman" w:cs="Times New Roman"/>
                <w:lang w:val="en-US"/>
              </w:rPr>
              <w:t>Yes</w:t>
            </w:r>
            <w:r w:rsidR="006F0DF8" w:rsidRPr="001053DB">
              <w:rPr>
                <w:rFonts w:ascii="Times New Roman" w:eastAsia="Times New Roman" w:hAnsi="Times New Roman" w:cs="Times New Roman"/>
                <w:lang w:val="sr-Cyrl-CS"/>
              </w:rPr>
              <w:t xml:space="preserve"> (2028)</w:t>
            </w:r>
          </w:p>
        </w:tc>
        <w:tc>
          <w:tcPr>
            <w:tcW w:w="2205" w:type="dxa"/>
            <w:gridSpan w:val="2"/>
            <w:vAlign w:val="center"/>
          </w:tcPr>
          <w:p w14:paraId="07350C0A" w14:textId="3FE39B47" w:rsidR="00F84BAF" w:rsidRPr="002B665C" w:rsidRDefault="002B665C" w:rsidP="002A789B">
            <w:pPr>
              <w:spacing w:after="0" w:line="240" w:lineRule="auto"/>
              <w:jc w:val="center"/>
              <w:rPr>
                <w:rFonts w:ascii="Times New Roman" w:eastAsia="Times New Roman" w:hAnsi="Times New Roman" w:cs="Times New Roman"/>
                <w:b/>
                <w:lang w:val="en-US"/>
              </w:rPr>
            </w:pPr>
            <w:r>
              <w:rPr>
                <w:rFonts w:ascii="Times New Roman" w:eastAsia="Times New Roman" w:hAnsi="Times New Roman" w:cs="Times New Roman"/>
                <w:lang w:val="en-US"/>
              </w:rPr>
              <w:t>Ministry of Finance</w:t>
            </w:r>
            <w:r w:rsidRPr="001053DB">
              <w:rPr>
                <w:rFonts w:ascii="Times New Roman" w:eastAsia="Times New Roman" w:hAnsi="Times New Roman" w:cs="Times New Roman"/>
                <w:lang w:val="sr-Cyrl-CS"/>
              </w:rPr>
              <w:t xml:space="preserve"> </w:t>
            </w:r>
            <w:r w:rsidR="00F84BAF" w:rsidRPr="001053DB">
              <w:rPr>
                <w:rFonts w:ascii="Times New Roman" w:eastAsia="Times New Roman" w:hAnsi="Times New Roman" w:cs="Times New Roman"/>
                <w:lang w:val="sr-Cyrl-CS"/>
              </w:rPr>
              <w:t xml:space="preserve">/ </w:t>
            </w:r>
            <w:r>
              <w:rPr>
                <w:rFonts w:ascii="Times New Roman" w:eastAsia="Times New Roman" w:hAnsi="Times New Roman" w:cs="Times New Roman"/>
                <w:lang w:val="en-US"/>
              </w:rPr>
              <w:t>Treasury Administration</w:t>
            </w:r>
          </w:p>
        </w:tc>
        <w:tc>
          <w:tcPr>
            <w:tcW w:w="2489" w:type="dxa"/>
            <w:gridSpan w:val="3"/>
            <w:vAlign w:val="center"/>
          </w:tcPr>
          <w:p w14:paraId="191B970E" w14:textId="5E687F0E" w:rsidR="00F84BAF" w:rsidRPr="002B665C" w:rsidRDefault="002B665C" w:rsidP="002A789B">
            <w:pPr>
              <w:spacing w:after="0" w:line="240" w:lineRule="auto"/>
              <w:jc w:val="center"/>
              <w:rPr>
                <w:rFonts w:ascii="Times New Roman" w:eastAsia="Times New Roman" w:hAnsi="Times New Roman" w:cs="Times New Roman"/>
                <w:b/>
                <w:lang w:val="en-US"/>
              </w:rPr>
            </w:pPr>
            <w:r>
              <w:rPr>
                <w:rFonts w:ascii="Times New Roman" w:eastAsia="Times New Roman" w:hAnsi="Times New Roman" w:cs="Times New Roman"/>
                <w:lang w:val="en-US"/>
              </w:rPr>
              <w:t>Treasury Administration website</w:t>
            </w:r>
          </w:p>
        </w:tc>
      </w:tr>
      <w:tr w:rsidR="00D30238" w:rsidRPr="001053DB" w14:paraId="64635742" w14:textId="77777777" w:rsidTr="002A789B">
        <w:trPr>
          <w:gridAfter w:val="1"/>
          <w:wAfter w:w="15" w:type="dxa"/>
          <w:cantSplit/>
          <w:tblCellSpacing w:w="15" w:type="dxa"/>
          <w:jc w:val="center"/>
        </w:trPr>
        <w:tc>
          <w:tcPr>
            <w:tcW w:w="2003" w:type="dxa"/>
            <w:vAlign w:val="center"/>
          </w:tcPr>
          <w:p w14:paraId="602B6E44" w14:textId="50735335" w:rsidR="00F84BAF" w:rsidRPr="00825A38" w:rsidRDefault="00825A38" w:rsidP="002A789B">
            <w:pPr>
              <w:spacing w:after="0" w:line="240" w:lineRule="auto"/>
              <w:ind w:left="57"/>
              <w:rPr>
                <w:rFonts w:ascii="Times New Roman" w:eastAsia="Times New Roman" w:hAnsi="Times New Roman" w:cs="Times New Roman"/>
                <w:b/>
                <w:bCs/>
                <w:lang w:val="en-US"/>
              </w:rPr>
            </w:pPr>
            <w:r>
              <w:rPr>
                <w:rFonts w:ascii="Times New Roman" w:eastAsia="Times New Roman" w:hAnsi="Times New Roman" w:cs="Times New Roman"/>
                <w:b/>
                <w:bCs/>
                <w:lang w:val="en-US"/>
              </w:rPr>
              <w:t>Specific objective</w:t>
            </w:r>
            <w:r w:rsidR="00F84BAF" w:rsidRPr="001053DB">
              <w:rPr>
                <w:rFonts w:ascii="Times New Roman" w:eastAsia="Times New Roman" w:hAnsi="Times New Roman" w:cs="Times New Roman"/>
                <w:b/>
                <w:bCs/>
                <w:lang w:val="sr-Cyrl-CS"/>
              </w:rPr>
              <w:t xml:space="preserve"> VI: </w:t>
            </w:r>
            <w:r>
              <w:rPr>
                <w:rFonts w:ascii="Times New Roman" w:eastAsia="Times New Roman" w:hAnsi="Times New Roman" w:cs="Times New Roman"/>
                <w:bCs/>
                <w:lang w:val="en-US"/>
              </w:rPr>
              <w:t>External oversight of public finances enhanced</w:t>
            </w:r>
          </w:p>
        </w:tc>
        <w:tc>
          <w:tcPr>
            <w:tcW w:w="2610" w:type="dxa"/>
            <w:gridSpan w:val="2"/>
            <w:vAlign w:val="center"/>
          </w:tcPr>
          <w:p w14:paraId="7D321CA3" w14:textId="3983BAB3" w:rsidR="00506332" w:rsidRPr="00825A38" w:rsidRDefault="00825A38" w:rsidP="00825A38">
            <w:pPr>
              <w:rPr>
                <w:rFonts w:ascii="Times New Roman" w:hAnsi="Times New Roman" w:cs="Times New Roman"/>
              </w:rPr>
            </w:pPr>
            <w:r w:rsidRPr="00D94D1E">
              <w:rPr>
                <w:rFonts w:ascii="Times New Roman" w:hAnsi="Times New Roman" w:cs="Times New Roman"/>
              </w:rPr>
              <w:t>Percentage of audited public fund beneficiaries with deficiencies in the internal control system</w:t>
            </w:r>
            <w:r>
              <w:rPr>
                <w:rFonts w:ascii="Times New Roman" w:hAnsi="Times New Roman" w:cs="Times New Roman"/>
                <w:lang w:val="en-US"/>
              </w:rPr>
              <w:t xml:space="preserve"> </w:t>
            </w:r>
            <w:r w:rsidR="00F85DA6" w:rsidRPr="001053DB">
              <w:rPr>
                <w:rFonts w:ascii="Times New Roman" w:eastAsia="Times New Roman" w:hAnsi="Times New Roman" w:cs="Times New Roman"/>
                <w:lang w:val="sr-Cyrl-CS"/>
              </w:rPr>
              <w:t>(%)</w:t>
            </w:r>
          </w:p>
          <w:p w14:paraId="068195AD" w14:textId="77777777" w:rsidR="00F84BAF" w:rsidRPr="001053DB" w:rsidRDefault="00F84BAF" w:rsidP="002A789B">
            <w:pPr>
              <w:spacing w:after="0" w:line="240" w:lineRule="auto"/>
              <w:ind w:left="57"/>
              <w:jc w:val="center"/>
              <w:rPr>
                <w:rFonts w:ascii="Times New Roman" w:eastAsia="Times New Roman" w:hAnsi="Times New Roman" w:cs="Times New Roman"/>
                <w:lang w:val="sr-Cyrl-CS"/>
              </w:rPr>
            </w:pPr>
          </w:p>
        </w:tc>
        <w:tc>
          <w:tcPr>
            <w:tcW w:w="1397" w:type="dxa"/>
            <w:gridSpan w:val="3"/>
            <w:vAlign w:val="center"/>
          </w:tcPr>
          <w:p w14:paraId="3457B616" w14:textId="77777777" w:rsidR="00F84BAF" w:rsidRPr="001053DB" w:rsidRDefault="00506332"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85 (2024)</w:t>
            </w:r>
          </w:p>
        </w:tc>
        <w:tc>
          <w:tcPr>
            <w:tcW w:w="1456" w:type="dxa"/>
            <w:gridSpan w:val="2"/>
            <w:vAlign w:val="center"/>
          </w:tcPr>
          <w:p w14:paraId="23F1323A" w14:textId="3ACA9F0B" w:rsidR="00F84BAF" w:rsidRPr="001053DB" w:rsidRDefault="00506332"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bCs/>
                <w:lang w:val="sr-Cyrl-CS"/>
              </w:rPr>
              <w:t>82</w:t>
            </w:r>
            <w:r w:rsidR="005B7732" w:rsidRPr="001053DB">
              <w:rPr>
                <w:rFonts w:ascii="Times New Roman" w:eastAsia="Times New Roman" w:hAnsi="Times New Roman" w:cs="Times New Roman"/>
                <w:bCs/>
                <w:lang w:val="sr-Cyrl-CS"/>
              </w:rPr>
              <w:t xml:space="preserve"> (2028)</w:t>
            </w:r>
          </w:p>
        </w:tc>
        <w:tc>
          <w:tcPr>
            <w:tcW w:w="2205" w:type="dxa"/>
            <w:gridSpan w:val="2"/>
            <w:vAlign w:val="center"/>
          </w:tcPr>
          <w:p w14:paraId="77209270" w14:textId="4F43B320"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SAI</w:t>
            </w:r>
          </w:p>
        </w:tc>
        <w:tc>
          <w:tcPr>
            <w:tcW w:w="2489" w:type="dxa"/>
            <w:gridSpan w:val="3"/>
            <w:vAlign w:val="center"/>
          </w:tcPr>
          <w:p w14:paraId="379EDBCF" w14:textId="07B9C240"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Report on the work of SAI</w:t>
            </w:r>
          </w:p>
        </w:tc>
      </w:tr>
      <w:tr w:rsidR="00D30238" w:rsidRPr="001053DB" w14:paraId="4175B158" w14:textId="77777777" w:rsidTr="002A789B">
        <w:trPr>
          <w:gridAfter w:val="1"/>
          <w:wAfter w:w="15" w:type="dxa"/>
          <w:cantSplit/>
          <w:tblCellSpacing w:w="15" w:type="dxa"/>
          <w:jc w:val="center"/>
        </w:trPr>
        <w:tc>
          <w:tcPr>
            <w:tcW w:w="2003" w:type="dxa"/>
            <w:shd w:val="clear" w:color="auto" w:fill="ECECEC"/>
            <w:vAlign w:val="center"/>
          </w:tcPr>
          <w:p w14:paraId="52176E9E" w14:textId="7967972C" w:rsidR="00F84BAF" w:rsidRPr="002B665C" w:rsidRDefault="002B665C" w:rsidP="002A789B">
            <w:pPr>
              <w:spacing w:after="0" w:line="240" w:lineRule="auto"/>
              <w:ind w:left="57"/>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Measure</w:t>
            </w:r>
          </w:p>
        </w:tc>
        <w:tc>
          <w:tcPr>
            <w:tcW w:w="2610" w:type="dxa"/>
            <w:gridSpan w:val="2"/>
            <w:shd w:val="clear" w:color="auto" w:fill="ECECEC"/>
            <w:vAlign w:val="center"/>
          </w:tcPr>
          <w:p w14:paraId="67FB95F6" w14:textId="6259F8B6" w:rsidR="00F84BAF" w:rsidRPr="002B665C" w:rsidRDefault="002B665C" w:rsidP="002A789B">
            <w:pPr>
              <w:spacing w:after="0" w:line="240" w:lineRule="auto"/>
              <w:ind w:left="57"/>
              <w:jc w:val="center"/>
              <w:rPr>
                <w:rFonts w:ascii="Times New Roman" w:eastAsia="Times New Roman" w:hAnsi="Times New Roman" w:cs="Times New Roman"/>
                <w:lang w:val="en-US"/>
              </w:rPr>
            </w:pPr>
            <w:r>
              <w:rPr>
                <w:rFonts w:ascii="Times New Roman" w:eastAsia="Times New Roman" w:hAnsi="Times New Roman" w:cs="Times New Roman"/>
                <w:b/>
                <w:bCs/>
                <w:lang w:val="en-US"/>
              </w:rPr>
              <w:t>Indicator</w:t>
            </w:r>
          </w:p>
        </w:tc>
        <w:tc>
          <w:tcPr>
            <w:tcW w:w="1397" w:type="dxa"/>
            <w:gridSpan w:val="3"/>
            <w:shd w:val="clear" w:color="auto" w:fill="ECECEC"/>
            <w:vAlign w:val="center"/>
          </w:tcPr>
          <w:p w14:paraId="39B4F428" w14:textId="18093AB6"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Initial value/year</w:t>
            </w:r>
          </w:p>
        </w:tc>
        <w:tc>
          <w:tcPr>
            <w:tcW w:w="1456" w:type="dxa"/>
            <w:gridSpan w:val="2"/>
            <w:shd w:val="clear" w:color="auto" w:fill="ECECEC"/>
            <w:vAlign w:val="center"/>
          </w:tcPr>
          <w:p w14:paraId="6E076AAF" w14:textId="292AED68"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Target value 2030</w:t>
            </w:r>
          </w:p>
        </w:tc>
        <w:tc>
          <w:tcPr>
            <w:tcW w:w="2205" w:type="dxa"/>
            <w:gridSpan w:val="2"/>
            <w:shd w:val="clear" w:color="auto" w:fill="ECECEC"/>
            <w:vAlign w:val="center"/>
          </w:tcPr>
          <w:p w14:paraId="2D94B8B5" w14:textId="36014A83"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Relevant Institution</w:t>
            </w:r>
          </w:p>
        </w:tc>
        <w:tc>
          <w:tcPr>
            <w:tcW w:w="2489" w:type="dxa"/>
            <w:gridSpan w:val="3"/>
            <w:shd w:val="clear" w:color="auto" w:fill="ECECEC"/>
            <w:vAlign w:val="center"/>
          </w:tcPr>
          <w:p w14:paraId="3D7EB86B" w14:textId="4F2C65BE"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b/>
                <w:bCs/>
                <w:lang w:val="en-US"/>
              </w:rPr>
              <w:t>Source of verification</w:t>
            </w:r>
          </w:p>
        </w:tc>
      </w:tr>
      <w:tr w:rsidR="00D30238" w:rsidRPr="001053DB" w14:paraId="6ACEF60C" w14:textId="77777777" w:rsidTr="002A789B">
        <w:trPr>
          <w:gridAfter w:val="1"/>
          <w:wAfter w:w="15" w:type="dxa"/>
          <w:cantSplit/>
          <w:tblCellSpacing w:w="15" w:type="dxa"/>
          <w:jc w:val="center"/>
        </w:trPr>
        <w:tc>
          <w:tcPr>
            <w:tcW w:w="2003" w:type="dxa"/>
            <w:vAlign w:val="center"/>
          </w:tcPr>
          <w:p w14:paraId="5B2159F4" w14:textId="297D5ED2" w:rsidR="00F84BAF" w:rsidRPr="00825A38" w:rsidRDefault="00F84BAF" w:rsidP="002A789B">
            <w:pPr>
              <w:spacing w:after="0" w:line="240" w:lineRule="auto"/>
              <w:ind w:left="57"/>
              <w:rPr>
                <w:rFonts w:ascii="Times New Roman" w:eastAsia="Times New Roman" w:hAnsi="Times New Roman" w:cs="Times New Roman"/>
                <w:b/>
                <w:bCs/>
                <w:lang w:val="en-US"/>
              </w:rPr>
            </w:pPr>
            <w:r w:rsidRPr="001053DB">
              <w:rPr>
                <w:rFonts w:ascii="Times New Roman" w:eastAsia="Times New Roman" w:hAnsi="Times New Roman" w:cs="Times New Roman"/>
                <w:b/>
                <w:bCs/>
                <w:lang w:val="sr-Cyrl-CS"/>
              </w:rPr>
              <w:lastRenderedPageBreak/>
              <w:t>М</w:t>
            </w:r>
            <w:proofErr w:type="spellStart"/>
            <w:r w:rsidR="00825A38">
              <w:rPr>
                <w:rFonts w:ascii="Times New Roman" w:eastAsia="Times New Roman" w:hAnsi="Times New Roman" w:cs="Times New Roman"/>
                <w:b/>
                <w:bCs/>
                <w:lang w:val="en-US"/>
              </w:rPr>
              <w:t>easure</w:t>
            </w:r>
            <w:proofErr w:type="spellEnd"/>
            <w:r w:rsidRPr="001053DB">
              <w:rPr>
                <w:rFonts w:ascii="Times New Roman" w:eastAsia="Times New Roman" w:hAnsi="Times New Roman" w:cs="Times New Roman"/>
                <w:b/>
                <w:bCs/>
                <w:lang w:val="sr-Cyrl-CS"/>
              </w:rPr>
              <w:t xml:space="preserve"> 6.1:</w:t>
            </w:r>
            <w:r w:rsidRPr="001053DB">
              <w:rPr>
                <w:rFonts w:ascii="Times New Roman" w:eastAsia="Times New Roman" w:hAnsi="Times New Roman" w:cs="Times New Roman"/>
                <w:lang w:val="sr-Cyrl-CS"/>
              </w:rPr>
              <w:t xml:space="preserve"> </w:t>
            </w:r>
            <w:r w:rsidR="00825A38">
              <w:rPr>
                <w:rFonts w:ascii="Times New Roman" w:eastAsia="Times New Roman" w:hAnsi="Times New Roman" w:cs="Times New Roman"/>
                <w:lang w:val="en-US"/>
              </w:rPr>
              <w:t>Strengthening the efficiency and impact of external audit through the integration of modern technologies, improvement of methodology and communication with stakeholders</w:t>
            </w:r>
          </w:p>
          <w:p w14:paraId="2984CF71" w14:textId="77777777" w:rsidR="00F84BAF" w:rsidRPr="001053DB" w:rsidRDefault="00F84BAF" w:rsidP="002A789B">
            <w:pPr>
              <w:spacing w:after="0" w:line="240" w:lineRule="auto"/>
              <w:ind w:left="57"/>
              <w:rPr>
                <w:rFonts w:ascii="Times New Roman" w:eastAsia="Times New Roman" w:hAnsi="Times New Roman" w:cs="Times New Roman"/>
                <w:b/>
                <w:bCs/>
                <w:lang w:val="sr-Cyrl-CS"/>
              </w:rPr>
            </w:pPr>
          </w:p>
        </w:tc>
        <w:tc>
          <w:tcPr>
            <w:tcW w:w="2610" w:type="dxa"/>
            <w:gridSpan w:val="2"/>
            <w:vAlign w:val="center"/>
          </w:tcPr>
          <w:p w14:paraId="6716E7CF" w14:textId="0747713A" w:rsidR="00F84BAF" w:rsidRPr="001053DB" w:rsidRDefault="00825A38" w:rsidP="002A789B">
            <w:pPr>
              <w:spacing w:after="0" w:line="240" w:lineRule="auto"/>
              <w:ind w:left="57"/>
              <w:rPr>
                <w:rFonts w:ascii="Times New Roman" w:eastAsia="Times New Roman" w:hAnsi="Times New Roman" w:cs="Times New Roman"/>
                <w:lang w:val="sr-Cyrl-CS"/>
              </w:rPr>
            </w:pPr>
            <w:r w:rsidRPr="00C21EE3">
              <w:rPr>
                <w:rFonts w:ascii="Times New Roman" w:hAnsi="Times New Roman" w:cs="Times New Roman"/>
              </w:rPr>
              <w:t>Percentage of DRI recommendations implemented within 2 years of the publication of the report</w:t>
            </w:r>
            <w:r w:rsidRPr="001053DB">
              <w:rPr>
                <w:rFonts w:ascii="Times New Roman" w:eastAsia="Times New Roman" w:hAnsi="Times New Roman" w:cs="Times New Roman"/>
                <w:lang w:val="sr-Cyrl-CS"/>
              </w:rPr>
              <w:t xml:space="preserve"> </w:t>
            </w:r>
            <w:r w:rsidR="00F85DA6" w:rsidRPr="001053DB">
              <w:rPr>
                <w:rFonts w:ascii="Times New Roman" w:eastAsia="Times New Roman" w:hAnsi="Times New Roman" w:cs="Times New Roman"/>
                <w:lang w:val="sr-Cyrl-CS"/>
              </w:rPr>
              <w:t>(%)</w:t>
            </w:r>
            <w:r w:rsidR="00F84BAF" w:rsidRPr="001053DB">
              <w:rPr>
                <w:rFonts w:ascii="Times New Roman" w:eastAsia="Times New Roman" w:hAnsi="Times New Roman" w:cs="Times New Roman"/>
                <w:lang w:val="sr-Cyrl-CS"/>
              </w:rPr>
              <w:t xml:space="preserve"> </w:t>
            </w:r>
          </w:p>
        </w:tc>
        <w:tc>
          <w:tcPr>
            <w:tcW w:w="1397" w:type="dxa"/>
            <w:gridSpan w:val="3"/>
            <w:vAlign w:val="center"/>
          </w:tcPr>
          <w:p w14:paraId="74C7CE28" w14:textId="77777777" w:rsidR="00F84BAF" w:rsidRPr="001053DB" w:rsidRDefault="00F84BAF"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75 (2025)</w:t>
            </w:r>
          </w:p>
        </w:tc>
        <w:tc>
          <w:tcPr>
            <w:tcW w:w="1456" w:type="dxa"/>
            <w:gridSpan w:val="2"/>
            <w:vAlign w:val="center"/>
          </w:tcPr>
          <w:p w14:paraId="303CCC31" w14:textId="2FEA35D7" w:rsidR="00F84BAF" w:rsidRPr="001053DB" w:rsidRDefault="00332C3B"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8</w:t>
            </w:r>
            <w:r w:rsidR="006F0DF8" w:rsidRPr="001053DB">
              <w:rPr>
                <w:rFonts w:ascii="Times New Roman" w:eastAsia="Times New Roman" w:hAnsi="Times New Roman" w:cs="Times New Roman"/>
                <w:lang w:val="sr-Cyrl-CS"/>
              </w:rPr>
              <w:t>2 (2028)</w:t>
            </w:r>
          </w:p>
        </w:tc>
        <w:tc>
          <w:tcPr>
            <w:tcW w:w="2205" w:type="dxa"/>
            <w:gridSpan w:val="2"/>
            <w:vAlign w:val="center"/>
          </w:tcPr>
          <w:p w14:paraId="277250CA" w14:textId="6CBDFB0C"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SAI</w:t>
            </w:r>
          </w:p>
        </w:tc>
        <w:tc>
          <w:tcPr>
            <w:tcW w:w="2489" w:type="dxa"/>
            <w:gridSpan w:val="3"/>
            <w:vAlign w:val="center"/>
          </w:tcPr>
          <w:p w14:paraId="679218D1" w14:textId="4A15BFB9" w:rsidR="00F84BAF" w:rsidRPr="001053DB" w:rsidRDefault="00825A38" w:rsidP="002A789B">
            <w:pPr>
              <w:spacing w:after="0" w:line="240" w:lineRule="auto"/>
              <w:jc w:val="center"/>
              <w:rPr>
                <w:rFonts w:ascii="Times New Roman" w:eastAsia="Times New Roman" w:hAnsi="Times New Roman" w:cs="Times New Roman"/>
                <w:lang w:val="sr-Cyrl-CS"/>
              </w:rPr>
            </w:pPr>
            <w:r w:rsidRPr="00C21EE3">
              <w:rPr>
                <w:rFonts w:ascii="Times New Roman" w:hAnsi="Times New Roman" w:cs="Times New Roman"/>
              </w:rPr>
              <w:t>Internal reports on tracking the implementation of SAI recommendations</w:t>
            </w:r>
          </w:p>
        </w:tc>
      </w:tr>
      <w:tr w:rsidR="00D30238" w:rsidRPr="001053DB" w14:paraId="56EFAF88" w14:textId="77777777" w:rsidTr="002A789B">
        <w:trPr>
          <w:gridAfter w:val="1"/>
          <w:wAfter w:w="15" w:type="dxa"/>
          <w:cantSplit/>
          <w:tblCellSpacing w:w="15" w:type="dxa"/>
          <w:jc w:val="center"/>
        </w:trPr>
        <w:tc>
          <w:tcPr>
            <w:tcW w:w="2003" w:type="dxa"/>
            <w:vMerge w:val="restart"/>
            <w:vAlign w:val="center"/>
          </w:tcPr>
          <w:p w14:paraId="20C20852" w14:textId="0041F2A7" w:rsidR="00F84BAF" w:rsidRPr="00825A38" w:rsidRDefault="00F84BAF" w:rsidP="002A789B">
            <w:pPr>
              <w:spacing w:after="0" w:line="240" w:lineRule="auto"/>
              <w:ind w:left="57"/>
              <w:rPr>
                <w:rFonts w:ascii="Times New Roman" w:eastAsia="Times New Roman" w:hAnsi="Times New Roman" w:cs="Times New Roman"/>
                <w:b/>
                <w:bCs/>
                <w:lang w:val="en-US"/>
              </w:rPr>
            </w:pPr>
            <w:r w:rsidRPr="001053DB">
              <w:rPr>
                <w:rFonts w:ascii="Times New Roman" w:eastAsia="Times New Roman" w:hAnsi="Times New Roman" w:cs="Times New Roman"/>
                <w:b/>
                <w:bCs/>
                <w:lang w:val="sr-Cyrl-CS"/>
              </w:rPr>
              <w:t>М</w:t>
            </w:r>
            <w:proofErr w:type="spellStart"/>
            <w:r w:rsidR="00825A38">
              <w:rPr>
                <w:rFonts w:ascii="Times New Roman" w:eastAsia="Times New Roman" w:hAnsi="Times New Roman" w:cs="Times New Roman"/>
                <w:b/>
                <w:bCs/>
                <w:lang w:val="en-US"/>
              </w:rPr>
              <w:t>easure</w:t>
            </w:r>
            <w:proofErr w:type="spellEnd"/>
            <w:r w:rsidRPr="001053DB">
              <w:rPr>
                <w:rFonts w:ascii="Times New Roman" w:eastAsia="Times New Roman" w:hAnsi="Times New Roman" w:cs="Times New Roman"/>
                <w:b/>
                <w:bCs/>
                <w:lang w:val="sr-Cyrl-CS"/>
              </w:rPr>
              <w:t xml:space="preserve"> 6.2:</w:t>
            </w:r>
            <w:r w:rsidRPr="001053DB">
              <w:rPr>
                <w:rFonts w:ascii="Times New Roman" w:eastAsia="Times New Roman" w:hAnsi="Times New Roman" w:cs="Times New Roman"/>
                <w:lang w:val="sr-Cyrl-CS"/>
              </w:rPr>
              <w:t xml:space="preserve"> </w:t>
            </w:r>
            <w:r w:rsidR="00825A38">
              <w:rPr>
                <w:rFonts w:ascii="Times New Roman" w:eastAsia="Times New Roman" w:hAnsi="Times New Roman" w:cs="Times New Roman"/>
                <w:lang w:val="en-US"/>
              </w:rPr>
              <w:t>Ensuring effective parliamentary oversight over public finances</w:t>
            </w:r>
          </w:p>
        </w:tc>
        <w:tc>
          <w:tcPr>
            <w:tcW w:w="2610" w:type="dxa"/>
            <w:gridSpan w:val="2"/>
            <w:vAlign w:val="center"/>
          </w:tcPr>
          <w:p w14:paraId="4EC6033C" w14:textId="66BB4433" w:rsidR="00F84BAF" w:rsidRPr="001053DB" w:rsidRDefault="00825A38" w:rsidP="002A789B">
            <w:pPr>
              <w:spacing w:after="0" w:line="240" w:lineRule="auto"/>
              <w:ind w:left="57"/>
              <w:rPr>
                <w:rFonts w:ascii="Times New Roman" w:eastAsia="Times New Roman" w:hAnsi="Times New Roman" w:cs="Times New Roman"/>
                <w:lang w:val="sr-Cyrl-CS"/>
              </w:rPr>
            </w:pPr>
            <w:r w:rsidRPr="00C21EE3">
              <w:rPr>
                <w:rFonts w:ascii="Times New Roman" w:hAnsi="Times New Roman" w:cs="Times New Roman"/>
              </w:rPr>
              <w:t xml:space="preserve">Percentage of </w:t>
            </w:r>
            <w:r w:rsidRPr="00C21EE3">
              <w:rPr>
                <w:rFonts w:ascii="Times New Roman" w:hAnsi="Times New Roman" w:cs="Times New Roman"/>
                <w:lang w:val="en-US"/>
              </w:rPr>
              <w:t>SAI</w:t>
            </w:r>
            <w:r w:rsidRPr="00C21EE3">
              <w:rPr>
                <w:rFonts w:ascii="Times New Roman" w:hAnsi="Times New Roman" w:cs="Times New Roman"/>
              </w:rPr>
              <w:t xml:space="preserve"> reports reviewed in the National Assembly</w:t>
            </w:r>
            <w:r w:rsidRPr="001053DB">
              <w:rPr>
                <w:rFonts w:ascii="Times New Roman" w:eastAsia="Times New Roman" w:hAnsi="Times New Roman" w:cs="Times New Roman"/>
                <w:lang w:val="sr-Cyrl-CS"/>
              </w:rPr>
              <w:t xml:space="preserve"> </w:t>
            </w:r>
            <w:r w:rsidR="00F85DA6" w:rsidRPr="001053DB">
              <w:rPr>
                <w:rFonts w:ascii="Times New Roman" w:eastAsia="Times New Roman" w:hAnsi="Times New Roman" w:cs="Times New Roman"/>
                <w:lang w:val="sr-Cyrl-CS"/>
              </w:rPr>
              <w:t>(%)</w:t>
            </w:r>
          </w:p>
        </w:tc>
        <w:tc>
          <w:tcPr>
            <w:tcW w:w="1397" w:type="dxa"/>
            <w:gridSpan w:val="3"/>
            <w:vAlign w:val="center"/>
          </w:tcPr>
          <w:p w14:paraId="1D76FFA6" w14:textId="77777777" w:rsidR="00F84BAF" w:rsidRPr="001053DB" w:rsidRDefault="00F84BAF"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50 (2025)</w:t>
            </w:r>
          </w:p>
        </w:tc>
        <w:tc>
          <w:tcPr>
            <w:tcW w:w="1456" w:type="dxa"/>
            <w:gridSpan w:val="2"/>
            <w:vAlign w:val="center"/>
          </w:tcPr>
          <w:p w14:paraId="793A3787" w14:textId="6B9AC6A3" w:rsidR="00F84BAF" w:rsidRPr="001053DB" w:rsidRDefault="006F0DF8"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75</w:t>
            </w:r>
          </w:p>
        </w:tc>
        <w:tc>
          <w:tcPr>
            <w:tcW w:w="2205" w:type="dxa"/>
            <w:gridSpan w:val="2"/>
            <w:vAlign w:val="center"/>
          </w:tcPr>
          <w:p w14:paraId="49712709" w14:textId="0CC7FA74"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National Assembly</w:t>
            </w:r>
            <w:r w:rsidR="00F84BAF" w:rsidRPr="001053DB">
              <w:rPr>
                <w:rFonts w:ascii="Times New Roman" w:eastAsia="Times New Roman" w:hAnsi="Times New Roman" w:cs="Times New Roman"/>
                <w:lang w:val="sr-Cyrl-CS"/>
              </w:rPr>
              <w:t xml:space="preserve"> / </w:t>
            </w:r>
            <w:r>
              <w:rPr>
                <w:rFonts w:ascii="Times New Roman" w:eastAsia="Times New Roman" w:hAnsi="Times New Roman" w:cs="Times New Roman"/>
                <w:lang w:val="en-US"/>
              </w:rPr>
              <w:t>Committee on Finance</w:t>
            </w:r>
          </w:p>
        </w:tc>
        <w:tc>
          <w:tcPr>
            <w:tcW w:w="2489" w:type="dxa"/>
            <w:gridSpan w:val="3"/>
            <w:vAlign w:val="center"/>
          </w:tcPr>
          <w:p w14:paraId="14F35AD1" w14:textId="460189CC"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Minutes of National Assembly</w:t>
            </w:r>
          </w:p>
        </w:tc>
      </w:tr>
      <w:tr w:rsidR="00D30238" w:rsidRPr="001053DB" w14:paraId="3AD1E8B6" w14:textId="77777777" w:rsidTr="002A789B">
        <w:trPr>
          <w:cantSplit/>
          <w:tblCellSpacing w:w="15" w:type="dxa"/>
          <w:jc w:val="center"/>
        </w:trPr>
        <w:tc>
          <w:tcPr>
            <w:tcW w:w="2003" w:type="dxa"/>
            <w:vMerge/>
            <w:vAlign w:val="center"/>
          </w:tcPr>
          <w:p w14:paraId="442DE9AB" w14:textId="77777777" w:rsidR="00F84BAF" w:rsidRPr="001053DB" w:rsidRDefault="00F84BAF" w:rsidP="002A789B">
            <w:pPr>
              <w:spacing w:after="0" w:line="240" w:lineRule="auto"/>
              <w:ind w:left="57"/>
              <w:rPr>
                <w:rFonts w:ascii="Times New Roman" w:eastAsia="Times New Roman" w:hAnsi="Times New Roman" w:cs="Times New Roman"/>
                <w:lang w:val="sr-Cyrl-CS"/>
              </w:rPr>
            </w:pPr>
          </w:p>
        </w:tc>
        <w:tc>
          <w:tcPr>
            <w:tcW w:w="2655" w:type="dxa"/>
            <w:gridSpan w:val="3"/>
            <w:vAlign w:val="center"/>
          </w:tcPr>
          <w:p w14:paraId="306A293A" w14:textId="369DD5C2" w:rsidR="00F84BAF" w:rsidRPr="001053DB" w:rsidRDefault="00825A38" w:rsidP="00825A38">
            <w:pPr>
              <w:spacing w:after="0" w:line="240" w:lineRule="auto"/>
              <w:ind w:left="57"/>
              <w:rPr>
                <w:rFonts w:ascii="Times New Roman" w:eastAsia="Times New Roman" w:hAnsi="Times New Roman" w:cs="Times New Roman"/>
                <w:lang w:val="sr-Cyrl-CS"/>
              </w:rPr>
            </w:pPr>
            <w:r w:rsidRPr="00C21EE3">
              <w:rPr>
                <w:rFonts w:ascii="Times New Roman" w:hAnsi="Times New Roman" w:cs="Times New Roman"/>
              </w:rPr>
              <w:t>Number of Committee meetings/sessions held for reviewing recommendations for amendments to laws in the presence of DRI and the Ministry of Finance, annually</w:t>
            </w:r>
          </w:p>
        </w:tc>
        <w:tc>
          <w:tcPr>
            <w:tcW w:w="1306" w:type="dxa"/>
            <w:vAlign w:val="center"/>
          </w:tcPr>
          <w:p w14:paraId="73BC6352" w14:textId="77777777" w:rsidR="00F84BAF" w:rsidRPr="001053DB" w:rsidRDefault="00F84BAF"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 (2025)</w:t>
            </w:r>
          </w:p>
        </w:tc>
        <w:tc>
          <w:tcPr>
            <w:tcW w:w="1532" w:type="dxa"/>
            <w:gridSpan w:val="4"/>
            <w:vAlign w:val="center"/>
          </w:tcPr>
          <w:p w14:paraId="1D3B250C" w14:textId="77777777" w:rsidR="00F84BAF" w:rsidRPr="001053DB" w:rsidRDefault="00332C3B" w:rsidP="002A789B">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w:t>
            </w:r>
          </w:p>
        </w:tc>
        <w:tc>
          <w:tcPr>
            <w:tcW w:w="2235" w:type="dxa"/>
            <w:gridSpan w:val="3"/>
            <w:vAlign w:val="center"/>
          </w:tcPr>
          <w:p w14:paraId="0108F256" w14:textId="067EC22F" w:rsidR="00F84BAF" w:rsidRPr="002B665C" w:rsidRDefault="002B665C"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National Assembly</w:t>
            </w:r>
          </w:p>
        </w:tc>
        <w:tc>
          <w:tcPr>
            <w:tcW w:w="2474" w:type="dxa"/>
            <w:gridSpan w:val="2"/>
            <w:vAlign w:val="center"/>
          </w:tcPr>
          <w:p w14:paraId="4F4590D4" w14:textId="5470867D" w:rsidR="00F84BAF" w:rsidRPr="00825A38" w:rsidRDefault="00825A38" w:rsidP="002A789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Minutes of the session</w:t>
            </w:r>
          </w:p>
        </w:tc>
      </w:tr>
    </w:tbl>
    <w:p w14:paraId="21D96F4D" w14:textId="77777777" w:rsidR="00836B41" w:rsidRPr="001053DB" w:rsidRDefault="00836B41" w:rsidP="00836B41">
      <w:pPr>
        <w:spacing w:after="0" w:line="240" w:lineRule="auto"/>
        <w:jc w:val="both"/>
        <w:rPr>
          <w:rFonts w:ascii="Times New Roman" w:hAnsi="Times New Roman" w:cs="Times New Roman"/>
          <w:sz w:val="24"/>
          <w:szCs w:val="24"/>
          <w:lang w:val="sr-Cyrl-CS"/>
        </w:rPr>
        <w:sectPr w:rsidR="00836B41" w:rsidRPr="001053DB" w:rsidSect="004D23EA">
          <w:pgSz w:w="16838" w:h="11906" w:orient="landscape"/>
          <w:pgMar w:top="1440" w:right="1440" w:bottom="1440" w:left="1440" w:header="432" w:footer="720" w:gutter="0"/>
          <w:cols w:space="720"/>
          <w:docGrid w:linePitch="360"/>
        </w:sectPr>
      </w:pPr>
    </w:p>
    <w:p w14:paraId="2D8FA701" w14:textId="629E1A90" w:rsidR="002878F3" w:rsidRDefault="00825A38" w:rsidP="00C959BC">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lastRenderedPageBreak/>
        <w:t>impact analyses of measures and risks</w:t>
      </w:r>
    </w:p>
    <w:p w14:paraId="2273505D" w14:textId="77777777" w:rsidR="00825A38" w:rsidRPr="00825A38" w:rsidRDefault="00825A38" w:rsidP="00825A38">
      <w:pPr>
        <w:rPr>
          <w:lang w:val="en-US"/>
        </w:rPr>
      </w:pPr>
    </w:p>
    <w:p w14:paraId="2A911203" w14:textId="2A88540B" w:rsidR="00825A38" w:rsidRPr="00825A38" w:rsidRDefault="00825A38" w:rsidP="00825A38">
      <w:pPr>
        <w:ind w:firstLine="708"/>
        <w:jc w:val="both"/>
        <w:rPr>
          <w:rFonts w:ascii="Times New Roman" w:hAnsi="Times New Roman" w:cs="Times New Roman"/>
          <w:sz w:val="24"/>
          <w:szCs w:val="24"/>
          <w:lang w:val="en-US"/>
        </w:rPr>
      </w:pPr>
      <w:r w:rsidRPr="00825A38">
        <w:rPr>
          <w:rFonts w:ascii="Times New Roman" w:hAnsi="Times New Roman" w:cs="Times New Roman"/>
          <w:sz w:val="24"/>
          <w:szCs w:val="24"/>
          <w:lang w:val="en-US"/>
        </w:rPr>
        <w:t xml:space="preserve">The implementation of the measures defined in PFMRP 2026–2030 is expected to generate numerous positive effects on society, the economy, the environment, governance processes and the stability of public finances. This analysis, in accordance with Articles 11–16 of the Decree on the Methodology for </w:t>
      </w:r>
      <w:r>
        <w:rPr>
          <w:rFonts w:ascii="Times New Roman" w:hAnsi="Times New Roman" w:cs="Times New Roman"/>
          <w:sz w:val="24"/>
          <w:szCs w:val="24"/>
          <w:lang w:val="en-US"/>
        </w:rPr>
        <w:t xml:space="preserve">the </w:t>
      </w:r>
      <w:r w:rsidRPr="00825A38">
        <w:rPr>
          <w:rFonts w:ascii="Times New Roman" w:hAnsi="Times New Roman" w:cs="Times New Roman"/>
          <w:sz w:val="24"/>
          <w:szCs w:val="24"/>
          <w:lang w:val="en-US"/>
        </w:rPr>
        <w:t>D</w:t>
      </w:r>
      <w:r>
        <w:rPr>
          <w:rFonts w:ascii="Times New Roman" w:hAnsi="Times New Roman" w:cs="Times New Roman"/>
          <w:sz w:val="24"/>
          <w:szCs w:val="24"/>
          <w:lang w:val="en-US"/>
        </w:rPr>
        <w:t>evelopment of</w:t>
      </w:r>
      <w:r w:rsidRPr="00825A38">
        <w:rPr>
          <w:rFonts w:ascii="Times New Roman" w:hAnsi="Times New Roman" w:cs="Times New Roman"/>
          <w:sz w:val="24"/>
          <w:szCs w:val="24"/>
          <w:lang w:val="en-US"/>
        </w:rPr>
        <w:t xml:space="preserve"> Public Policy Documents (“Official Gazette of the RS”, Nos. 20/25, 27/26 and 30/26), provides an assessment of the direct and indirect consequences of the implementation of the proposed measures, without repeating their operational content, but focusing instead on the expected results and impacts on the state system and society as a whole.</w:t>
      </w:r>
    </w:p>
    <w:p w14:paraId="1A6CD32F" w14:textId="5E344BE8" w:rsidR="00825A38" w:rsidRPr="00825A38" w:rsidRDefault="00825A38" w:rsidP="00825A38">
      <w:pPr>
        <w:ind w:firstLine="708"/>
        <w:jc w:val="both"/>
        <w:rPr>
          <w:rFonts w:ascii="Times New Roman" w:hAnsi="Times New Roman" w:cs="Times New Roman"/>
          <w:sz w:val="24"/>
          <w:szCs w:val="24"/>
          <w:lang w:val="en-US"/>
        </w:rPr>
      </w:pPr>
      <w:r w:rsidRPr="00825A38">
        <w:rPr>
          <w:rFonts w:ascii="Times New Roman" w:hAnsi="Times New Roman" w:cs="Times New Roman"/>
          <w:sz w:val="24"/>
          <w:szCs w:val="24"/>
          <w:lang w:val="en-US"/>
        </w:rPr>
        <w:t>It is expected that the proposed measures, particularly in the areas of budget planning, public revenues, public investments, and internal financial control, will have strong positive social effects. By introducing program</w:t>
      </w:r>
      <w:r w:rsidR="000C4A8C">
        <w:rPr>
          <w:rFonts w:ascii="Times New Roman" w:hAnsi="Times New Roman" w:cs="Times New Roman"/>
          <w:sz w:val="24"/>
          <w:szCs w:val="24"/>
          <w:lang w:val="en-US"/>
        </w:rPr>
        <w:t>me</w:t>
      </w:r>
      <w:r w:rsidRPr="00825A38">
        <w:rPr>
          <w:rFonts w:ascii="Times New Roman" w:hAnsi="Times New Roman" w:cs="Times New Roman"/>
          <w:sz w:val="24"/>
          <w:szCs w:val="24"/>
          <w:lang w:val="en-US"/>
        </w:rPr>
        <w:t>-based budgeting in all relevant institutions and establishing a standardized system for monitoring and evaluating performance, citizens will gain clearer insight into how public funds are spent, thereby increasing transparency and trust in public institutions. The measures will further improve the quality of public services, as cost planning will be increasingly linked to concrete results. Strengthening internal control and audit in the public sector will increase accountability of public officials, while improved availability of data on budget flows will contribute to greater public and civil society engagement in monitoring fiscal policies. Indirectly, this will lead to increased institutional trust, a more stable institutional framework, and simplified access to public services for all citizens.</w:t>
      </w:r>
    </w:p>
    <w:p w14:paraId="5BEE8099" w14:textId="77777777" w:rsidR="00825A38" w:rsidRPr="00825A38" w:rsidRDefault="00825A38" w:rsidP="00825A38">
      <w:pPr>
        <w:ind w:firstLine="708"/>
        <w:jc w:val="both"/>
        <w:rPr>
          <w:rFonts w:ascii="Times New Roman" w:hAnsi="Times New Roman" w:cs="Times New Roman"/>
          <w:sz w:val="24"/>
          <w:szCs w:val="24"/>
          <w:lang w:val="en-US"/>
        </w:rPr>
      </w:pPr>
      <w:r w:rsidRPr="00825A38">
        <w:rPr>
          <w:rFonts w:ascii="Times New Roman" w:hAnsi="Times New Roman" w:cs="Times New Roman"/>
          <w:sz w:val="24"/>
          <w:szCs w:val="24"/>
          <w:lang w:val="en-US"/>
        </w:rPr>
        <w:t xml:space="preserve">Economic effects are expected at multiple levels. Reforms in revenue administration, particularly the improvement of the Tax Administration through the implementation of a commercial off-the-shelf integrated tax management information system, will create business-infrastructure conditions that will improve tax collection efficiency through a more effective and comprehensive digital service system. The digital transformation of the Customs Administration through the implementation of a modern IT system across all business areas is an integral part of the EU-wide customs modernization process, focusing on sustainable capacity building that enables efficient revenue collection, movement of goods and people, and operations in accordance with national legislation, international standards, and professional ethics, for the benefit of all citizens, while respecting human rights and freedoms, environmental protection, public health, and overall security of society. Improved coordination in public investment management, as well as strengthened control over preparation, appraisal, and monitoring of capital projects, will enable more rational use of budget resources, better project prioritization, reduced risk of cost overruns, and faster implementation of investments. All this will contribute to improved quality and predictability of the business environment and stimulate economic growth. The introduction of green budgeting methodology will have long-term positive effects on economic competitiveness by encouraging investments in energy efficiency, sustainable infrastructure, and projects that reduce negative environmental externalities. Indirectly, these measures will improve the business climate and increase </w:t>
      </w:r>
      <w:r w:rsidRPr="00825A38">
        <w:rPr>
          <w:rFonts w:ascii="Times New Roman" w:hAnsi="Times New Roman" w:cs="Times New Roman"/>
          <w:sz w:val="24"/>
          <w:szCs w:val="24"/>
          <w:lang w:val="en-US"/>
        </w:rPr>
        <w:lastRenderedPageBreak/>
        <w:t>confidence of domestic and foreign investors in the stability of public finances and the institutional system of Serbia.</w:t>
      </w:r>
    </w:p>
    <w:p w14:paraId="67C85535" w14:textId="77777777" w:rsidR="00825A38" w:rsidRPr="00825A38" w:rsidRDefault="00825A38" w:rsidP="00825A38">
      <w:pPr>
        <w:ind w:firstLine="708"/>
        <w:jc w:val="both"/>
        <w:rPr>
          <w:rFonts w:ascii="Times New Roman" w:hAnsi="Times New Roman" w:cs="Times New Roman"/>
          <w:sz w:val="24"/>
          <w:szCs w:val="24"/>
          <w:lang w:val="en-US"/>
        </w:rPr>
      </w:pPr>
      <w:r w:rsidRPr="00825A38">
        <w:rPr>
          <w:rFonts w:ascii="Times New Roman" w:hAnsi="Times New Roman" w:cs="Times New Roman"/>
          <w:sz w:val="24"/>
          <w:szCs w:val="24"/>
          <w:lang w:val="en-US"/>
        </w:rPr>
        <w:t>Environmental effects, although not the primary focus of economic and fiscal reforms, are still significant in the context of integrating green policies into the public finance system. Through the application of a methodology for tagging and monitoring green expenditures, public policies will increasingly incorporate climate and environmental aspects into budget planning. This will enable tracking of funds contributing to reduced CO₂ emissions, improved energy efficiency, and investments in sustainable infrastructure. The indirect environmental impact will be reflected in better allocation of public funds and the promotion of responsible natural resource management, as well as increased awareness among public institutions of climate risks that should be integrated into decision-making processes.</w:t>
      </w:r>
    </w:p>
    <w:p w14:paraId="0B79B41D" w14:textId="206DC72D" w:rsidR="00825A38" w:rsidRPr="00825A38" w:rsidRDefault="00825A38" w:rsidP="00825A38">
      <w:pPr>
        <w:ind w:firstLine="708"/>
        <w:jc w:val="both"/>
        <w:rPr>
          <w:rFonts w:ascii="Times New Roman" w:hAnsi="Times New Roman" w:cs="Times New Roman"/>
          <w:sz w:val="24"/>
          <w:szCs w:val="24"/>
          <w:lang w:val="en-US"/>
        </w:rPr>
      </w:pPr>
      <w:r w:rsidRPr="00825A38">
        <w:rPr>
          <w:rFonts w:ascii="Times New Roman" w:hAnsi="Times New Roman" w:cs="Times New Roman"/>
          <w:sz w:val="24"/>
          <w:szCs w:val="24"/>
          <w:lang w:val="en-US"/>
        </w:rPr>
        <w:t xml:space="preserve">Governance effects of the measures are reflected in improved institutional capacities, coordination, and accountability. The improvement of the regulatory framework and methodological guidelines for capital projects, internal financial control, and the establishment of integrated IT systems for monitoring results will ensure more consistent resource management and uniform application of standards at all levels of government. A particularly important governance effect is the strengthening of coordination between the Ministry of Finance, the </w:t>
      </w:r>
      <w:r w:rsidR="000C4A8C">
        <w:rPr>
          <w:rFonts w:ascii="Times New Roman" w:hAnsi="Times New Roman" w:cs="Times New Roman"/>
          <w:sz w:val="24"/>
          <w:szCs w:val="24"/>
          <w:lang w:val="en-US"/>
        </w:rPr>
        <w:t>Public Policy Secretariat</w:t>
      </w:r>
      <w:r w:rsidRPr="00825A38">
        <w:rPr>
          <w:rFonts w:ascii="Times New Roman" w:hAnsi="Times New Roman" w:cs="Times New Roman"/>
          <w:sz w:val="24"/>
          <w:szCs w:val="24"/>
          <w:lang w:val="en-US"/>
        </w:rPr>
        <w:t xml:space="preserve"> and other institutions involved in the preparation and implementation of public policy documents, which will contribute to greater coherence and efficiency of the planning and reporting system.</w:t>
      </w:r>
    </w:p>
    <w:p w14:paraId="56FF788D" w14:textId="13FAC30A" w:rsidR="00825A38" w:rsidRPr="00825A38" w:rsidRDefault="00825A38" w:rsidP="00825A38">
      <w:pPr>
        <w:ind w:firstLine="708"/>
        <w:jc w:val="both"/>
        <w:rPr>
          <w:rFonts w:ascii="Times New Roman" w:hAnsi="Times New Roman" w:cs="Times New Roman"/>
          <w:sz w:val="24"/>
          <w:szCs w:val="24"/>
          <w:lang w:val="en-US"/>
        </w:rPr>
      </w:pPr>
      <w:r w:rsidRPr="00825A38">
        <w:rPr>
          <w:rFonts w:ascii="Times New Roman" w:hAnsi="Times New Roman" w:cs="Times New Roman"/>
          <w:sz w:val="24"/>
          <w:szCs w:val="24"/>
          <w:lang w:val="en-US"/>
        </w:rPr>
        <w:t>Financial effects of the proposed measures are assessed as moderate in the short term and positive in the medium and long term. Implementation costs mainly relate to the development and maintenance of IT systems, organization of trainings and workshops, preparation of methodological manuals, and fiscal risk analysis, which will largely be financed from development assistance, donor funds, and the budget of the Republic of Serbia. In the medium term, savings are expected from better allocation of public expenditures, more efficient investment management and reduced administrative costs. In the long term, these measures will contribute to greater fiscal discipline, public debt sustainability and credibility of fiscal policy. Improved monitoring of budget outcomes and program performance assessment will enable expenditure rationalization and cost optimization.</w:t>
      </w:r>
    </w:p>
    <w:p w14:paraId="21C0A605" w14:textId="2E9C1D27" w:rsidR="00825A38" w:rsidRPr="00825A38" w:rsidRDefault="00825A38" w:rsidP="00825A38">
      <w:pPr>
        <w:ind w:firstLine="708"/>
        <w:jc w:val="both"/>
        <w:rPr>
          <w:rFonts w:ascii="Times New Roman" w:hAnsi="Times New Roman" w:cs="Times New Roman"/>
          <w:sz w:val="24"/>
          <w:szCs w:val="24"/>
          <w:lang w:val="en-US"/>
        </w:rPr>
      </w:pPr>
      <w:r w:rsidRPr="00825A38">
        <w:rPr>
          <w:rFonts w:ascii="Times New Roman" w:hAnsi="Times New Roman" w:cs="Times New Roman"/>
          <w:sz w:val="24"/>
          <w:szCs w:val="24"/>
          <w:lang w:val="en-US"/>
        </w:rPr>
        <w:t>Overall, the measures defined in this Program</w:t>
      </w:r>
      <w:r w:rsidR="000C4A8C">
        <w:rPr>
          <w:rFonts w:ascii="Times New Roman" w:hAnsi="Times New Roman" w:cs="Times New Roman"/>
          <w:sz w:val="24"/>
          <w:szCs w:val="24"/>
          <w:lang w:val="en-US"/>
        </w:rPr>
        <w:t>me</w:t>
      </w:r>
      <w:r w:rsidRPr="00825A38">
        <w:rPr>
          <w:rFonts w:ascii="Times New Roman" w:hAnsi="Times New Roman" w:cs="Times New Roman"/>
          <w:sz w:val="24"/>
          <w:szCs w:val="24"/>
          <w:lang w:val="en-US"/>
        </w:rPr>
        <w:t xml:space="preserve"> have a strong synergistic value, as their combined effect leads to systemic improvements in public finance management. Positive effects on society, the economy and governance processes encourage more responsible institutional behavior and a better understanding of public finances among citizens and businesses. The application of new public policy methodologies and improved planning, monitoring, and evaluation tools ensure that reforms are implementable, fiscally sustainable, and results-oriented, thereby achieving the core objective</w:t>
      </w:r>
      <w:r w:rsidR="000C4A8C">
        <w:rPr>
          <w:rFonts w:ascii="Times New Roman" w:hAnsi="Times New Roman" w:cs="Times New Roman"/>
          <w:sz w:val="24"/>
          <w:szCs w:val="24"/>
          <w:lang w:val="en-US"/>
        </w:rPr>
        <w:t>-</w:t>
      </w:r>
      <w:r w:rsidRPr="00825A38">
        <w:rPr>
          <w:rFonts w:ascii="Times New Roman" w:hAnsi="Times New Roman" w:cs="Times New Roman"/>
          <w:sz w:val="24"/>
          <w:szCs w:val="24"/>
          <w:lang w:val="en-US"/>
        </w:rPr>
        <w:t>efficient, transparent, and accountable management of public funds of the Republic of Serbia in line with good governance principles and European standards.</w:t>
      </w:r>
    </w:p>
    <w:p w14:paraId="76ADDDC3" w14:textId="77777777" w:rsidR="00825A38" w:rsidRPr="00825A38" w:rsidRDefault="00825A38" w:rsidP="00825A38">
      <w:pPr>
        <w:ind w:firstLine="708"/>
        <w:jc w:val="both"/>
        <w:rPr>
          <w:rFonts w:ascii="Times New Roman" w:hAnsi="Times New Roman" w:cs="Times New Roman"/>
          <w:sz w:val="24"/>
          <w:szCs w:val="24"/>
          <w:lang w:val="en-US"/>
        </w:rPr>
      </w:pPr>
      <w:r w:rsidRPr="00825A38">
        <w:rPr>
          <w:rFonts w:ascii="Times New Roman" w:hAnsi="Times New Roman" w:cs="Times New Roman"/>
          <w:sz w:val="24"/>
          <w:szCs w:val="24"/>
          <w:lang w:val="en-US"/>
        </w:rPr>
        <w:lastRenderedPageBreak/>
        <w:t>The achievement of the desired change to be accomplished through the preparation, adoption, and implementation of PFMRP 2026–2030 is subject to certain risks, some of which have been identified based on experience gained during the implementation of the previous two PFMRPs. Since 2015, when the first PFMRP in the Republic of Serbia was prepared and adopted, this public policy document has represented one of the key strategic priorities of the Ministry of Finance. The fact that PFMRP, as well as annual implementation reports, are regularly considered and adopted at Government sessions significantly reduces the risk of lack of political support and ensures continuous political commitment to the implementation of public finance management reform.</w:t>
      </w:r>
    </w:p>
    <w:p w14:paraId="07217AC7" w14:textId="318ACC91" w:rsidR="00825A38" w:rsidRPr="00825A38" w:rsidRDefault="00825A38" w:rsidP="00825A38">
      <w:pPr>
        <w:ind w:firstLine="708"/>
        <w:jc w:val="both"/>
        <w:rPr>
          <w:rFonts w:ascii="Times New Roman" w:hAnsi="Times New Roman" w:cs="Times New Roman"/>
          <w:sz w:val="24"/>
          <w:szCs w:val="24"/>
          <w:lang w:val="en-US"/>
        </w:rPr>
      </w:pPr>
      <w:r w:rsidRPr="00825A38">
        <w:rPr>
          <w:rFonts w:ascii="Times New Roman" w:hAnsi="Times New Roman" w:cs="Times New Roman"/>
          <w:sz w:val="24"/>
          <w:szCs w:val="24"/>
          <w:lang w:val="en-US"/>
        </w:rPr>
        <w:t>However, experience from the implementation of the previous PFMRP 2021–2025 has indicated certain risks related to planning processes and the realism of defined goals and deadlines. The Action Plan in that period was in some segments overly ambitious, with insufficiently precisely assessed timeframes and available resources, which affected delays in the implementation of certain activities. This risk has been recognized and mitigated through the revision of the Program</w:t>
      </w:r>
      <w:r w:rsidR="000C4A8C">
        <w:rPr>
          <w:rFonts w:ascii="Times New Roman" w:hAnsi="Times New Roman" w:cs="Times New Roman"/>
          <w:sz w:val="24"/>
          <w:szCs w:val="24"/>
          <w:lang w:val="en-US"/>
        </w:rPr>
        <w:t>me</w:t>
      </w:r>
      <w:r w:rsidRPr="00825A38">
        <w:rPr>
          <w:rFonts w:ascii="Times New Roman" w:hAnsi="Times New Roman" w:cs="Times New Roman"/>
          <w:sz w:val="24"/>
          <w:szCs w:val="24"/>
          <w:lang w:val="en-US"/>
        </w:rPr>
        <w:t>, and in the preparation of PFMRP 2026–2030 special attention has been given to ensuring that objectives and measures are ambitious but also realistic and financially feasible. In this context, the accompanying Action Plan has been prepared for the first three years of implementation, with clearly defined priorities, deadlines, and sources of financing from both national budget and development and donor funds. Continuous monitoring and improvement of the reporting system on implementation represents one of the key mechanisms for timely identification and management of implementation risks.</w:t>
      </w:r>
    </w:p>
    <w:p w14:paraId="2A6FDE5D" w14:textId="2A8971C6" w:rsidR="00825A38" w:rsidRPr="00825A38" w:rsidRDefault="00825A38" w:rsidP="00825A38">
      <w:pPr>
        <w:ind w:firstLine="708"/>
        <w:jc w:val="both"/>
        <w:rPr>
          <w:rFonts w:ascii="Times New Roman" w:hAnsi="Times New Roman" w:cs="Times New Roman"/>
          <w:sz w:val="24"/>
          <w:szCs w:val="24"/>
          <w:lang w:val="en-US"/>
        </w:rPr>
      </w:pPr>
      <w:r w:rsidRPr="00825A38">
        <w:rPr>
          <w:rFonts w:ascii="Times New Roman" w:hAnsi="Times New Roman" w:cs="Times New Roman"/>
          <w:sz w:val="24"/>
          <w:szCs w:val="24"/>
          <w:lang w:val="en-US"/>
        </w:rPr>
        <w:t>One of the significant risks considered in the preparation of the new PFMRP 2026–2030 relates to possible delays in the adoption of new or amended legislation and by-laws. In the previous period, legislative procedures for certain legal solutions lasted longer than planned, mostly due to complex and lengthy inter-ministerial consultations and public consultations. In addition, limited administrative and professional capacities of certain institutions involved in the implementation of the Program</w:t>
      </w:r>
      <w:r w:rsidR="000C4A8C">
        <w:rPr>
          <w:rFonts w:ascii="Times New Roman" w:hAnsi="Times New Roman" w:cs="Times New Roman"/>
          <w:sz w:val="24"/>
          <w:szCs w:val="24"/>
          <w:lang w:val="en-US"/>
        </w:rPr>
        <w:t>me</w:t>
      </w:r>
      <w:r w:rsidRPr="00825A38">
        <w:rPr>
          <w:rFonts w:ascii="Times New Roman" w:hAnsi="Times New Roman" w:cs="Times New Roman"/>
          <w:sz w:val="24"/>
          <w:szCs w:val="24"/>
          <w:lang w:val="en-US"/>
        </w:rPr>
        <w:t xml:space="preserve"> are identified as a risk, which may affect the dynamics of implementation. Another challenge is the risk that relevant institutions do not have sufficient human and financial resources for implementing the activities foreseen in the Action Plan, requiring continuous capacity building and careful planning of budget resources and priorities.</w:t>
      </w:r>
    </w:p>
    <w:p w14:paraId="20B266DC" w14:textId="6FAB4249" w:rsidR="00825A38" w:rsidRPr="0042353D" w:rsidRDefault="00825A38" w:rsidP="00825A38">
      <w:pPr>
        <w:ind w:firstLine="708"/>
        <w:jc w:val="both"/>
        <w:rPr>
          <w:rFonts w:ascii="Times New Roman" w:hAnsi="Times New Roman" w:cs="Times New Roman"/>
          <w:sz w:val="24"/>
          <w:szCs w:val="24"/>
          <w:lang w:val="en-US"/>
        </w:rPr>
      </w:pPr>
      <w:r w:rsidRPr="00825A38">
        <w:rPr>
          <w:rFonts w:ascii="Times New Roman" w:hAnsi="Times New Roman" w:cs="Times New Roman"/>
          <w:sz w:val="24"/>
          <w:szCs w:val="24"/>
          <w:lang w:val="en-US"/>
        </w:rPr>
        <w:t>An additional risk that may affect the implementation of certain PFMRP measures relates to the existence of inadequate, unconnected and incompatible information systems currently in use or at different stages of development. These challenges may significantly hinder the efficient implementation of measures and achievement of planned objectives, particularly given the rapid technological development and the uncertainty regarding the extent of artificial intelligence usage in this field. In addition to securing adequate financial resources for further IT infrastructure development, it is necessary to improve coordination among all institutions and organizational units of the Ministry of Finance responsible for IT-related measures, as well as strengthen cooperation with the Office for Information Technologies and eGovernment as the competent authority for the development and harmonization of e-</w:t>
      </w:r>
      <w:r w:rsidRPr="00825A38">
        <w:rPr>
          <w:rFonts w:ascii="Times New Roman" w:hAnsi="Times New Roman" w:cs="Times New Roman"/>
          <w:sz w:val="24"/>
          <w:szCs w:val="24"/>
          <w:lang w:val="en-US"/>
        </w:rPr>
        <w:lastRenderedPageBreak/>
        <w:t xml:space="preserve">government systems. To mitigate these risks, the Ministry of Finance established the </w:t>
      </w:r>
      <w:r w:rsidR="000C4A8C">
        <w:rPr>
          <w:rFonts w:ascii="Times New Roman" w:hAnsi="Times New Roman" w:cs="Times New Roman"/>
          <w:sz w:val="24"/>
          <w:szCs w:val="24"/>
          <w:lang w:val="en-US"/>
        </w:rPr>
        <w:t>Department for digitalization in the field of finance</w:t>
      </w:r>
      <w:r w:rsidRPr="00825A38">
        <w:rPr>
          <w:rFonts w:ascii="Times New Roman" w:hAnsi="Times New Roman" w:cs="Times New Roman"/>
          <w:sz w:val="24"/>
          <w:szCs w:val="24"/>
          <w:lang w:val="en-US"/>
        </w:rPr>
        <w:t xml:space="preserve"> in 2020, which plays a key role in coordinating IT projects and ensuring their mutual consistency within the public finance reform framework.</w:t>
      </w:r>
    </w:p>
    <w:p w14:paraId="18739071" w14:textId="77777777" w:rsidR="00036FD8" w:rsidRPr="001053DB" w:rsidRDefault="00036FD8" w:rsidP="007363AA">
      <w:pPr>
        <w:spacing w:after="0" w:line="240" w:lineRule="auto"/>
        <w:jc w:val="center"/>
        <w:rPr>
          <w:rFonts w:ascii="Times New Roman" w:eastAsia="Calibri" w:hAnsi="Times New Roman" w:cs="Times New Roman"/>
          <w:b/>
          <w:bCs/>
          <w:sz w:val="22"/>
          <w:szCs w:val="22"/>
          <w:lang w:val="sr-Cyrl-CS"/>
        </w:rPr>
      </w:pPr>
    </w:p>
    <w:tbl>
      <w:tblPr>
        <w:tblStyle w:val="TableGrid91"/>
        <w:tblW w:w="0" w:type="auto"/>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Look w:val="04A0" w:firstRow="1" w:lastRow="0" w:firstColumn="1" w:lastColumn="0" w:noHBand="0" w:noVBand="1"/>
      </w:tblPr>
      <w:tblGrid>
        <w:gridCol w:w="2185"/>
        <w:gridCol w:w="854"/>
        <w:gridCol w:w="1616"/>
        <w:gridCol w:w="2898"/>
        <w:gridCol w:w="1656"/>
      </w:tblGrid>
      <w:tr w:rsidR="00D30238" w:rsidRPr="001053DB" w14:paraId="43AEF0E6" w14:textId="77777777" w:rsidTr="00C97A1C">
        <w:trPr>
          <w:cantSplit/>
          <w:trHeight w:val="991"/>
        </w:trPr>
        <w:tc>
          <w:tcPr>
            <w:tcW w:w="2185" w:type="dxa"/>
            <w:shd w:val="clear" w:color="auto" w:fill="365F91"/>
            <w:vAlign w:val="center"/>
            <w:hideMark/>
          </w:tcPr>
          <w:p w14:paraId="247901D0" w14:textId="03055BC6" w:rsidR="00036FD8" w:rsidRPr="00BB29A4" w:rsidRDefault="00BB29A4" w:rsidP="00C97A1C">
            <w:pPr>
              <w:ind w:left="57"/>
              <w:jc w:val="center"/>
              <w:rPr>
                <w:rFonts w:ascii="Times New Roman" w:eastAsia="Times New Roman" w:hAnsi="Times New Roman"/>
                <w:b/>
                <w:bCs/>
                <w:lang w:val="en-US"/>
              </w:rPr>
            </w:pPr>
            <w:r>
              <w:rPr>
                <w:rFonts w:ascii="Times New Roman" w:eastAsia="Times New Roman" w:hAnsi="Times New Roman"/>
                <w:b/>
                <w:bCs/>
                <w:lang w:val="en-US"/>
              </w:rPr>
              <w:t>Key risks</w:t>
            </w:r>
          </w:p>
        </w:tc>
        <w:tc>
          <w:tcPr>
            <w:tcW w:w="854" w:type="dxa"/>
            <w:shd w:val="clear" w:color="auto" w:fill="365F91"/>
            <w:vAlign w:val="center"/>
            <w:hideMark/>
          </w:tcPr>
          <w:p w14:paraId="51475C55" w14:textId="0C9B2189" w:rsidR="00036FD8" w:rsidRPr="00BB29A4" w:rsidRDefault="00BB29A4" w:rsidP="00C97A1C">
            <w:pPr>
              <w:jc w:val="center"/>
              <w:rPr>
                <w:rFonts w:ascii="Times New Roman" w:eastAsia="Times New Roman" w:hAnsi="Times New Roman"/>
                <w:b/>
                <w:bCs/>
                <w:lang w:val="en-US"/>
              </w:rPr>
            </w:pPr>
            <w:r>
              <w:rPr>
                <w:rFonts w:ascii="Times New Roman" w:eastAsia="Times New Roman" w:hAnsi="Times New Roman"/>
                <w:b/>
                <w:bCs/>
                <w:lang w:val="en-US"/>
              </w:rPr>
              <w:t>Risk assessment</w:t>
            </w:r>
          </w:p>
        </w:tc>
        <w:tc>
          <w:tcPr>
            <w:tcW w:w="1616" w:type="dxa"/>
            <w:shd w:val="clear" w:color="auto" w:fill="365F91"/>
            <w:vAlign w:val="center"/>
            <w:hideMark/>
          </w:tcPr>
          <w:p w14:paraId="39AE0591" w14:textId="7577AFD2" w:rsidR="00036FD8" w:rsidRPr="00BB29A4" w:rsidRDefault="00BB29A4" w:rsidP="00C97A1C">
            <w:pPr>
              <w:jc w:val="center"/>
              <w:rPr>
                <w:rFonts w:ascii="Times New Roman" w:eastAsia="Times New Roman" w:hAnsi="Times New Roman"/>
                <w:b/>
                <w:bCs/>
                <w:lang w:val="en-US"/>
              </w:rPr>
            </w:pPr>
            <w:r>
              <w:rPr>
                <w:rFonts w:ascii="Times New Roman" w:eastAsia="Times New Roman" w:hAnsi="Times New Roman"/>
                <w:b/>
                <w:bCs/>
                <w:lang w:val="en-US"/>
              </w:rPr>
              <w:t>Probability estimate</w:t>
            </w:r>
          </w:p>
        </w:tc>
        <w:tc>
          <w:tcPr>
            <w:tcW w:w="2898" w:type="dxa"/>
            <w:shd w:val="clear" w:color="auto" w:fill="365F91"/>
            <w:vAlign w:val="center"/>
            <w:hideMark/>
          </w:tcPr>
          <w:p w14:paraId="64185999" w14:textId="2975FD0C" w:rsidR="00036FD8" w:rsidRPr="00BB29A4" w:rsidRDefault="00BB29A4" w:rsidP="00C97A1C">
            <w:pPr>
              <w:jc w:val="center"/>
              <w:rPr>
                <w:rFonts w:ascii="Times New Roman" w:eastAsia="Times New Roman" w:hAnsi="Times New Roman"/>
                <w:b/>
                <w:bCs/>
                <w:lang w:val="en-US"/>
              </w:rPr>
            </w:pPr>
            <w:r>
              <w:rPr>
                <w:rFonts w:ascii="Times New Roman" w:eastAsia="Times New Roman" w:hAnsi="Times New Roman"/>
                <w:b/>
                <w:bCs/>
                <w:lang w:val="en-US"/>
              </w:rPr>
              <w:t>Risk mitigation measure</w:t>
            </w:r>
          </w:p>
        </w:tc>
        <w:tc>
          <w:tcPr>
            <w:tcW w:w="1656" w:type="dxa"/>
            <w:shd w:val="clear" w:color="auto" w:fill="365F91"/>
            <w:vAlign w:val="center"/>
            <w:hideMark/>
          </w:tcPr>
          <w:p w14:paraId="15323F31" w14:textId="0F4A78E0" w:rsidR="00036FD8" w:rsidRPr="00BB29A4" w:rsidRDefault="00BB29A4" w:rsidP="00C97A1C">
            <w:pPr>
              <w:jc w:val="center"/>
              <w:rPr>
                <w:rFonts w:ascii="Times New Roman" w:eastAsia="Times New Roman" w:hAnsi="Times New Roman"/>
                <w:b/>
                <w:bCs/>
                <w:lang w:val="en-US"/>
              </w:rPr>
            </w:pPr>
            <w:r>
              <w:rPr>
                <w:rFonts w:ascii="Times New Roman" w:eastAsia="Times New Roman" w:hAnsi="Times New Roman"/>
                <w:b/>
                <w:bCs/>
                <w:lang w:val="en-US"/>
              </w:rPr>
              <w:t>Responsible entity for risk</w:t>
            </w:r>
          </w:p>
        </w:tc>
      </w:tr>
      <w:tr w:rsidR="00D30238" w:rsidRPr="001053DB" w14:paraId="1C410254" w14:textId="77777777" w:rsidTr="00C97A1C">
        <w:trPr>
          <w:cantSplit/>
          <w:trHeight w:val="2184"/>
        </w:trPr>
        <w:tc>
          <w:tcPr>
            <w:tcW w:w="2185" w:type="dxa"/>
            <w:vAlign w:val="center"/>
            <w:hideMark/>
          </w:tcPr>
          <w:p w14:paraId="295C86F1" w14:textId="1DB19FFF" w:rsidR="00036FD8" w:rsidRPr="000C4A8C" w:rsidRDefault="000C4A8C" w:rsidP="00C97A1C">
            <w:pPr>
              <w:ind w:left="57"/>
              <w:rPr>
                <w:rFonts w:ascii="Times New Roman" w:eastAsia="Times New Roman" w:hAnsi="Times New Roman"/>
                <w:lang w:val="en-US"/>
              </w:rPr>
            </w:pPr>
            <w:r w:rsidRPr="000C4A8C">
              <w:rPr>
                <w:rFonts w:ascii="Times New Roman" w:eastAsia="Times New Roman" w:hAnsi="Times New Roman"/>
              </w:rPr>
              <w:t>Insufficient political support and continuity of political commitment to the implementation of the Public Financial Management Reform Program</w:t>
            </w:r>
            <w:r>
              <w:rPr>
                <w:rFonts w:ascii="Times New Roman" w:eastAsia="Times New Roman" w:hAnsi="Times New Roman"/>
                <w:lang w:val="en-US"/>
              </w:rPr>
              <w:t>me</w:t>
            </w:r>
          </w:p>
        </w:tc>
        <w:tc>
          <w:tcPr>
            <w:tcW w:w="854" w:type="dxa"/>
            <w:vAlign w:val="center"/>
            <w:hideMark/>
          </w:tcPr>
          <w:p w14:paraId="5DB187CB" w14:textId="574DBE32" w:rsidR="00036FD8" w:rsidRPr="00BB29A4" w:rsidRDefault="00BB29A4" w:rsidP="00C97A1C">
            <w:pPr>
              <w:jc w:val="center"/>
              <w:rPr>
                <w:rFonts w:ascii="Times New Roman" w:eastAsia="Times New Roman" w:hAnsi="Times New Roman"/>
                <w:lang w:val="en-US"/>
              </w:rPr>
            </w:pPr>
            <w:r>
              <w:rPr>
                <w:rFonts w:ascii="Times New Roman" w:eastAsia="Times New Roman" w:hAnsi="Times New Roman"/>
                <w:lang w:val="en-US"/>
              </w:rPr>
              <w:t>High</w:t>
            </w:r>
          </w:p>
        </w:tc>
        <w:tc>
          <w:tcPr>
            <w:tcW w:w="1616" w:type="dxa"/>
            <w:vAlign w:val="center"/>
            <w:hideMark/>
          </w:tcPr>
          <w:p w14:paraId="7EB35215" w14:textId="504F9E04" w:rsidR="00036FD8" w:rsidRPr="00BB29A4" w:rsidRDefault="00BB29A4" w:rsidP="00C97A1C">
            <w:pPr>
              <w:jc w:val="center"/>
              <w:rPr>
                <w:rFonts w:ascii="Times New Roman" w:eastAsia="Times New Roman" w:hAnsi="Times New Roman"/>
                <w:lang w:val="en-US"/>
              </w:rPr>
            </w:pPr>
            <w:r>
              <w:rPr>
                <w:rFonts w:ascii="Times New Roman" w:eastAsia="Times New Roman" w:hAnsi="Times New Roman"/>
                <w:lang w:val="en-US"/>
              </w:rPr>
              <w:t>Low</w:t>
            </w:r>
          </w:p>
        </w:tc>
        <w:tc>
          <w:tcPr>
            <w:tcW w:w="2898" w:type="dxa"/>
            <w:vAlign w:val="center"/>
            <w:hideMark/>
          </w:tcPr>
          <w:p w14:paraId="4060D994" w14:textId="719750A0" w:rsidR="00036FD8" w:rsidRPr="001053DB" w:rsidRDefault="000C4A8C">
            <w:pPr>
              <w:ind w:left="57"/>
              <w:rPr>
                <w:rFonts w:ascii="Times New Roman" w:eastAsia="Times New Roman" w:hAnsi="Times New Roman"/>
                <w:lang w:val="sr-Cyrl-CS"/>
              </w:rPr>
            </w:pPr>
            <w:r w:rsidRPr="000C4A8C">
              <w:rPr>
                <w:rFonts w:ascii="Times New Roman" w:eastAsia="Times New Roman" w:hAnsi="Times New Roman"/>
              </w:rPr>
              <w:t>Adoption of the PFMRP by the Government and regular consideration and adoption of annual implementation reports at the Government level.</w:t>
            </w:r>
          </w:p>
        </w:tc>
        <w:tc>
          <w:tcPr>
            <w:tcW w:w="1656" w:type="dxa"/>
            <w:vAlign w:val="center"/>
            <w:hideMark/>
          </w:tcPr>
          <w:p w14:paraId="5E87D69C" w14:textId="22F289C2" w:rsidR="00036FD8" w:rsidRPr="00BB29A4" w:rsidRDefault="00BB29A4" w:rsidP="00C97A1C">
            <w:pPr>
              <w:jc w:val="center"/>
              <w:rPr>
                <w:rFonts w:ascii="Times New Roman" w:eastAsia="Times New Roman" w:hAnsi="Times New Roman"/>
                <w:lang w:val="en-US"/>
              </w:rPr>
            </w:pPr>
            <w:r>
              <w:rPr>
                <w:rFonts w:ascii="Times New Roman" w:eastAsia="Times New Roman" w:hAnsi="Times New Roman"/>
                <w:lang w:val="en-US"/>
              </w:rPr>
              <w:t>Ministry of Finance</w:t>
            </w:r>
          </w:p>
        </w:tc>
      </w:tr>
      <w:tr w:rsidR="00D30238" w:rsidRPr="001053DB" w14:paraId="33C31146" w14:textId="77777777" w:rsidTr="00C97A1C">
        <w:trPr>
          <w:cantSplit/>
          <w:trHeight w:val="2132"/>
        </w:trPr>
        <w:tc>
          <w:tcPr>
            <w:tcW w:w="2185" w:type="dxa"/>
            <w:vAlign w:val="center"/>
            <w:hideMark/>
          </w:tcPr>
          <w:p w14:paraId="05031A53" w14:textId="38E3EBA7" w:rsidR="00036FD8" w:rsidRPr="001053DB" w:rsidRDefault="000C4A8C" w:rsidP="00C97A1C">
            <w:pPr>
              <w:ind w:left="57"/>
              <w:rPr>
                <w:rFonts w:ascii="Times New Roman" w:eastAsia="Times New Roman" w:hAnsi="Times New Roman"/>
                <w:lang w:val="sr-Cyrl-CS"/>
              </w:rPr>
            </w:pPr>
            <w:r w:rsidRPr="000C4A8C">
              <w:rPr>
                <w:rFonts w:ascii="Times New Roman" w:eastAsia="Times New Roman" w:hAnsi="Times New Roman"/>
              </w:rPr>
              <w:t>Insufficient or uneven involvement of relevant institutions and stakeholders in the implementation of the PFMRP</w:t>
            </w:r>
          </w:p>
        </w:tc>
        <w:tc>
          <w:tcPr>
            <w:tcW w:w="854" w:type="dxa"/>
            <w:vAlign w:val="center"/>
            <w:hideMark/>
          </w:tcPr>
          <w:p w14:paraId="63159268" w14:textId="37B4356E" w:rsidR="00036FD8" w:rsidRPr="00BB29A4" w:rsidRDefault="00BB29A4" w:rsidP="00C97A1C">
            <w:pPr>
              <w:jc w:val="center"/>
              <w:rPr>
                <w:rFonts w:ascii="Times New Roman" w:eastAsia="Times New Roman" w:hAnsi="Times New Roman"/>
                <w:lang w:val="en-US"/>
              </w:rPr>
            </w:pPr>
            <w:r>
              <w:rPr>
                <w:rFonts w:ascii="Times New Roman" w:eastAsia="Times New Roman" w:hAnsi="Times New Roman"/>
                <w:lang w:val="en-US"/>
              </w:rPr>
              <w:t>High</w:t>
            </w:r>
          </w:p>
        </w:tc>
        <w:tc>
          <w:tcPr>
            <w:tcW w:w="1616" w:type="dxa"/>
            <w:vAlign w:val="center"/>
            <w:hideMark/>
          </w:tcPr>
          <w:p w14:paraId="4D9E78B8" w14:textId="570E8530" w:rsidR="00036FD8" w:rsidRPr="00BB29A4" w:rsidRDefault="00BB29A4" w:rsidP="00C97A1C">
            <w:pPr>
              <w:jc w:val="center"/>
              <w:rPr>
                <w:rFonts w:ascii="Times New Roman" w:eastAsia="Times New Roman" w:hAnsi="Times New Roman"/>
                <w:lang w:val="en-US"/>
              </w:rPr>
            </w:pPr>
            <w:r>
              <w:rPr>
                <w:rFonts w:ascii="Times New Roman" w:eastAsia="Times New Roman" w:hAnsi="Times New Roman"/>
                <w:lang w:val="en-US"/>
              </w:rPr>
              <w:t>Low</w:t>
            </w:r>
          </w:p>
        </w:tc>
        <w:tc>
          <w:tcPr>
            <w:tcW w:w="2898" w:type="dxa"/>
            <w:vAlign w:val="center"/>
            <w:hideMark/>
          </w:tcPr>
          <w:p w14:paraId="538A1BFC" w14:textId="0669D02B" w:rsidR="00036FD8" w:rsidRPr="001053DB" w:rsidRDefault="000C4A8C" w:rsidP="00C97A1C">
            <w:pPr>
              <w:ind w:left="57"/>
              <w:rPr>
                <w:rFonts w:ascii="Times New Roman" w:eastAsia="Times New Roman" w:hAnsi="Times New Roman"/>
                <w:lang w:val="sr-Cyrl-CS"/>
              </w:rPr>
            </w:pPr>
            <w:r w:rsidRPr="000C4A8C">
              <w:rPr>
                <w:rFonts w:ascii="Times New Roman" w:eastAsia="Times New Roman" w:hAnsi="Times New Roman"/>
              </w:rPr>
              <w:t>Establishment and active functioning of the PFMRP Implementation Working Group, inclusion of all relevant institutions in the monitoring and reporting process, and ensuring transparent reporting on achieved results.</w:t>
            </w:r>
          </w:p>
        </w:tc>
        <w:tc>
          <w:tcPr>
            <w:tcW w:w="1656" w:type="dxa"/>
            <w:vAlign w:val="center"/>
            <w:hideMark/>
          </w:tcPr>
          <w:p w14:paraId="74607706" w14:textId="57260311" w:rsidR="00036FD8" w:rsidRPr="00BB29A4" w:rsidRDefault="00BB29A4" w:rsidP="00C97A1C">
            <w:pPr>
              <w:jc w:val="center"/>
              <w:rPr>
                <w:rFonts w:ascii="Times New Roman" w:eastAsia="Times New Roman" w:hAnsi="Times New Roman"/>
                <w:lang w:val="en-US"/>
              </w:rPr>
            </w:pPr>
            <w:r>
              <w:rPr>
                <w:rFonts w:ascii="Times New Roman" w:eastAsia="Times New Roman" w:hAnsi="Times New Roman"/>
                <w:lang w:val="en-US"/>
              </w:rPr>
              <w:t>All relevant institutions</w:t>
            </w:r>
          </w:p>
        </w:tc>
      </w:tr>
      <w:tr w:rsidR="00D30238" w:rsidRPr="001053DB" w14:paraId="567D899B" w14:textId="77777777" w:rsidTr="00C97A1C">
        <w:trPr>
          <w:cantSplit/>
          <w:trHeight w:val="1701"/>
        </w:trPr>
        <w:tc>
          <w:tcPr>
            <w:tcW w:w="2185" w:type="dxa"/>
            <w:vAlign w:val="center"/>
            <w:hideMark/>
          </w:tcPr>
          <w:p w14:paraId="5D7A7A14" w14:textId="3282D0B2" w:rsidR="00036FD8" w:rsidRPr="001053DB" w:rsidRDefault="000C4A8C" w:rsidP="00C97A1C">
            <w:pPr>
              <w:ind w:left="57"/>
              <w:rPr>
                <w:rFonts w:ascii="Times New Roman" w:eastAsia="Times New Roman" w:hAnsi="Times New Roman"/>
                <w:lang w:val="sr-Cyrl-CS"/>
              </w:rPr>
            </w:pPr>
            <w:r w:rsidRPr="000C4A8C">
              <w:rPr>
                <w:rFonts w:ascii="Times New Roman" w:eastAsia="Times New Roman" w:hAnsi="Times New Roman"/>
              </w:rPr>
              <w:t>Insufficient human capacities and limited professional competencies for effective implementation of PFMRP measures</w:t>
            </w:r>
          </w:p>
        </w:tc>
        <w:tc>
          <w:tcPr>
            <w:tcW w:w="854" w:type="dxa"/>
            <w:vAlign w:val="center"/>
            <w:hideMark/>
          </w:tcPr>
          <w:p w14:paraId="3EAA2E54" w14:textId="50F44E06" w:rsidR="00036FD8" w:rsidRPr="00BB29A4" w:rsidRDefault="00BB29A4" w:rsidP="00C97A1C">
            <w:pPr>
              <w:jc w:val="center"/>
              <w:rPr>
                <w:rFonts w:ascii="Times New Roman" w:eastAsia="Times New Roman" w:hAnsi="Times New Roman"/>
                <w:lang w:val="en-US"/>
              </w:rPr>
            </w:pPr>
            <w:r>
              <w:rPr>
                <w:rFonts w:ascii="Times New Roman" w:eastAsia="Times New Roman" w:hAnsi="Times New Roman"/>
                <w:lang w:val="en-US"/>
              </w:rPr>
              <w:t>High</w:t>
            </w:r>
          </w:p>
        </w:tc>
        <w:tc>
          <w:tcPr>
            <w:tcW w:w="1616" w:type="dxa"/>
            <w:vAlign w:val="center"/>
            <w:hideMark/>
          </w:tcPr>
          <w:p w14:paraId="21C016EC" w14:textId="4701E585" w:rsidR="00036FD8" w:rsidRPr="00BB29A4" w:rsidRDefault="00BB29A4" w:rsidP="00C97A1C">
            <w:pPr>
              <w:jc w:val="center"/>
              <w:rPr>
                <w:rFonts w:ascii="Times New Roman" w:eastAsia="Times New Roman" w:hAnsi="Times New Roman"/>
                <w:lang w:val="en-US"/>
              </w:rPr>
            </w:pPr>
            <w:r>
              <w:rPr>
                <w:rFonts w:ascii="Times New Roman" w:eastAsia="Times New Roman" w:hAnsi="Times New Roman"/>
                <w:lang w:val="en-US"/>
              </w:rPr>
              <w:t>Medium</w:t>
            </w:r>
          </w:p>
        </w:tc>
        <w:tc>
          <w:tcPr>
            <w:tcW w:w="2898" w:type="dxa"/>
            <w:vAlign w:val="center"/>
            <w:hideMark/>
          </w:tcPr>
          <w:p w14:paraId="613C1D5F" w14:textId="7012EFB6" w:rsidR="00036FD8" w:rsidRPr="001053DB" w:rsidRDefault="000C4A8C" w:rsidP="00C97A1C">
            <w:pPr>
              <w:ind w:left="57"/>
              <w:rPr>
                <w:rFonts w:ascii="Times New Roman" w:eastAsia="Times New Roman" w:hAnsi="Times New Roman"/>
                <w:lang w:val="sr-Cyrl-CS"/>
              </w:rPr>
            </w:pPr>
            <w:r w:rsidRPr="000C4A8C">
              <w:rPr>
                <w:rFonts w:ascii="Times New Roman" w:eastAsia="Times New Roman" w:hAnsi="Times New Roman"/>
              </w:rPr>
              <w:t>Filling job positions in line with existing systematization acts, strengthening staff capacities through training and targeted technical assistance.</w:t>
            </w:r>
          </w:p>
        </w:tc>
        <w:tc>
          <w:tcPr>
            <w:tcW w:w="1656" w:type="dxa"/>
            <w:vAlign w:val="center"/>
            <w:hideMark/>
          </w:tcPr>
          <w:p w14:paraId="5A3FA3D8" w14:textId="7C74CA3F" w:rsidR="00036FD8" w:rsidRPr="00BB29A4" w:rsidRDefault="00BB29A4" w:rsidP="00C97A1C">
            <w:pPr>
              <w:jc w:val="center"/>
              <w:rPr>
                <w:rFonts w:ascii="Times New Roman" w:eastAsia="Times New Roman" w:hAnsi="Times New Roman"/>
                <w:lang w:val="en-US"/>
              </w:rPr>
            </w:pPr>
            <w:r>
              <w:rPr>
                <w:rFonts w:ascii="Times New Roman" w:eastAsia="Times New Roman" w:hAnsi="Times New Roman"/>
                <w:lang w:val="en-US"/>
              </w:rPr>
              <w:t>All relevant institutions</w:t>
            </w:r>
          </w:p>
        </w:tc>
      </w:tr>
      <w:tr w:rsidR="00D30238" w:rsidRPr="001053DB" w14:paraId="12074CEB" w14:textId="77777777" w:rsidTr="00C97A1C">
        <w:trPr>
          <w:cantSplit/>
          <w:trHeight w:val="1555"/>
        </w:trPr>
        <w:tc>
          <w:tcPr>
            <w:tcW w:w="2185" w:type="dxa"/>
            <w:vAlign w:val="center"/>
            <w:hideMark/>
          </w:tcPr>
          <w:p w14:paraId="2914EDFB" w14:textId="7C097B6E" w:rsidR="00036FD8" w:rsidRPr="001053DB" w:rsidRDefault="000C4A8C" w:rsidP="00C97A1C">
            <w:pPr>
              <w:ind w:left="57"/>
              <w:rPr>
                <w:rFonts w:ascii="Times New Roman" w:eastAsia="Times New Roman" w:hAnsi="Times New Roman"/>
                <w:lang w:val="sr-Cyrl-CS"/>
              </w:rPr>
            </w:pPr>
            <w:r w:rsidRPr="000C4A8C">
              <w:rPr>
                <w:rFonts w:ascii="Times New Roman" w:eastAsia="Times New Roman" w:hAnsi="Times New Roman"/>
              </w:rPr>
              <w:t>Insufficient financial resources for the implementation of planned PFMRP measures</w:t>
            </w:r>
          </w:p>
        </w:tc>
        <w:tc>
          <w:tcPr>
            <w:tcW w:w="854" w:type="dxa"/>
            <w:vAlign w:val="center"/>
            <w:hideMark/>
          </w:tcPr>
          <w:p w14:paraId="22FA7487" w14:textId="729440C2" w:rsidR="00036FD8" w:rsidRPr="00BB29A4" w:rsidRDefault="00BB29A4" w:rsidP="00C97A1C">
            <w:pPr>
              <w:jc w:val="center"/>
              <w:rPr>
                <w:rFonts w:ascii="Times New Roman" w:eastAsia="Times New Roman" w:hAnsi="Times New Roman"/>
                <w:lang w:val="en-US"/>
              </w:rPr>
            </w:pPr>
            <w:r>
              <w:rPr>
                <w:rFonts w:ascii="Times New Roman" w:eastAsia="Times New Roman" w:hAnsi="Times New Roman"/>
                <w:lang w:val="en-US"/>
              </w:rPr>
              <w:t xml:space="preserve">High </w:t>
            </w:r>
          </w:p>
        </w:tc>
        <w:tc>
          <w:tcPr>
            <w:tcW w:w="1616" w:type="dxa"/>
            <w:vAlign w:val="center"/>
            <w:hideMark/>
          </w:tcPr>
          <w:p w14:paraId="7D551750" w14:textId="50034E9C" w:rsidR="00036FD8" w:rsidRPr="00BB29A4" w:rsidRDefault="00BB29A4" w:rsidP="00C97A1C">
            <w:pPr>
              <w:jc w:val="center"/>
              <w:rPr>
                <w:rFonts w:ascii="Times New Roman" w:eastAsia="Times New Roman" w:hAnsi="Times New Roman"/>
                <w:lang w:val="en-US"/>
              </w:rPr>
            </w:pPr>
            <w:r>
              <w:rPr>
                <w:rFonts w:ascii="Times New Roman" w:eastAsia="Times New Roman" w:hAnsi="Times New Roman"/>
                <w:lang w:val="en-US"/>
              </w:rPr>
              <w:t>Medium</w:t>
            </w:r>
          </w:p>
        </w:tc>
        <w:tc>
          <w:tcPr>
            <w:tcW w:w="2898" w:type="dxa"/>
            <w:vAlign w:val="center"/>
            <w:hideMark/>
          </w:tcPr>
          <w:p w14:paraId="446C41B6" w14:textId="49193B5E" w:rsidR="00036FD8" w:rsidRPr="001053DB" w:rsidRDefault="000C4A8C" w:rsidP="00C97A1C">
            <w:pPr>
              <w:ind w:left="57"/>
              <w:rPr>
                <w:rFonts w:ascii="Times New Roman" w:eastAsia="Times New Roman" w:hAnsi="Times New Roman"/>
                <w:lang w:val="sr-Cyrl-CS"/>
              </w:rPr>
            </w:pPr>
            <w:r w:rsidRPr="000C4A8C">
              <w:rPr>
                <w:rFonts w:ascii="Times New Roman" w:eastAsia="Times New Roman" w:hAnsi="Times New Roman"/>
              </w:rPr>
              <w:t>Timely planning of necessary budget appropriations and active planning and use of bilateral and donor support.</w:t>
            </w:r>
          </w:p>
        </w:tc>
        <w:tc>
          <w:tcPr>
            <w:tcW w:w="1656" w:type="dxa"/>
            <w:vAlign w:val="center"/>
            <w:hideMark/>
          </w:tcPr>
          <w:p w14:paraId="0821C175" w14:textId="6616478C" w:rsidR="00036FD8" w:rsidRPr="00BB29A4" w:rsidRDefault="00BB29A4" w:rsidP="00C97A1C">
            <w:pPr>
              <w:jc w:val="center"/>
              <w:rPr>
                <w:rFonts w:ascii="Times New Roman" w:eastAsia="Times New Roman" w:hAnsi="Times New Roman"/>
                <w:lang w:val="en-US"/>
              </w:rPr>
            </w:pPr>
            <w:r>
              <w:rPr>
                <w:rFonts w:ascii="Times New Roman" w:eastAsia="Times New Roman" w:hAnsi="Times New Roman"/>
                <w:lang w:val="en-US"/>
              </w:rPr>
              <w:t>All relevant institutions</w:t>
            </w:r>
          </w:p>
        </w:tc>
      </w:tr>
      <w:tr w:rsidR="00036FD8" w:rsidRPr="001053DB" w14:paraId="3D368FA2" w14:textId="77777777" w:rsidTr="00C97A1C">
        <w:trPr>
          <w:cantSplit/>
          <w:trHeight w:val="2399"/>
        </w:trPr>
        <w:tc>
          <w:tcPr>
            <w:tcW w:w="2185" w:type="dxa"/>
            <w:vAlign w:val="center"/>
            <w:hideMark/>
          </w:tcPr>
          <w:p w14:paraId="3D1E9BAD" w14:textId="7F05D478" w:rsidR="00036FD8" w:rsidRPr="001053DB" w:rsidRDefault="000C4A8C" w:rsidP="00C97A1C">
            <w:pPr>
              <w:ind w:left="57"/>
              <w:rPr>
                <w:rFonts w:ascii="Times New Roman" w:eastAsia="Times New Roman" w:hAnsi="Times New Roman"/>
                <w:lang w:val="sr-Cyrl-CS"/>
              </w:rPr>
            </w:pPr>
            <w:r w:rsidRPr="000C4A8C">
              <w:rPr>
                <w:rFonts w:ascii="Times New Roman" w:eastAsia="Times New Roman" w:hAnsi="Times New Roman"/>
              </w:rPr>
              <w:t>Uncoordinated, insufficiently developed and mutually incompatible information systems that may hinder PFMRP implementation</w:t>
            </w:r>
          </w:p>
        </w:tc>
        <w:tc>
          <w:tcPr>
            <w:tcW w:w="854" w:type="dxa"/>
            <w:vAlign w:val="center"/>
            <w:hideMark/>
          </w:tcPr>
          <w:p w14:paraId="5A47208D" w14:textId="5671BCB9" w:rsidR="00036FD8" w:rsidRPr="00BB29A4" w:rsidRDefault="00BB29A4" w:rsidP="00C97A1C">
            <w:pPr>
              <w:jc w:val="center"/>
              <w:rPr>
                <w:rFonts w:ascii="Times New Roman" w:eastAsia="Times New Roman" w:hAnsi="Times New Roman"/>
                <w:lang w:val="en-US"/>
              </w:rPr>
            </w:pPr>
            <w:r>
              <w:rPr>
                <w:rFonts w:ascii="Times New Roman" w:eastAsia="Times New Roman" w:hAnsi="Times New Roman"/>
                <w:lang w:val="en-US"/>
              </w:rPr>
              <w:t>Medium</w:t>
            </w:r>
          </w:p>
        </w:tc>
        <w:tc>
          <w:tcPr>
            <w:tcW w:w="1616" w:type="dxa"/>
            <w:vAlign w:val="center"/>
            <w:hideMark/>
          </w:tcPr>
          <w:p w14:paraId="75B89FDB" w14:textId="7FBED821" w:rsidR="00036FD8" w:rsidRPr="00BB29A4" w:rsidRDefault="00BB29A4" w:rsidP="00C97A1C">
            <w:pPr>
              <w:jc w:val="center"/>
              <w:rPr>
                <w:rFonts w:ascii="Times New Roman" w:eastAsia="Times New Roman" w:hAnsi="Times New Roman"/>
                <w:lang w:val="en-US"/>
              </w:rPr>
            </w:pPr>
            <w:r>
              <w:rPr>
                <w:rFonts w:ascii="Times New Roman" w:eastAsia="Times New Roman" w:hAnsi="Times New Roman"/>
                <w:lang w:val="en-US"/>
              </w:rPr>
              <w:t>Medium</w:t>
            </w:r>
          </w:p>
        </w:tc>
        <w:tc>
          <w:tcPr>
            <w:tcW w:w="2898" w:type="dxa"/>
            <w:vAlign w:val="center"/>
            <w:hideMark/>
          </w:tcPr>
          <w:p w14:paraId="46D97E35" w14:textId="057C229B" w:rsidR="00036FD8" w:rsidRPr="001053DB" w:rsidRDefault="000C4A8C" w:rsidP="00C97A1C">
            <w:pPr>
              <w:ind w:left="57"/>
              <w:rPr>
                <w:rFonts w:ascii="Times New Roman" w:eastAsia="Times New Roman" w:hAnsi="Times New Roman"/>
                <w:lang w:val="sr-Cyrl-CS"/>
              </w:rPr>
            </w:pPr>
            <w:r w:rsidRPr="000C4A8C">
              <w:rPr>
                <w:rFonts w:ascii="Times New Roman" w:eastAsia="Times New Roman" w:hAnsi="Times New Roman"/>
              </w:rPr>
              <w:t>Further investments in IT infrastructure, improved coordination between institutions, and more intensive cooperation with the Office for IT and eGovernment.</w:t>
            </w:r>
          </w:p>
        </w:tc>
        <w:tc>
          <w:tcPr>
            <w:tcW w:w="1656" w:type="dxa"/>
            <w:vAlign w:val="center"/>
            <w:hideMark/>
          </w:tcPr>
          <w:p w14:paraId="20CB9597" w14:textId="38D45449" w:rsidR="00036FD8" w:rsidRPr="00BB29A4" w:rsidRDefault="00BB29A4" w:rsidP="00C97A1C">
            <w:pPr>
              <w:jc w:val="center"/>
              <w:rPr>
                <w:rFonts w:ascii="Times New Roman" w:eastAsia="Times New Roman" w:hAnsi="Times New Roman"/>
                <w:lang w:val="en-US"/>
              </w:rPr>
            </w:pPr>
            <w:r>
              <w:rPr>
                <w:rFonts w:ascii="Times New Roman" w:eastAsia="Times New Roman" w:hAnsi="Times New Roman"/>
                <w:lang w:val="en-US"/>
              </w:rPr>
              <w:t>All relevant institutions</w:t>
            </w:r>
          </w:p>
        </w:tc>
      </w:tr>
    </w:tbl>
    <w:p w14:paraId="71310228" w14:textId="77777777" w:rsidR="00036FD8" w:rsidRPr="001053DB" w:rsidRDefault="00036FD8" w:rsidP="00CF47F7">
      <w:pPr>
        <w:spacing w:after="0" w:line="240" w:lineRule="auto"/>
        <w:jc w:val="center"/>
        <w:rPr>
          <w:rFonts w:ascii="Times New Roman" w:eastAsia="Calibri" w:hAnsi="Times New Roman" w:cs="Times New Roman"/>
          <w:b/>
          <w:bCs/>
          <w:sz w:val="22"/>
          <w:szCs w:val="22"/>
          <w:lang w:val="sr-Cyrl-CS"/>
        </w:rPr>
      </w:pPr>
    </w:p>
    <w:p w14:paraId="002C9D3D" w14:textId="4ED22242" w:rsidR="00D70909" w:rsidRPr="001053DB" w:rsidRDefault="000C4A8C" w:rsidP="00D70909">
      <w:pPr>
        <w:spacing w:after="0" w:line="240" w:lineRule="auto"/>
        <w:jc w:val="center"/>
        <w:rPr>
          <w:rFonts w:ascii="Times New Roman" w:eastAsia="Calibri" w:hAnsi="Times New Roman" w:cs="Times New Roman"/>
          <w:lang w:val="sr-Cyrl-CS"/>
        </w:rPr>
      </w:pPr>
      <w:r>
        <w:rPr>
          <w:rFonts w:ascii="Times New Roman" w:eastAsia="Calibri" w:hAnsi="Times New Roman" w:cs="Times New Roman"/>
          <w:lang w:val="en-US"/>
        </w:rPr>
        <w:t>Table</w:t>
      </w:r>
      <w:r w:rsidR="00D70909" w:rsidRPr="001053DB">
        <w:rPr>
          <w:rFonts w:ascii="Times New Roman" w:eastAsia="Calibri" w:hAnsi="Times New Roman" w:cs="Times New Roman"/>
          <w:lang w:val="sr-Cyrl-CS"/>
        </w:rPr>
        <w:t xml:space="preserve"> </w:t>
      </w:r>
      <w:r w:rsidR="00C7481B" w:rsidRPr="001053DB">
        <w:rPr>
          <w:rFonts w:ascii="Times New Roman" w:eastAsia="Calibri" w:hAnsi="Times New Roman" w:cs="Times New Roman"/>
          <w:lang w:val="sr-Cyrl-CS"/>
        </w:rPr>
        <w:t>6</w:t>
      </w:r>
      <w:r w:rsidR="00D70909" w:rsidRPr="001053DB">
        <w:rPr>
          <w:rFonts w:ascii="Times New Roman" w:eastAsia="Calibri" w:hAnsi="Times New Roman" w:cs="Times New Roman"/>
          <w:lang w:val="sr-Cyrl-CS"/>
        </w:rPr>
        <w:t xml:space="preserve"> </w:t>
      </w:r>
      <w:r>
        <w:rPr>
          <w:rFonts w:ascii="Times New Roman" w:eastAsia="Calibri" w:hAnsi="Times New Roman" w:cs="Times New Roman"/>
          <w:lang w:val="sr-Cyrl-CS"/>
        </w:rPr>
        <w:t>–</w:t>
      </w:r>
      <w:r w:rsidR="00D70909" w:rsidRPr="001053DB">
        <w:rPr>
          <w:rFonts w:ascii="Times New Roman" w:eastAsia="Calibri" w:hAnsi="Times New Roman" w:cs="Times New Roman"/>
          <w:lang w:val="sr-Cyrl-CS"/>
        </w:rPr>
        <w:t xml:space="preserve"> </w:t>
      </w:r>
      <w:r>
        <w:rPr>
          <w:rFonts w:ascii="Times New Roman" w:eastAsia="Calibri" w:hAnsi="Times New Roman" w:cs="Times New Roman"/>
          <w:lang w:val="en-US"/>
        </w:rPr>
        <w:t>Risk analyses for the implementation of PFMRP</w:t>
      </w:r>
      <w:r w:rsidR="00D70909" w:rsidRPr="001053DB">
        <w:rPr>
          <w:rFonts w:ascii="Times New Roman" w:eastAsia="Calibri" w:hAnsi="Times New Roman" w:cs="Times New Roman"/>
          <w:lang w:val="sr-Cyrl-CS"/>
        </w:rPr>
        <w:t xml:space="preserve"> 2026-2030</w:t>
      </w:r>
    </w:p>
    <w:p w14:paraId="4A98E56E" w14:textId="77777777" w:rsidR="00036FD8" w:rsidRPr="001053DB" w:rsidRDefault="00036FD8" w:rsidP="00CF47F7">
      <w:pPr>
        <w:spacing w:after="0" w:line="240" w:lineRule="auto"/>
        <w:jc w:val="center"/>
        <w:rPr>
          <w:rFonts w:ascii="Times New Roman" w:eastAsia="Calibri" w:hAnsi="Times New Roman" w:cs="Times New Roman"/>
          <w:b/>
          <w:bCs/>
          <w:sz w:val="22"/>
          <w:szCs w:val="22"/>
          <w:lang w:val="sr-Cyrl-CS"/>
        </w:rPr>
      </w:pPr>
    </w:p>
    <w:p w14:paraId="1FECCB3F" w14:textId="5C4BC0F6" w:rsidR="006A6D6D" w:rsidRDefault="000C4A8C" w:rsidP="0050537D">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bookmarkStart w:id="18" w:name="_Toc211860032"/>
      <w:r>
        <w:rPr>
          <w:rFonts w:ascii="Times New Roman" w:hAnsi="Times New Roman" w:cs="Times New Roman"/>
          <w:color w:val="auto"/>
          <w:sz w:val="24"/>
          <w:szCs w:val="24"/>
          <w:lang w:val="en-US"/>
        </w:rPr>
        <w:lastRenderedPageBreak/>
        <w:t>implementation mechanism of the public financial management reform programme</w:t>
      </w:r>
      <w:r w:rsidR="006A6D6D" w:rsidRPr="001053DB">
        <w:rPr>
          <w:rFonts w:ascii="Times New Roman" w:hAnsi="Times New Roman" w:cs="Times New Roman"/>
          <w:color w:val="auto"/>
          <w:sz w:val="24"/>
          <w:szCs w:val="24"/>
          <w:lang w:val="sr-Cyrl-CS"/>
        </w:rPr>
        <w:t xml:space="preserve"> 202</w:t>
      </w:r>
      <w:r w:rsidR="00D25165" w:rsidRPr="001053DB">
        <w:rPr>
          <w:rFonts w:ascii="Times New Roman" w:hAnsi="Times New Roman" w:cs="Times New Roman"/>
          <w:color w:val="auto"/>
          <w:sz w:val="24"/>
          <w:szCs w:val="24"/>
          <w:lang w:val="sr-Cyrl-CS"/>
        </w:rPr>
        <w:t>6</w:t>
      </w:r>
      <w:r w:rsidR="006A6D6D" w:rsidRPr="001053DB">
        <w:rPr>
          <w:rFonts w:ascii="Times New Roman" w:hAnsi="Times New Roman" w:cs="Times New Roman"/>
          <w:color w:val="auto"/>
          <w:sz w:val="24"/>
          <w:szCs w:val="24"/>
          <w:lang w:val="sr-Cyrl-CS"/>
        </w:rPr>
        <w:t>-20</w:t>
      </w:r>
      <w:r w:rsidR="00D25165" w:rsidRPr="001053DB">
        <w:rPr>
          <w:rFonts w:ascii="Times New Roman" w:hAnsi="Times New Roman" w:cs="Times New Roman"/>
          <w:color w:val="auto"/>
          <w:sz w:val="24"/>
          <w:szCs w:val="24"/>
          <w:lang w:val="sr-Cyrl-CS"/>
        </w:rPr>
        <w:t>30</w:t>
      </w:r>
      <w:bookmarkEnd w:id="18"/>
      <w:r w:rsidR="00713D3C" w:rsidRPr="001053DB">
        <w:rPr>
          <w:rFonts w:ascii="Times New Roman" w:hAnsi="Times New Roman" w:cs="Times New Roman"/>
          <w:color w:val="auto"/>
          <w:sz w:val="24"/>
          <w:szCs w:val="24"/>
          <w:lang w:val="sr-Cyrl-CS"/>
        </w:rPr>
        <w:t>.</w:t>
      </w:r>
    </w:p>
    <w:p w14:paraId="762D2510" w14:textId="77777777" w:rsidR="000C4A8C" w:rsidRPr="000C4A8C" w:rsidRDefault="000C4A8C" w:rsidP="000C4A8C">
      <w:pPr>
        <w:rPr>
          <w:lang w:val="en-US"/>
        </w:rPr>
      </w:pPr>
    </w:p>
    <w:p w14:paraId="36D45733" w14:textId="5BD45A35" w:rsidR="0042353D" w:rsidRPr="0042353D" w:rsidRDefault="0042353D" w:rsidP="0042353D">
      <w:pPr>
        <w:ind w:firstLine="708"/>
        <w:jc w:val="both"/>
        <w:rPr>
          <w:rFonts w:ascii="Times New Roman" w:hAnsi="Times New Roman" w:cs="Times New Roman"/>
          <w:sz w:val="24"/>
          <w:szCs w:val="24"/>
          <w:lang w:val="en-US"/>
        </w:rPr>
      </w:pPr>
      <w:bookmarkStart w:id="19" w:name="_Toc62403531"/>
      <w:bookmarkStart w:id="20" w:name="_Toc62404250"/>
      <w:bookmarkStart w:id="21" w:name="_Toc62408749"/>
      <w:bookmarkStart w:id="22" w:name="_Toc64555376"/>
      <w:bookmarkStart w:id="23" w:name="_Toc73613632"/>
      <w:r w:rsidRPr="0042353D">
        <w:rPr>
          <w:rFonts w:ascii="Times New Roman" w:hAnsi="Times New Roman" w:cs="Times New Roman"/>
          <w:sz w:val="24"/>
          <w:szCs w:val="24"/>
          <w:lang w:val="en-US"/>
        </w:rPr>
        <w:t>The Working Group for the preparation, monitoring, and reporting on the implementation of the Public Financial Management Reform Program</w:t>
      </w:r>
      <w:r>
        <w:rPr>
          <w:rFonts w:ascii="Times New Roman" w:hAnsi="Times New Roman" w:cs="Times New Roman"/>
          <w:sz w:val="24"/>
          <w:szCs w:val="24"/>
          <w:lang w:val="en-US"/>
        </w:rPr>
        <w:t>me</w:t>
      </w:r>
      <w:r w:rsidRPr="0042353D">
        <w:rPr>
          <w:rFonts w:ascii="Times New Roman" w:hAnsi="Times New Roman" w:cs="Times New Roman"/>
          <w:sz w:val="24"/>
          <w:szCs w:val="24"/>
          <w:lang w:val="en-US"/>
        </w:rPr>
        <w:t xml:space="preserve"> 2026–2030 (PFMRP Working Group) was established by a decision of the Minister of Finance, thereby continuing institutional continuity since 2015, while updating its membership and assigning a new mandate. The Working Group is chaired by the Minister responsible for finance, with the State Secretary serving as deputy chair.</w:t>
      </w:r>
    </w:p>
    <w:p w14:paraId="0B221F4A" w14:textId="2616FDA7" w:rsidR="0042353D" w:rsidRPr="0042353D" w:rsidRDefault="0042353D" w:rsidP="0042353D">
      <w:pPr>
        <w:ind w:firstLine="708"/>
        <w:jc w:val="both"/>
        <w:rPr>
          <w:rFonts w:ascii="Times New Roman" w:hAnsi="Times New Roman" w:cs="Times New Roman"/>
          <w:sz w:val="24"/>
          <w:szCs w:val="24"/>
          <w:lang w:val="en-US"/>
        </w:rPr>
      </w:pPr>
      <w:r w:rsidRPr="0042353D">
        <w:rPr>
          <w:rFonts w:ascii="Times New Roman" w:hAnsi="Times New Roman" w:cs="Times New Roman"/>
          <w:sz w:val="24"/>
          <w:szCs w:val="24"/>
          <w:lang w:val="en-US"/>
        </w:rPr>
        <w:t xml:space="preserve">The PFMRP Working Group consists of representatives of the following relevant institutions: the Ministry of Finance (including the </w:t>
      </w:r>
      <w:r>
        <w:rPr>
          <w:rFonts w:ascii="Times New Roman" w:hAnsi="Times New Roman" w:cs="Times New Roman"/>
          <w:sz w:val="24"/>
          <w:szCs w:val="24"/>
          <w:lang w:val="en-US"/>
        </w:rPr>
        <w:t>Department</w:t>
      </w:r>
      <w:r w:rsidRPr="0042353D">
        <w:rPr>
          <w:rFonts w:ascii="Times New Roman" w:hAnsi="Times New Roman" w:cs="Times New Roman"/>
          <w:sz w:val="24"/>
          <w:szCs w:val="24"/>
          <w:lang w:val="en-US"/>
        </w:rPr>
        <w:t xml:space="preserve"> for </w:t>
      </w:r>
      <w:r>
        <w:rPr>
          <w:rFonts w:ascii="Times New Roman" w:hAnsi="Times New Roman" w:cs="Times New Roman"/>
          <w:sz w:val="24"/>
          <w:szCs w:val="24"/>
          <w:lang w:val="en-US"/>
        </w:rPr>
        <w:t>i</w:t>
      </w:r>
      <w:r w:rsidRPr="0042353D">
        <w:rPr>
          <w:rFonts w:ascii="Times New Roman" w:hAnsi="Times New Roman" w:cs="Times New Roman"/>
          <w:sz w:val="24"/>
          <w:szCs w:val="24"/>
          <w:lang w:val="en-US"/>
        </w:rPr>
        <w:t xml:space="preserve">nternational </w:t>
      </w:r>
      <w:r>
        <w:rPr>
          <w:rFonts w:ascii="Times New Roman" w:hAnsi="Times New Roman" w:cs="Times New Roman"/>
          <w:sz w:val="24"/>
          <w:szCs w:val="24"/>
          <w:lang w:val="en-US"/>
        </w:rPr>
        <w:t>c</w:t>
      </w:r>
      <w:r w:rsidRPr="0042353D">
        <w:rPr>
          <w:rFonts w:ascii="Times New Roman" w:hAnsi="Times New Roman" w:cs="Times New Roman"/>
          <w:sz w:val="24"/>
          <w:szCs w:val="24"/>
          <w:lang w:val="en-US"/>
        </w:rPr>
        <w:t xml:space="preserve">ooperation and </w:t>
      </w:r>
      <w:proofErr w:type="spellStart"/>
      <w:r>
        <w:rPr>
          <w:rFonts w:ascii="Times New Roman" w:hAnsi="Times New Roman" w:cs="Times New Roman"/>
          <w:sz w:val="24"/>
          <w:szCs w:val="24"/>
          <w:lang w:val="en-US"/>
        </w:rPr>
        <w:t>e</w:t>
      </w:r>
      <w:r w:rsidRPr="0042353D">
        <w:rPr>
          <w:rFonts w:ascii="Times New Roman" w:hAnsi="Times New Roman" w:cs="Times New Roman"/>
          <w:sz w:val="24"/>
          <w:szCs w:val="24"/>
          <w:lang w:val="en-US"/>
        </w:rPr>
        <w:t>uropean</w:t>
      </w:r>
      <w:proofErr w:type="spellEnd"/>
      <w:r w:rsidRPr="0042353D">
        <w:rPr>
          <w:rFonts w:ascii="Times New Roman" w:hAnsi="Times New Roman" w:cs="Times New Roman"/>
          <w:sz w:val="24"/>
          <w:szCs w:val="24"/>
          <w:lang w:val="en-US"/>
        </w:rPr>
        <w:t xml:space="preserve"> </w:t>
      </w:r>
      <w:r>
        <w:rPr>
          <w:rFonts w:ascii="Times New Roman" w:hAnsi="Times New Roman" w:cs="Times New Roman"/>
          <w:sz w:val="24"/>
          <w:szCs w:val="24"/>
          <w:lang w:val="en-US"/>
        </w:rPr>
        <w:t>i</w:t>
      </w:r>
      <w:r w:rsidRPr="0042353D">
        <w:rPr>
          <w:rFonts w:ascii="Times New Roman" w:hAnsi="Times New Roman" w:cs="Times New Roman"/>
          <w:sz w:val="24"/>
          <w:szCs w:val="24"/>
          <w:lang w:val="en-US"/>
        </w:rPr>
        <w:t xml:space="preserve">ntegration,  Central </w:t>
      </w:r>
      <w:r>
        <w:rPr>
          <w:rFonts w:ascii="Times New Roman" w:hAnsi="Times New Roman" w:cs="Times New Roman"/>
          <w:sz w:val="24"/>
          <w:szCs w:val="24"/>
          <w:lang w:val="en-US"/>
        </w:rPr>
        <w:t>h</w:t>
      </w:r>
      <w:r w:rsidRPr="0042353D">
        <w:rPr>
          <w:rFonts w:ascii="Times New Roman" w:hAnsi="Times New Roman" w:cs="Times New Roman"/>
          <w:sz w:val="24"/>
          <w:szCs w:val="24"/>
          <w:lang w:val="en-US"/>
        </w:rPr>
        <w:t xml:space="preserve">armonization </w:t>
      </w:r>
      <w:r>
        <w:rPr>
          <w:rFonts w:ascii="Times New Roman" w:hAnsi="Times New Roman" w:cs="Times New Roman"/>
          <w:sz w:val="24"/>
          <w:szCs w:val="24"/>
          <w:lang w:val="en-US"/>
        </w:rPr>
        <w:t>u</w:t>
      </w:r>
      <w:r w:rsidRPr="0042353D">
        <w:rPr>
          <w:rFonts w:ascii="Times New Roman" w:hAnsi="Times New Roman" w:cs="Times New Roman"/>
          <w:sz w:val="24"/>
          <w:szCs w:val="24"/>
          <w:lang w:val="en-US"/>
        </w:rPr>
        <w:t xml:space="preserve">nit, </w:t>
      </w:r>
      <w:r>
        <w:rPr>
          <w:rFonts w:ascii="Times New Roman" w:hAnsi="Times New Roman" w:cs="Times New Roman"/>
          <w:sz w:val="24"/>
          <w:szCs w:val="24"/>
          <w:lang w:val="en-US"/>
        </w:rPr>
        <w:t>Department for customs system and policy</w:t>
      </w:r>
      <w:r w:rsidRPr="0042353D">
        <w:rPr>
          <w:rFonts w:ascii="Times New Roman" w:hAnsi="Times New Roman" w:cs="Times New Roman"/>
          <w:sz w:val="24"/>
          <w:szCs w:val="24"/>
          <w:lang w:val="en-US"/>
        </w:rPr>
        <w:t xml:space="preserve">,  </w:t>
      </w:r>
      <w:r>
        <w:rPr>
          <w:rFonts w:ascii="Times New Roman" w:hAnsi="Times New Roman" w:cs="Times New Roman"/>
          <w:sz w:val="24"/>
          <w:szCs w:val="24"/>
          <w:lang w:val="en-US"/>
        </w:rPr>
        <w:t>Department for f</w:t>
      </w:r>
      <w:r w:rsidRPr="0042353D">
        <w:rPr>
          <w:rFonts w:ascii="Times New Roman" w:hAnsi="Times New Roman" w:cs="Times New Roman"/>
          <w:sz w:val="24"/>
          <w:szCs w:val="24"/>
          <w:lang w:val="en-US"/>
        </w:rPr>
        <w:t xml:space="preserve">iscal </w:t>
      </w:r>
      <w:r>
        <w:rPr>
          <w:rFonts w:ascii="Times New Roman" w:hAnsi="Times New Roman" w:cs="Times New Roman"/>
          <w:sz w:val="24"/>
          <w:szCs w:val="24"/>
          <w:lang w:val="en-US"/>
        </w:rPr>
        <w:t>s</w:t>
      </w:r>
      <w:r w:rsidRPr="0042353D">
        <w:rPr>
          <w:rFonts w:ascii="Times New Roman" w:hAnsi="Times New Roman" w:cs="Times New Roman"/>
          <w:sz w:val="24"/>
          <w:szCs w:val="24"/>
          <w:lang w:val="en-US"/>
        </w:rPr>
        <w:t>ystem</w:t>
      </w:r>
      <w:r>
        <w:rPr>
          <w:rFonts w:ascii="Times New Roman" w:hAnsi="Times New Roman" w:cs="Times New Roman"/>
          <w:sz w:val="24"/>
          <w:szCs w:val="24"/>
          <w:lang w:val="en-US"/>
        </w:rPr>
        <w:t>, Department for</w:t>
      </w:r>
      <w:r w:rsidRPr="0042353D">
        <w:rPr>
          <w:rFonts w:ascii="Times New Roman" w:hAnsi="Times New Roman" w:cs="Times New Roman"/>
          <w:sz w:val="24"/>
          <w:szCs w:val="24"/>
          <w:lang w:val="en-US"/>
        </w:rPr>
        <w:t xml:space="preserve"> </w:t>
      </w:r>
      <w:r>
        <w:rPr>
          <w:rFonts w:ascii="Times New Roman" w:hAnsi="Times New Roman" w:cs="Times New Roman"/>
          <w:sz w:val="24"/>
          <w:szCs w:val="24"/>
          <w:lang w:val="en-US"/>
        </w:rPr>
        <w:t>b</w:t>
      </w:r>
      <w:r w:rsidRPr="0042353D">
        <w:rPr>
          <w:rFonts w:ascii="Times New Roman" w:hAnsi="Times New Roman" w:cs="Times New Roman"/>
          <w:sz w:val="24"/>
          <w:szCs w:val="24"/>
          <w:lang w:val="en-US"/>
        </w:rPr>
        <w:t xml:space="preserve">udget </w:t>
      </w:r>
      <w:r>
        <w:rPr>
          <w:rFonts w:ascii="Times New Roman" w:hAnsi="Times New Roman" w:cs="Times New Roman"/>
          <w:sz w:val="24"/>
          <w:szCs w:val="24"/>
          <w:lang w:val="en-US"/>
        </w:rPr>
        <w:t>i</w:t>
      </w:r>
      <w:r w:rsidRPr="0042353D">
        <w:rPr>
          <w:rFonts w:ascii="Times New Roman" w:hAnsi="Times New Roman" w:cs="Times New Roman"/>
          <w:sz w:val="24"/>
          <w:szCs w:val="24"/>
          <w:lang w:val="en-US"/>
        </w:rPr>
        <w:t xml:space="preserve">nspection, Budget </w:t>
      </w:r>
      <w:r>
        <w:rPr>
          <w:rFonts w:ascii="Times New Roman" w:hAnsi="Times New Roman" w:cs="Times New Roman"/>
          <w:sz w:val="24"/>
          <w:szCs w:val="24"/>
          <w:lang w:val="en-US"/>
        </w:rPr>
        <w:t>department</w:t>
      </w:r>
      <w:r w:rsidRPr="0042353D">
        <w:rPr>
          <w:rFonts w:ascii="Times New Roman" w:hAnsi="Times New Roman" w:cs="Times New Roman"/>
          <w:sz w:val="24"/>
          <w:szCs w:val="24"/>
          <w:lang w:val="en-US"/>
        </w:rPr>
        <w:t xml:space="preserve">, </w:t>
      </w:r>
      <w:r>
        <w:rPr>
          <w:rFonts w:ascii="Times New Roman" w:hAnsi="Times New Roman" w:cs="Times New Roman"/>
          <w:sz w:val="24"/>
          <w:szCs w:val="24"/>
          <w:lang w:val="en-US"/>
        </w:rPr>
        <w:t>Department for</w:t>
      </w:r>
      <w:r w:rsidRPr="0042353D">
        <w:rPr>
          <w:rFonts w:ascii="Times New Roman" w:hAnsi="Times New Roman" w:cs="Times New Roman"/>
          <w:sz w:val="24"/>
          <w:szCs w:val="24"/>
          <w:lang w:val="en-US"/>
        </w:rPr>
        <w:t xml:space="preserve"> </w:t>
      </w:r>
      <w:r>
        <w:rPr>
          <w:rFonts w:ascii="Times New Roman" w:hAnsi="Times New Roman" w:cs="Times New Roman"/>
          <w:sz w:val="24"/>
          <w:szCs w:val="24"/>
          <w:lang w:val="en-US"/>
        </w:rPr>
        <w:t>m</w:t>
      </w:r>
      <w:r w:rsidRPr="0042353D">
        <w:rPr>
          <w:rFonts w:ascii="Times New Roman" w:hAnsi="Times New Roman" w:cs="Times New Roman"/>
          <w:sz w:val="24"/>
          <w:szCs w:val="24"/>
          <w:lang w:val="en-US"/>
        </w:rPr>
        <w:t xml:space="preserve">acroeconomic and </w:t>
      </w:r>
      <w:r>
        <w:rPr>
          <w:rFonts w:ascii="Times New Roman" w:hAnsi="Times New Roman" w:cs="Times New Roman"/>
          <w:sz w:val="24"/>
          <w:szCs w:val="24"/>
          <w:lang w:val="en-US"/>
        </w:rPr>
        <w:t>f</w:t>
      </w:r>
      <w:r w:rsidRPr="0042353D">
        <w:rPr>
          <w:rFonts w:ascii="Times New Roman" w:hAnsi="Times New Roman" w:cs="Times New Roman"/>
          <w:sz w:val="24"/>
          <w:szCs w:val="24"/>
          <w:lang w:val="en-US"/>
        </w:rPr>
        <w:t xml:space="preserve">iscal </w:t>
      </w:r>
      <w:r>
        <w:rPr>
          <w:rFonts w:ascii="Times New Roman" w:hAnsi="Times New Roman" w:cs="Times New Roman"/>
          <w:sz w:val="24"/>
          <w:szCs w:val="24"/>
          <w:lang w:val="en-US"/>
        </w:rPr>
        <w:t>a</w:t>
      </w:r>
      <w:r w:rsidRPr="0042353D">
        <w:rPr>
          <w:rFonts w:ascii="Times New Roman" w:hAnsi="Times New Roman" w:cs="Times New Roman"/>
          <w:sz w:val="24"/>
          <w:szCs w:val="24"/>
          <w:lang w:val="en-US"/>
        </w:rPr>
        <w:t xml:space="preserve">nalysis and </w:t>
      </w:r>
      <w:r>
        <w:rPr>
          <w:rFonts w:ascii="Times New Roman" w:hAnsi="Times New Roman" w:cs="Times New Roman"/>
          <w:sz w:val="24"/>
          <w:szCs w:val="24"/>
          <w:lang w:val="en-US"/>
        </w:rPr>
        <w:t>projections</w:t>
      </w:r>
      <w:r w:rsidRPr="0042353D">
        <w:rPr>
          <w:rFonts w:ascii="Times New Roman" w:hAnsi="Times New Roman" w:cs="Times New Roman"/>
          <w:sz w:val="24"/>
          <w:szCs w:val="24"/>
          <w:lang w:val="en-US"/>
        </w:rPr>
        <w:t xml:space="preserve">, </w:t>
      </w:r>
      <w:r>
        <w:rPr>
          <w:rFonts w:ascii="Times New Roman" w:hAnsi="Times New Roman" w:cs="Times New Roman"/>
          <w:sz w:val="24"/>
          <w:szCs w:val="24"/>
          <w:lang w:val="en-US"/>
        </w:rPr>
        <w:t>Department for capital projects</w:t>
      </w:r>
      <w:r w:rsidRPr="0042353D">
        <w:rPr>
          <w:rFonts w:ascii="Times New Roman" w:hAnsi="Times New Roman" w:cs="Times New Roman"/>
          <w:sz w:val="24"/>
          <w:szCs w:val="24"/>
          <w:lang w:val="en-US"/>
        </w:rPr>
        <w:t xml:space="preserve">, </w:t>
      </w:r>
      <w:r w:rsidR="001135A8">
        <w:rPr>
          <w:rFonts w:ascii="Times New Roman" w:hAnsi="Times New Roman" w:cs="Times New Roman"/>
          <w:sz w:val="24"/>
          <w:szCs w:val="24"/>
          <w:lang w:val="en-US"/>
        </w:rPr>
        <w:t xml:space="preserve">Department for management </w:t>
      </w:r>
      <w:proofErr w:type="spellStart"/>
      <w:r w:rsidR="001135A8">
        <w:rPr>
          <w:rFonts w:ascii="Times New Roman" w:hAnsi="Times New Roman" w:cs="Times New Roman"/>
          <w:sz w:val="24"/>
          <w:szCs w:val="24"/>
          <w:lang w:val="en-US"/>
        </w:rPr>
        <w:t>of</w:t>
      </w:r>
      <w:r w:rsidRPr="0042353D">
        <w:rPr>
          <w:rFonts w:ascii="Times New Roman" w:hAnsi="Times New Roman" w:cs="Times New Roman"/>
          <w:sz w:val="24"/>
          <w:szCs w:val="24"/>
          <w:lang w:val="en-US"/>
        </w:rPr>
        <w:t>EU</w:t>
      </w:r>
      <w:proofErr w:type="spellEnd"/>
      <w:r w:rsidRPr="0042353D">
        <w:rPr>
          <w:rFonts w:ascii="Times New Roman" w:hAnsi="Times New Roman" w:cs="Times New Roman"/>
          <w:sz w:val="24"/>
          <w:szCs w:val="24"/>
          <w:lang w:val="en-US"/>
        </w:rPr>
        <w:t xml:space="preserve"> </w:t>
      </w:r>
      <w:r w:rsidR="001135A8">
        <w:rPr>
          <w:rFonts w:ascii="Times New Roman" w:hAnsi="Times New Roman" w:cs="Times New Roman"/>
          <w:sz w:val="24"/>
          <w:szCs w:val="24"/>
          <w:lang w:val="en-US"/>
        </w:rPr>
        <w:t>f</w:t>
      </w:r>
      <w:r w:rsidRPr="0042353D">
        <w:rPr>
          <w:rFonts w:ascii="Times New Roman" w:hAnsi="Times New Roman" w:cs="Times New Roman"/>
          <w:sz w:val="24"/>
          <w:szCs w:val="24"/>
          <w:lang w:val="en-US"/>
        </w:rPr>
        <w:t xml:space="preserve">unds, </w:t>
      </w:r>
      <w:r w:rsidR="001135A8">
        <w:rPr>
          <w:rFonts w:ascii="Times New Roman" w:hAnsi="Times New Roman" w:cs="Times New Roman"/>
          <w:sz w:val="24"/>
          <w:szCs w:val="24"/>
          <w:lang w:val="en-US"/>
        </w:rPr>
        <w:t>Department for digitalization in the field of finance</w:t>
      </w:r>
      <w:r w:rsidRPr="0042353D">
        <w:rPr>
          <w:rFonts w:ascii="Times New Roman" w:hAnsi="Times New Roman" w:cs="Times New Roman"/>
          <w:sz w:val="24"/>
          <w:szCs w:val="24"/>
          <w:lang w:val="en-US"/>
        </w:rPr>
        <w:t xml:space="preserve">, Department for </w:t>
      </w:r>
      <w:r w:rsidR="001135A8">
        <w:rPr>
          <w:rFonts w:ascii="Times New Roman" w:hAnsi="Times New Roman" w:cs="Times New Roman"/>
          <w:sz w:val="24"/>
          <w:szCs w:val="24"/>
          <w:lang w:val="en-US"/>
        </w:rPr>
        <w:t>suppression of</w:t>
      </w:r>
      <w:r w:rsidRPr="0042353D">
        <w:rPr>
          <w:rFonts w:ascii="Times New Roman" w:hAnsi="Times New Roman" w:cs="Times New Roman"/>
          <w:sz w:val="24"/>
          <w:szCs w:val="24"/>
          <w:lang w:val="en-US"/>
        </w:rPr>
        <w:t xml:space="preserve"> </w:t>
      </w:r>
      <w:r w:rsidR="001135A8">
        <w:rPr>
          <w:rFonts w:ascii="Times New Roman" w:hAnsi="Times New Roman" w:cs="Times New Roman"/>
          <w:sz w:val="24"/>
          <w:szCs w:val="24"/>
          <w:lang w:val="en-US"/>
        </w:rPr>
        <w:t>i</w:t>
      </w:r>
      <w:r w:rsidRPr="0042353D">
        <w:rPr>
          <w:rFonts w:ascii="Times New Roman" w:hAnsi="Times New Roman" w:cs="Times New Roman"/>
          <w:sz w:val="24"/>
          <w:szCs w:val="24"/>
          <w:lang w:val="en-US"/>
        </w:rPr>
        <w:t xml:space="preserve">rregularities and </w:t>
      </w:r>
      <w:r w:rsidR="001135A8">
        <w:rPr>
          <w:rFonts w:ascii="Times New Roman" w:hAnsi="Times New Roman" w:cs="Times New Roman"/>
          <w:sz w:val="24"/>
          <w:szCs w:val="24"/>
          <w:lang w:val="en-US"/>
        </w:rPr>
        <w:t>f</w:t>
      </w:r>
      <w:r w:rsidRPr="0042353D">
        <w:rPr>
          <w:rFonts w:ascii="Times New Roman" w:hAnsi="Times New Roman" w:cs="Times New Roman"/>
          <w:sz w:val="24"/>
          <w:szCs w:val="24"/>
          <w:lang w:val="en-US"/>
        </w:rPr>
        <w:t xml:space="preserve">raud </w:t>
      </w:r>
      <w:r w:rsidR="001135A8">
        <w:rPr>
          <w:rFonts w:ascii="Times New Roman" w:hAnsi="Times New Roman" w:cs="Times New Roman"/>
          <w:sz w:val="24"/>
          <w:szCs w:val="24"/>
          <w:lang w:val="en-US"/>
        </w:rPr>
        <w:t xml:space="preserve">handling of </w:t>
      </w:r>
      <w:r w:rsidRPr="0042353D">
        <w:rPr>
          <w:rFonts w:ascii="Times New Roman" w:hAnsi="Times New Roman" w:cs="Times New Roman"/>
          <w:sz w:val="24"/>
          <w:szCs w:val="24"/>
          <w:lang w:val="en-US"/>
        </w:rPr>
        <w:t>EU</w:t>
      </w:r>
      <w:r w:rsidR="001135A8">
        <w:rPr>
          <w:rFonts w:ascii="Times New Roman" w:hAnsi="Times New Roman" w:cs="Times New Roman"/>
          <w:sz w:val="24"/>
          <w:szCs w:val="24"/>
          <w:lang w:val="en-US"/>
        </w:rPr>
        <w:t xml:space="preserve"> funds</w:t>
      </w:r>
      <w:r w:rsidRPr="0042353D">
        <w:rPr>
          <w:rFonts w:ascii="Times New Roman" w:hAnsi="Times New Roman" w:cs="Times New Roman"/>
          <w:sz w:val="24"/>
          <w:szCs w:val="24"/>
          <w:lang w:val="en-US"/>
        </w:rPr>
        <w:t xml:space="preserve">, Administration for the </w:t>
      </w:r>
      <w:r w:rsidR="001135A8">
        <w:rPr>
          <w:rFonts w:ascii="Times New Roman" w:hAnsi="Times New Roman" w:cs="Times New Roman"/>
          <w:sz w:val="24"/>
          <w:szCs w:val="24"/>
          <w:lang w:val="en-US"/>
        </w:rPr>
        <w:t>p</w:t>
      </w:r>
      <w:r w:rsidRPr="0042353D">
        <w:rPr>
          <w:rFonts w:ascii="Times New Roman" w:hAnsi="Times New Roman" w:cs="Times New Roman"/>
          <w:sz w:val="24"/>
          <w:szCs w:val="24"/>
          <w:lang w:val="en-US"/>
        </w:rPr>
        <w:t xml:space="preserve">revention of </w:t>
      </w:r>
      <w:r w:rsidR="001135A8">
        <w:rPr>
          <w:rFonts w:ascii="Times New Roman" w:hAnsi="Times New Roman" w:cs="Times New Roman"/>
          <w:sz w:val="24"/>
          <w:szCs w:val="24"/>
          <w:lang w:val="en-US"/>
        </w:rPr>
        <w:t>m</w:t>
      </w:r>
      <w:r w:rsidRPr="0042353D">
        <w:rPr>
          <w:rFonts w:ascii="Times New Roman" w:hAnsi="Times New Roman" w:cs="Times New Roman"/>
          <w:sz w:val="24"/>
          <w:szCs w:val="24"/>
          <w:lang w:val="en-US"/>
        </w:rPr>
        <w:t xml:space="preserve">oney </w:t>
      </w:r>
      <w:r w:rsidR="001135A8">
        <w:rPr>
          <w:rFonts w:ascii="Times New Roman" w:hAnsi="Times New Roman" w:cs="Times New Roman"/>
          <w:sz w:val="24"/>
          <w:szCs w:val="24"/>
          <w:lang w:val="en-US"/>
        </w:rPr>
        <w:t>l</w:t>
      </w:r>
      <w:r w:rsidRPr="0042353D">
        <w:rPr>
          <w:rFonts w:ascii="Times New Roman" w:hAnsi="Times New Roman" w:cs="Times New Roman"/>
          <w:sz w:val="24"/>
          <w:szCs w:val="24"/>
          <w:lang w:val="en-US"/>
        </w:rPr>
        <w:t xml:space="preserve">aundering,  Treasury Administration, Tobacco Administration, Tax Administration, </w:t>
      </w:r>
      <w:r w:rsidR="001135A8">
        <w:rPr>
          <w:rFonts w:ascii="Times New Roman" w:hAnsi="Times New Roman" w:cs="Times New Roman"/>
          <w:sz w:val="24"/>
          <w:szCs w:val="24"/>
          <w:lang w:val="en-US"/>
        </w:rPr>
        <w:t>P</w:t>
      </w:r>
      <w:r w:rsidRPr="0042353D">
        <w:rPr>
          <w:rFonts w:ascii="Times New Roman" w:hAnsi="Times New Roman" w:cs="Times New Roman"/>
          <w:sz w:val="24"/>
          <w:szCs w:val="24"/>
          <w:lang w:val="en-US"/>
        </w:rPr>
        <w:t>ublic Debt Administration</w:t>
      </w:r>
      <w:r w:rsidR="001135A8">
        <w:rPr>
          <w:rFonts w:ascii="Times New Roman" w:hAnsi="Times New Roman" w:cs="Times New Roman"/>
          <w:sz w:val="24"/>
          <w:szCs w:val="24"/>
          <w:lang w:val="en-US"/>
        </w:rPr>
        <w:t xml:space="preserve"> and</w:t>
      </w:r>
      <w:r w:rsidRPr="0042353D">
        <w:rPr>
          <w:rFonts w:ascii="Times New Roman" w:hAnsi="Times New Roman" w:cs="Times New Roman"/>
          <w:sz w:val="24"/>
          <w:szCs w:val="24"/>
          <w:lang w:val="en-US"/>
        </w:rPr>
        <w:t xml:space="preserve"> Customs Administration), the Ministry of Public Administration and Local Self-Government, Ministry for European Integration, </w:t>
      </w:r>
      <w:r w:rsidR="001135A8">
        <w:rPr>
          <w:rFonts w:ascii="Times New Roman" w:hAnsi="Times New Roman" w:cs="Times New Roman"/>
          <w:sz w:val="24"/>
          <w:szCs w:val="24"/>
          <w:lang w:val="en-US"/>
        </w:rPr>
        <w:t>Governmental audit office of EU funds</w:t>
      </w:r>
      <w:r w:rsidRPr="0042353D">
        <w:rPr>
          <w:rFonts w:ascii="Times New Roman" w:hAnsi="Times New Roman" w:cs="Times New Roman"/>
          <w:sz w:val="24"/>
          <w:szCs w:val="24"/>
          <w:lang w:val="en-US"/>
        </w:rPr>
        <w:t xml:space="preserve">, Public Procurement Office, General Secretariat of the Government, Human Resources Management Service, National Academy for Public Administration, State Audit Institution, National Assembly and the </w:t>
      </w:r>
      <w:r w:rsidR="001135A8">
        <w:rPr>
          <w:rFonts w:ascii="Times New Roman" w:hAnsi="Times New Roman" w:cs="Times New Roman"/>
          <w:sz w:val="24"/>
          <w:szCs w:val="24"/>
          <w:lang w:val="en-US"/>
        </w:rPr>
        <w:t>Public Policy Secretariat.</w:t>
      </w:r>
    </w:p>
    <w:p w14:paraId="3717129B" w14:textId="1CEE6464" w:rsidR="0042353D" w:rsidRPr="0042353D" w:rsidRDefault="0042353D" w:rsidP="0042353D">
      <w:pPr>
        <w:ind w:firstLine="708"/>
        <w:jc w:val="both"/>
        <w:rPr>
          <w:rFonts w:ascii="Times New Roman" w:hAnsi="Times New Roman" w:cs="Times New Roman"/>
          <w:sz w:val="24"/>
          <w:szCs w:val="24"/>
          <w:lang w:val="en-US"/>
        </w:rPr>
      </w:pPr>
      <w:r w:rsidRPr="0042353D">
        <w:rPr>
          <w:rFonts w:ascii="Times New Roman" w:hAnsi="Times New Roman" w:cs="Times New Roman"/>
          <w:sz w:val="24"/>
          <w:szCs w:val="24"/>
          <w:lang w:val="en-US"/>
        </w:rPr>
        <w:t>The PFMRP Working Group is responsible not only for the preparation of the Program</w:t>
      </w:r>
      <w:r w:rsidR="001135A8">
        <w:rPr>
          <w:rFonts w:ascii="Times New Roman" w:hAnsi="Times New Roman" w:cs="Times New Roman"/>
          <w:sz w:val="24"/>
          <w:szCs w:val="24"/>
          <w:lang w:val="en-US"/>
        </w:rPr>
        <w:t>me</w:t>
      </w:r>
      <w:r w:rsidRPr="0042353D">
        <w:rPr>
          <w:rFonts w:ascii="Times New Roman" w:hAnsi="Times New Roman" w:cs="Times New Roman"/>
          <w:sz w:val="24"/>
          <w:szCs w:val="24"/>
          <w:lang w:val="en-US"/>
        </w:rPr>
        <w:t xml:space="preserve"> but also for monitoring and reporting on the implementation of defined objectives, measures and activities, as well as the achievement of performance indicators. A key aspect of its work is aligning PFMRP 2026–2030 objectives and activities with other relevant strategic documents, processes and projects, thereby ensuring consistency and synergy in reform implementation. The Working Group serves as a platform for discussion of all issues relevant to public financial management reform.</w:t>
      </w:r>
    </w:p>
    <w:p w14:paraId="0B318B0B" w14:textId="2527FAB7" w:rsidR="0042353D" w:rsidRPr="0042353D" w:rsidRDefault="0042353D" w:rsidP="0042353D">
      <w:pPr>
        <w:ind w:firstLine="708"/>
        <w:jc w:val="both"/>
        <w:rPr>
          <w:rFonts w:ascii="Times New Roman" w:hAnsi="Times New Roman" w:cs="Times New Roman"/>
          <w:sz w:val="24"/>
          <w:szCs w:val="24"/>
          <w:lang w:val="en-US"/>
        </w:rPr>
      </w:pPr>
      <w:r w:rsidRPr="0042353D">
        <w:rPr>
          <w:rFonts w:ascii="Times New Roman" w:hAnsi="Times New Roman" w:cs="Times New Roman"/>
          <w:sz w:val="24"/>
          <w:szCs w:val="24"/>
          <w:lang w:val="en-US"/>
        </w:rPr>
        <w:t>Strengthening cooperation among Working Group members is a priority, aimed at improving coordination, communication and exchange of experience. This approach contributes to more effective preparation, monitoring and reporting of Program</w:t>
      </w:r>
      <w:r w:rsidR="001135A8">
        <w:rPr>
          <w:rFonts w:ascii="Times New Roman" w:hAnsi="Times New Roman" w:cs="Times New Roman"/>
          <w:sz w:val="24"/>
          <w:szCs w:val="24"/>
          <w:lang w:val="en-US"/>
        </w:rPr>
        <w:t>me</w:t>
      </w:r>
      <w:r w:rsidRPr="0042353D">
        <w:rPr>
          <w:rFonts w:ascii="Times New Roman" w:hAnsi="Times New Roman" w:cs="Times New Roman"/>
          <w:sz w:val="24"/>
          <w:szCs w:val="24"/>
          <w:lang w:val="en-US"/>
        </w:rPr>
        <w:t xml:space="preserve"> implementation, ensuring that all activities are carried out in line with planned deadlines and objectives, while also recognizing the full budget cycle and interdependencies among processes and activities. The PFMRP Working Group also performs all other tasks necessary for the successful implementation of the PFMRP 2026–2030.</w:t>
      </w:r>
    </w:p>
    <w:p w14:paraId="06AFEA75" w14:textId="734732D6" w:rsidR="0042353D" w:rsidRPr="0042353D" w:rsidRDefault="0042353D" w:rsidP="0042353D">
      <w:pPr>
        <w:ind w:firstLine="708"/>
        <w:jc w:val="both"/>
        <w:rPr>
          <w:rFonts w:ascii="Times New Roman" w:hAnsi="Times New Roman" w:cs="Times New Roman"/>
          <w:sz w:val="24"/>
          <w:szCs w:val="24"/>
          <w:lang w:val="en-US"/>
        </w:rPr>
      </w:pPr>
      <w:r w:rsidRPr="0042353D">
        <w:rPr>
          <w:rFonts w:ascii="Times New Roman" w:hAnsi="Times New Roman" w:cs="Times New Roman"/>
          <w:sz w:val="24"/>
          <w:szCs w:val="24"/>
          <w:lang w:val="en-US"/>
        </w:rPr>
        <w:t xml:space="preserve">The PFMRP Technical Secretariat is located within the </w:t>
      </w:r>
      <w:r w:rsidR="001135A8">
        <w:rPr>
          <w:rFonts w:ascii="Times New Roman" w:hAnsi="Times New Roman" w:cs="Times New Roman"/>
          <w:sz w:val="24"/>
          <w:szCs w:val="24"/>
          <w:lang w:val="en-US"/>
        </w:rPr>
        <w:t>Department</w:t>
      </w:r>
      <w:r w:rsidRPr="0042353D">
        <w:rPr>
          <w:rFonts w:ascii="Times New Roman" w:hAnsi="Times New Roman" w:cs="Times New Roman"/>
          <w:sz w:val="24"/>
          <w:szCs w:val="24"/>
          <w:lang w:val="en-US"/>
        </w:rPr>
        <w:t xml:space="preserve"> for </w:t>
      </w:r>
      <w:r w:rsidR="001135A8">
        <w:rPr>
          <w:rFonts w:ascii="Times New Roman" w:hAnsi="Times New Roman" w:cs="Times New Roman"/>
          <w:sz w:val="24"/>
          <w:szCs w:val="24"/>
          <w:lang w:val="en-US"/>
        </w:rPr>
        <w:t>i</w:t>
      </w:r>
      <w:r w:rsidRPr="0042353D">
        <w:rPr>
          <w:rFonts w:ascii="Times New Roman" w:hAnsi="Times New Roman" w:cs="Times New Roman"/>
          <w:sz w:val="24"/>
          <w:szCs w:val="24"/>
          <w:lang w:val="en-US"/>
        </w:rPr>
        <w:t xml:space="preserve">nternational </w:t>
      </w:r>
      <w:r w:rsidR="001135A8">
        <w:rPr>
          <w:rFonts w:ascii="Times New Roman" w:hAnsi="Times New Roman" w:cs="Times New Roman"/>
          <w:sz w:val="24"/>
          <w:szCs w:val="24"/>
          <w:lang w:val="en-US"/>
        </w:rPr>
        <w:t>c</w:t>
      </w:r>
      <w:r w:rsidRPr="0042353D">
        <w:rPr>
          <w:rFonts w:ascii="Times New Roman" w:hAnsi="Times New Roman" w:cs="Times New Roman"/>
          <w:sz w:val="24"/>
          <w:szCs w:val="24"/>
          <w:lang w:val="en-US"/>
        </w:rPr>
        <w:t xml:space="preserve">ooperation and </w:t>
      </w:r>
      <w:proofErr w:type="spellStart"/>
      <w:r w:rsidR="001135A8">
        <w:rPr>
          <w:rFonts w:ascii="Times New Roman" w:hAnsi="Times New Roman" w:cs="Times New Roman"/>
          <w:sz w:val="24"/>
          <w:szCs w:val="24"/>
          <w:lang w:val="en-US"/>
        </w:rPr>
        <w:t>e</w:t>
      </w:r>
      <w:r w:rsidRPr="0042353D">
        <w:rPr>
          <w:rFonts w:ascii="Times New Roman" w:hAnsi="Times New Roman" w:cs="Times New Roman"/>
          <w:sz w:val="24"/>
          <w:szCs w:val="24"/>
          <w:lang w:val="en-US"/>
        </w:rPr>
        <w:t>uropean</w:t>
      </w:r>
      <w:proofErr w:type="spellEnd"/>
      <w:r w:rsidRPr="0042353D">
        <w:rPr>
          <w:rFonts w:ascii="Times New Roman" w:hAnsi="Times New Roman" w:cs="Times New Roman"/>
          <w:sz w:val="24"/>
          <w:szCs w:val="24"/>
          <w:lang w:val="en-US"/>
        </w:rPr>
        <w:t xml:space="preserve"> </w:t>
      </w:r>
      <w:r w:rsidR="001135A8">
        <w:rPr>
          <w:rFonts w:ascii="Times New Roman" w:hAnsi="Times New Roman" w:cs="Times New Roman"/>
          <w:sz w:val="24"/>
          <w:szCs w:val="24"/>
          <w:lang w:val="en-US"/>
        </w:rPr>
        <w:t>i</w:t>
      </w:r>
      <w:r w:rsidRPr="0042353D">
        <w:rPr>
          <w:rFonts w:ascii="Times New Roman" w:hAnsi="Times New Roman" w:cs="Times New Roman"/>
          <w:sz w:val="24"/>
          <w:szCs w:val="24"/>
          <w:lang w:val="en-US"/>
        </w:rPr>
        <w:t xml:space="preserve">ntegration of the Ministry of Finance. The Technical Secretariat is responsible for providing administrative, technical and logistical support to the PFMRP </w:t>
      </w:r>
      <w:r w:rsidRPr="0042353D">
        <w:rPr>
          <w:rFonts w:ascii="Times New Roman" w:hAnsi="Times New Roman" w:cs="Times New Roman"/>
          <w:sz w:val="24"/>
          <w:szCs w:val="24"/>
          <w:lang w:val="en-US"/>
        </w:rPr>
        <w:lastRenderedPageBreak/>
        <w:t>Working Group throughout the entire process of preparation, implementation, monitoring, updating and reporting on PFMRP implementation, in accordance with the Rulebook on Internal Organization and Systematization of Job Positions in the Ministry of Finance. It is also responsible for programming IPA and bilateral donor-funded projects for the sectors and administrations within the Ministry of Finance.</w:t>
      </w:r>
    </w:p>
    <w:p w14:paraId="25C24C98" w14:textId="0AF7EF53" w:rsidR="0042353D" w:rsidRPr="0042353D" w:rsidRDefault="0042353D" w:rsidP="0042353D">
      <w:pPr>
        <w:ind w:firstLine="708"/>
        <w:jc w:val="both"/>
        <w:rPr>
          <w:rFonts w:ascii="Times New Roman" w:hAnsi="Times New Roman" w:cs="Times New Roman"/>
          <w:sz w:val="24"/>
          <w:szCs w:val="24"/>
          <w:lang w:val="en-US"/>
        </w:rPr>
      </w:pPr>
      <w:r w:rsidRPr="0042353D">
        <w:rPr>
          <w:rFonts w:ascii="Times New Roman" w:hAnsi="Times New Roman" w:cs="Times New Roman"/>
          <w:sz w:val="24"/>
          <w:szCs w:val="24"/>
          <w:lang w:val="en-US"/>
        </w:rPr>
        <w:t>In accordance with the Law on the Planning System of the Republic of Serbia, the Technical Secretariat initiates and coordinates the preparation of the annual Report on the Implementation of the PFMRP Action Plan. Although not explicitly required by law, this report is adopted by the Government within 120 days from the beginning of the year for the previous reporting period. After the expiration of the Program</w:t>
      </w:r>
      <w:r w:rsidR="004519EE">
        <w:rPr>
          <w:rFonts w:ascii="Times New Roman" w:hAnsi="Times New Roman" w:cs="Times New Roman"/>
          <w:sz w:val="24"/>
          <w:szCs w:val="24"/>
          <w:lang w:val="en-US"/>
        </w:rPr>
        <w:t>me</w:t>
      </w:r>
      <w:r w:rsidRPr="0042353D">
        <w:rPr>
          <w:rFonts w:ascii="Times New Roman" w:hAnsi="Times New Roman" w:cs="Times New Roman"/>
          <w:sz w:val="24"/>
          <w:szCs w:val="24"/>
          <w:lang w:val="en-US"/>
        </w:rPr>
        <w:t xml:space="preserve"> period, a single consolidated report covering the entire implementation period is prepared and adopted by the end of the first half of the following year.</w:t>
      </w:r>
    </w:p>
    <w:p w14:paraId="2A011EA3" w14:textId="7D12BB95" w:rsidR="0042353D" w:rsidRPr="0042353D" w:rsidRDefault="0042353D" w:rsidP="0042353D">
      <w:pPr>
        <w:ind w:firstLine="708"/>
        <w:jc w:val="both"/>
        <w:rPr>
          <w:rFonts w:ascii="Times New Roman" w:hAnsi="Times New Roman" w:cs="Times New Roman"/>
          <w:sz w:val="24"/>
          <w:szCs w:val="24"/>
          <w:lang w:val="en-US"/>
        </w:rPr>
      </w:pPr>
      <w:r w:rsidRPr="0042353D">
        <w:rPr>
          <w:rFonts w:ascii="Times New Roman" w:hAnsi="Times New Roman" w:cs="Times New Roman"/>
          <w:sz w:val="24"/>
          <w:szCs w:val="24"/>
          <w:lang w:val="en-US"/>
        </w:rPr>
        <w:t xml:space="preserve">The preparation of annual reports has been continuously improved over previous cycles and, in addition to the methodological framework provided by the planning system in Serbia, is based on the SIGMA Guide for Partners on the Preparation, Implementation, Monitoring, Reporting and Evaluation of Public Administration Reform and sectoral strategies. During report preparation, opinions of relevant line ministries are collected; the report is discussed at sessions of the relevant Government committee and adopted by the Government. Its significance is further confirmed at the highest political level. The report is also presented at sessions of the Public Administration Reform Council, in which the Minister of Finance participates. The annual report is published on the Ministry of Finance website, and its results are entered into the </w:t>
      </w:r>
      <w:r w:rsidR="004519EE">
        <w:rPr>
          <w:rFonts w:ascii="Times New Roman" w:hAnsi="Times New Roman" w:cs="Times New Roman"/>
          <w:sz w:val="24"/>
          <w:szCs w:val="24"/>
          <w:lang w:val="en-US"/>
        </w:rPr>
        <w:t>U</w:t>
      </w:r>
      <w:r w:rsidRPr="0042353D">
        <w:rPr>
          <w:rFonts w:ascii="Times New Roman" w:hAnsi="Times New Roman" w:cs="Times New Roman"/>
          <w:sz w:val="24"/>
          <w:szCs w:val="24"/>
          <w:lang w:val="en-US"/>
        </w:rPr>
        <w:t>nified information system within legally prescribed deadlines. It is also an integral part of the Ministry of Finance’s medium-term plans.</w:t>
      </w:r>
    </w:p>
    <w:p w14:paraId="08012EA2" w14:textId="77777777" w:rsidR="0042353D" w:rsidRPr="0042353D" w:rsidRDefault="0042353D" w:rsidP="0042353D">
      <w:pPr>
        <w:ind w:firstLine="708"/>
        <w:jc w:val="both"/>
        <w:rPr>
          <w:rFonts w:ascii="Times New Roman" w:hAnsi="Times New Roman" w:cs="Times New Roman"/>
          <w:sz w:val="24"/>
          <w:szCs w:val="24"/>
          <w:lang w:val="en-US"/>
        </w:rPr>
      </w:pPr>
      <w:r w:rsidRPr="0042353D">
        <w:rPr>
          <w:rFonts w:ascii="Times New Roman" w:hAnsi="Times New Roman" w:cs="Times New Roman"/>
          <w:sz w:val="24"/>
          <w:szCs w:val="24"/>
          <w:lang w:val="en-US"/>
        </w:rPr>
        <w:t xml:space="preserve">The report serves as a key verification document on progress in public financial management reform, used in various governmental and international forums, particularly with the European Commission. Within EU integration processes, public financial management reform is recognized both under Cluster 1 – Fundamentals, and in discussions within the Special Group on Public Administration Reform, the </w:t>
      </w:r>
      <w:proofErr w:type="spellStart"/>
      <w:r w:rsidRPr="0042353D">
        <w:rPr>
          <w:rFonts w:ascii="Times New Roman" w:hAnsi="Times New Roman" w:cs="Times New Roman"/>
          <w:sz w:val="24"/>
          <w:szCs w:val="24"/>
          <w:lang w:val="en-US"/>
        </w:rPr>
        <w:t>Stabilisation</w:t>
      </w:r>
      <w:proofErr w:type="spellEnd"/>
      <w:r w:rsidRPr="0042353D">
        <w:rPr>
          <w:rFonts w:ascii="Times New Roman" w:hAnsi="Times New Roman" w:cs="Times New Roman"/>
          <w:sz w:val="24"/>
          <w:szCs w:val="24"/>
          <w:lang w:val="en-US"/>
        </w:rPr>
        <w:t xml:space="preserve"> and Association Agreement Committee and subcommittees, the Economic Reform Programme (ERP) coordination process, IPA sector budget support structures, and the Reform Agenda. Coordination of reporting obligations and participation in these processes is carried out by the PFMRP Technical Secretariat.</w:t>
      </w:r>
    </w:p>
    <w:p w14:paraId="3066A10B" w14:textId="77777777" w:rsidR="0042353D" w:rsidRPr="0042353D" w:rsidRDefault="0042353D" w:rsidP="0042353D">
      <w:pPr>
        <w:ind w:firstLine="708"/>
        <w:jc w:val="both"/>
        <w:rPr>
          <w:rFonts w:ascii="Times New Roman" w:hAnsi="Times New Roman" w:cs="Times New Roman"/>
          <w:sz w:val="24"/>
          <w:szCs w:val="24"/>
          <w:lang w:val="en-US"/>
        </w:rPr>
      </w:pPr>
      <w:r w:rsidRPr="0042353D">
        <w:rPr>
          <w:rFonts w:ascii="Times New Roman" w:hAnsi="Times New Roman" w:cs="Times New Roman"/>
          <w:sz w:val="24"/>
          <w:szCs w:val="24"/>
          <w:lang w:val="en-US"/>
        </w:rPr>
        <w:t>Given the alignment between the Public Administration Reform Strategy 2021–2030 and the PFMRP 2026–2030, and in line with reporting requirements under the Law on the Planning System, PFMRP implementation reports will be appropriately integrated into the reports on the implementation of the Public Administration Reform Strategy 2021–2030. Ministry of Finance representatives participate in all working bodies monitoring its implementation, including the Public Administration Reform Council, which serves as the central strategic body of the Government for coordinating public administration and public financial management reform at the political level.</w:t>
      </w:r>
    </w:p>
    <w:p w14:paraId="6C3CF291" w14:textId="52B335FE" w:rsidR="0042353D" w:rsidRPr="0042353D" w:rsidRDefault="0042353D" w:rsidP="0042353D">
      <w:pPr>
        <w:ind w:firstLine="708"/>
        <w:jc w:val="both"/>
        <w:rPr>
          <w:rFonts w:ascii="Times New Roman" w:hAnsi="Times New Roman" w:cs="Times New Roman"/>
          <w:sz w:val="24"/>
          <w:szCs w:val="24"/>
          <w:lang w:val="en-US"/>
        </w:rPr>
      </w:pPr>
      <w:r w:rsidRPr="0042353D">
        <w:rPr>
          <w:rFonts w:ascii="Times New Roman" w:hAnsi="Times New Roman" w:cs="Times New Roman"/>
          <w:sz w:val="24"/>
          <w:szCs w:val="24"/>
          <w:lang w:val="en-US"/>
        </w:rPr>
        <w:lastRenderedPageBreak/>
        <w:t>In addition to the Government, the Ministry of Finance reports on progress in public financial management reform to stakeholders. The Technical Secretariat organizes the “Public Financial Management Policy Dialogue” meeting with representatives of all relevant stakeholders, including the European Commission, the donor community, international financial institutions and civil society, to ensure that all relevant perspectives are considered. The dialogue is held as a one-day conference presenting progress and future plans, allowing participants to discuss any relevant issue. During the preparation of PFMRP 2026–2030, this meeting was held in November 2025. All relevant information and reports are available on the Ministry of Finance website.</w:t>
      </w:r>
    </w:p>
    <w:p w14:paraId="7932A121" w14:textId="77777777" w:rsidR="0042353D" w:rsidRPr="0042353D" w:rsidRDefault="0042353D" w:rsidP="0042353D">
      <w:pPr>
        <w:ind w:firstLine="708"/>
        <w:jc w:val="both"/>
        <w:rPr>
          <w:rFonts w:ascii="Times New Roman" w:hAnsi="Times New Roman" w:cs="Times New Roman"/>
          <w:sz w:val="24"/>
          <w:szCs w:val="24"/>
          <w:lang w:val="en-US"/>
        </w:rPr>
      </w:pPr>
      <w:r w:rsidRPr="0042353D">
        <w:rPr>
          <w:rFonts w:ascii="Times New Roman" w:hAnsi="Times New Roman" w:cs="Times New Roman"/>
          <w:sz w:val="24"/>
          <w:szCs w:val="24"/>
          <w:lang w:val="en-US"/>
        </w:rPr>
        <w:t>To strengthen continuous cooperation, stakeholders may submit comments and suggestions regarding the PFMRP throughout the year via a dedicated email address: pfmdijalog@mfin.gov.rs.</w:t>
      </w:r>
    </w:p>
    <w:p w14:paraId="06BA2C7A" w14:textId="21CC548D" w:rsidR="00AE3C4E" w:rsidRPr="001053DB" w:rsidRDefault="00AE3C4E" w:rsidP="009B3230">
      <w:pPr>
        <w:ind w:firstLine="708"/>
        <w:jc w:val="both"/>
        <w:rPr>
          <w:lang w:val="sr-Cyrl-CS"/>
        </w:rPr>
      </w:pPr>
    </w:p>
    <w:p w14:paraId="50EA4725" w14:textId="77777777" w:rsidR="001C66A4" w:rsidRPr="000C4A8C" w:rsidRDefault="001C66A4" w:rsidP="009B3230">
      <w:pPr>
        <w:ind w:firstLine="708"/>
        <w:jc w:val="both"/>
        <w:rPr>
          <w:lang w:val="en-US"/>
        </w:rPr>
      </w:pPr>
    </w:p>
    <w:p w14:paraId="6E002F10" w14:textId="730CF3CC" w:rsidR="000C4A8C" w:rsidRPr="007E0B46" w:rsidRDefault="0088470A" w:rsidP="007E0B46">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r w:rsidRPr="001053DB">
        <w:rPr>
          <w:color w:val="auto"/>
          <w:lang w:val="sr-Cyrl-CS"/>
        </w:rPr>
        <w:t xml:space="preserve">  </w:t>
      </w:r>
      <w:r w:rsidR="007E0B46">
        <w:rPr>
          <w:rFonts w:ascii="Times New Roman" w:hAnsi="Times New Roman" w:cs="Times New Roman"/>
          <w:color w:val="auto"/>
          <w:sz w:val="24"/>
          <w:szCs w:val="24"/>
          <w:lang w:val="en-US"/>
        </w:rPr>
        <w:t>estimate of funds required to implement the action plan of the public financial management reform programme 2026-2028 and sources of funding</w:t>
      </w:r>
    </w:p>
    <w:p w14:paraId="411EA9D5" w14:textId="77777777" w:rsidR="007E0B46" w:rsidRPr="007E0B46" w:rsidRDefault="007E0B46" w:rsidP="007E0B46">
      <w:pPr>
        <w:rPr>
          <w:lang w:val="en-US"/>
        </w:rPr>
      </w:pPr>
    </w:p>
    <w:p w14:paraId="5BE9EA79" w14:textId="53457C27" w:rsidR="007E0B46" w:rsidRPr="007E0B46" w:rsidRDefault="007E0B46" w:rsidP="007E0B46">
      <w:pPr>
        <w:ind w:firstLine="708"/>
        <w:jc w:val="both"/>
        <w:rPr>
          <w:rFonts w:ascii="Times New Roman" w:eastAsia="Times New Roman" w:hAnsi="Times New Roman" w:cs="Times New Roman"/>
          <w:iCs/>
          <w:sz w:val="24"/>
          <w:szCs w:val="24"/>
          <w:shd w:val="clear" w:color="auto" w:fill="FFFFFF"/>
          <w:lang w:val="en-US"/>
        </w:rPr>
      </w:pPr>
      <w:r w:rsidRPr="007E0B46">
        <w:rPr>
          <w:rFonts w:ascii="Times New Roman" w:eastAsia="Times New Roman" w:hAnsi="Times New Roman" w:cs="Times New Roman"/>
          <w:iCs/>
          <w:sz w:val="24"/>
          <w:szCs w:val="24"/>
          <w:shd w:val="clear" w:color="auto" w:fill="FFFFFF"/>
          <w:lang w:val="en-US"/>
        </w:rPr>
        <w:t>An integral part of the Public Financial Management Reform Program</w:t>
      </w:r>
      <w:r>
        <w:rPr>
          <w:rFonts w:ascii="Times New Roman" w:eastAsia="Times New Roman" w:hAnsi="Times New Roman" w:cs="Times New Roman"/>
          <w:iCs/>
          <w:sz w:val="24"/>
          <w:szCs w:val="24"/>
          <w:shd w:val="clear" w:color="auto" w:fill="FFFFFF"/>
          <w:lang w:val="en-US"/>
        </w:rPr>
        <w:t>me</w:t>
      </w:r>
      <w:r w:rsidRPr="007E0B46">
        <w:rPr>
          <w:rFonts w:ascii="Times New Roman" w:eastAsia="Times New Roman" w:hAnsi="Times New Roman" w:cs="Times New Roman"/>
          <w:iCs/>
          <w:sz w:val="24"/>
          <w:szCs w:val="24"/>
          <w:shd w:val="clear" w:color="auto" w:fill="FFFFFF"/>
          <w:lang w:val="en-US"/>
        </w:rPr>
        <w:t xml:space="preserve"> (PFMRP) for the period 2026–2030 is its Action Plan for implementation covering the period 2026–2028. The Action Plan contains detailed measures and activities contributing to the achievement of the PFMRP’s specific objectives and includes a cost assessment, i.e., the funds required for their implementation.</w:t>
      </w:r>
    </w:p>
    <w:p w14:paraId="37D4F94D" w14:textId="00D0E2CE" w:rsidR="007E0B46" w:rsidRPr="007E0B46" w:rsidRDefault="007E0B46" w:rsidP="007E0B46">
      <w:pPr>
        <w:ind w:firstLine="708"/>
        <w:jc w:val="both"/>
        <w:rPr>
          <w:rFonts w:ascii="Times New Roman" w:eastAsia="Times New Roman" w:hAnsi="Times New Roman" w:cs="Times New Roman"/>
          <w:iCs/>
          <w:sz w:val="24"/>
          <w:szCs w:val="24"/>
          <w:shd w:val="clear" w:color="auto" w:fill="FFFFFF"/>
          <w:lang w:val="en-US"/>
        </w:rPr>
      </w:pPr>
      <w:r w:rsidRPr="007E0B46">
        <w:rPr>
          <w:rFonts w:ascii="Times New Roman" w:eastAsia="Times New Roman" w:hAnsi="Times New Roman" w:cs="Times New Roman"/>
          <w:iCs/>
          <w:sz w:val="24"/>
          <w:szCs w:val="24"/>
          <w:shd w:val="clear" w:color="auto" w:fill="FFFFFF"/>
          <w:lang w:val="en-US"/>
        </w:rPr>
        <w:t xml:space="preserve">The total costs for implementing the PFMRP Action Plan for the period 2026–2028 are estimated at RSD 8,401,308,510, of which RSD 6,677,835,420 are budget funds and loans, RSD 1,533,013,090 are development assistance (grants), and RSD 190,460,000 are missing funds. It should be noted that within the category of development assistance, the largest share relates to financing activities of the Tax Administration, based on the Law on Ratification of the Loan Agreement (Additional Financing for the Tax Administration Modernization Project) between the Republic of Serbia and the International Bank for Reconstruction and Development (“Official Gazette of the RS – International Agreements”, No. 10/25), adopted on </w:t>
      </w:r>
      <w:r>
        <w:rPr>
          <w:rFonts w:ascii="Times New Roman" w:eastAsia="Times New Roman" w:hAnsi="Times New Roman" w:cs="Times New Roman"/>
          <w:iCs/>
          <w:sz w:val="24"/>
          <w:szCs w:val="24"/>
          <w:shd w:val="clear" w:color="auto" w:fill="FFFFFF"/>
          <w:lang w:val="en-US"/>
        </w:rPr>
        <w:t xml:space="preserve">October </w:t>
      </w:r>
      <w:r w:rsidRPr="007E0B46">
        <w:rPr>
          <w:rFonts w:ascii="Times New Roman" w:eastAsia="Times New Roman" w:hAnsi="Times New Roman" w:cs="Times New Roman"/>
          <w:iCs/>
          <w:sz w:val="24"/>
          <w:szCs w:val="24"/>
          <w:shd w:val="clear" w:color="auto" w:fill="FFFFFF"/>
          <w:lang w:val="en-US"/>
        </w:rPr>
        <w:t>22</w:t>
      </w:r>
      <w:r>
        <w:rPr>
          <w:rFonts w:ascii="Times New Roman" w:eastAsia="Times New Roman" w:hAnsi="Times New Roman" w:cs="Times New Roman"/>
          <w:iCs/>
          <w:sz w:val="24"/>
          <w:szCs w:val="24"/>
          <w:shd w:val="clear" w:color="auto" w:fill="FFFFFF"/>
          <w:lang w:val="en-US"/>
        </w:rPr>
        <w:t>,</w:t>
      </w:r>
      <w:r w:rsidRPr="007E0B46">
        <w:rPr>
          <w:rFonts w:ascii="Times New Roman" w:eastAsia="Times New Roman" w:hAnsi="Times New Roman" w:cs="Times New Roman"/>
          <w:iCs/>
          <w:sz w:val="24"/>
          <w:szCs w:val="24"/>
          <w:shd w:val="clear" w:color="auto" w:fill="FFFFFF"/>
          <w:lang w:val="en-US"/>
        </w:rPr>
        <w:t xml:space="preserve"> 2025.</w:t>
      </w:r>
    </w:p>
    <w:p w14:paraId="006CD48C" w14:textId="77777777" w:rsidR="007E0B46" w:rsidRPr="007E0B46" w:rsidRDefault="007E0B46" w:rsidP="007E0B46">
      <w:pPr>
        <w:ind w:firstLine="708"/>
        <w:jc w:val="both"/>
        <w:rPr>
          <w:rFonts w:ascii="Times New Roman" w:eastAsia="Times New Roman" w:hAnsi="Times New Roman" w:cs="Times New Roman"/>
          <w:iCs/>
          <w:sz w:val="24"/>
          <w:szCs w:val="24"/>
          <w:shd w:val="clear" w:color="auto" w:fill="FFFFFF"/>
          <w:lang w:val="en-US"/>
        </w:rPr>
      </w:pPr>
      <w:r w:rsidRPr="007E0B46">
        <w:rPr>
          <w:rFonts w:ascii="Times New Roman" w:eastAsia="Times New Roman" w:hAnsi="Times New Roman" w:cs="Times New Roman"/>
          <w:iCs/>
          <w:sz w:val="24"/>
          <w:szCs w:val="24"/>
          <w:shd w:val="clear" w:color="auto" w:fill="FFFFFF"/>
          <w:lang w:val="en-US"/>
        </w:rPr>
        <w:t xml:space="preserve">In addition to budget financing, a significant portion of Tax Administration activities is financed through loans under the aforementioned Loan Agreement. Certain activities within the PFMRP 2026–2030 are also implemented with the support of development partners through projects and technical assistance focused on public financial management reform. In this context, the Republic of Serbia benefits from the IPA 2021 project “EU PFM Facility”, funded by the European Union and implemented by UNDP, supporting key reform priorities in public finance and alignment with EU standards. IPA funds also finance other public financial </w:t>
      </w:r>
      <w:r w:rsidRPr="007E0B46">
        <w:rPr>
          <w:rFonts w:ascii="Times New Roman" w:eastAsia="Times New Roman" w:hAnsi="Times New Roman" w:cs="Times New Roman"/>
          <w:iCs/>
          <w:sz w:val="24"/>
          <w:szCs w:val="24"/>
          <w:shd w:val="clear" w:color="auto" w:fill="FFFFFF"/>
          <w:lang w:val="en-US"/>
        </w:rPr>
        <w:lastRenderedPageBreak/>
        <w:t>management reform projects, such as the Twinning project of the Tax Administration for further strengthening its education function, and the Twinning project for strengthening the system for managing EU traditional own resources. The Customs Administration is implementing several IPA projects aimed at introducing automated import and export systems and customs decision management systems, equipping the customs laboratory, and improving post-clearance control systems.</w:t>
      </w:r>
    </w:p>
    <w:p w14:paraId="6A229C9B" w14:textId="6899AF88" w:rsidR="007E0B46" w:rsidRPr="007E0B46" w:rsidRDefault="007E0B46" w:rsidP="007E0B46">
      <w:pPr>
        <w:ind w:firstLine="708"/>
        <w:jc w:val="both"/>
        <w:rPr>
          <w:rFonts w:ascii="Times New Roman" w:eastAsia="Times New Roman" w:hAnsi="Times New Roman" w:cs="Times New Roman"/>
          <w:iCs/>
          <w:sz w:val="24"/>
          <w:szCs w:val="24"/>
          <w:shd w:val="clear" w:color="auto" w:fill="FFFFFF"/>
          <w:lang w:val="en-US"/>
        </w:rPr>
      </w:pPr>
      <w:r w:rsidRPr="007E0B46">
        <w:rPr>
          <w:rFonts w:ascii="Times New Roman" w:eastAsia="Times New Roman" w:hAnsi="Times New Roman" w:cs="Times New Roman"/>
          <w:iCs/>
          <w:sz w:val="24"/>
          <w:szCs w:val="24"/>
          <w:shd w:val="clear" w:color="auto" w:fill="FFFFFF"/>
          <w:lang w:val="en-US"/>
        </w:rPr>
        <w:t>Furthermore, significant and continuous support is provided by the Government of the Federal Republic of Germany through projects implemented by GIZ, focused on various segments of public financial management reform, capacity building and improving transparency and accountability in public fund management. The Good Governance for EU Accession project is part of German development assistance implemented by GIZ starting from early 2026.</w:t>
      </w:r>
    </w:p>
    <w:p w14:paraId="4CDEC46B" w14:textId="77777777" w:rsidR="007E0B46" w:rsidRPr="007E0B46" w:rsidRDefault="007E0B46" w:rsidP="007E0B46">
      <w:pPr>
        <w:ind w:firstLine="708"/>
        <w:jc w:val="both"/>
        <w:rPr>
          <w:rFonts w:ascii="Times New Roman" w:eastAsia="Times New Roman" w:hAnsi="Times New Roman" w:cs="Times New Roman"/>
          <w:iCs/>
          <w:sz w:val="24"/>
          <w:szCs w:val="24"/>
          <w:shd w:val="clear" w:color="auto" w:fill="FFFFFF"/>
          <w:lang w:val="en-US"/>
        </w:rPr>
      </w:pPr>
      <w:r w:rsidRPr="007E0B46">
        <w:rPr>
          <w:rFonts w:ascii="Times New Roman" w:eastAsia="Times New Roman" w:hAnsi="Times New Roman" w:cs="Times New Roman"/>
          <w:iCs/>
          <w:sz w:val="24"/>
          <w:szCs w:val="24"/>
          <w:shd w:val="clear" w:color="auto" w:fill="FFFFFF"/>
          <w:lang w:val="en-US"/>
        </w:rPr>
        <w:t>Additional bilateral support is also available from Switzerland through the Swiss Economic Cooperation Program (SECO) in Serbia, where public financial management is recognized as a relevant component of cooperation at both central and local levels. The World Bank is also implementing a Swiss-funded project – “Efficient Public Financial Management and Improved Business Environment”, primarily focused on budgeting and capital projects.</w:t>
      </w:r>
    </w:p>
    <w:p w14:paraId="19222792" w14:textId="77777777" w:rsidR="007E0B46" w:rsidRPr="007E0B46" w:rsidRDefault="007E0B46" w:rsidP="007E0B46">
      <w:pPr>
        <w:ind w:firstLine="708"/>
        <w:jc w:val="both"/>
        <w:rPr>
          <w:rFonts w:ascii="Times New Roman" w:eastAsia="Times New Roman" w:hAnsi="Times New Roman" w:cs="Times New Roman"/>
          <w:iCs/>
          <w:sz w:val="24"/>
          <w:szCs w:val="24"/>
          <w:shd w:val="clear" w:color="auto" w:fill="FFFFFF"/>
          <w:lang w:val="en-US"/>
        </w:rPr>
      </w:pPr>
      <w:r w:rsidRPr="007E0B46">
        <w:rPr>
          <w:rFonts w:ascii="Times New Roman" w:eastAsia="Times New Roman" w:hAnsi="Times New Roman" w:cs="Times New Roman"/>
          <w:iCs/>
          <w:sz w:val="24"/>
          <w:szCs w:val="24"/>
          <w:shd w:val="clear" w:color="auto" w:fill="FFFFFF"/>
          <w:lang w:val="en-US"/>
        </w:rPr>
        <w:t>Ongoing support in this area also includes bilateral assistance from the Slovak Republic and regional support from the Republic of Slovenia.</w:t>
      </w:r>
    </w:p>
    <w:p w14:paraId="4E54D8B1" w14:textId="77777777" w:rsidR="007E0B46" w:rsidRPr="007E0B46" w:rsidRDefault="007E0B46" w:rsidP="007E0B46">
      <w:pPr>
        <w:ind w:firstLine="708"/>
        <w:jc w:val="both"/>
        <w:rPr>
          <w:rFonts w:ascii="Times New Roman" w:eastAsia="Times New Roman" w:hAnsi="Times New Roman" w:cs="Times New Roman"/>
          <w:iCs/>
          <w:sz w:val="24"/>
          <w:szCs w:val="24"/>
          <w:shd w:val="clear" w:color="auto" w:fill="FFFFFF"/>
          <w:lang w:val="en-US"/>
        </w:rPr>
      </w:pPr>
      <w:r w:rsidRPr="007E0B46">
        <w:rPr>
          <w:rFonts w:ascii="Times New Roman" w:eastAsia="Times New Roman" w:hAnsi="Times New Roman" w:cs="Times New Roman"/>
          <w:iCs/>
          <w:sz w:val="24"/>
          <w:szCs w:val="24"/>
          <w:shd w:val="clear" w:color="auto" w:fill="FFFFFF"/>
          <w:lang w:val="en-US"/>
        </w:rPr>
        <w:t>Particularly important is the donor support for public financial management reform through the IPA sector budget support instrument for the public administration reform sector (IPA 2022).</w:t>
      </w:r>
    </w:p>
    <w:p w14:paraId="2809D12C" w14:textId="77777777" w:rsidR="007E0B46" w:rsidRPr="007E0B46" w:rsidRDefault="007E0B46" w:rsidP="007E0B46">
      <w:pPr>
        <w:ind w:firstLine="708"/>
        <w:jc w:val="both"/>
        <w:rPr>
          <w:rFonts w:ascii="Times New Roman" w:eastAsia="Times New Roman" w:hAnsi="Times New Roman" w:cs="Times New Roman"/>
          <w:iCs/>
          <w:sz w:val="24"/>
          <w:szCs w:val="24"/>
          <w:shd w:val="clear" w:color="auto" w:fill="FFFFFF"/>
          <w:lang w:val="en-US"/>
        </w:rPr>
      </w:pPr>
      <w:r w:rsidRPr="007E0B46">
        <w:rPr>
          <w:rFonts w:ascii="Times New Roman" w:eastAsia="Times New Roman" w:hAnsi="Times New Roman" w:cs="Times New Roman"/>
          <w:iCs/>
          <w:sz w:val="24"/>
          <w:szCs w:val="24"/>
          <w:shd w:val="clear" w:color="auto" w:fill="FFFFFF"/>
          <w:lang w:val="en-US"/>
        </w:rPr>
        <w:t>Through regional projects, Serbia also benefits from expert support from the International Monetary Fund (IMF), including regional advisors, aimed at strengthening selected public finance functions and capacities. Finally, an important pillar of support is the regional World Bank trust fund project – “Strengthening Fiscal Governance in the Western Balkans”, focused on improving key public financial management functions (including the link between public financial management, service quality, and the green transition), as well as various thematic activities.</w:t>
      </w:r>
    </w:p>
    <w:p w14:paraId="1BAA5AC8" w14:textId="6AEFE52C" w:rsidR="007E0B46" w:rsidRPr="007E0B46" w:rsidRDefault="007E0B46" w:rsidP="007E0B46">
      <w:pPr>
        <w:ind w:firstLine="708"/>
        <w:jc w:val="both"/>
        <w:rPr>
          <w:rFonts w:ascii="Times New Roman" w:eastAsia="Times New Roman" w:hAnsi="Times New Roman" w:cs="Times New Roman"/>
          <w:iCs/>
          <w:sz w:val="24"/>
          <w:szCs w:val="24"/>
          <w:shd w:val="clear" w:color="auto" w:fill="FFFFFF"/>
          <w:lang w:val="en-US"/>
        </w:rPr>
      </w:pPr>
      <w:r w:rsidRPr="007E0B46">
        <w:rPr>
          <w:rFonts w:ascii="Times New Roman" w:eastAsia="Times New Roman" w:hAnsi="Times New Roman" w:cs="Times New Roman"/>
          <w:iCs/>
          <w:sz w:val="24"/>
          <w:szCs w:val="24"/>
          <w:shd w:val="clear" w:color="auto" w:fill="FFFFFF"/>
          <w:lang w:val="en-US"/>
        </w:rPr>
        <w:t>The costing of the PFMRP Action Plan is carried out in accordance with the Public Policy Costing Manual, as well as the methodology for calculating standard costs for policy planning documents. Accordingly, the cost assessment is based on additional, direct and variable costs of new or expanded activities, which is why regular sector activities are not included.</w:t>
      </w:r>
    </w:p>
    <w:p w14:paraId="71695D4E" w14:textId="77777777" w:rsidR="007E0B46" w:rsidRPr="007E0B46" w:rsidRDefault="007E0B46" w:rsidP="007E0B46">
      <w:pPr>
        <w:ind w:firstLine="708"/>
        <w:jc w:val="both"/>
        <w:rPr>
          <w:rFonts w:ascii="Times New Roman" w:eastAsia="Times New Roman" w:hAnsi="Times New Roman" w:cs="Times New Roman"/>
          <w:iCs/>
          <w:sz w:val="24"/>
          <w:szCs w:val="24"/>
          <w:shd w:val="clear" w:color="auto" w:fill="FFFFFF"/>
          <w:lang w:val="en-US"/>
        </w:rPr>
      </w:pPr>
      <w:r w:rsidRPr="007E0B46">
        <w:rPr>
          <w:rFonts w:ascii="Times New Roman" w:eastAsia="Times New Roman" w:hAnsi="Times New Roman" w:cs="Times New Roman"/>
          <w:iCs/>
          <w:sz w:val="24"/>
          <w:szCs w:val="24"/>
          <w:shd w:val="clear" w:color="auto" w:fill="FFFFFF"/>
          <w:lang w:val="en-US"/>
        </w:rPr>
        <w:t>A graphical overview of the required financial resources for implementing the PFMRP 2026–2030 is presented below, while the detailed cost estimates at the activity level can be found within the Action Plan.</w:t>
      </w:r>
    </w:p>
    <w:tbl>
      <w:tblPr>
        <w:tblW w:w="8580" w:type="dxa"/>
        <w:tblLook w:val="04A0" w:firstRow="1" w:lastRow="0" w:firstColumn="1" w:lastColumn="0" w:noHBand="0" w:noVBand="1"/>
      </w:tblPr>
      <w:tblGrid>
        <w:gridCol w:w="1960"/>
        <w:gridCol w:w="1800"/>
        <w:gridCol w:w="1900"/>
        <w:gridCol w:w="1500"/>
        <w:gridCol w:w="1420"/>
      </w:tblGrid>
      <w:tr w:rsidR="00D30238" w:rsidRPr="001053DB" w14:paraId="65A1B698" w14:textId="77777777" w:rsidTr="0064657F">
        <w:trPr>
          <w:cantSplit/>
          <w:trHeight w:val="1291"/>
        </w:trPr>
        <w:tc>
          <w:tcPr>
            <w:tcW w:w="19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000000" w:fill="153D64"/>
            <w:vAlign w:val="center"/>
            <w:hideMark/>
          </w:tcPr>
          <w:p w14:paraId="7EF78527" w14:textId="2752D5BB" w:rsidR="004B7013" w:rsidRPr="00873EBF" w:rsidRDefault="00873EBF" w:rsidP="009A1323">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lastRenderedPageBreak/>
              <w:t>Specific objectives and measures</w:t>
            </w:r>
          </w:p>
        </w:tc>
        <w:tc>
          <w:tcPr>
            <w:tcW w:w="18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000000" w:fill="153D64"/>
            <w:vAlign w:val="center"/>
            <w:hideMark/>
          </w:tcPr>
          <w:p w14:paraId="78BC2013" w14:textId="37CAFF11" w:rsidR="004B7013" w:rsidRPr="00BB29A4" w:rsidRDefault="00BB29A4" w:rsidP="009A1323">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Budget funds and loans</w:t>
            </w:r>
          </w:p>
        </w:tc>
        <w:tc>
          <w:tcPr>
            <w:tcW w:w="19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000000" w:fill="153D64"/>
            <w:vAlign w:val="center"/>
            <w:hideMark/>
          </w:tcPr>
          <w:p w14:paraId="6427834B" w14:textId="2DD341D0" w:rsidR="004B7013" w:rsidRPr="001053DB" w:rsidRDefault="00BB29A4" w:rsidP="009A1323">
            <w:pPr>
              <w:spacing w:after="0" w:line="240" w:lineRule="auto"/>
              <w:jc w:val="center"/>
              <w:rPr>
                <w:rFonts w:ascii="Times New Roman" w:eastAsia="Times New Roman" w:hAnsi="Times New Roman" w:cs="Times New Roman"/>
                <w:lang w:val="sr-Cyrl-CS"/>
              </w:rPr>
            </w:pPr>
            <w:r>
              <w:rPr>
                <w:rFonts w:ascii="Times New Roman" w:eastAsia="Times New Roman" w:hAnsi="Times New Roman" w:cs="Times New Roman"/>
                <w:lang w:val="en-US"/>
              </w:rPr>
              <w:t>Development aid funds</w:t>
            </w:r>
            <w:r w:rsidR="004B7013" w:rsidRPr="001053DB">
              <w:rPr>
                <w:rFonts w:ascii="Times New Roman" w:eastAsia="Times New Roman" w:hAnsi="Times New Roman" w:cs="Times New Roman"/>
                <w:lang w:val="sr-Cyrl-CS"/>
              </w:rPr>
              <w:t xml:space="preserve"> (</w:t>
            </w:r>
            <w:r>
              <w:rPr>
                <w:rFonts w:ascii="Times New Roman" w:eastAsia="Times New Roman" w:hAnsi="Times New Roman" w:cs="Times New Roman"/>
                <w:lang w:val="en-US"/>
              </w:rPr>
              <w:t>donations</w:t>
            </w:r>
            <w:r w:rsidR="004B7013" w:rsidRPr="001053DB">
              <w:rPr>
                <w:rFonts w:ascii="Times New Roman" w:eastAsia="Times New Roman" w:hAnsi="Times New Roman" w:cs="Times New Roman"/>
                <w:lang w:val="sr-Cyrl-CS"/>
              </w:rPr>
              <w:t>)</w:t>
            </w:r>
          </w:p>
        </w:tc>
        <w:tc>
          <w:tcPr>
            <w:tcW w:w="15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000000" w:fill="153D64"/>
            <w:vAlign w:val="center"/>
            <w:hideMark/>
          </w:tcPr>
          <w:p w14:paraId="5AE4C0F7" w14:textId="3C832CFC" w:rsidR="004B7013" w:rsidRPr="00BB29A4" w:rsidRDefault="00BB29A4" w:rsidP="009A1323">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Missing funds</w:t>
            </w:r>
          </w:p>
        </w:tc>
        <w:tc>
          <w:tcPr>
            <w:tcW w:w="14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000000" w:fill="153D64"/>
            <w:vAlign w:val="center"/>
            <w:hideMark/>
          </w:tcPr>
          <w:p w14:paraId="14CBB314" w14:textId="6EB112FE" w:rsidR="004B7013" w:rsidRPr="00BB29A4" w:rsidRDefault="00BB29A4" w:rsidP="009A1323">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TOTAL</w:t>
            </w:r>
          </w:p>
        </w:tc>
      </w:tr>
      <w:tr w:rsidR="00D30238" w:rsidRPr="001053DB" w14:paraId="35D70550" w14:textId="77777777" w:rsidTr="008224EA">
        <w:trPr>
          <w:cantSplit/>
          <w:trHeight w:val="510"/>
        </w:trPr>
        <w:tc>
          <w:tcPr>
            <w:tcW w:w="1960" w:type="dxa"/>
            <w:tcBorders>
              <w:top w:val="single" w:sz="4" w:space="0" w:color="FFFFFF" w:themeColor="background1"/>
              <w:left w:val="single" w:sz="4" w:space="0" w:color="FFFFFF" w:themeColor="background1"/>
              <w:bottom w:val="single" w:sz="4" w:space="0" w:color="BFBFBF"/>
              <w:right w:val="single" w:sz="4" w:space="0" w:color="FFFFFF" w:themeColor="background1"/>
            </w:tcBorders>
            <w:shd w:val="clear" w:color="000000" w:fill="A6C9EC"/>
            <w:noWrap/>
            <w:vAlign w:val="center"/>
            <w:hideMark/>
          </w:tcPr>
          <w:p w14:paraId="07E6C521" w14:textId="35CD4F44"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Specific objective</w:t>
            </w:r>
            <w:r w:rsidR="004B7013" w:rsidRPr="001053DB">
              <w:rPr>
                <w:rFonts w:ascii="Times New Roman" w:eastAsia="Times New Roman" w:hAnsi="Times New Roman" w:cs="Times New Roman"/>
                <w:lang w:val="sr-Cyrl-CS"/>
              </w:rPr>
              <w:t xml:space="preserve"> 1.</w:t>
            </w:r>
          </w:p>
        </w:tc>
        <w:tc>
          <w:tcPr>
            <w:tcW w:w="1800" w:type="dxa"/>
            <w:tcBorders>
              <w:top w:val="single" w:sz="4" w:space="0" w:color="FFFFFF" w:themeColor="background1"/>
              <w:left w:val="single" w:sz="4" w:space="0" w:color="FFFFFF" w:themeColor="background1"/>
              <w:bottom w:val="single" w:sz="4" w:space="0" w:color="BFBFBF"/>
              <w:right w:val="single" w:sz="4" w:space="0" w:color="FFFFFF" w:themeColor="background1"/>
            </w:tcBorders>
            <w:shd w:val="clear" w:color="000000" w:fill="A6C9EC"/>
            <w:noWrap/>
            <w:vAlign w:val="center"/>
            <w:hideMark/>
          </w:tcPr>
          <w:p w14:paraId="3B2549A5"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125.000.000</w:t>
            </w:r>
          </w:p>
        </w:tc>
        <w:tc>
          <w:tcPr>
            <w:tcW w:w="1900" w:type="dxa"/>
            <w:tcBorders>
              <w:top w:val="single" w:sz="4" w:space="0" w:color="FFFFFF" w:themeColor="background1"/>
              <w:left w:val="single" w:sz="4" w:space="0" w:color="FFFFFF" w:themeColor="background1"/>
              <w:bottom w:val="single" w:sz="4" w:space="0" w:color="BFBFBF"/>
              <w:right w:val="single" w:sz="4" w:space="0" w:color="FFFFFF" w:themeColor="background1"/>
            </w:tcBorders>
            <w:shd w:val="clear" w:color="000000" w:fill="A6C9EC"/>
            <w:noWrap/>
            <w:vAlign w:val="center"/>
            <w:hideMark/>
          </w:tcPr>
          <w:p w14:paraId="208723CC"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279.850.000</w:t>
            </w:r>
          </w:p>
        </w:tc>
        <w:tc>
          <w:tcPr>
            <w:tcW w:w="1500" w:type="dxa"/>
            <w:tcBorders>
              <w:top w:val="single" w:sz="4" w:space="0" w:color="FFFFFF" w:themeColor="background1"/>
              <w:left w:val="single" w:sz="4" w:space="0" w:color="FFFFFF" w:themeColor="background1"/>
              <w:bottom w:val="single" w:sz="4" w:space="0" w:color="BFBFBF"/>
              <w:right w:val="single" w:sz="4" w:space="0" w:color="FFFFFF" w:themeColor="background1"/>
            </w:tcBorders>
            <w:shd w:val="clear" w:color="000000" w:fill="A6C9EC"/>
            <w:noWrap/>
            <w:vAlign w:val="center"/>
            <w:hideMark/>
          </w:tcPr>
          <w:p w14:paraId="7B750F50"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32.100.000</w:t>
            </w:r>
          </w:p>
        </w:tc>
        <w:tc>
          <w:tcPr>
            <w:tcW w:w="1420" w:type="dxa"/>
            <w:tcBorders>
              <w:top w:val="single" w:sz="4" w:space="0" w:color="FFFFFF" w:themeColor="background1"/>
              <w:left w:val="single" w:sz="4" w:space="0" w:color="FFFFFF" w:themeColor="background1"/>
              <w:bottom w:val="single" w:sz="4" w:space="0" w:color="BFBFBF"/>
              <w:right w:val="single" w:sz="4" w:space="0" w:color="FFFFFF" w:themeColor="background1"/>
            </w:tcBorders>
            <w:shd w:val="clear" w:color="000000" w:fill="A6C9EC"/>
            <w:noWrap/>
            <w:vAlign w:val="center"/>
            <w:hideMark/>
          </w:tcPr>
          <w:p w14:paraId="54D977D5"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436.950.000</w:t>
            </w:r>
          </w:p>
        </w:tc>
      </w:tr>
      <w:tr w:rsidR="00D30238" w:rsidRPr="001053DB" w14:paraId="0C9A9839"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14F3AD39" w14:textId="62473768"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1.1</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63493168"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09F94A7C"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85.000.000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3BAB3982"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22.800.000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32CA0E7D"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107.800.000</w:t>
            </w:r>
          </w:p>
        </w:tc>
      </w:tr>
      <w:tr w:rsidR="00D30238" w:rsidRPr="001053DB" w14:paraId="6BBB1A43"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21CE68C6" w14:textId="11CDE39F"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1.2</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069631E6"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4B050059"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19EB2E3A"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6.900.000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6E591D04"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6.900.000</w:t>
            </w:r>
          </w:p>
        </w:tc>
      </w:tr>
      <w:tr w:rsidR="00D30238" w:rsidRPr="001053DB" w14:paraId="7109C768"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03EB6744" w14:textId="3F99EE2E"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1.3</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78E556F8"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11465BF0"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5341B2C5"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2.400.000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1A740C55"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2.400.000</w:t>
            </w:r>
          </w:p>
        </w:tc>
      </w:tr>
      <w:tr w:rsidR="00D30238" w:rsidRPr="001053DB" w14:paraId="1FBF62F1"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1F33D945" w14:textId="0678725F"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1.4</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2322E28B"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0C59A400"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6.600.000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65F53BA3"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0BFDB96E"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6.600.000</w:t>
            </w:r>
          </w:p>
        </w:tc>
      </w:tr>
      <w:tr w:rsidR="00D30238" w:rsidRPr="001053DB" w14:paraId="17AFD419"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0C4370F3" w14:textId="03816174"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1.5</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1250D300"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41BB6DBC"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68.250.000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4E6D8AC1"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5B70F690"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68.250.000</w:t>
            </w:r>
          </w:p>
        </w:tc>
      </w:tr>
      <w:tr w:rsidR="00D30238" w:rsidRPr="001053DB" w14:paraId="49450C35"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4F687821" w14:textId="12CC4D45"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1.6</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75D57AE7"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125.000.000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19D8E5DC"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120.000.000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30F6D8CD"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08E80CF0"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245.000.000</w:t>
            </w:r>
          </w:p>
        </w:tc>
      </w:tr>
      <w:tr w:rsidR="00D30238" w:rsidRPr="001053DB" w14:paraId="5CDF145E"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78F22FDB" w14:textId="679FA447"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1.7</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7E22E642"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1BE85C01"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3C1E46BD"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708C9939"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r>
      <w:tr w:rsidR="00D30238" w:rsidRPr="001053DB" w14:paraId="073B5D46"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751D534E" w14:textId="344F5DCC"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Specific objective</w:t>
            </w:r>
            <w:r w:rsidR="004B7013" w:rsidRPr="001053DB">
              <w:rPr>
                <w:rFonts w:ascii="Times New Roman" w:eastAsia="Times New Roman" w:hAnsi="Times New Roman" w:cs="Times New Roman"/>
                <w:lang w:val="sr-Cyrl-CS"/>
              </w:rPr>
              <w:t xml:space="preserve"> 2.</w:t>
            </w:r>
          </w:p>
        </w:tc>
        <w:tc>
          <w:tcPr>
            <w:tcW w:w="18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0111CC87" w14:textId="5EDFC450" w:rsidR="004B7013" w:rsidRPr="001053DB" w:rsidRDefault="00BD53FE"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6.382.333.000</w:t>
            </w:r>
          </w:p>
        </w:tc>
        <w:tc>
          <w:tcPr>
            <w:tcW w:w="19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22E00DD1" w14:textId="497B14B8" w:rsidR="004B7013" w:rsidRPr="001053DB" w:rsidRDefault="00511A60"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1.236.143.090</w:t>
            </w:r>
          </w:p>
        </w:tc>
        <w:tc>
          <w:tcPr>
            <w:tcW w:w="15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087EDC4E"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130.610.000</w:t>
            </w:r>
          </w:p>
        </w:tc>
        <w:tc>
          <w:tcPr>
            <w:tcW w:w="142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05D63EFF" w14:textId="11D6A0A7" w:rsidR="004B7013" w:rsidRPr="001053DB" w:rsidRDefault="00511A60"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7.749.086.090</w:t>
            </w:r>
          </w:p>
        </w:tc>
      </w:tr>
      <w:tr w:rsidR="00D30238" w:rsidRPr="001053DB" w14:paraId="5309F92D"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0B75EABC" w14:textId="775C70C2"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2.1</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45BAF524" w14:textId="71DDD6EB" w:rsidR="004B7013" w:rsidRPr="001053DB" w:rsidRDefault="00DC0B56"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6.249.983.000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305B492C" w14:textId="668AF4AC" w:rsidR="004B7013" w:rsidRPr="001053DB" w:rsidRDefault="001514AE"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249.953.950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3912EC1C"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650.000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25F8C0D2" w14:textId="7BD95BB3" w:rsidR="004B7013" w:rsidRPr="001053DB" w:rsidRDefault="001514AE"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6.500.586.950</w:t>
            </w:r>
          </w:p>
        </w:tc>
      </w:tr>
      <w:tr w:rsidR="00D30238" w:rsidRPr="001053DB" w14:paraId="13B0AA09"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40A918BA" w14:textId="3E1A6210"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2.2</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32266832"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350.000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06780ABA"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46403CC3"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2967F1B6"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350.000</w:t>
            </w:r>
          </w:p>
        </w:tc>
      </w:tr>
      <w:tr w:rsidR="00D30238" w:rsidRPr="001053DB" w14:paraId="0253568F"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7B77E9B7" w14:textId="0CA7DE07"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2.3</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424E1880" w14:textId="5C9FCD79" w:rsidR="004B7013" w:rsidRPr="001053DB" w:rsidRDefault="00BD53FE"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132.000.000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490ECCA1" w14:textId="799A8713" w:rsidR="004B7013" w:rsidRPr="001053DB" w:rsidRDefault="00BD53FE"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986.189.140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57CD0611"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105.600.000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6F6EA240" w14:textId="383CE83A" w:rsidR="004B7013" w:rsidRPr="001053DB" w:rsidRDefault="00BD53FE"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1.223.789.140</w:t>
            </w:r>
          </w:p>
        </w:tc>
      </w:tr>
      <w:tr w:rsidR="00D30238" w:rsidRPr="001053DB" w14:paraId="6DD6135F"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522C4F3D" w14:textId="795C89B4"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2.4</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08E8C636"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6508B113"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197E0D3B"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15.000.000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13CE566B"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15.000.000</w:t>
            </w:r>
          </w:p>
        </w:tc>
      </w:tr>
      <w:tr w:rsidR="00D30238" w:rsidRPr="001053DB" w14:paraId="2F00322E"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48B20ECF" w14:textId="366661D4"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2.5</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71EEF93B"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77DC4B0F"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59387DC0"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9.360.000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673D1FF7"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9.360.000</w:t>
            </w:r>
          </w:p>
        </w:tc>
      </w:tr>
      <w:tr w:rsidR="00D30238" w:rsidRPr="001053DB" w14:paraId="1D333ACE"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3591D452" w14:textId="106CEA84"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Specific objective</w:t>
            </w:r>
            <w:r w:rsidR="004B7013" w:rsidRPr="001053DB">
              <w:rPr>
                <w:rFonts w:ascii="Times New Roman" w:eastAsia="Times New Roman" w:hAnsi="Times New Roman" w:cs="Times New Roman"/>
                <w:lang w:val="sr-Cyrl-CS"/>
              </w:rPr>
              <w:t xml:space="preserve"> 3.</w:t>
            </w:r>
          </w:p>
        </w:tc>
        <w:tc>
          <w:tcPr>
            <w:tcW w:w="18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368B1DD0" w14:textId="5A5714CD"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79.11</w:t>
            </w:r>
            <w:r w:rsidR="006230A0" w:rsidRPr="001053DB">
              <w:rPr>
                <w:rFonts w:ascii="Times New Roman" w:eastAsia="Times New Roman" w:hAnsi="Times New Roman" w:cs="Times New Roman"/>
                <w:lang w:val="sr-Cyrl-CS"/>
              </w:rPr>
              <w:t>2</w:t>
            </w:r>
            <w:r w:rsidRPr="001053DB">
              <w:rPr>
                <w:rFonts w:ascii="Times New Roman" w:eastAsia="Times New Roman" w:hAnsi="Times New Roman" w:cs="Times New Roman"/>
                <w:lang w:val="sr-Cyrl-CS"/>
              </w:rPr>
              <w:t>.</w:t>
            </w:r>
            <w:r w:rsidR="006230A0" w:rsidRPr="001053DB">
              <w:rPr>
                <w:rFonts w:ascii="Times New Roman" w:eastAsia="Times New Roman" w:hAnsi="Times New Roman" w:cs="Times New Roman"/>
                <w:lang w:val="sr-Cyrl-CS"/>
              </w:rPr>
              <w:t>42</w:t>
            </w:r>
            <w:r w:rsidRPr="001053DB">
              <w:rPr>
                <w:rFonts w:ascii="Times New Roman" w:eastAsia="Times New Roman" w:hAnsi="Times New Roman" w:cs="Times New Roman"/>
                <w:lang w:val="sr-Cyrl-CS"/>
              </w:rPr>
              <w:t>0</w:t>
            </w:r>
          </w:p>
        </w:tc>
        <w:tc>
          <w:tcPr>
            <w:tcW w:w="19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12038E1B" w14:textId="59C5D70F" w:rsidR="004B7013" w:rsidRPr="001053DB" w:rsidRDefault="006230A0"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4</w:t>
            </w:r>
            <w:r w:rsidR="004B7013" w:rsidRPr="001053DB">
              <w:rPr>
                <w:rFonts w:ascii="Times New Roman" w:eastAsia="Times New Roman" w:hAnsi="Times New Roman" w:cs="Times New Roman"/>
                <w:lang w:val="sr-Cyrl-CS"/>
              </w:rPr>
              <w:t>.920.000</w:t>
            </w:r>
          </w:p>
        </w:tc>
        <w:tc>
          <w:tcPr>
            <w:tcW w:w="15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2D6F579C" w14:textId="15D84B72" w:rsidR="004B7013" w:rsidRPr="001053DB" w:rsidRDefault="006230A0"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w:t>
            </w:r>
            <w:r w:rsidR="004B7013" w:rsidRPr="001053DB">
              <w:rPr>
                <w:rFonts w:ascii="Times New Roman" w:eastAsia="Times New Roman" w:hAnsi="Times New Roman" w:cs="Times New Roman"/>
                <w:lang w:val="sr-Cyrl-CS"/>
              </w:rPr>
              <w:t>.000.000</w:t>
            </w:r>
          </w:p>
        </w:tc>
        <w:tc>
          <w:tcPr>
            <w:tcW w:w="142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2380BF2F" w14:textId="2B640D31"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90.03</w:t>
            </w:r>
            <w:r w:rsidR="006230A0" w:rsidRPr="001053DB">
              <w:rPr>
                <w:rFonts w:ascii="Times New Roman" w:eastAsia="Times New Roman" w:hAnsi="Times New Roman" w:cs="Times New Roman"/>
                <w:lang w:val="sr-Cyrl-CS"/>
              </w:rPr>
              <w:t>2</w:t>
            </w:r>
            <w:r w:rsidRPr="001053DB">
              <w:rPr>
                <w:rFonts w:ascii="Times New Roman" w:eastAsia="Times New Roman" w:hAnsi="Times New Roman" w:cs="Times New Roman"/>
                <w:lang w:val="sr-Cyrl-CS"/>
              </w:rPr>
              <w:t>.</w:t>
            </w:r>
            <w:r w:rsidR="006230A0" w:rsidRPr="001053DB">
              <w:rPr>
                <w:rFonts w:ascii="Times New Roman" w:eastAsia="Times New Roman" w:hAnsi="Times New Roman" w:cs="Times New Roman"/>
                <w:lang w:val="sr-Cyrl-CS"/>
              </w:rPr>
              <w:t>42</w:t>
            </w:r>
            <w:r w:rsidRPr="001053DB">
              <w:rPr>
                <w:rFonts w:ascii="Times New Roman" w:eastAsia="Times New Roman" w:hAnsi="Times New Roman" w:cs="Times New Roman"/>
                <w:lang w:val="sr-Cyrl-CS"/>
              </w:rPr>
              <w:t>0</w:t>
            </w:r>
          </w:p>
        </w:tc>
      </w:tr>
      <w:tr w:rsidR="00D30238" w:rsidRPr="001053DB" w14:paraId="4FEF1CE7"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5163A450" w14:textId="464621AD"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3.1</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76A362BB"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24.000.000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750F9FAF"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4.920.000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736DF13C"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5BCC83F4"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28.920.000</w:t>
            </w:r>
          </w:p>
        </w:tc>
      </w:tr>
      <w:tr w:rsidR="00D30238" w:rsidRPr="001053DB" w14:paraId="6BEFD5C9"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2334AE06" w14:textId="4D6CB8D5"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3.2</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3704E96E" w14:textId="385ADFB3" w:rsidR="004B7013" w:rsidRPr="001053DB" w:rsidRDefault="00F45EED"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50.612.420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527C0537" w14:textId="1144BA22" w:rsidR="004B7013" w:rsidRPr="001053DB" w:rsidRDefault="004B7013" w:rsidP="009A1323">
            <w:pPr>
              <w:spacing w:after="0" w:line="240" w:lineRule="auto"/>
              <w:jc w:val="center"/>
              <w:rPr>
                <w:rFonts w:ascii="Times New Roman" w:eastAsia="Times New Roman" w:hAnsi="Times New Roman" w:cs="Times New Roman"/>
                <w:lang w:val="sr-Cyrl-CS"/>
              </w:rPr>
            </w:pP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7AE0EA2A" w14:textId="14A5779B" w:rsidR="004B7013" w:rsidRPr="001053DB" w:rsidRDefault="00F45EED"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6.000.000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21844FA3" w14:textId="75BB06B6"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56.61</w:t>
            </w:r>
            <w:r w:rsidR="006230A0" w:rsidRPr="001053DB">
              <w:rPr>
                <w:rFonts w:ascii="Times New Roman" w:eastAsia="Times New Roman" w:hAnsi="Times New Roman" w:cs="Times New Roman"/>
                <w:lang w:val="sr-Cyrl-CS"/>
              </w:rPr>
              <w:t>2</w:t>
            </w:r>
            <w:r w:rsidRPr="001053DB">
              <w:rPr>
                <w:rFonts w:ascii="Times New Roman" w:eastAsia="Times New Roman" w:hAnsi="Times New Roman" w:cs="Times New Roman"/>
                <w:lang w:val="sr-Cyrl-CS"/>
              </w:rPr>
              <w:t>.</w:t>
            </w:r>
            <w:r w:rsidR="006230A0" w:rsidRPr="001053DB">
              <w:rPr>
                <w:rFonts w:ascii="Times New Roman" w:eastAsia="Times New Roman" w:hAnsi="Times New Roman" w:cs="Times New Roman"/>
                <w:lang w:val="sr-Cyrl-CS"/>
              </w:rPr>
              <w:t>420</w:t>
            </w:r>
          </w:p>
        </w:tc>
      </w:tr>
      <w:tr w:rsidR="00D30238" w:rsidRPr="001053DB" w14:paraId="200C478A"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6AE97B59" w14:textId="751EC6C6"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3.3</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1A2E04F0"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4.500.000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72802B8C"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3A139B30"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1D3547B2"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4.500.000</w:t>
            </w:r>
          </w:p>
        </w:tc>
      </w:tr>
      <w:tr w:rsidR="00D30238" w:rsidRPr="001053DB" w14:paraId="017CF94E"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122144BD" w14:textId="0B2DFE82"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Specific objective</w:t>
            </w:r>
            <w:r w:rsidR="004B7013" w:rsidRPr="001053DB">
              <w:rPr>
                <w:rFonts w:ascii="Times New Roman" w:eastAsia="Times New Roman" w:hAnsi="Times New Roman" w:cs="Times New Roman"/>
                <w:lang w:val="sr-Cyrl-CS"/>
              </w:rPr>
              <w:t xml:space="preserve"> 4.</w:t>
            </w:r>
          </w:p>
        </w:tc>
        <w:tc>
          <w:tcPr>
            <w:tcW w:w="18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2156C4B4" w14:textId="22FD767F"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w:t>
            </w:r>
            <w:r w:rsidR="0010653A" w:rsidRPr="001053DB">
              <w:rPr>
                <w:rFonts w:ascii="Times New Roman" w:eastAsia="Times New Roman" w:hAnsi="Times New Roman" w:cs="Times New Roman"/>
                <w:lang w:val="sr-Cyrl-CS"/>
              </w:rPr>
              <w:t>3</w:t>
            </w:r>
            <w:r w:rsidRPr="001053DB">
              <w:rPr>
                <w:rFonts w:ascii="Times New Roman" w:eastAsia="Times New Roman" w:hAnsi="Times New Roman" w:cs="Times New Roman"/>
                <w:lang w:val="sr-Cyrl-CS"/>
              </w:rPr>
              <w:t>.920.000</w:t>
            </w:r>
          </w:p>
        </w:tc>
        <w:tc>
          <w:tcPr>
            <w:tcW w:w="19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18C4F028"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12.100.000</w:t>
            </w:r>
          </w:p>
        </w:tc>
        <w:tc>
          <w:tcPr>
            <w:tcW w:w="15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563DDBF0"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20.150.000</w:t>
            </w:r>
          </w:p>
        </w:tc>
        <w:tc>
          <w:tcPr>
            <w:tcW w:w="142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1E2B62E0" w14:textId="70B79BB5"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4</w:t>
            </w:r>
            <w:r w:rsidR="0010653A" w:rsidRPr="001053DB">
              <w:rPr>
                <w:rFonts w:ascii="Times New Roman" w:eastAsia="Times New Roman" w:hAnsi="Times New Roman" w:cs="Times New Roman"/>
                <w:lang w:val="sr-Cyrl-CS"/>
              </w:rPr>
              <w:t>6</w:t>
            </w:r>
            <w:r w:rsidRPr="001053DB">
              <w:rPr>
                <w:rFonts w:ascii="Times New Roman" w:eastAsia="Times New Roman" w:hAnsi="Times New Roman" w:cs="Times New Roman"/>
                <w:lang w:val="sr-Cyrl-CS"/>
              </w:rPr>
              <w:t>.170.000</w:t>
            </w:r>
          </w:p>
        </w:tc>
      </w:tr>
      <w:tr w:rsidR="00D30238" w:rsidRPr="001053DB" w14:paraId="6E5A2E33"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3274D537" w14:textId="78D93FDF"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4.1</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47247B71"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5DA088EF"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4.300.000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72B22A1D"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38068CF4"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4.300.000</w:t>
            </w:r>
          </w:p>
        </w:tc>
      </w:tr>
      <w:tr w:rsidR="00D30238" w:rsidRPr="001053DB" w14:paraId="34CD56F4"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14AB5843" w14:textId="25A468D5"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4.2</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0C65AE07"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33D1F20C"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7.800.000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183F9658"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20.150.000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5A777B98"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27.950.000</w:t>
            </w:r>
          </w:p>
        </w:tc>
      </w:tr>
      <w:tr w:rsidR="00D30238" w:rsidRPr="001053DB" w14:paraId="6C2C17EB"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448D9539" w14:textId="25019FB3"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4.3</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06A28999" w14:textId="4EDD6A16"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w:t>
            </w:r>
            <w:r w:rsidR="000F1FA8" w:rsidRPr="001053DB">
              <w:rPr>
                <w:rFonts w:ascii="Times New Roman" w:eastAsia="Times New Roman" w:hAnsi="Times New Roman" w:cs="Times New Roman"/>
                <w:lang w:val="sr-Cyrl-CS"/>
              </w:rPr>
              <w:t>3</w:t>
            </w:r>
            <w:r w:rsidRPr="001053DB">
              <w:rPr>
                <w:rFonts w:ascii="Times New Roman" w:eastAsia="Times New Roman" w:hAnsi="Times New Roman" w:cs="Times New Roman"/>
                <w:lang w:val="sr-Cyrl-CS"/>
              </w:rPr>
              <w:t>.920.000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2485568D"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2A5619E5"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442C2249" w14:textId="1F3BA73C"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w:t>
            </w:r>
            <w:r w:rsidR="000F1FA8" w:rsidRPr="001053DB">
              <w:rPr>
                <w:rFonts w:ascii="Times New Roman" w:eastAsia="Times New Roman" w:hAnsi="Times New Roman" w:cs="Times New Roman"/>
                <w:lang w:val="sr-Cyrl-CS"/>
              </w:rPr>
              <w:t>3</w:t>
            </w:r>
            <w:r w:rsidRPr="001053DB">
              <w:rPr>
                <w:rFonts w:ascii="Times New Roman" w:eastAsia="Times New Roman" w:hAnsi="Times New Roman" w:cs="Times New Roman"/>
                <w:lang w:val="sr-Cyrl-CS"/>
              </w:rPr>
              <w:t>.920.000</w:t>
            </w:r>
          </w:p>
        </w:tc>
      </w:tr>
      <w:tr w:rsidR="00D30238" w:rsidRPr="001053DB" w14:paraId="01510BCC"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729E848F" w14:textId="23CFEE31"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Specific objective</w:t>
            </w:r>
            <w:r w:rsidR="004B7013" w:rsidRPr="001053DB">
              <w:rPr>
                <w:rFonts w:ascii="Times New Roman" w:eastAsia="Times New Roman" w:hAnsi="Times New Roman" w:cs="Times New Roman"/>
                <w:lang w:val="sr-Cyrl-CS"/>
              </w:rPr>
              <w:t xml:space="preserve"> 5.</w:t>
            </w:r>
          </w:p>
        </w:tc>
        <w:tc>
          <w:tcPr>
            <w:tcW w:w="18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46505B42"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5.500.000</w:t>
            </w:r>
          </w:p>
        </w:tc>
        <w:tc>
          <w:tcPr>
            <w:tcW w:w="19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13C9CFD1"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5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40363A6D"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1.600.000</w:t>
            </w:r>
          </w:p>
        </w:tc>
        <w:tc>
          <w:tcPr>
            <w:tcW w:w="142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7B6C3598"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7.100.000</w:t>
            </w:r>
          </w:p>
        </w:tc>
      </w:tr>
      <w:tr w:rsidR="00D30238" w:rsidRPr="001053DB" w14:paraId="160217B5"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1D3E4317" w14:textId="20972B56"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lastRenderedPageBreak/>
              <w:t>Measure</w:t>
            </w:r>
            <w:r w:rsidR="004B7013" w:rsidRPr="001053DB">
              <w:rPr>
                <w:rFonts w:ascii="Times New Roman" w:eastAsia="Times New Roman" w:hAnsi="Times New Roman" w:cs="Times New Roman"/>
                <w:lang w:val="sr-Cyrl-CS"/>
              </w:rPr>
              <w:t xml:space="preserve"> 5.1</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78A082C0"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1.500.000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40C4EA56"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5D5EBABC"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162EA1CE"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1.500.000</w:t>
            </w:r>
          </w:p>
        </w:tc>
      </w:tr>
      <w:tr w:rsidR="00D30238" w:rsidRPr="001053DB" w14:paraId="0C1B985C"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6954333F" w14:textId="0A54F569"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5.2</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5E3EF670"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4.000.000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30811EE0"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648A3856"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1.600.000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25A02797"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5.600.000</w:t>
            </w:r>
          </w:p>
        </w:tc>
      </w:tr>
      <w:tr w:rsidR="00D30238" w:rsidRPr="001053DB" w14:paraId="2A333B23"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19B0C65C" w14:textId="057B71A9"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Specific objective</w:t>
            </w:r>
            <w:r w:rsidR="004B7013" w:rsidRPr="001053DB">
              <w:rPr>
                <w:rFonts w:ascii="Times New Roman" w:eastAsia="Times New Roman" w:hAnsi="Times New Roman" w:cs="Times New Roman"/>
                <w:lang w:val="sr-Cyrl-CS"/>
              </w:rPr>
              <w:t xml:space="preserve"> 6.</w:t>
            </w:r>
          </w:p>
        </w:tc>
        <w:tc>
          <w:tcPr>
            <w:tcW w:w="18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2DB66F18"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71.970.000</w:t>
            </w:r>
          </w:p>
        </w:tc>
        <w:tc>
          <w:tcPr>
            <w:tcW w:w="19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4AD0C3FC"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5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45FB7356"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42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5A848D72"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71.970.000</w:t>
            </w:r>
          </w:p>
        </w:tc>
      </w:tr>
      <w:tr w:rsidR="00D30238" w:rsidRPr="001053DB" w14:paraId="39B8EDAB"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0A7076B3" w14:textId="5B60AD83"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004B7013" w:rsidRPr="001053DB">
              <w:rPr>
                <w:rFonts w:ascii="Times New Roman" w:eastAsia="Times New Roman" w:hAnsi="Times New Roman" w:cs="Times New Roman"/>
                <w:lang w:val="sr-Cyrl-CS"/>
              </w:rPr>
              <w:t xml:space="preserve"> 6.1</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1786615C"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65.970.000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1951BFF8"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703E53C0"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221FD19B"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65.970.000</w:t>
            </w:r>
          </w:p>
        </w:tc>
      </w:tr>
      <w:tr w:rsidR="00D30238" w:rsidRPr="001053DB" w14:paraId="7F7DDCCB"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noWrap/>
            <w:vAlign w:val="center"/>
            <w:hideMark/>
          </w:tcPr>
          <w:p w14:paraId="0682821B" w14:textId="3794247F" w:rsidR="004B7013" w:rsidRPr="001053DB" w:rsidRDefault="00873EBF" w:rsidP="009A132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en-US"/>
              </w:rPr>
              <w:t>Measure</w:t>
            </w:r>
            <w:r w:rsidRPr="001053DB">
              <w:rPr>
                <w:rFonts w:ascii="Times New Roman" w:eastAsia="Times New Roman" w:hAnsi="Times New Roman" w:cs="Times New Roman"/>
                <w:lang w:val="sr-Cyrl-CS"/>
              </w:rPr>
              <w:t xml:space="preserve"> </w:t>
            </w:r>
            <w:r w:rsidR="004B7013" w:rsidRPr="001053DB">
              <w:rPr>
                <w:rFonts w:ascii="Times New Roman" w:eastAsia="Times New Roman" w:hAnsi="Times New Roman" w:cs="Times New Roman"/>
                <w:lang w:val="sr-Cyrl-CS"/>
              </w:rPr>
              <w:t>6.2</w:t>
            </w:r>
          </w:p>
        </w:tc>
        <w:tc>
          <w:tcPr>
            <w:tcW w:w="1800" w:type="dxa"/>
            <w:tcBorders>
              <w:top w:val="single" w:sz="4" w:space="0" w:color="BFBFBF"/>
              <w:left w:val="single" w:sz="4" w:space="0" w:color="BFBFBF"/>
              <w:bottom w:val="single" w:sz="4" w:space="0" w:color="BFBFBF"/>
              <w:right w:val="single" w:sz="4" w:space="0" w:color="BFBFBF"/>
            </w:tcBorders>
            <w:noWrap/>
            <w:vAlign w:val="center"/>
            <w:hideMark/>
          </w:tcPr>
          <w:p w14:paraId="57C5F623"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6.000.000</w:t>
            </w:r>
          </w:p>
        </w:tc>
        <w:tc>
          <w:tcPr>
            <w:tcW w:w="1900" w:type="dxa"/>
            <w:tcBorders>
              <w:top w:val="single" w:sz="4" w:space="0" w:color="BFBFBF"/>
              <w:left w:val="single" w:sz="4" w:space="0" w:color="BFBFBF"/>
              <w:bottom w:val="single" w:sz="4" w:space="0" w:color="BFBFBF"/>
              <w:right w:val="single" w:sz="4" w:space="0" w:color="BFBFBF"/>
            </w:tcBorders>
            <w:noWrap/>
            <w:vAlign w:val="center"/>
            <w:hideMark/>
          </w:tcPr>
          <w:p w14:paraId="60807C9F"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500" w:type="dxa"/>
            <w:tcBorders>
              <w:top w:val="single" w:sz="4" w:space="0" w:color="BFBFBF"/>
              <w:left w:val="single" w:sz="4" w:space="0" w:color="BFBFBF"/>
              <w:bottom w:val="single" w:sz="4" w:space="0" w:color="BFBFBF"/>
              <w:right w:val="single" w:sz="4" w:space="0" w:color="BFBFBF"/>
            </w:tcBorders>
            <w:noWrap/>
            <w:vAlign w:val="center"/>
            <w:hideMark/>
          </w:tcPr>
          <w:p w14:paraId="3C39CCC8"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0</w:t>
            </w:r>
          </w:p>
        </w:tc>
        <w:tc>
          <w:tcPr>
            <w:tcW w:w="1420" w:type="dxa"/>
            <w:tcBorders>
              <w:top w:val="single" w:sz="4" w:space="0" w:color="BFBFBF"/>
              <w:left w:val="single" w:sz="4" w:space="0" w:color="BFBFBF"/>
              <w:bottom w:val="single" w:sz="4" w:space="0" w:color="BFBFBF"/>
              <w:right w:val="single" w:sz="4" w:space="0" w:color="BFBFBF"/>
            </w:tcBorders>
            <w:noWrap/>
            <w:vAlign w:val="center"/>
            <w:hideMark/>
          </w:tcPr>
          <w:p w14:paraId="1071F983" w14:textId="77777777" w:rsidR="004B7013" w:rsidRPr="001053DB" w:rsidRDefault="004B7013" w:rsidP="009A1323">
            <w:pPr>
              <w:spacing w:after="0" w:line="240" w:lineRule="auto"/>
              <w:jc w:val="center"/>
              <w:rPr>
                <w:rFonts w:ascii="Times New Roman" w:eastAsia="Times New Roman" w:hAnsi="Times New Roman" w:cs="Times New Roman"/>
                <w:lang w:val="sr-Cyrl-CS"/>
              </w:rPr>
            </w:pPr>
            <w:r w:rsidRPr="001053DB">
              <w:rPr>
                <w:rFonts w:ascii="Times New Roman" w:eastAsia="Times New Roman" w:hAnsi="Times New Roman" w:cs="Times New Roman"/>
                <w:lang w:val="sr-Cyrl-CS"/>
              </w:rPr>
              <w:t>6.000.000</w:t>
            </w:r>
          </w:p>
        </w:tc>
      </w:tr>
      <w:tr w:rsidR="00D30238" w:rsidRPr="001053DB" w14:paraId="0C623A86" w14:textId="77777777" w:rsidTr="008224EA">
        <w:trPr>
          <w:cantSplit/>
          <w:trHeight w:val="510"/>
        </w:trPr>
        <w:tc>
          <w:tcPr>
            <w:tcW w:w="196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1A8C5F85" w14:textId="1299EA6B" w:rsidR="004B7013" w:rsidRPr="001053DB" w:rsidRDefault="00873EBF" w:rsidP="009A1323">
            <w:pPr>
              <w:spacing w:after="0" w:line="240" w:lineRule="auto"/>
              <w:rPr>
                <w:rFonts w:ascii="Times New Roman" w:eastAsia="Times New Roman" w:hAnsi="Times New Roman" w:cs="Times New Roman"/>
                <w:b/>
                <w:bCs/>
                <w:lang w:val="sr-Cyrl-CS"/>
              </w:rPr>
            </w:pPr>
            <w:r>
              <w:rPr>
                <w:rFonts w:ascii="Times New Roman" w:eastAsia="Times New Roman" w:hAnsi="Times New Roman" w:cs="Times New Roman"/>
                <w:b/>
                <w:bCs/>
                <w:lang w:val="sr-Cyrl-CS"/>
              </w:rPr>
              <w:t>TOTAL</w:t>
            </w:r>
            <w:r w:rsidR="004B7013" w:rsidRPr="001053DB">
              <w:rPr>
                <w:rFonts w:ascii="Times New Roman" w:eastAsia="Times New Roman" w:hAnsi="Times New Roman" w:cs="Times New Roman"/>
                <w:b/>
                <w:bCs/>
                <w:lang w:val="sr-Cyrl-CS"/>
              </w:rPr>
              <w:t>:</w:t>
            </w:r>
          </w:p>
        </w:tc>
        <w:tc>
          <w:tcPr>
            <w:tcW w:w="18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163929E4" w14:textId="43A26923" w:rsidR="004B7013" w:rsidRPr="001053DB" w:rsidRDefault="006230A0" w:rsidP="009A1323">
            <w:pPr>
              <w:spacing w:after="0" w:line="240" w:lineRule="auto"/>
              <w:jc w:val="center"/>
              <w:rPr>
                <w:rFonts w:ascii="Times New Roman" w:eastAsia="Times New Roman" w:hAnsi="Times New Roman" w:cs="Times New Roman"/>
                <w:b/>
                <w:bCs/>
                <w:lang w:val="sr-Cyrl-CS"/>
              </w:rPr>
            </w:pPr>
            <w:r w:rsidRPr="001053DB">
              <w:rPr>
                <w:rFonts w:ascii="Times New Roman" w:eastAsia="Times New Roman" w:hAnsi="Times New Roman" w:cs="Times New Roman"/>
                <w:b/>
                <w:bCs/>
                <w:lang w:val="sr-Cyrl-CS"/>
              </w:rPr>
              <w:t>6.677.835.420</w:t>
            </w:r>
          </w:p>
        </w:tc>
        <w:tc>
          <w:tcPr>
            <w:tcW w:w="19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2A08C8A0" w14:textId="48A84BA4" w:rsidR="004B7013" w:rsidRPr="001053DB" w:rsidRDefault="00850D88" w:rsidP="009A1323">
            <w:pPr>
              <w:spacing w:after="0" w:line="240" w:lineRule="auto"/>
              <w:jc w:val="center"/>
              <w:rPr>
                <w:rFonts w:ascii="Times New Roman" w:eastAsia="Times New Roman" w:hAnsi="Times New Roman" w:cs="Times New Roman"/>
                <w:b/>
                <w:bCs/>
                <w:lang w:val="sr-Cyrl-CS"/>
              </w:rPr>
            </w:pPr>
            <w:r w:rsidRPr="001053DB">
              <w:rPr>
                <w:rFonts w:ascii="Times New Roman" w:eastAsia="Times New Roman" w:hAnsi="Times New Roman" w:cs="Times New Roman"/>
                <w:b/>
                <w:bCs/>
                <w:lang w:val="sr-Cyrl-CS"/>
              </w:rPr>
              <w:t>1.533.013.090</w:t>
            </w:r>
          </w:p>
        </w:tc>
        <w:tc>
          <w:tcPr>
            <w:tcW w:w="150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2E056FD4" w14:textId="7B6AA9F1" w:rsidR="004B7013" w:rsidRPr="001053DB" w:rsidRDefault="005073DA" w:rsidP="009A1323">
            <w:pPr>
              <w:spacing w:after="0" w:line="240" w:lineRule="auto"/>
              <w:jc w:val="center"/>
              <w:rPr>
                <w:rFonts w:ascii="Times New Roman" w:eastAsia="Times New Roman" w:hAnsi="Times New Roman" w:cs="Times New Roman"/>
                <w:b/>
                <w:bCs/>
                <w:lang w:val="sr-Cyrl-CS"/>
              </w:rPr>
            </w:pPr>
            <w:r w:rsidRPr="001053DB">
              <w:rPr>
                <w:rFonts w:ascii="Times New Roman" w:eastAsia="Times New Roman" w:hAnsi="Times New Roman" w:cs="Times New Roman"/>
                <w:b/>
                <w:bCs/>
                <w:lang w:val="sr-Cyrl-CS"/>
              </w:rPr>
              <w:t>190</w:t>
            </w:r>
            <w:r w:rsidR="004B7013" w:rsidRPr="001053DB">
              <w:rPr>
                <w:rFonts w:ascii="Times New Roman" w:eastAsia="Times New Roman" w:hAnsi="Times New Roman" w:cs="Times New Roman"/>
                <w:b/>
                <w:bCs/>
                <w:lang w:val="sr-Cyrl-CS"/>
              </w:rPr>
              <w:t>.460.000</w:t>
            </w:r>
          </w:p>
        </w:tc>
        <w:tc>
          <w:tcPr>
            <w:tcW w:w="1420" w:type="dxa"/>
            <w:tcBorders>
              <w:top w:val="single" w:sz="4" w:space="0" w:color="BFBFBF"/>
              <w:left w:val="single" w:sz="4" w:space="0" w:color="BFBFBF"/>
              <w:bottom w:val="single" w:sz="4" w:space="0" w:color="BFBFBF"/>
              <w:right w:val="single" w:sz="4" w:space="0" w:color="BFBFBF"/>
            </w:tcBorders>
            <w:shd w:val="clear" w:color="000000" w:fill="A6C9EC"/>
            <w:noWrap/>
            <w:vAlign w:val="center"/>
            <w:hideMark/>
          </w:tcPr>
          <w:p w14:paraId="219FD95B" w14:textId="4953BADE" w:rsidR="004B7013" w:rsidRPr="001053DB" w:rsidRDefault="001F6CDF" w:rsidP="009A1323">
            <w:pPr>
              <w:spacing w:after="0" w:line="240" w:lineRule="auto"/>
              <w:jc w:val="center"/>
              <w:rPr>
                <w:rFonts w:ascii="Times New Roman" w:eastAsia="Times New Roman" w:hAnsi="Times New Roman" w:cs="Times New Roman"/>
                <w:b/>
                <w:bCs/>
                <w:lang w:val="sr-Cyrl-CS"/>
              </w:rPr>
            </w:pPr>
            <w:r w:rsidRPr="001053DB">
              <w:rPr>
                <w:rFonts w:ascii="Times New Roman" w:eastAsia="Times New Roman" w:hAnsi="Times New Roman" w:cs="Times New Roman"/>
                <w:b/>
                <w:bCs/>
                <w:lang w:val="sr-Cyrl-CS"/>
              </w:rPr>
              <w:t>8.401.308.510</w:t>
            </w:r>
          </w:p>
        </w:tc>
      </w:tr>
    </w:tbl>
    <w:p w14:paraId="1155677D" w14:textId="3E795CBB" w:rsidR="0088470A" w:rsidRPr="000D1D5A" w:rsidRDefault="000D1D5A" w:rsidP="00225185">
      <w:pPr>
        <w:jc w:val="center"/>
        <w:rPr>
          <w:rFonts w:ascii="Times New Roman" w:eastAsia="Times New Roman" w:hAnsi="Times New Roman" w:cs="Times New Roman"/>
          <w:shd w:val="clear" w:color="auto" w:fill="FFFFFF"/>
          <w:lang w:val="sr-Latn-RS"/>
        </w:rPr>
      </w:pPr>
      <w:r>
        <w:rPr>
          <w:rFonts w:ascii="Times New Roman" w:eastAsia="Times New Roman" w:hAnsi="Times New Roman" w:cs="Times New Roman"/>
          <w:shd w:val="clear" w:color="auto" w:fill="FFFFFF"/>
          <w:lang w:val="sr-Latn-RS"/>
        </w:rPr>
        <w:t>Table</w:t>
      </w:r>
      <w:r w:rsidR="0088470A" w:rsidRPr="001053DB">
        <w:rPr>
          <w:rFonts w:ascii="Times New Roman" w:eastAsia="Times New Roman" w:hAnsi="Times New Roman" w:cs="Times New Roman"/>
          <w:shd w:val="clear" w:color="auto" w:fill="FFFFFF"/>
          <w:lang w:val="sr-Cyrl-CS"/>
        </w:rPr>
        <w:t xml:space="preserve"> 5: </w:t>
      </w:r>
      <w:r>
        <w:rPr>
          <w:rFonts w:ascii="Times New Roman" w:eastAsia="Times New Roman" w:hAnsi="Times New Roman" w:cs="Times New Roman"/>
          <w:shd w:val="clear" w:color="auto" w:fill="FFFFFF"/>
          <w:lang w:val="sr-Latn-RS"/>
        </w:rPr>
        <w:t>Estimated required financial resources</w:t>
      </w:r>
    </w:p>
    <w:p w14:paraId="06E6F6BB" w14:textId="79A9392C" w:rsidR="005F2469" w:rsidRPr="001053DB" w:rsidRDefault="005F2469" w:rsidP="00AF5CD1">
      <w:pPr>
        <w:rPr>
          <w:rFonts w:ascii="Times New Roman" w:eastAsia="Times New Roman" w:hAnsi="Times New Roman" w:cs="Times New Roman"/>
          <w:sz w:val="24"/>
          <w:szCs w:val="24"/>
          <w:shd w:val="clear" w:color="auto" w:fill="FFFFFF"/>
          <w:lang w:val="sr-Cyrl-CS"/>
        </w:rPr>
      </w:pPr>
    </w:p>
    <w:p w14:paraId="6C034864" w14:textId="47143886" w:rsidR="003C0382" w:rsidRPr="001053DB" w:rsidRDefault="003C0382" w:rsidP="00AF5CD1">
      <w:pPr>
        <w:rPr>
          <w:rFonts w:ascii="Times New Roman" w:eastAsia="Times New Roman" w:hAnsi="Times New Roman" w:cs="Times New Roman"/>
          <w:sz w:val="24"/>
          <w:szCs w:val="24"/>
          <w:shd w:val="clear" w:color="auto" w:fill="FFFFFF"/>
          <w:lang w:val="sr-Cyrl-CS"/>
        </w:rPr>
      </w:pPr>
    </w:p>
    <w:p w14:paraId="0BA909E7" w14:textId="29F8A28A" w:rsidR="003C0382" w:rsidRPr="001053DB" w:rsidRDefault="003C0382" w:rsidP="00AF5CD1">
      <w:pPr>
        <w:rPr>
          <w:rFonts w:ascii="Times New Roman" w:eastAsia="Times New Roman" w:hAnsi="Times New Roman" w:cs="Times New Roman"/>
          <w:sz w:val="24"/>
          <w:szCs w:val="24"/>
          <w:shd w:val="clear" w:color="auto" w:fill="FFFFFF"/>
          <w:lang w:val="sr-Cyrl-CS"/>
        </w:rPr>
      </w:pPr>
    </w:p>
    <w:p w14:paraId="20B337AA" w14:textId="36293F8F" w:rsidR="003C0382" w:rsidRPr="007E0B46" w:rsidRDefault="007E0B46" w:rsidP="0050537D">
      <w:pPr>
        <w:pStyle w:val="Heading1"/>
        <w:pBdr>
          <w:top w:val="none" w:sz="0" w:space="0" w:color="auto"/>
          <w:left w:val="none" w:sz="0" w:space="0" w:color="auto"/>
          <w:bottom w:val="none" w:sz="0" w:space="0" w:color="auto"/>
          <w:right w:val="none" w:sz="0" w:space="0" w:color="auto"/>
        </w:pBdr>
        <w:shd w:val="clear" w:color="auto" w:fill="auto"/>
        <w:jc w:val="center"/>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final provisions</w:t>
      </w:r>
    </w:p>
    <w:p w14:paraId="166B3952" w14:textId="77777777" w:rsidR="003C0382" w:rsidRPr="001053DB" w:rsidRDefault="003C0382" w:rsidP="003C0382">
      <w:pPr>
        <w:jc w:val="both"/>
        <w:rPr>
          <w:rFonts w:ascii="Times New Roman" w:eastAsia="Times New Roman" w:hAnsi="Times New Roman" w:cs="Times New Roman"/>
          <w:sz w:val="24"/>
          <w:szCs w:val="24"/>
          <w:shd w:val="clear" w:color="auto" w:fill="FFFFFF"/>
          <w:lang w:val="sr-Cyrl-CS"/>
        </w:rPr>
      </w:pPr>
    </w:p>
    <w:p w14:paraId="2A82B9FC" w14:textId="0CE3977D" w:rsidR="003C0382" w:rsidRPr="001053DB" w:rsidRDefault="007E0B46" w:rsidP="003C0382">
      <w:pPr>
        <w:jc w:val="both"/>
        <w:rPr>
          <w:rFonts w:ascii="Times New Roman" w:eastAsia="Times New Roman" w:hAnsi="Times New Roman" w:cs="Times New Roman"/>
          <w:sz w:val="24"/>
          <w:szCs w:val="24"/>
          <w:shd w:val="clear" w:color="auto" w:fill="FFFFFF"/>
          <w:lang w:val="sr-Cyrl-CS"/>
        </w:rPr>
      </w:pPr>
      <w:r>
        <w:rPr>
          <w:rFonts w:ascii="Times New Roman" w:eastAsia="Times New Roman" w:hAnsi="Times New Roman" w:cs="Times New Roman"/>
          <w:sz w:val="24"/>
          <w:szCs w:val="24"/>
          <w:shd w:val="clear" w:color="auto" w:fill="FFFFFF"/>
          <w:lang w:val="en-US"/>
        </w:rPr>
        <w:t>Action plan for the implementation of the Public Financial Management Reform Programme for the period 2026-2030, for the period 2026-2030, is an integral part of this Programme.</w:t>
      </w:r>
    </w:p>
    <w:p w14:paraId="7425BF0D" w14:textId="0F0BCD7F" w:rsidR="003C0382" w:rsidRPr="007E0B46" w:rsidRDefault="007E0B46" w:rsidP="003C0382">
      <w:pPr>
        <w:jc w:val="both"/>
        <w:rPr>
          <w:rFonts w:ascii="Times New Roman" w:eastAsia="Times New Roman" w:hAnsi="Times New Roman" w:cs="Times New Roman"/>
          <w:sz w:val="24"/>
          <w:szCs w:val="24"/>
          <w:shd w:val="clear" w:color="auto" w:fill="FFFFFF"/>
          <w:lang w:val="en-US"/>
        </w:rPr>
      </w:pPr>
      <w:r>
        <w:rPr>
          <w:rFonts w:ascii="Times New Roman" w:eastAsia="Times New Roman" w:hAnsi="Times New Roman" w:cs="Times New Roman"/>
          <w:sz w:val="24"/>
          <w:szCs w:val="24"/>
          <w:shd w:val="clear" w:color="auto" w:fill="FFFFFF"/>
          <w:lang w:val="en-US"/>
        </w:rPr>
        <w:t>This Programme is to be published on the Ministry of Finance website.</w:t>
      </w:r>
    </w:p>
    <w:p w14:paraId="671F5300" w14:textId="67B7B2AB" w:rsidR="003C0382" w:rsidRPr="001053DB" w:rsidRDefault="007E0B46" w:rsidP="003C0382">
      <w:pPr>
        <w:jc w:val="both"/>
        <w:rPr>
          <w:rFonts w:ascii="Times New Roman" w:eastAsia="Times New Roman" w:hAnsi="Times New Roman" w:cs="Times New Roman"/>
          <w:sz w:val="24"/>
          <w:szCs w:val="24"/>
          <w:shd w:val="clear" w:color="auto" w:fill="FFFFFF"/>
          <w:lang w:val="sr-Cyrl-CS"/>
        </w:rPr>
      </w:pPr>
      <w:r>
        <w:rPr>
          <w:rFonts w:ascii="Times New Roman" w:eastAsia="Times New Roman" w:hAnsi="Times New Roman" w:cs="Times New Roman"/>
          <w:sz w:val="24"/>
          <w:szCs w:val="24"/>
          <w:shd w:val="clear" w:color="auto" w:fill="FFFFFF"/>
          <w:lang w:val="en-US"/>
        </w:rPr>
        <w:t>This Programme is to be published in the “Official Gazette of the Republic of Serbia”.</w:t>
      </w:r>
    </w:p>
    <w:p w14:paraId="37C01BD0" w14:textId="77777777" w:rsidR="003C0382" w:rsidRPr="001053DB" w:rsidRDefault="003C0382" w:rsidP="003C0382">
      <w:pPr>
        <w:jc w:val="both"/>
        <w:rPr>
          <w:rFonts w:ascii="Times New Roman" w:eastAsia="Times New Roman" w:hAnsi="Times New Roman" w:cs="Times New Roman"/>
          <w:sz w:val="24"/>
          <w:szCs w:val="24"/>
          <w:shd w:val="clear" w:color="auto" w:fill="FFFFFF"/>
          <w:lang w:val="sr-Cyrl-CS"/>
        </w:rPr>
      </w:pPr>
    </w:p>
    <w:p w14:paraId="649B2B15" w14:textId="56E554BA" w:rsidR="000330A7" w:rsidRPr="0033291A" w:rsidRDefault="000330A7" w:rsidP="000330A7">
      <w:pPr>
        <w:spacing w:after="0" w:line="240" w:lineRule="auto"/>
        <w:rPr>
          <w:rFonts w:ascii="Times New Roman" w:eastAsia="Times New Roman" w:hAnsi="Times New Roman" w:cs="Times New Roman"/>
          <w:sz w:val="24"/>
          <w:szCs w:val="24"/>
          <w:lang w:val="sr-Latn-RS"/>
        </w:rPr>
      </w:pPr>
      <w:r w:rsidRPr="001053DB">
        <w:rPr>
          <w:rFonts w:ascii="Times New Roman" w:eastAsia="Times New Roman" w:hAnsi="Times New Roman" w:cs="Times New Roman"/>
          <w:sz w:val="24"/>
          <w:szCs w:val="24"/>
          <w:lang w:val="sr-Cyrl-CS"/>
        </w:rPr>
        <w:t xml:space="preserve">05 </w:t>
      </w:r>
      <w:r w:rsidR="007E0B46">
        <w:rPr>
          <w:rFonts w:ascii="Times New Roman" w:eastAsia="Times New Roman" w:hAnsi="Times New Roman" w:cs="Times New Roman"/>
          <w:sz w:val="24"/>
          <w:szCs w:val="24"/>
          <w:lang w:val="en-US"/>
        </w:rPr>
        <w:t>Number</w:t>
      </w:r>
      <w:r w:rsidRPr="001053DB">
        <w:rPr>
          <w:rFonts w:ascii="Times New Roman" w:eastAsia="Times New Roman" w:hAnsi="Times New Roman" w:cs="Times New Roman"/>
          <w:sz w:val="24"/>
          <w:szCs w:val="24"/>
          <w:lang w:val="sr-Cyrl-CS"/>
        </w:rPr>
        <w:t>:</w:t>
      </w:r>
      <w:r w:rsidR="0033291A">
        <w:rPr>
          <w:rFonts w:ascii="Times New Roman" w:eastAsia="Times New Roman" w:hAnsi="Times New Roman" w:cs="Times New Roman"/>
          <w:sz w:val="24"/>
          <w:szCs w:val="24"/>
          <w:lang w:val="sr-Latn-RS"/>
        </w:rPr>
        <w:t xml:space="preserve"> 400-4626/2026</w:t>
      </w:r>
    </w:p>
    <w:p w14:paraId="2FD0BBFE" w14:textId="3851BB88" w:rsidR="000330A7" w:rsidRPr="000D1D5A" w:rsidRDefault="007E0B46" w:rsidP="000330A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In Belgrade</w:t>
      </w:r>
      <w:r w:rsidR="000330A7" w:rsidRPr="001053DB">
        <w:rPr>
          <w:rFonts w:ascii="Times New Roman" w:eastAsia="Times New Roman" w:hAnsi="Times New Roman" w:cs="Times New Roman"/>
          <w:sz w:val="24"/>
          <w:szCs w:val="24"/>
          <w:lang w:val="sr-Cyrl-CS"/>
        </w:rPr>
        <w:t xml:space="preserve">, </w:t>
      </w:r>
      <w:r>
        <w:rPr>
          <w:rFonts w:ascii="Times New Roman" w:eastAsia="Times New Roman" w:hAnsi="Times New Roman" w:cs="Times New Roman"/>
          <w:sz w:val="24"/>
          <w:szCs w:val="24"/>
          <w:lang w:val="en-US"/>
        </w:rPr>
        <w:t xml:space="preserve">May </w:t>
      </w:r>
      <w:r w:rsidR="0033291A">
        <w:rPr>
          <w:rFonts w:ascii="Times New Roman" w:eastAsia="Times New Roman" w:hAnsi="Times New Roman" w:cs="Times New Roman"/>
          <w:sz w:val="24"/>
          <w:szCs w:val="24"/>
          <w:lang w:val="sr-Latn-RS"/>
        </w:rPr>
        <w:t>14</w:t>
      </w:r>
      <w:r>
        <w:rPr>
          <w:rFonts w:ascii="Times New Roman" w:eastAsia="Times New Roman" w:hAnsi="Times New Roman" w:cs="Times New Roman"/>
          <w:sz w:val="24"/>
          <w:szCs w:val="24"/>
          <w:lang w:val="sr-Latn-RS"/>
        </w:rPr>
        <w:t>,</w:t>
      </w:r>
      <w:r w:rsidR="000330A7" w:rsidRPr="001053DB">
        <w:rPr>
          <w:rFonts w:ascii="Times New Roman" w:eastAsia="Times New Roman" w:hAnsi="Times New Roman" w:cs="Times New Roman"/>
          <w:sz w:val="24"/>
          <w:szCs w:val="24"/>
          <w:lang w:val="sr-Cyrl-CS"/>
        </w:rPr>
        <w:t xml:space="preserve"> 2026</w:t>
      </w:r>
    </w:p>
    <w:p w14:paraId="75C8C04F" w14:textId="77777777" w:rsidR="000330A7" w:rsidRPr="001053DB" w:rsidRDefault="000330A7" w:rsidP="000330A7">
      <w:pPr>
        <w:spacing w:after="0" w:line="240" w:lineRule="auto"/>
        <w:rPr>
          <w:rFonts w:ascii="Times New Roman" w:eastAsia="Times New Roman" w:hAnsi="Times New Roman" w:cs="Times New Roman"/>
          <w:sz w:val="24"/>
          <w:szCs w:val="24"/>
          <w:lang w:val="sr-Cyrl-CS"/>
        </w:rPr>
      </w:pPr>
    </w:p>
    <w:p w14:paraId="31868A04" w14:textId="67BD0542" w:rsidR="000330A7" w:rsidRPr="000D1D5A" w:rsidRDefault="000D1D5A" w:rsidP="000330A7">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GOVERNMENT</w:t>
      </w:r>
    </w:p>
    <w:p w14:paraId="116983E9" w14:textId="77777777" w:rsidR="000330A7" w:rsidRPr="001053DB" w:rsidRDefault="000330A7" w:rsidP="000330A7">
      <w:pPr>
        <w:spacing w:after="0" w:line="240" w:lineRule="auto"/>
        <w:jc w:val="center"/>
        <w:rPr>
          <w:rFonts w:ascii="Times New Roman" w:eastAsia="Times New Roman" w:hAnsi="Times New Roman" w:cs="Times New Roman"/>
          <w:sz w:val="24"/>
          <w:szCs w:val="24"/>
          <w:lang w:val="sr-Cyrl-CS"/>
        </w:rPr>
      </w:pPr>
    </w:p>
    <w:p w14:paraId="17F64DED" w14:textId="77777777" w:rsidR="000330A7" w:rsidRPr="001053DB" w:rsidRDefault="000330A7" w:rsidP="000330A7">
      <w:pPr>
        <w:spacing w:after="0" w:line="240" w:lineRule="auto"/>
        <w:jc w:val="center"/>
        <w:rPr>
          <w:rFonts w:ascii="Times New Roman" w:eastAsia="Times New Roman" w:hAnsi="Times New Roman" w:cs="Times New Roman"/>
          <w:sz w:val="24"/>
          <w:szCs w:val="24"/>
          <w:lang w:val="sr-Cyrl-CS"/>
        </w:rPr>
      </w:pPr>
    </w:p>
    <w:p w14:paraId="5F182D20" w14:textId="5E506DB6" w:rsidR="000330A7" w:rsidRPr="000D1D5A" w:rsidRDefault="000330A7" w:rsidP="000330A7">
      <w:pPr>
        <w:tabs>
          <w:tab w:val="left" w:pos="1080"/>
        </w:tabs>
        <w:spacing w:after="0" w:line="240" w:lineRule="auto"/>
        <w:rPr>
          <w:rFonts w:ascii="Times New Roman" w:eastAsia="Times New Roman" w:hAnsi="Times New Roman" w:cs="Times New Roman"/>
          <w:sz w:val="24"/>
          <w:szCs w:val="24"/>
          <w:lang w:val="en-US"/>
        </w:rPr>
      </w:pPr>
      <w:r w:rsidRPr="001053DB">
        <w:rPr>
          <w:rFonts w:ascii="Times New Roman" w:eastAsia="Times New Roman" w:hAnsi="Times New Roman" w:cs="Times New Roman"/>
          <w:sz w:val="24"/>
          <w:szCs w:val="24"/>
          <w:lang w:val="sr-Cyrl-CS"/>
        </w:rPr>
        <w:tab/>
      </w:r>
      <w:r w:rsidRPr="001053DB">
        <w:rPr>
          <w:rFonts w:ascii="Times New Roman" w:eastAsia="Times New Roman" w:hAnsi="Times New Roman" w:cs="Times New Roman"/>
          <w:sz w:val="24"/>
          <w:szCs w:val="24"/>
          <w:lang w:val="sr-Cyrl-CS"/>
        </w:rPr>
        <w:tab/>
      </w:r>
      <w:r w:rsidRPr="001053DB">
        <w:rPr>
          <w:rFonts w:ascii="Times New Roman" w:eastAsia="Times New Roman" w:hAnsi="Times New Roman" w:cs="Times New Roman"/>
          <w:sz w:val="24"/>
          <w:szCs w:val="24"/>
          <w:lang w:val="sr-Cyrl-CS"/>
        </w:rPr>
        <w:tab/>
      </w:r>
      <w:r w:rsidRPr="001053DB">
        <w:rPr>
          <w:rFonts w:ascii="Times New Roman" w:eastAsia="Times New Roman" w:hAnsi="Times New Roman" w:cs="Times New Roman"/>
          <w:sz w:val="24"/>
          <w:szCs w:val="24"/>
          <w:lang w:val="sr-Cyrl-CS"/>
        </w:rPr>
        <w:tab/>
      </w:r>
      <w:r w:rsidRPr="001053DB">
        <w:rPr>
          <w:rFonts w:ascii="Times New Roman" w:eastAsia="Times New Roman" w:hAnsi="Times New Roman" w:cs="Times New Roman"/>
          <w:sz w:val="24"/>
          <w:szCs w:val="24"/>
          <w:lang w:val="sr-Cyrl-CS"/>
        </w:rPr>
        <w:tab/>
      </w:r>
      <w:r w:rsidRPr="001053DB">
        <w:rPr>
          <w:rFonts w:ascii="Times New Roman" w:eastAsia="Times New Roman" w:hAnsi="Times New Roman" w:cs="Times New Roman"/>
          <w:sz w:val="24"/>
          <w:szCs w:val="24"/>
          <w:lang w:val="sr-Cyrl-CS"/>
        </w:rPr>
        <w:tab/>
      </w:r>
      <w:r w:rsidRPr="001053DB">
        <w:rPr>
          <w:rFonts w:ascii="Times New Roman" w:eastAsia="Times New Roman" w:hAnsi="Times New Roman" w:cs="Times New Roman"/>
          <w:sz w:val="24"/>
          <w:szCs w:val="24"/>
          <w:lang w:val="sr-Cyrl-CS"/>
        </w:rPr>
        <w:tab/>
      </w:r>
      <w:r w:rsidR="000D1D5A">
        <w:rPr>
          <w:rFonts w:ascii="Times New Roman" w:eastAsia="Times New Roman" w:hAnsi="Times New Roman" w:cs="Times New Roman"/>
          <w:sz w:val="24"/>
          <w:szCs w:val="24"/>
          <w:lang w:val="en-US"/>
        </w:rPr>
        <w:t>FIRST DEPUTY PRIME MINISTER</w:t>
      </w:r>
    </w:p>
    <w:p w14:paraId="3D880F06" w14:textId="77777777" w:rsidR="000330A7" w:rsidRPr="001053DB" w:rsidRDefault="000330A7" w:rsidP="000330A7">
      <w:pPr>
        <w:tabs>
          <w:tab w:val="left" w:pos="1080"/>
        </w:tabs>
        <w:spacing w:after="0" w:line="240" w:lineRule="auto"/>
        <w:rPr>
          <w:rFonts w:ascii="Times New Roman" w:eastAsia="Times New Roman" w:hAnsi="Times New Roman" w:cs="Times New Roman"/>
          <w:sz w:val="24"/>
          <w:szCs w:val="24"/>
          <w:lang w:val="sr-Cyrl-CS"/>
        </w:rPr>
      </w:pPr>
    </w:p>
    <w:p w14:paraId="27B53053" w14:textId="77777777" w:rsidR="000330A7" w:rsidRPr="001053DB" w:rsidRDefault="000330A7" w:rsidP="000330A7">
      <w:pPr>
        <w:tabs>
          <w:tab w:val="left" w:pos="1080"/>
        </w:tabs>
        <w:spacing w:after="0" w:line="240" w:lineRule="auto"/>
        <w:rPr>
          <w:rFonts w:ascii="Times New Roman" w:eastAsia="Times New Roman" w:hAnsi="Times New Roman" w:cs="Times New Roman"/>
          <w:sz w:val="24"/>
          <w:szCs w:val="24"/>
          <w:lang w:val="sr-Cyrl-CS"/>
        </w:rPr>
      </w:pPr>
    </w:p>
    <w:p w14:paraId="6D0B9D24" w14:textId="30F7FD13" w:rsidR="000330A7" w:rsidRPr="000D1D5A" w:rsidRDefault="000330A7" w:rsidP="000330A7">
      <w:pPr>
        <w:tabs>
          <w:tab w:val="left" w:pos="1080"/>
        </w:tabs>
        <w:spacing w:after="0" w:line="240" w:lineRule="auto"/>
        <w:rPr>
          <w:rFonts w:ascii="Times New Roman" w:eastAsia="Times New Roman" w:hAnsi="Times New Roman" w:cs="Times New Roman"/>
          <w:sz w:val="24"/>
          <w:szCs w:val="24"/>
          <w:lang w:val="sr-Latn-RS"/>
        </w:rPr>
      </w:pPr>
      <w:r w:rsidRPr="001053DB">
        <w:rPr>
          <w:rFonts w:ascii="Times New Roman" w:eastAsia="Times New Roman" w:hAnsi="Times New Roman" w:cs="Times New Roman"/>
          <w:sz w:val="24"/>
          <w:szCs w:val="24"/>
          <w:lang w:val="sr-Cyrl-CS"/>
        </w:rPr>
        <w:tab/>
      </w:r>
      <w:r w:rsidRPr="001053DB">
        <w:rPr>
          <w:rFonts w:ascii="Times New Roman" w:eastAsia="Times New Roman" w:hAnsi="Times New Roman" w:cs="Times New Roman"/>
          <w:sz w:val="24"/>
          <w:szCs w:val="24"/>
          <w:lang w:val="sr-Cyrl-CS"/>
        </w:rPr>
        <w:tab/>
      </w:r>
      <w:r w:rsidRPr="001053DB">
        <w:rPr>
          <w:rFonts w:ascii="Times New Roman" w:eastAsia="Times New Roman" w:hAnsi="Times New Roman" w:cs="Times New Roman"/>
          <w:sz w:val="24"/>
          <w:szCs w:val="24"/>
          <w:lang w:val="sr-Cyrl-CS"/>
        </w:rPr>
        <w:tab/>
      </w:r>
      <w:r w:rsidRPr="001053DB">
        <w:rPr>
          <w:rFonts w:ascii="Times New Roman" w:eastAsia="Times New Roman" w:hAnsi="Times New Roman" w:cs="Times New Roman"/>
          <w:sz w:val="24"/>
          <w:szCs w:val="24"/>
          <w:lang w:val="sr-Cyrl-CS"/>
        </w:rPr>
        <w:tab/>
      </w:r>
      <w:r w:rsidRPr="001053DB">
        <w:rPr>
          <w:rFonts w:ascii="Times New Roman" w:eastAsia="Times New Roman" w:hAnsi="Times New Roman" w:cs="Times New Roman"/>
          <w:sz w:val="24"/>
          <w:szCs w:val="24"/>
          <w:lang w:val="sr-Cyrl-CS"/>
        </w:rPr>
        <w:tab/>
      </w:r>
      <w:r w:rsidRPr="001053DB">
        <w:rPr>
          <w:rFonts w:ascii="Times New Roman" w:eastAsia="Times New Roman" w:hAnsi="Times New Roman" w:cs="Times New Roman"/>
          <w:sz w:val="24"/>
          <w:szCs w:val="24"/>
          <w:lang w:val="sr-Cyrl-CS"/>
        </w:rPr>
        <w:tab/>
      </w:r>
      <w:r w:rsidRPr="001053DB">
        <w:rPr>
          <w:rFonts w:ascii="Times New Roman" w:eastAsia="Times New Roman" w:hAnsi="Times New Roman" w:cs="Times New Roman"/>
          <w:sz w:val="24"/>
          <w:szCs w:val="24"/>
          <w:lang w:val="sr-Cyrl-CS"/>
        </w:rPr>
        <w:tab/>
        <w:t xml:space="preserve">                  </w:t>
      </w:r>
      <w:r w:rsidR="000D1D5A">
        <w:rPr>
          <w:rFonts w:ascii="Times New Roman" w:eastAsia="Times New Roman" w:hAnsi="Times New Roman" w:cs="Times New Roman"/>
          <w:sz w:val="24"/>
          <w:szCs w:val="24"/>
          <w:lang w:val="en-US"/>
        </w:rPr>
        <w:t>Sini</w:t>
      </w:r>
      <w:r w:rsidR="000D1D5A">
        <w:rPr>
          <w:rFonts w:ascii="Times New Roman" w:eastAsia="Times New Roman" w:hAnsi="Times New Roman" w:cs="Times New Roman"/>
          <w:sz w:val="24"/>
          <w:szCs w:val="24"/>
          <w:lang w:val="sr-Latn-RS"/>
        </w:rPr>
        <w:t>ša Mali</w:t>
      </w:r>
    </w:p>
    <w:p w14:paraId="368FBCD3" w14:textId="233C3045" w:rsidR="00FF7693" w:rsidRPr="001053DB" w:rsidRDefault="00FF7693" w:rsidP="00FF7693">
      <w:pPr>
        <w:rPr>
          <w:rFonts w:ascii="Times New Roman" w:eastAsia="Calibri" w:hAnsi="Times New Roman" w:cs="Times New Roman"/>
          <w:sz w:val="24"/>
          <w:szCs w:val="24"/>
          <w:lang w:val="sr-Cyrl-CS"/>
        </w:rPr>
      </w:pPr>
    </w:p>
    <w:p w14:paraId="713C1241" w14:textId="3F4DF7EC" w:rsidR="000C278A" w:rsidRPr="001053DB" w:rsidRDefault="00FF7693" w:rsidP="00FF7693">
      <w:pPr>
        <w:tabs>
          <w:tab w:val="left" w:pos="7265"/>
        </w:tabs>
        <w:rPr>
          <w:rFonts w:ascii="Aptos" w:eastAsia="Aptos" w:hAnsi="Aptos" w:cs="Times New Roman"/>
          <w:sz w:val="24"/>
          <w:szCs w:val="24"/>
          <w:lang w:val="sr-Cyrl-CS"/>
        </w:rPr>
      </w:pPr>
      <w:r w:rsidRPr="001053DB">
        <w:rPr>
          <w:rFonts w:ascii="Times New Roman" w:eastAsia="Calibri" w:hAnsi="Times New Roman" w:cs="Times New Roman"/>
          <w:sz w:val="24"/>
          <w:szCs w:val="24"/>
          <w:lang w:val="sr-Cyrl-CS"/>
        </w:rPr>
        <w:tab/>
      </w:r>
      <w:bookmarkEnd w:id="19"/>
      <w:bookmarkEnd w:id="20"/>
      <w:bookmarkEnd w:id="21"/>
      <w:bookmarkEnd w:id="22"/>
      <w:bookmarkEnd w:id="23"/>
    </w:p>
    <w:sectPr w:rsidR="000C278A" w:rsidRPr="001053DB" w:rsidSect="00146165">
      <w:pgSz w:w="11906" w:h="16838" w:code="9"/>
      <w:pgMar w:top="1440" w:right="1440" w:bottom="1440" w:left="1440" w:header="431"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E116D" w14:textId="77777777" w:rsidR="00482237" w:rsidRPr="008F3809" w:rsidRDefault="00482237" w:rsidP="007D6B29">
      <w:pPr>
        <w:spacing w:after="0" w:line="240" w:lineRule="auto"/>
      </w:pPr>
      <w:r w:rsidRPr="008F3809">
        <w:separator/>
      </w:r>
    </w:p>
  </w:endnote>
  <w:endnote w:type="continuationSeparator" w:id="0">
    <w:p w14:paraId="2B9B3508" w14:textId="77777777" w:rsidR="00482237" w:rsidRPr="008F3809" w:rsidRDefault="00482237" w:rsidP="007D6B29">
      <w:pPr>
        <w:spacing w:after="0" w:line="240" w:lineRule="auto"/>
      </w:pPr>
      <w:r w:rsidRPr="008F3809">
        <w:continuationSeparator/>
      </w:r>
    </w:p>
  </w:endnote>
  <w:endnote w:type="continuationNotice" w:id="1">
    <w:p w14:paraId="60B384F5" w14:textId="77777777" w:rsidR="00482237" w:rsidRPr="008F3809" w:rsidRDefault="004822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unga">
    <w:panose1 w:val="00000400000000000000"/>
    <w:charset w:val="00"/>
    <w:family w:val="swiss"/>
    <w:pitch w:val="variable"/>
    <w:sig w:usb0="004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C Times">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Roboto-Regular">
    <w:panose1 w:val="00000000000000000000"/>
    <w:charset w:val="00"/>
    <w:family w:val="roman"/>
    <w:notTrueType/>
    <w:pitch w:val="default"/>
  </w:font>
  <w:font w:name="DejaVu Sans Mono">
    <w:altName w:val="Verdana"/>
    <w:charset w:val="00"/>
    <w:family w:val="modern"/>
    <w:pitch w:val="fixed"/>
  </w:font>
  <w:font w:name="Lohit Devanagar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Liberation Mono">
    <w:altName w:val="MS Gothic"/>
    <w:charset w:val="00"/>
    <w:family w:val="modern"/>
    <w:pitch w:val="fixed"/>
  </w:font>
  <w:font w:name="DejaVu Sans">
    <w:altName w:val="Verdana"/>
    <w:panose1 w:val="00000000000000000000"/>
    <w:charset w:val="00"/>
    <w:family w:val="roman"/>
    <w:notTrueType/>
    <w:pitch w:val="default"/>
  </w:font>
  <w:font w:name="Liberation Sans">
    <w:altName w:val="Arial"/>
    <w:charset w:val="01"/>
    <w:family w:val="roman"/>
    <w:pitch w:val="variable"/>
  </w:font>
  <w:font w:name="Noto Sans CJK SC">
    <w:panose1 w:val="00000000000000000000"/>
    <w:charset w:val="00"/>
    <w:family w:val="roman"/>
    <w:notTrueType/>
    <w:pitch w:val="default"/>
  </w:font>
  <w:font w:name="Liberation Serif">
    <w:altName w:val="Times New Roman"/>
    <w:charset w:val="EE"/>
    <w:family w:val="roman"/>
    <w:pitch w:val="variable"/>
  </w:font>
  <w:font w:name="FreeSans">
    <w:altName w:val="MS Gothic"/>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6475856"/>
      <w:docPartObj>
        <w:docPartGallery w:val="Page Numbers (Bottom of Page)"/>
        <w:docPartUnique/>
      </w:docPartObj>
    </w:sdtPr>
    <w:sdtContent>
      <w:p w14:paraId="6A209E67" w14:textId="69EB7A8B" w:rsidR="001053DB" w:rsidRPr="008F3809" w:rsidRDefault="001053DB">
        <w:pPr>
          <w:pStyle w:val="Footer"/>
          <w:jc w:val="center"/>
        </w:pPr>
        <w:r w:rsidRPr="008F3809">
          <w:fldChar w:fldCharType="begin"/>
        </w:r>
        <w:r w:rsidRPr="008F3809">
          <w:instrText xml:space="preserve"> PAGE   \* MERGEFORMAT </w:instrText>
        </w:r>
        <w:r w:rsidRPr="008F3809">
          <w:fldChar w:fldCharType="separate"/>
        </w:r>
        <w:r w:rsidR="002E7DDF">
          <w:rPr>
            <w:noProof/>
          </w:rPr>
          <w:t>16</w:t>
        </w:r>
        <w:r w:rsidRPr="008F3809">
          <w:fldChar w:fldCharType="end"/>
        </w:r>
      </w:p>
    </w:sdtContent>
  </w:sdt>
  <w:p w14:paraId="0069B64E" w14:textId="77777777" w:rsidR="001053DB" w:rsidRPr="008F3809" w:rsidRDefault="001053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4260768"/>
      <w:docPartObj>
        <w:docPartGallery w:val="Page Numbers (Bottom of Page)"/>
        <w:docPartUnique/>
      </w:docPartObj>
    </w:sdtPr>
    <w:sdtContent>
      <w:p w14:paraId="41B4C8CF" w14:textId="322159D0" w:rsidR="001053DB" w:rsidRPr="008F3809" w:rsidRDefault="001053DB">
        <w:pPr>
          <w:pStyle w:val="Footer"/>
          <w:jc w:val="center"/>
        </w:pPr>
        <w:r w:rsidRPr="008F3809">
          <w:fldChar w:fldCharType="begin"/>
        </w:r>
        <w:r w:rsidRPr="008F3809">
          <w:instrText xml:space="preserve"> PAGE   \* MERGEFORMAT </w:instrText>
        </w:r>
        <w:r w:rsidRPr="008F3809">
          <w:fldChar w:fldCharType="separate"/>
        </w:r>
        <w:r w:rsidR="002E7DDF">
          <w:rPr>
            <w:noProof/>
          </w:rPr>
          <w:t>25</w:t>
        </w:r>
        <w:r w:rsidRPr="008F3809">
          <w:fldChar w:fldCharType="end"/>
        </w:r>
      </w:p>
    </w:sdtContent>
  </w:sdt>
  <w:p w14:paraId="4F887EDF" w14:textId="77777777" w:rsidR="001053DB" w:rsidRPr="008F3809" w:rsidRDefault="001053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7281448"/>
      <w:docPartObj>
        <w:docPartGallery w:val="Page Numbers (Bottom of Page)"/>
        <w:docPartUnique/>
      </w:docPartObj>
    </w:sdtPr>
    <w:sdtContent>
      <w:p w14:paraId="13A51CC0" w14:textId="16CC0B5D" w:rsidR="001053DB" w:rsidRPr="008F3809" w:rsidRDefault="001053DB">
        <w:pPr>
          <w:pStyle w:val="Footer"/>
          <w:jc w:val="center"/>
        </w:pPr>
        <w:r w:rsidRPr="008F3809">
          <w:fldChar w:fldCharType="begin"/>
        </w:r>
        <w:r w:rsidRPr="008F3809">
          <w:instrText xml:space="preserve"> PAGE   \* MERGEFORMAT </w:instrText>
        </w:r>
        <w:r w:rsidRPr="008F3809">
          <w:fldChar w:fldCharType="separate"/>
        </w:r>
        <w:r w:rsidR="002E7DDF">
          <w:rPr>
            <w:noProof/>
          </w:rPr>
          <w:t>36</w:t>
        </w:r>
        <w:r w:rsidRPr="008F3809">
          <w:fldChar w:fldCharType="end"/>
        </w:r>
      </w:p>
    </w:sdtContent>
  </w:sdt>
  <w:p w14:paraId="404CBB1B" w14:textId="77777777" w:rsidR="001053DB" w:rsidRPr="008F3809" w:rsidRDefault="001053D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3606716"/>
      <w:docPartObj>
        <w:docPartGallery w:val="Page Numbers (Bottom of Page)"/>
        <w:docPartUnique/>
      </w:docPartObj>
    </w:sdtPr>
    <w:sdtContent>
      <w:p w14:paraId="4AC7BADE" w14:textId="3EF728E7" w:rsidR="001053DB" w:rsidRPr="008F3809" w:rsidRDefault="001053DB">
        <w:pPr>
          <w:pStyle w:val="Footer"/>
          <w:jc w:val="center"/>
        </w:pPr>
        <w:r w:rsidRPr="008F3809">
          <w:fldChar w:fldCharType="begin"/>
        </w:r>
        <w:r w:rsidRPr="008F3809">
          <w:instrText xml:space="preserve"> PAGE   \* MERGEFORMAT </w:instrText>
        </w:r>
        <w:r w:rsidRPr="008F3809">
          <w:fldChar w:fldCharType="separate"/>
        </w:r>
        <w:r w:rsidR="002E7DDF">
          <w:rPr>
            <w:noProof/>
          </w:rPr>
          <w:t>82</w:t>
        </w:r>
        <w:r w:rsidRPr="008F3809">
          <w:fldChar w:fldCharType="end"/>
        </w:r>
      </w:p>
    </w:sdtContent>
  </w:sdt>
  <w:p w14:paraId="6B58ACD0" w14:textId="77777777" w:rsidR="001053DB" w:rsidRPr="008F3809" w:rsidRDefault="001053DB">
    <w:pPr>
      <w:pStyle w:val="Footer"/>
    </w:pPr>
  </w:p>
  <w:p w14:paraId="43EAA36B" w14:textId="77777777" w:rsidR="001053DB" w:rsidRPr="008F3809" w:rsidRDefault="001053D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3B036" w14:textId="77777777" w:rsidR="00482237" w:rsidRPr="008F3809" w:rsidRDefault="00482237" w:rsidP="007D6B29">
      <w:pPr>
        <w:spacing w:after="0" w:line="240" w:lineRule="auto"/>
      </w:pPr>
      <w:r w:rsidRPr="008F3809">
        <w:separator/>
      </w:r>
    </w:p>
  </w:footnote>
  <w:footnote w:type="continuationSeparator" w:id="0">
    <w:p w14:paraId="7F4A2F06" w14:textId="77777777" w:rsidR="00482237" w:rsidRPr="008F3809" w:rsidRDefault="00482237" w:rsidP="007D6B29">
      <w:pPr>
        <w:spacing w:after="0" w:line="240" w:lineRule="auto"/>
      </w:pPr>
      <w:r w:rsidRPr="008F3809">
        <w:continuationSeparator/>
      </w:r>
    </w:p>
  </w:footnote>
  <w:footnote w:type="continuationNotice" w:id="1">
    <w:p w14:paraId="4782C7A9" w14:textId="77777777" w:rsidR="00482237" w:rsidRPr="008F3809" w:rsidRDefault="00482237">
      <w:pPr>
        <w:spacing w:after="0" w:line="240" w:lineRule="auto"/>
      </w:pPr>
    </w:p>
  </w:footnote>
  <w:footnote w:id="2">
    <w:p w14:paraId="5929BF74" w14:textId="74AB7B45" w:rsidR="00E114B2" w:rsidRPr="00E114B2" w:rsidRDefault="00E114B2">
      <w:pPr>
        <w:pStyle w:val="FootnoteText"/>
        <w:rPr>
          <w:lang w:val="en-US"/>
        </w:rPr>
      </w:pPr>
      <w:r>
        <w:rPr>
          <w:rStyle w:val="FootnoteReference"/>
        </w:rPr>
        <w:footnoteRef/>
      </w:r>
      <w:r>
        <w:t xml:space="preserve"> </w:t>
      </w:r>
      <w:hyperlink r:id="rId1" w:history="1">
        <w:r w:rsidRPr="00B6786A">
          <w:rPr>
            <w:rStyle w:val="Hyperlink"/>
          </w:rPr>
          <w:t>https://budzet.mfin.gov.rs/en/login</w:t>
        </w:r>
      </w:hyperlink>
      <w:r>
        <w:rPr>
          <w:lang w:val="en-US"/>
        </w:rPr>
        <w:t xml:space="preserve"> </w:t>
      </w:r>
    </w:p>
  </w:footnote>
  <w:footnote w:id="3">
    <w:p w14:paraId="22BC6FF5" w14:textId="485492C5" w:rsidR="0022497C" w:rsidRPr="0022497C" w:rsidRDefault="0022497C">
      <w:pPr>
        <w:pStyle w:val="FootnoteText"/>
        <w:rPr>
          <w:lang w:val="en-US"/>
        </w:rPr>
      </w:pPr>
      <w:r>
        <w:rPr>
          <w:rStyle w:val="FootnoteReference"/>
        </w:rPr>
        <w:footnoteRef/>
      </w:r>
      <w:r>
        <w:t xml:space="preserve"> </w:t>
      </w:r>
      <w:r w:rsidRPr="0022497C">
        <w:t>All public financial management issues at the level of local self-government units (including reform of the local government financing system and support for further fiscal decentralisation, support for budget planning, and the enhancement of budget transparency) are addressed within the Programme for Reform of the Local Self-Government System 2026–2030, together with its accompanying Action Plan, which is currently in the final stage of preparation.</w:t>
      </w:r>
    </w:p>
  </w:footnote>
  <w:footnote w:id="4">
    <w:p w14:paraId="28915754" w14:textId="1F0B74EB" w:rsidR="00DE7C20" w:rsidRPr="00DE7C20" w:rsidRDefault="00DE7C20">
      <w:pPr>
        <w:pStyle w:val="FootnoteText"/>
        <w:rPr>
          <w:lang w:val="en-US"/>
        </w:rPr>
      </w:pPr>
      <w:r>
        <w:rPr>
          <w:rStyle w:val="FootnoteReference"/>
        </w:rPr>
        <w:footnoteRef/>
      </w:r>
      <w:r>
        <w:t xml:space="preserve"> </w:t>
      </w:r>
      <w:hyperlink r:id="rId2" w:history="1">
        <w:r w:rsidRPr="00742610">
          <w:rPr>
            <w:rStyle w:val="Hyperlink"/>
          </w:rPr>
          <w:t>https://www.mei.gov.rs/%D0%B4%D0%BE%D0%BA%D1%83%D0%BC%D0%B5%D0%BD%D1%82%D0%B0/%D0%B5%D1%83-%D0%B4%D0%BE%D0%BA%D1%83%D0%BC%D0%B5%D0%BD%D1%82%D0%B0.893.html</w:t>
        </w:r>
      </w:hyperlink>
      <w:r>
        <w:rPr>
          <w:lang w:val="en-US"/>
        </w:rPr>
        <w:t xml:space="preserve"> </w:t>
      </w:r>
    </w:p>
  </w:footnote>
  <w:footnote w:id="5">
    <w:p w14:paraId="6C330A9F" w14:textId="7FA31CEC" w:rsidR="00DE7C20" w:rsidRPr="00DE7C20" w:rsidRDefault="00DE7C20">
      <w:pPr>
        <w:pStyle w:val="FootnoteText"/>
        <w:rPr>
          <w:lang w:val="en-US"/>
        </w:rPr>
      </w:pPr>
      <w:r>
        <w:rPr>
          <w:rStyle w:val="FootnoteReference"/>
        </w:rPr>
        <w:footnoteRef/>
      </w:r>
      <w:r>
        <w:t xml:space="preserve"> </w:t>
      </w:r>
      <w:hyperlink r:id="rId3" w:history="1">
        <w:r w:rsidRPr="00742610">
          <w:rPr>
            <w:rStyle w:val="Hyperlink"/>
          </w:rPr>
          <w:t>https://www.mei.gov.rs/srl/dokumenta/eu-plan-rasta-za-zapadni-balkan/</w:t>
        </w:r>
      </w:hyperlink>
      <w:r>
        <w:rPr>
          <w:lang w:val="en-US"/>
        </w:rPr>
        <w:t xml:space="preserve"> </w:t>
      </w:r>
    </w:p>
  </w:footnote>
  <w:footnote w:id="6">
    <w:p w14:paraId="5F95BBA3" w14:textId="27CE2E94" w:rsidR="00DE7C20" w:rsidRPr="00DE7C20" w:rsidRDefault="00DE7C20">
      <w:pPr>
        <w:pStyle w:val="FootnoteText"/>
        <w:rPr>
          <w:lang w:val="en-US"/>
        </w:rPr>
      </w:pPr>
      <w:r>
        <w:rPr>
          <w:rStyle w:val="FootnoteReference"/>
        </w:rPr>
        <w:footnoteRef/>
      </w:r>
      <w:r>
        <w:t xml:space="preserve"> </w:t>
      </w:r>
      <w:hyperlink r:id="rId4" w:history="1">
        <w:r w:rsidRPr="00DD0310">
          <w:rPr>
            <w:rStyle w:val="Hyperlink"/>
          </w:rPr>
          <w:t>https://www.financeministersforclimate.org/</w:t>
        </w:r>
      </w:hyperlink>
      <w:r>
        <w:rPr>
          <w:lang w:val="en-US"/>
        </w:rPr>
        <w:t xml:space="preserve"> </w:t>
      </w:r>
    </w:p>
  </w:footnote>
  <w:footnote w:id="7">
    <w:p w14:paraId="67EBEC6F" w14:textId="549DD85A" w:rsidR="00DE7C20" w:rsidRPr="00DE7C20" w:rsidRDefault="00DE7C20">
      <w:pPr>
        <w:pStyle w:val="FootnoteText"/>
        <w:rPr>
          <w:lang w:val="en-US"/>
        </w:rPr>
      </w:pPr>
      <w:r>
        <w:rPr>
          <w:rStyle w:val="FootnoteReference"/>
        </w:rPr>
        <w:footnoteRef/>
      </w:r>
      <w:r>
        <w:t xml:space="preserve"> </w:t>
      </w:r>
      <w:hyperlink r:id="rId5" w:history="1">
        <w:r w:rsidRPr="00742610">
          <w:rPr>
            <w:rStyle w:val="Hyperlink"/>
          </w:rPr>
          <w:t>https://www.mfin.gov.rs/en/documents2-2/improving-public-financial-management-for-the-green-transition-2</w:t>
        </w:r>
      </w:hyperlink>
      <w:r>
        <w:rPr>
          <w:lang w:val="en-US"/>
        </w:rPr>
        <w:t xml:space="preserve"> </w:t>
      </w:r>
    </w:p>
  </w:footnote>
  <w:footnote w:id="8">
    <w:p w14:paraId="5A68506C" w14:textId="6D56E0D2" w:rsidR="0026707E" w:rsidRPr="0026707E" w:rsidRDefault="0026707E">
      <w:pPr>
        <w:pStyle w:val="FootnoteText"/>
        <w:rPr>
          <w:lang w:val="en-US"/>
        </w:rPr>
      </w:pPr>
      <w:r>
        <w:rPr>
          <w:rStyle w:val="FootnoteReference"/>
        </w:rPr>
        <w:footnoteRef/>
      </w:r>
      <w:r>
        <w:t xml:space="preserve"> </w:t>
      </w:r>
      <w:hyperlink r:id="rId6" w:history="1">
        <w:r w:rsidRPr="00742610">
          <w:rPr>
            <w:rStyle w:val="Hyperlink"/>
          </w:rPr>
          <w:t>https://www.sigmaweb.org/en/publications/public-administration-in-serbia-2024_02001fe4-en.html</w:t>
        </w:r>
      </w:hyperlink>
      <w:r>
        <w:rPr>
          <w:lang w:val="en-US"/>
        </w:rPr>
        <w:t xml:space="preserve"> </w:t>
      </w:r>
    </w:p>
  </w:footnote>
  <w:footnote w:id="9">
    <w:p w14:paraId="18AE1B2A" w14:textId="0CFDEF14" w:rsidR="00B71777" w:rsidRPr="00B71777" w:rsidRDefault="00B71777">
      <w:pPr>
        <w:pStyle w:val="FootnoteText"/>
        <w:rPr>
          <w:lang w:val="en-US"/>
        </w:rPr>
      </w:pPr>
      <w:r>
        <w:rPr>
          <w:rStyle w:val="FootnoteReference"/>
        </w:rPr>
        <w:footnoteRef/>
      </w:r>
      <w:r>
        <w:t xml:space="preserve"> </w:t>
      </w:r>
      <w:hyperlink r:id="rId7" w:history="1">
        <w:r w:rsidRPr="00BD7FA0">
          <w:rPr>
            <w:rStyle w:val="Hyperlink"/>
          </w:rPr>
          <w:t>https://www.pefa.org/node/5240</w:t>
        </w:r>
      </w:hyperlink>
      <w:r>
        <w:rPr>
          <w:lang w:val="en-US"/>
        </w:rPr>
        <w:t xml:space="preserve"> Stocktaking of PFM diagnostic tools, August 2023</w:t>
      </w:r>
    </w:p>
  </w:footnote>
  <w:footnote w:id="10">
    <w:p w14:paraId="3BF17B29" w14:textId="1620B00C" w:rsidR="00B71777" w:rsidRPr="00B71777" w:rsidRDefault="00B71777">
      <w:pPr>
        <w:pStyle w:val="FootnoteText"/>
        <w:rPr>
          <w:lang w:val="en-US"/>
        </w:rPr>
      </w:pPr>
      <w:r>
        <w:rPr>
          <w:rStyle w:val="FootnoteReference"/>
        </w:rPr>
        <w:footnoteRef/>
      </w:r>
      <w:r>
        <w:t xml:space="preserve"> </w:t>
      </w:r>
      <w:hyperlink r:id="rId8" w:history="1">
        <w:r w:rsidRPr="00742610">
          <w:rPr>
            <w:rStyle w:val="Hyperlink"/>
          </w:rPr>
          <w:t>https://www.mei.gov.rs/eng/documents/eu-documents/annual-progress-reports-of-the-european-commission-for-serbia/</w:t>
        </w:r>
      </w:hyperlink>
      <w:r>
        <w:rPr>
          <w:lang w:val="en-US"/>
        </w:rPr>
        <w:t xml:space="preserve"> </w:t>
      </w:r>
    </w:p>
  </w:footnote>
  <w:footnote w:id="11">
    <w:p w14:paraId="4B50E0DB" w14:textId="5697986E" w:rsidR="00B71777" w:rsidRPr="00B71777" w:rsidRDefault="00B71777">
      <w:pPr>
        <w:pStyle w:val="FootnoteText"/>
        <w:rPr>
          <w:lang w:val="en-US"/>
        </w:rPr>
      </w:pPr>
      <w:r>
        <w:rPr>
          <w:rStyle w:val="FootnoteReference"/>
        </w:rPr>
        <w:footnoteRef/>
      </w:r>
      <w:r>
        <w:t xml:space="preserve"> </w:t>
      </w:r>
      <w:hyperlink r:id="rId9" w:history="1">
        <w:r w:rsidRPr="00742610">
          <w:rPr>
            <w:rStyle w:val="Hyperlink"/>
          </w:rPr>
          <w:t>https://www.mei.gov.rs/eng/documents/eu-documents/</w:t>
        </w:r>
      </w:hyperlink>
      <w:r>
        <w:rPr>
          <w:lang w:val="en-US"/>
        </w:rPr>
        <w:t xml:space="preserve"> </w:t>
      </w:r>
    </w:p>
  </w:footnote>
  <w:footnote w:id="12">
    <w:p w14:paraId="08A29F80" w14:textId="19AC541D" w:rsidR="00B71777" w:rsidRPr="00B71777" w:rsidRDefault="00B71777">
      <w:pPr>
        <w:pStyle w:val="FootnoteText"/>
        <w:rPr>
          <w:lang w:val="en-US"/>
        </w:rPr>
      </w:pPr>
      <w:r>
        <w:rPr>
          <w:rStyle w:val="FootnoteReference"/>
        </w:rPr>
        <w:footnoteRef/>
      </w:r>
      <w:r>
        <w:t xml:space="preserve"> </w:t>
      </w:r>
      <w:hyperlink r:id="rId10" w:history="1">
        <w:r w:rsidRPr="00742610">
          <w:rPr>
            <w:rStyle w:val="Hyperlink"/>
          </w:rPr>
          <w:t>https://www.mfin.gov.rs/en/documents2-2/economic-reform-program-erp-2</w:t>
        </w:r>
      </w:hyperlink>
      <w:r>
        <w:rPr>
          <w:lang w:val="en-US"/>
        </w:rPr>
        <w:t xml:space="preserve"> </w:t>
      </w:r>
    </w:p>
  </w:footnote>
  <w:footnote w:id="13">
    <w:p w14:paraId="5361C79C" w14:textId="0B4BA504" w:rsidR="00B71777" w:rsidRPr="00B71777" w:rsidRDefault="00B71777">
      <w:pPr>
        <w:pStyle w:val="FootnoteText"/>
        <w:rPr>
          <w:lang w:val="en-US"/>
        </w:rPr>
      </w:pPr>
      <w:r>
        <w:rPr>
          <w:rStyle w:val="FootnoteReference"/>
        </w:rPr>
        <w:footnoteRef/>
      </w:r>
      <w:r>
        <w:t xml:space="preserve"> </w:t>
      </w:r>
      <w:hyperlink r:id="rId11" w:history="1">
        <w:r w:rsidRPr="00940300">
          <w:rPr>
            <w:rStyle w:val="Hyperlink"/>
            <w:rFonts w:asciiTheme="minorHAnsi" w:hAnsiTheme="minorHAnsi" w:cstheme="minorHAnsi"/>
            <w:shd w:val="clear" w:color="auto" w:fill="FFFFFF"/>
          </w:rPr>
          <w:t>https://par-portal.sigmaweb.org/</w:t>
        </w:r>
      </w:hyperlink>
      <w:r>
        <w:rPr>
          <w:lang w:val="en-US"/>
        </w:rPr>
        <w:t xml:space="preserve"> </w:t>
      </w:r>
    </w:p>
  </w:footnote>
  <w:footnote w:id="14">
    <w:p w14:paraId="1161F8FE" w14:textId="30F5170E" w:rsidR="00B71777" w:rsidRPr="00B71777" w:rsidRDefault="00B71777">
      <w:pPr>
        <w:pStyle w:val="FootnoteText"/>
        <w:rPr>
          <w:lang w:val="en-US"/>
        </w:rPr>
      </w:pPr>
      <w:r>
        <w:rPr>
          <w:rStyle w:val="FootnoteReference"/>
        </w:rPr>
        <w:footnoteRef/>
      </w:r>
      <w:r>
        <w:t xml:space="preserve"> </w:t>
      </w:r>
      <w:hyperlink r:id="rId12" w:history="1">
        <w:r w:rsidRPr="00BD7FA0">
          <w:rPr>
            <w:rStyle w:val="Hyperlink"/>
          </w:rPr>
          <w:t>https://www.pefa.org/global-report-2022/en/</w:t>
        </w:r>
      </w:hyperlink>
      <w:r>
        <w:rPr>
          <w:lang w:val="en-US"/>
        </w:rPr>
        <w:t xml:space="preserve"> </w:t>
      </w:r>
    </w:p>
  </w:footnote>
  <w:footnote w:id="15">
    <w:p w14:paraId="5A4919D1" w14:textId="18A9DCFB" w:rsidR="00B71777" w:rsidRPr="00B71777" w:rsidRDefault="00B71777">
      <w:pPr>
        <w:pStyle w:val="FootnoteText"/>
        <w:rPr>
          <w:lang w:val="en-US"/>
        </w:rPr>
      </w:pPr>
      <w:r>
        <w:rPr>
          <w:rStyle w:val="FootnoteReference"/>
        </w:rPr>
        <w:footnoteRef/>
      </w:r>
      <w:r>
        <w:t xml:space="preserve"> </w:t>
      </w:r>
      <w:hyperlink r:id="rId13" w:history="1">
        <w:r w:rsidRPr="00BD7FA0">
          <w:rPr>
            <w:rStyle w:val="Hyperlink"/>
          </w:rPr>
          <w:t>https://internationalbudget.org/open-budget-survey/</w:t>
        </w:r>
      </w:hyperlink>
      <w:r>
        <w:rPr>
          <w:lang w:val="en-US"/>
        </w:rPr>
        <w:t xml:space="preserve"> </w:t>
      </w:r>
    </w:p>
  </w:footnote>
  <w:footnote w:id="16">
    <w:p w14:paraId="65D8F74F" w14:textId="6709C352" w:rsidR="00B71777" w:rsidRPr="00D4043A" w:rsidRDefault="00B71777">
      <w:pPr>
        <w:pStyle w:val="FootnoteText"/>
        <w:rPr>
          <w:lang w:val="sr-Latn-RS"/>
        </w:rPr>
      </w:pPr>
      <w:r>
        <w:rPr>
          <w:rStyle w:val="FootnoteReference"/>
        </w:rPr>
        <w:footnoteRef/>
      </w:r>
      <w:r>
        <w:t xml:space="preserve"> </w:t>
      </w:r>
      <w:hyperlink r:id="rId14" w:history="1">
        <w:r w:rsidRPr="00BD7FA0">
          <w:rPr>
            <w:rStyle w:val="Hyperlink"/>
          </w:rPr>
          <w:t>https://infrastructuregovern.imf.org/content/PIMA/Home/PimaTool/What-is-PIMA.html</w:t>
        </w:r>
      </w:hyperlink>
      <w:r>
        <w:rPr>
          <w:lang w:val="sr-Latn-RS"/>
        </w:rPr>
        <w:t xml:space="preserve"> </w:t>
      </w:r>
    </w:p>
  </w:footnote>
  <w:footnote w:id="17">
    <w:p w14:paraId="3ABEB94B" w14:textId="4B14EB11" w:rsidR="00B71777" w:rsidRPr="00B71777" w:rsidRDefault="00B71777">
      <w:pPr>
        <w:pStyle w:val="FootnoteText"/>
        <w:rPr>
          <w:lang w:val="en-US"/>
        </w:rPr>
      </w:pPr>
      <w:r>
        <w:rPr>
          <w:rStyle w:val="FootnoteReference"/>
        </w:rPr>
        <w:footnoteRef/>
      </w:r>
      <w:r>
        <w:t xml:space="preserve"> </w:t>
      </w:r>
      <w:hyperlink r:id="rId15" w:history="1">
        <w:r w:rsidRPr="002147D6">
          <w:rPr>
            <w:rStyle w:val="Hyperlink"/>
          </w:rPr>
          <w:t>https://www.tadat.org/en/what-is-tadat/about-tadat.html</w:t>
        </w:r>
      </w:hyperlink>
    </w:p>
  </w:footnote>
  <w:footnote w:id="18">
    <w:p w14:paraId="6D00FD5A" w14:textId="1E7142B8" w:rsidR="00B71777" w:rsidRPr="00B71777" w:rsidRDefault="00B71777">
      <w:pPr>
        <w:pStyle w:val="FootnoteText"/>
        <w:rPr>
          <w:b/>
          <w:bCs/>
          <w:lang w:val="en-US"/>
        </w:rPr>
      </w:pPr>
      <w:r>
        <w:rPr>
          <w:rStyle w:val="FootnoteReference"/>
        </w:rPr>
        <w:footnoteRef/>
      </w:r>
      <w:r>
        <w:t xml:space="preserve"> </w:t>
      </w:r>
      <w:hyperlink r:id="rId16" w:history="1">
        <w:r w:rsidRPr="00BD7FA0">
          <w:rPr>
            <w:rStyle w:val="Hyperlink"/>
          </w:rPr>
          <w:t>https://www.elibrary.imf.org/view/journals/029/2026/014/029.2026.issue-014-en.xml?cid=lk-com-elib-latest</w:t>
        </w:r>
      </w:hyperlink>
    </w:p>
  </w:footnote>
  <w:footnote w:id="19">
    <w:p w14:paraId="3CED0911" w14:textId="23D04F35" w:rsidR="00B71777" w:rsidRPr="00B71777" w:rsidRDefault="00B71777">
      <w:pPr>
        <w:pStyle w:val="FootnoteText"/>
        <w:rPr>
          <w:lang w:val="en-US"/>
        </w:rPr>
      </w:pPr>
      <w:r>
        <w:rPr>
          <w:rStyle w:val="FootnoteReference"/>
        </w:rPr>
        <w:footnoteRef/>
      </w:r>
      <w:r>
        <w:t xml:space="preserve"> </w:t>
      </w:r>
      <w:hyperlink r:id="rId17" w:history="1">
        <w:r w:rsidRPr="00BD7FA0">
          <w:rPr>
            <w:rStyle w:val="Hyperlink"/>
          </w:rPr>
          <w:t>https://www.mapsinitiative.org/en.html</w:t>
        </w:r>
      </w:hyperlink>
    </w:p>
  </w:footnote>
  <w:footnote w:id="20">
    <w:p w14:paraId="4645373A" w14:textId="79915C18" w:rsidR="00B71777" w:rsidRPr="00B71777" w:rsidRDefault="00B71777">
      <w:pPr>
        <w:pStyle w:val="FootnoteText"/>
        <w:rPr>
          <w:lang w:val="en-US"/>
        </w:rPr>
      </w:pPr>
      <w:r>
        <w:rPr>
          <w:rStyle w:val="FootnoteReference"/>
        </w:rPr>
        <w:footnoteRef/>
      </w:r>
      <w:r>
        <w:t xml:space="preserve"> </w:t>
      </w:r>
      <w:hyperlink r:id="rId18" w:history="1">
        <w:r w:rsidRPr="00BD7FA0">
          <w:rPr>
            <w:rStyle w:val="Hyperlink"/>
          </w:rPr>
          <w:t>https://www.intosaicbc.org/sai-pmf/about/</w:t>
        </w:r>
      </w:hyperlink>
      <w:r>
        <w:rPr>
          <w:lang w:val="en-US"/>
        </w:rPr>
        <w:t xml:space="preserve"> and </w:t>
      </w:r>
      <w:hyperlink r:id="rId19" w:history="1">
        <w:r w:rsidRPr="007C6D28">
          <w:rPr>
            <w:rStyle w:val="Hyperlink"/>
          </w:rPr>
          <w:t>https://idi.no/our-work/initiative/sai-pmf/sai-pmf-about/</w:t>
        </w:r>
      </w:hyperlink>
    </w:p>
  </w:footnote>
  <w:footnote w:id="21">
    <w:p w14:paraId="5D0FD59D" w14:textId="69CD82AB" w:rsidR="00D14D70" w:rsidRPr="00D14D70" w:rsidRDefault="00D14D70">
      <w:pPr>
        <w:pStyle w:val="FootnoteText"/>
        <w:rPr>
          <w:lang w:val="en-US"/>
        </w:rPr>
      </w:pPr>
      <w:r>
        <w:rPr>
          <w:rStyle w:val="FootnoteReference"/>
        </w:rPr>
        <w:footnoteRef/>
      </w:r>
      <w:r>
        <w:t xml:space="preserve"> </w:t>
      </w:r>
      <w:hyperlink r:id="rId20" w:history="1">
        <w:r w:rsidRPr="008D1037">
          <w:rPr>
            <w:rStyle w:val="Hyperlink"/>
          </w:rPr>
          <w:t>https://www.mfin.gov.rs/en/documents2-2/public-financial-management-reform-program-pfm-2</w:t>
        </w:r>
      </w:hyperlink>
      <w:r>
        <w:rPr>
          <w:lang w:val="en-US"/>
        </w:rPr>
        <w:t xml:space="preserve"> </w:t>
      </w:r>
    </w:p>
  </w:footnote>
  <w:footnote w:id="22">
    <w:p w14:paraId="6DB4C199" w14:textId="5D4A04F9" w:rsidR="00334460" w:rsidRPr="00334460" w:rsidRDefault="00334460">
      <w:pPr>
        <w:pStyle w:val="FootnoteText"/>
        <w:rPr>
          <w:lang w:val="en-US"/>
        </w:rPr>
      </w:pPr>
      <w:r>
        <w:rPr>
          <w:rStyle w:val="FootnoteReference"/>
        </w:rPr>
        <w:footnoteRef/>
      </w:r>
      <w:r>
        <w:t xml:space="preserve"> </w:t>
      </w:r>
      <w:hyperlink r:id="rId21" w:history="1">
        <w:r w:rsidRPr="001000B5">
          <w:rPr>
            <w:rStyle w:val="Hyperlink"/>
          </w:rPr>
          <w:t>https://www.sigmaweb.org/en/data.html</w:t>
        </w:r>
      </w:hyperlink>
      <w:r>
        <w:rPr>
          <w:lang w:val="en-US"/>
        </w:rPr>
        <w:t xml:space="preserve"> </w:t>
      </w:r>
    </w:p>
  </w:footnote>
  <w:footnote w:id="23">
    <w:p w14:paraId="59F7C5F3" w14:textId="14A2EB69" w:rsidR="00334460" w:rsidRPr="00334460" w:rsidRDefault="00334460">
      <w:pPr>
        <w:pStyle w:val="FootnoteText"/>
        <w:rPr>
          <w:lang w:val="en-US"/>
        </w:rPr>
      </w:pPr>
      <w:r>
        <w:rPr>
          <w:rStyle w:val="FootnoteReference"/>
        </w:rPr>
        <w:footnoteRef/>
      </w:r>
      <w:r>
        <w:t xml:space="preserve"> </w:t>
      </w:r>
      <w:hyperlink r:id="rId22" w:history="1">
        <w:r w:rsidRPr="008D1037">
          <w:rPr>
            <w:rStyle w:val="Hyperlink"/>
          </w:rPr>
          <w:t>https://www.mfin.gov.rs/en/documents2-2/public-financial-management-reform-program-pfm-2</w:t>
        </w:r>
      </w:hyperlink>
      <w:r>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84B8E" w14:textId="0023A3C8" w:rsidR="001053DB" w:rsidRPr="00956ED9" w:rsidRDefault="00956ED9">
    <w:pPr>
      <w:pStyle w:val="Header"/>
      <w:rPr>
        <w:b/>
        <w:bCs/>
        <w:sz w:val="28"/>
        <w:szCs w:val="28"/>
        <w:lang w:val="en-US"/>
      </w:rPr>
    </w:pPr>
    <w:r w:rsidRPr="00956ED9">
      <w:rPr>
        <w:b/>
        <w:bCs/>
        <w:sz w:val="28"/>
        <w:szCs w:val="28"/>
        <w:lang w:val="en-US"/>
      </w:rPr>
      <w:t>UNOFFICIAL TRANSLATION</w:t>
    </w:r>
  </w:p>
  <w:p w14:paraId="29A754D0" w14:textId="77777777" w:rsidR="001053DB" w:rsidRPr="008F3809" w:rsidRDefault="001053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A780B" w14:textId="5518253C" w:rsidR="003949FC" w:rsidRPr="00956ED9" w:rsidRDefault="00956ED9">
    <w:pPr>
      <w:pStyle w:val="Header"/>
      <w:rPr>
        <w:b/>
        <w:bCs/>
        <w:lang w:val="en-US"/>
      </w:rPr>
    </w:pPr>
    <w:r w:rsidRPr="00956ED9">
      <w:rPr>
        <w:b/>
        <w:bCs/>
        <w:lang w:val="en-US"/>
      </w:rPr>
      <w:t>UNOFFICIAL TRANSLATION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BC36B" w14:textId="154D8544" w:rsidR="001053DB" w:rsidRPr="008F3809" w:rsidRDefault="001053D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9CD4F" w14:textId="59FE30E8" w:rsidR="001053DB" w:rsidRPr="008F3809" w:rsidRDefault="001053DB">
    <w:pPr>
      <w:pStyle w:val="Header"/>
    </w:pPr>
  </w:p>
  <w:p w14:paraId="302462F8" w14:textId="2D3D6814" w:rsidR="001E08C2" w:rsidRPr="00956ED9" w:rsidRDefault="00000000" w:rsidP="001E08C2">
    <w:pPr>
      <w:pStyle w:val="Header"/>
      <w:rPr>
        <w:b/>
        <w:bCs/>
        <w:sz w:val="28"/>
        <w:szCs w:val="28"/>
        <w:lang w:val="en-US"/>
      </w:rPr>
    </w:pPr>
    <w:sdt>
      <w:sdtPr>
        <w:id w:val="998303641"/>
        <w:docPartObj>
          <w:docPartGallery w:val="Watermarks"/>
          <w:docPartUnique/>
        </w:docPartObj>
      </w:sdtPr>
      <w:sdtContent>
        <w:r w:rsidR="001053DB" w:rsidRPr="008F3809">
          <w:rPr>
            <w:noProof/>
            <w:lang w:val="en-US"/>
          </w:rPr>
          <mc:AlternateContent>
            <mc:Choice Requires="wps">
              <w:drawing>
                <wp:anchor distT="0" distB="0" distL="114300" distR="114300" simplePos="0" relativeHeight="251659776" behindDoc="1" locked="0" layoutInCell="0" allowOverlap="1" wp14:anchorId="7046B43D" wp14:editId="637D6E96">
                  <wp:simplePos x="0" y="0"/>
                  <wp:positionH relativeFrom="margin">
                    <wp:align>center</wp:align>
                  </wp:positionH>
                  <wp:positionV relativeFrom="margin">
                    <wp:align>center</wp:align>
                  </wp:positionV>
                  <wp:extent cx="5237480" cy="3142615"/>
                  <wp:effectExtent l="0" t="1143000" r="0" b="65786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30A041" w14:textId="77777777" w:rsidR="001053DB" w:rsidRPr="008F3809" w:rsidRDefault="001053DB" w:rsidP="005703FA">
                              <w:pPr>
                                <w:pStyle w:val="NormalWeb"/>
                                <w:spacing w:before="0" w:after="0"/>
                                <w:jc w:val="center"/>
                                <w:rPr>
                                  <w:lang w:val="sr-Cyrl-RS"/>
                                </w:rPr>
                              </w:pPr>
                              <w:r w:rsidRPr="008F3809">
                                <w:rPr>
                                  <w:rFonts w:ascii="Calibri" w:hAnsi="Calibri"/>
                                  <w:color w:val="C0C0C0"/>
                                  <w:sz w:val="2"/>
                                  <w:szCs w:val="2"/>
                                  <w:lang w:val="sr-Cyrl-RS"/>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46B43D" id="_x0000_t202" coordsize="21600,21600" o:spt="202" path="m,l,21600r21600,l21600,xe">
                  <v:stroke joinstyle="miter"/>
                  <v:path gradientshapeok="t" o:connecttype="rect"/>
                </v:shapetype>
                <v:shape id="Text Box 10" o:spid="_x0000_s1029" type="#_x0000_t202" style="position:absolute;margin-left:0;margin-top:0;width:412.4pt;height:247.45pt;rotation:-45;z-index:-25165670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" o:allowincell="f" filled="f" stroked="f">
                  <v:stroke joinstyle="round"/>
                  <o:lock v:ext="edit" shapetype="t"/>
                  <v:textbox style="mso-fit-shape-to-text:t">
                    <w:txbxContent>
                      <w:p w14:paraId="2B30A041" w14:textId="77777777" w:rsidR="001053DB" w:rsidRPr="008F3809" w:rsidRDefault="001053DB" w:rsidP="005703FA">
                        <w:pPr>
                          <w:pStyle w:val="NormalWeb"/>
                          <w:spacing w:before="0" w:after="0"/>
                          <w:jc w:val="center"/>
                          <w:rPr>
                            <w:lang w:val="sr-Cyrl-RS"/>
                          </w:rPr>
                        </w:pPr>
                        <w:r w:rsidRPr="008F3809">
                          <w:rPr>
                            <w:rFonts w:ascii="Calibri" w:hAnsi="Calibri"/>
                            <w:color w:val="C0C0C0"/>
                            <w:sz w:val="2"/>
                            <w:szCs w:val="2"/>
                            <w:lang w:val="sr-Cyrl-RS"/>
                            <w14:textFill>
                              <w14:solidFill>
                                <w14:srgbClr w14:val="C0C0C0">
                                  <w14:alpha w14:val="50000"/>
                                </w14:srgbClr>
                              </w14:solidFill>
                            </w14:textFill>
                          </w:rPr>
                          <w:t>DRAFT</w:t>
                        </w:r>
                      </w:p>
                    </w:txbxContent>
                  </v:textbox>
                  <w10:wrap anchorx="margin" anchory="margin"/>
                </v:shape>
              </w:pict>
            </mc:Fallback>
          </mc:AlternateContent>
        </w:r>
      </w:sdtContent>
    </w:sdt>
    <w:r w:rsidR="001E08C2" w:rsidRPr="001E08C2">
      <w:rPr>
        <w:b/>
        <w:bCs/>
        <w:sz w:val="28"/>
        <w:szCs w:val="28"/>
        <w:lang w:val="en-US"/>
      </w:rPr>
      <w:t xml:space="preserve"> </w:t>
    </w:r>
    <w:r w:rsidR="001E08C2" w:rsidRPr="00956ED9">
      <w:rPr>
        <w:b/>
        <w:bCs/>
        <w:sz w:val="28"/>
        <w:szCs w:val="28"/>
        <w:lang w:val="en-US"/>
      </w:rPr>
      <w:t>UNOFFICIAL TRANSLATION</w:t>
    </w:r>
  </w:p>
  <w:p w14:paraId="75661335" w14:textId="7EF58D5F" w:rsidR="001053DB" w:rsidRPr="008F3809" w:rsidRDefault="001E08C2" w:rsidP="001E08C2">
    <w:pPr>
      <w:pStyle w:val="Header"/>
      <w:tabs>
        <w:tab w:val="clear" w:pos="9026"/>
      </w:tabs>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3DFA5" w14:textId="26513AE7" w:rsidR="001053DB" w:rsidRPr="008F3809" w:rsidRDefault="001053D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3E0A5" w14:textId="3153B039" w:rsidR="001053DB" w:rsidRPr="008F3809" w:rsidRDefault="001053D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4B47C" w14:textId="77777777" w:rsidR="001E08C2" w:rsidRPr="00956ED9" w:rsidRDefault="001E08C2" w:rsidP="001E08C2">
    <w:pPr>
      <w:pStyle w:val="Header"/>
      <w:rPr>
        <w:b/>
        <w:bCs/>
        <w:sz w:val="28"/>
        <w:szCs w:val="28"/>
        <w:lang w:val="en-US"/>
      </w:rPr>
    </w:pPr>
    <w:r w:rsidRPr="00956ED9">
      <w:rPr>
        <w:b/>
        <w:bCs/>
        <w:sz w:val="28"/>
        <w:szCs w:val="28"/>
        <w:lang w:val="en-US"/>
      </w:rPr>
      <w:t>UNOFFICIAL TRANSLATION</w:t>
    </w:r>
  </w:p>
  <w:p w14:paraId="16424722" w14:textId="729C59F0" w:rsidR="001053DB" w:rsidRPr="008F3809" w:rsidRDefault="001053DB">
    <w:pPr>
      <w:pStyle w:val="Header"/>
    </w:pPr>
  </w:p>
  <w:sdt>
    <w:sdtPr>
      <w:id w:val="1159573505"/>
      <w:docPartObj>
        <w:docPartGallery w:val="Watermarks"/>
        <w:docPartUnique/>
      </w:docPartObj>
    </w:sdtPr>
    <w:sdtContent>
      <w:p w14:paraId="07AF95DB" w14:textId="77777777" w:rsidR="001053DB" w:rsidRPr="008F3809" w:rsidRDefault="001053DB">
        <w:pPr>
          <w:pStyle w:val="Header"/>
        </w:pPr>
        <w:r w:rsidRPr="008F3809">
          <w:rPr>
            <w:noProof/>
            <w:lang w:val="en-US"/>
          </w:rPr>
          <mc:AlternateContent>
            <mc:Choice Requires="wps">
              <w:drawing>
                <wp:anchor distT="0" distB="0" distL="114300" distR="114300" simplePos="0" relativeHeight="251657728" behindDoc="1" locked="0" layoutInCell="0" allowOverlap="1" wp14:anchorId="5E085605" wp14:editId="00D8DC61">
                  <wp:simplePos x="0" y="0"/>
                  <wp:positionH relativeFrom="margin">
                    <wp:align>center</wp:align>
                  </wp:positionH>
                  <wp:positionV relativeFrom="margin">
                    <wp:align>center</wp:align>
                  </wp:positionV>
                  <wp:extent cx="5237480" cy="3142615"/>
                  <wp:effectExtent l="0" t="1143000" r="0" b="65786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910F115" w14:textId="77777777" w:rsidR="001053DB" w:rsidRPr="008F3809" w:rsidRDefault="001053DB" w:rsidP="005703FA">
                              <w:pPr>
                                <w:pStyle w:val="NormalWeb"/>
                                <w:spacing w:before="0" w:after="0"/>
                                <w:jc w:val="center"/>
                                <w:rPr>
                                  <w:lang w:val="sr-Cyrl-RS"/>
                                </w:rPr>
                              </w:pPr>
                              <w:r w:rsidRPr="008F3809">
                                <w:rPr>
                                  <w:rFonts w:ascii="Calibri" w:hAnsi="Calibri"/>
                                  <w:color w:val="C0C0C0"/>
                                  <w:sz w:val="2"/>
                                  <w:szCs w:val="2"/>
                                  <w:lang w:val="sr-Cyrl-RS"/>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E085605" id="_x0000_t202" coordsize="21600,21600" o:spt="202" path="m,l,21600r21600,l21600,xe">
                  <v:stroke joinstyle="miter"/>
                  <v:path gradientshapeok="t" o:connecttype="rect"/>
                </v:shapetype>
                <v:shape id="Text Box 16" o:spid="_x0000_s1030" type="#_x0000_t202" style="position:absolute;margin-left:0;margin-top:0;width:412.4pt;height:247.4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" o:allowincell="f" filled="f" stroked="f">
                  <v:stroke joinstyle="round"/>
                  <o:lock v:ext="edit" shapetype="t"/>
                  <v:textbox style="mso-fit-shape-to-text:t">
                    <w:txbxContent>
                      <w:p w14:paraId="7910F115" w14:textId="77777777" w:rsidR="001053DB" w:rsidRPr="008F3809" w:rsidRDefault="001053DB" w:rsidP="005703FA">
                        <w:pPr>
                          <w:pStyle w:val="NormalWeb"/>
                          <w:spacing w:before="0" w:after="0"/>
                          <w:jc w:val="center"/>
                          <w:rPr>
                            <w:lang w:val="sr-Cyrl-RS"/>
                          </w:rPr>
                        </w:pPr>
                        <w:r w:rsidRPr="008F3809">
                          <w:rPr>
                            <w:rFonts w:ascii="Calibri" w:hAnsi="Calibri"/>
                            <w:color w:val="C0C0C0"/>
                            <w:sz w:val="2"/>
                            <w:szCs w:val="2"/>
                            <w:lang w:val="sr-Cyrl-RS"/>
                            <w14:textFill>
                              <w14:solidFill>
                                <w14:srgbClr w14:val="C0C0C0">
                                  <w14:alpha w14:val="50000"/>
                                </w14:srgbClr>
                              </w14:solidFill>
                            </w14:textFill>
                          </w:rPr>
                          <w:t>DRAFT</w:t>
                        </w:r>
                      </w:p>
                    </w:txbxContent>
                  </v:textbox>
                  <w10:wrap anchorx="margin" anchory="margin"/>
                </v:shape>
              </w:pict>
            </mc:Fallback>
          </mc:AlternateContent>
        </w:r>
      </w:p>
    </w:sdtContent>
  </w:sdt>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4E17D" w14:textId="07A71EC2" w:rsidR="001053DB" w:rsidRPr="008F3809" w:rsidRDefault="001053D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730CC" w14:textId="11401314" w:rsidR="001053DB" w:rsidRPr="008F3809" w:rsidRDefault="001053D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D94C7" w14:textId="77777777" w:rsidR="001E08C2" w:rsidRPr="00956ED9" w:rsidRDefault="001E08C2" w:rsidP="001E08C2">
    <w:pPr>
      <w:pStyle w:val="Header"/>
      <w:rPr>
        <w:b/>
        <w:bCs/>
        <w:sz w:val="28"/>
        <w:szCs w:val="28"/>
        <w:lang w:val="en-US"/>
      </w:rPr>
    </w:pPr>
    <w:r w:rsidRPr="00956ED9">
      <w:rPr>
        <w:b/>
        <w:bCs/>
        <w:sz w:val="28"/>
        <w:szCs w:val="28"/>
        <w:lang w:val="en-US"/>
      </w:rPr>
      <w:t>UNOFFICIAL TRANSLATION</w:t>
    </w:r>
  </w:p>
  <w:p w14:paraId="2C5B7803" w14:textId="622890C0" w:rsidR="001053DB" w:rsidRPr="008F3809" w:rsidRDefault="001053DB"/>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8DBF9" w14:textId="73334738" w:rsidR="001053DB" w:rsidRPr="008F3809" w:rsidRDefault="001053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D145CE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357188"/>
    <w:multiLevelType w:val="hybridMultilevel"/>
    <w:tmpl w:val="7D221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75229B"/>
    <w:multiLevelType w:val="hybridMultilevel"/>
    <w:tmpl w:val="B554D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4A0F00"/>
    <w:multiLevelType w:val="hybridMultilevel"/>
    <w:tmpl w:val="4288E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105CA9"/>
    <w:multiLevelType w:val="hybridMultilevel"/>
    <w:tmpl w:val="42423320"/>
    <w:lvl w:ilvl="0" w:tplc="D28835AC">
      <w:start w:val="1"/>
      <w:numFmt w:val="decimal"/>
      <w:pStyle w:val="ParagraphNumbering"/>
      <w:lvlText w:val="%1.     "/>
      <w:lvlJc w:val="left"/>
      <w:pPr>
        <w:tabs>
          <w:tab w:val="num" w:pos="1260"/>
        </w:tabs>
        <w:ind w:left="540" w:firstLine="0"/>
      </w:pPr>
      <w:rPr>
        <w:rFonts w:hint="default"/>
        <w:b/>
        <w:bC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60B4A49"/>
    <w:multiLevelType w:val="hybridMultilevel"/>
    <w:tmpl w:val="0D745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EF32EA"/>
    <w:multiLevelType w:val="hybridMultilevel"/>
    <w:tmpl w:val="072A29BC"/>
    <w:lvl w:ilvl="0" w:tplc="D7324D6E">
      <w:start w:val="1"/>
      <w:numFmt w:val="bullet"/>
      <w:lvlText w:val="ü"/>
      <w:lvlJc w:val="left"/>
      <w:pPr>
        <w:ind w:left="1428"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A85611"/>
    <w:multiLevelType w:val="multilevel"/>
    <w:tmpl w:val="18667D1A"/>
    <w:lvl w:ilvl="0">
      <w:start w:val="1"/>
      <w:numFmt w:val="decimal"/>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15:restartNumberingAfterBreak="0">
    <w:nsid w:val="73DD3E3C"/>
    <w:multiLevelType w:val="hybridMultilevel"/>
    <w:tmpl w:val="6EC02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393F5A"/>
    <w:multiLevelType w:val="hybridMultilevel"/>
    <w:tmpl w:val="26700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7293899">
    <w:abstractNumId w:val="7"/>
  </w:num>
  <w:num w:numId="2" w16cid:durableId="227107641">
    <w:abstractNumId w:val="4"/>
  </w:num>
  <w:num w:numId="3" w16cid:durableId="728965274">
    <w:abstractNumId w:val="0"/>
  </w:num>
  <w:num w:numId="4" w16cid:durableId="2135055367">
    <w:abstractNumId w:val="6"/>
  </w:num>
  <w:num w:numId="5" w16cid:durableId="770317757">
    <w:abstractNumId w:val="2"/>
  </w:num>
  <w:num w:numId="6" w16cid:durableId="100105106">
    <w:abstractNumId w:val="9"/>
  </w:num>
  <w:num w:numId="7" w16cid:durableId="587812312">
    <w:abstractNumId w:val="5"/>
  </w:num>
  <w:num w:numId="8" w16cid:durableId="118033632">
    <w:abstractNumId w:val="3"/>
  </w:num>
  <w:num w:numId="9" w16cid:durableId="369651789">
    <w:abstractNumId w:val="1"/>
  </w:num>
  <w:num w:numId="10" w16cid:durableId="1934623563">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activeWritingStyle w:appName="MSWord" w:lang="en-IE" w:vendorID="64" w:dllVersion="6" w:nlCheck="1" w:checkStyle="1"/>
  <w:activeWritingStyle w:appName="MSWord" w:lang="en-US" w:vendorID="64" w:dllVersion="4096" w:nlCheck="1" w:checkStyle="0"/>
  <w:activeWritingStyle w:appName="MSWord" w:lang="en-GB" w:vendorID="64" w:dllVersion="4096" w:nlCheck="1" w:checkStyle="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B29"/>
    <w:rsid w:val="000004BE"/>
    <w:rsid w:val="00000851"/>
    <w:rsid w:val="00000957"/>
    <w:rsid w:val="00000BA5"/>
    <w:rsid w:val="000011EB"/>
    <w:rsid w:val="00001817"/>
    <w:rsid w:val="0000259A"/>
    <w:rsid w:val="00002808"/>
    <w:rsid w:val="00002ACB"/>
    <w:rsid w:val="00002D91"/>
    <w:rsid w:val="00003065"/>
    <w:rsid w:val="00003251"/>
    <w:rsid w:val="000032D2"/>
    <w:rsid w:val="00003481"/>
    <w:rsid w:val="000038E4"/>
    <w:rsid w:val="00003FA8"/>
    <w:rsid w:val="00004D42"/>
    <w:rsid w:val="00004EB6"/>
    <w:rsid w:val="00005039"/>
    <w:rsid w:val="000052E7"/>
    <w:rsid w:val="000065E3"/>
    <w:rsid w:val="000066BF"/>
    <w:rsid w:val="0000692E"/>
    <w:rsid w:val="00006E86"/>
    <w:rsid w:val="00006F6F"/>
    <w:rsid w:val="000070E9"/>
    <w:rsid w:val="0000741C"/>
    <w:rsid w:val="00007458"/>
    <w:rsid w:val="00007793"/>
    <w:rsid w:val="00007E0B"/>
    <w:rsid w:val="00010971"/>
    <w:rsid w:val="00010987"/>
    <w:rsid w:val="00010C04"/>
    <w:rsid w:val="00010CE7"/>
    <w:rsid w:val="00010F1B"/>
    <w:rsid w:val="000110FF"/>
    <w:rsid w:val="00011580"/>
    <w:rsid w:val="0001198A"/>
    <w:rsid w:val="00011E7E"/>
    <w:rsid w:val="00012177"/>
    <w:rsid w:val="000125F1"/>
    <w:rsid w:val="00012D3F"/>
    <w:rsid w:val="000138B4"/>
    <w:rsid w:val="000138E9"/>
    <w:rsid w:val="00013FF2"/>
    <w:rsid w:val="000140FE"/>
    <w:rsid w:val="000143EE"/>
    <w:rsid w:val="00014523"/>
    <w:rsid w:val="0001453B"/>
    <w:rsid w:val="00014822"/>
    <w:rsid w:val="00014985"/>
    <w:rsid w:val="00014D12"/>
    <w:rsid w:val="00014EF2"/>
    <w:rsid w:val="000150CE"/>
    <w:rsid w:val="00015112"/>
    <w:rsid w:val="000151DD"/>
    <w:rsid w:val="00015479"/>
    <w:rsid w:val="00015DC7"/>
    <w:rsid w:val="0001602C"/>
    <w:rsid w:val="00016C5E"/>
    <w:rsid w:val="00016DF0"/>
    <w:rsid w:val="0001701A"/>
    <w:rsid w:val="00017D66"/>
    <w:rsid w:val="00017FB4"/>
    <w:rsid w:val="00020857"/>
    <w:rsid w:val="000208B4"/>
    <w:rsid w:val="00020C31"/>
    <w:rsid w:val="0002177B"/>
    <w:rsid w:val="00021E43"/>
    <w:rsid w:val="00021F6D"/>
    <w:rsid w:val="000221EF"/>
    <w:rsid w:val="00022740"/>
    <w:rsid w:val="00022DD0"/>
    <w:rsid w:val="00023B2B"/>
    <w:rsid w:val="00023CA9"/>
    <w:rsid w:val="00023EE1"/>
    <w:rsid w:val="00023FDA"/>
    <w:rsid w:val="00023FF2"/>
    <w:rsid w:val="00024500"/>
    <w:rsid w:val="00024FE0"/>
    <w:rsid w:val="0002643D"/>
    <w:rsid w:val="00026657"/>
    <w:rsid w:val="00026DF3"/>
    <w:rsid w:val="00027DB3"/>
    <w:rsid w:val="00030506"/>
    <w:rsid w:val="00030E6C"/>
    <w:rsid w:val="00031049"/>
    <w:rsid w:val="000312CA"/>
    <w:rsid w:val="00031570"/>
    <w:rsid w:val="0003197F"/>
    <w:rsid w:val="00031AF3"/>
    <w:rsid w:val="00031BDC"/>
    <w:rsid w:val="0003277C"/>
    <w:rsid w:val="00032C0E"/>
    <w:rsid w:val="00032FB8"/>
    <w:rsid w:val="000330A7"/>
    <w:rsid w:val="000332D9"/>
    <w:rsid w:val="0003339F"/>
    <w:rsid w:val="0003371F"/>
    <w:rsid w:val="000341E9"/>
    <w:rsid w:val="00034445"/>
    <w:rsid w:val="00034BA2"/>
    <w:rsid w:val="00034E82"/>
    <w:rsid w:val="000358B2"/>
    <w:rsid w:val="00035A83"/>
    <w:rsid w:val="00035A93"/>
    <w:rsid w:val="0003612D"/>
    <w:rsid w:val="000365FE"/>
    <w:rsid w:val="00036EC6"/>
    <w:rsid w:val="00036FD8"/>
    <w:rsid w:val="000370B8"/>
    <w:rsid w:val="000372F6"/>
    <w:rsid w:val="00037D70"/>
    <w:rsid w:val="00040009"/>
    <w:rsid w:val="00040155"/>
    <w:rsid w:val="00040787"/>
    <w:rsid w:val="000409BD"/>
    <w:rsid w:val="00040B2F"/>
    <w:rsid w:val="00040D94"/>
    <w:rsid w:val="00041307"/>
    <w:rsid w:val="000428D9"/>
    <w:rsid w:val="00042F9F"/>
    <w:rsid w:val="00043066"/>
    <w:rsid w:val="000432F2"/>
    <w:rsid w:val="000433AF"/>
    <w:rsid w:val="00043550"/>
    <w:rsid w:val="00043C29"/>
    <w:rsid w:val="00043D81"/>
    <w:rsid w:val="00044ADB"/>
    <w:rsid w:val="00044E9C"/>
    <w:rsid w:val="00045068"/>
    <w:rsid w:val="00045710"/>
    <w:rsid w:val="00045B77"/>
    <w:rsid w:val="00045CB1"/>
    <w:rsid w:val="00046B2B"/>
    <w:rsid w:val="00046B65"/>
    <w:rsid w:val="000470CE"/>
    <w:rsid w:val="000473AA"/>
    <w:rsid w:val="000476C0"/>
    <w:rsid w:val="00047DE7"/>
    <w:rsid w:val="0005080D"/>
    <w:rsid w:val="00050A2C"/>
    <w:rsid w:val="00051AC5"/>
    <w:rsid w:val="00051D5E"/>
    <w:rsid w:val="00051FFF"/>
    <w:rsid w:val="0005273D"/>
    <w:rsid w:val="00052E0F"/>
    <w:rsid w:val="00053051"/>
    <w:rsid w:val="00053797"/>
    <w:rsid w:val="00053CE7"/>
    <w:rsid w:val="00054755"/>
    <w:rsid w:val="00054A44"/>
    <w:rsid w:val="00054A63"/>
    <w:rsid w:val="00054FF0"/>
    <w:rsid w:val="000551C8"/>
    <w:rsid w:val="0005532E"/>
    <w:rsid w:val="0005566E"/>
    <w:rsid w:val="00055B50"/>
    <w:rsid w:val="00055CCB"/>
    <w:rsid w:val="00055D2D"/>
    <w:rsid w:val="00055E14"/>
    <w:rsid w:val="00056A94"/>
    <w:rsid w:val="00056CE9"/>
    <w:rsid w:val="00057631"/>
    <w:rsid w:val="00057939"/>
    <w:rsid w:val="00060301"/>
    <w:rsid w:val="00060B65"/>
    <w:rsid w:val="00061054"/>
    <w:rsid w:val="00061E9A"/>
    <w:rsid w:val="0006253C"/>
    <w:rsid w:val="00062A72"/>
    <w:rsid w:val="00062CED"/>
    <w:rsid w:val="00062E07"/>
    <w:rsid w:val="00062E2A"/>
    <w:rsid w:val="00062F15"/>
    <w:rsid w:val="000630ED"/>
    <w:rsid w:val="00064977"/>
    <w:rsid w:val="00064B74"/>
    <w:rsid w:val="00064DBC"/>
    <w:rsid w:val="00064F1A"/>
    <w:rsid w:val="00064F24"/>
    <w:rsid w:val="000656BD"/>
    <w:rsid w:val="0006580D"/>
    <w:rsid w:val="000659F8"/>
    <w:rsid w:val="00065DB1"/>
    <w:rsid w:val="00066178"/>
    <w:rsid w:val="00066A22"/>
    <w:rsid w:val="00066E28"/>
    <w:rsid w:val="00066E89"/>
    <w:rsid w:val="00067329"/>
    <w:rsid w:val="0006754F"/>
    <w:rsid w:val="00067822"/>
    <w:rsid w:val="00067A2C"/>
    <w:rsid w:val="00067C14"/>
    <w:rsid w:val="00067DF3"/>
    <w:rsid w:val="0007017D"/>
    <w:rsid w:val="000708F5"/>
    <w:rsid w:val="00070E4E"/>
    <w:rsid w:val="00070E58"/>
    <w:rsid w:val="000713DC"/>
    <w:rsid w:val="000713F4"/>
    <w:rsid w:val="000726FF"/>
    <w:rsid w:val="00072C42"/>
    <w:rsid w:val="00072CC7"/>
    <w:rsid w:val="00072ECC"/>
    <w:rsid w:val="00072EF7"/>
    <w:rsid w:val="0007317B"/>
    <w:rsid w:val="00073184"/>
    <w:rsid w:val="000734C3"/>
    <w:rsid w:val="00073AD2"/>
    <w:rsid w:val="000740BD"/>
    <w:rsid w:val="00074777"/>
    <w:rsid w:val="00074CEF"/>
    <w:rsid w:val="00074EF7"/>
    <w:rsid w:val="00074FE4"/>
    <w:rsid w:val="00074FFE"/>
    <w:rsid w:val="000750AD"/>
    <w:rsid w:val="00075979"/>
    <w:rsid w:val="00075F40"/>
    <w:rsid w:val="000765BD"/>
    <w:rsid w:val="00077AAF"/>
    <w:rsid w:val="00077EBB"/>
    <w:rsid w:val="0008066B"/>
    <w:rsid w:val="000809F5"/>
    <w:rsid w:val="000811C4"/>
    <w:rsid w:val="00081258"/>
    <w:rsid w:val="00081AC2"/>
    <w:rsid w:val="00081B32"/>
    <w:rsid w:val="00081F02"/>
    <w:rsid w:val="00081FA1"/>
    <w:rsid w:val="00082214"/>
    <w:rsid w:val="00082246"/>
    <w:rsid w:val="00082CDA"/>
    <w:rsid w:val="0008302C"/>
    <w:rsid w:val="000830B6"/>
    <w:rsid w:val="0008312A"/>
    <w:rsid w:val="0008381D"/>
    <w:rsid w:val="00083C0B"/>
    <w:rsid w:val="000846BE"/>
    <w:rsid w:val="00084955"/>
    <w:rsid w:val="00084B75"/>
    <w:rsid w:val="000866D7"/>
    <w:rsid w:val="0008698D"/>
    <w:rsid w:val="00087CD4"/>
    <w:rsid w:val="00087ECD"/>
    <w:rsid w:val="000901D9"/>
    <w:rsid w:val="00090B79"/>
    <w:rsid w:val="00090CBA"/>
    <w:rsid w:val="00090F6B"/>
    <w:rsid w:val="0009149A"/>
    <w:rsid w:val="00091516"/>
    <w:rsid w:val="0009174C"/>
    <w:rsid w:val="0009210D"/>
    <w:rsid w:val="00092464"/>
    <w:rsid w:val="0009311A"/>
    <w:rsid w:val="000940CD"/>
    <w:rsid w:val="000941A9"/>
    <w:rsid w:val="0009423C"/>
    <w:rsid w:val="00094490"/>
    <w:rsid w:val="00094B9F"/>
    <w:rsid w:val="0009529E"/>
    <w:rsid w:val="00095431"/>
    <w:rsid w:val="00095CCD"/>
    <w:rsid w:val="00096023"/>
    <w:rsid w:val="00096507"/>
    <w:rsid w:val="000965EC"/>
    <w:rsid w:val="0009660A"/>
    <w:rsid w:val="000967F9"/>
    <w:rsid w:val="000969A5"/>
    <w:rsid w:val="00096A4D"/>
    <w:rsid w:val="00096D2A"/>
    <w:rsid w:val="000971BE"/>
    <w:rsid w:val="000971F1"/>
    <w:rsid w:val="000973CD"/>
    <w:rsid w:val="00097786"/>
    <w:rsid w:val="00097BD3"/>
    <w:rsid w:val="00097DD6"/>
    <w:rsid w:val="00097DEC"/>
    <w:rsid w:val="000A0122"/>
    <w:rsid w:val="000A095F"/>
    <w:rsid w:val="000A0A73"/>
    <w:rsid w:val="000A0B1C"/>
    <w:rsid w:val="000A0BB1"/>
    <w:rsid w:val="000A11A0"/>
    <w:rsid w:val="000A1616"/>
    <w:rsid w:val="000A17FF"/>
    <w:rsid w:val="000A1FF7"/>
    <w:rsid w:val="000A249A"/>
    <w:rsid w:val="000A2A00"/>
    <w:rsid w:val="000A3875"/>
    <w:rsid w:val="000A3ED7"/>
    <w:rsid w:val="000A401E"/>
    <w:rsid w:val="000A481D"/>
    <w:rsid w:val="000A4844"/>
    <w:rsid w:val="000A4B39"/>
    <w:rsid w:val="000A582C"/>
    <w:rsid w:val="000A681A"/>
    <w:rsid w:val="000A69FF"/>
    <w:rsid w:val="000A6D58"/>
    <w:rsid w:val="000A6D8A"/>
    <w:rsid w:val="000A7729"/>
    <w:rsid w:val="000A7870"/>
    <w:rsid w:val="000A7AE8"/>
    <w:rsid w:val="000A7D6E"/>
    <w:rsid w:val="000B0550"/>
    <w:rsid w:val="000B1210"/>
    <w:rsid w:val="000B1450"/>
    <w:rsid w:val="000B1464"/>
    <w:rsid w:val="000B1BA4"/>
    <w:rsid w:val="000B1EA6"/>
    <w:rsid w:val="000B1F5F"/>
    <w:rsid w:val="000B1FEC"/>
    <w:rsid w:val="000B21E4"/>
    <w:rsid w:val="000B2401"/>
    <w:rsid w:val="000B2ACE"/>
    <w:rsid w:val="000B2EE4"/>
    <w:rsid w:val="000B2FC4"/>
    <w:rsid w:val="000B309B"/>
    <w:rsid w:val="000B34DE"/>
    <w:rsid w:val="000B35BF"/>
    <w:rsid w:val="000B3AFF"/>
    <w:rsid w:val="000B3CAF"/>
    <w:rsid w:val="000B4190"/>
    <w:rsid w:val="000B4374"/>
    <w:rsid w:val="000B4557"/>
    <w:rsid w:val="000B4A62"/>
    <w:rsid w:val="000B4B65"/>
    <w:rsid w:val="000B4B9F"/>
    <w:rsid w:val="000B52C1"/>
    <w:rsid w:val="000B54AD"/>
    <w:rsid w:val="000B58CC"/>
    <w:rsid w:val="000B59D7"/>
    <w:rsid w:val="000B632E"/>
    <w:rsid w:val="000B639C"/>
    <w:rsid w:val="000B66BC"/>
    <w:rsid w:val="000B6D13"/>
    <w:rsid w:val="000B79FF"/>
    <w:rsid w:val="000C009D"/>
    <w:rsid w:val="000C05B8"/>
    <w:rsid w:val="000C05F8"/>
    <w:rsid w:val="000C098A"/>
    <w:rsid w:val="000C0B08"/>
    <w:rsid w:val="000C16B8"/>
    <w:rsid w:val="000C19B8"/>
    <w:rsid w:val="000C2240"/>
    <w:rsid w:val="000C22F0"/>
    <w:rsid w:val="000C278A"/>
    <w:rsid w:val="000C2C78"/>
    <w:rsid w:val="000C3214"/>
    <w:rsid w:val="000C34A3"/>
    <w:rsid w:val="000C3986"/>
    <w:rsid w:val="000C3C4A"/>
    <w:rsid w:val="000C3EE7"/>
    <w:rsid w:val="000C3FAE"/>
    <w:rsid w:val="000C4048"/>
    <w:rsid w:val="000C425D"/>
    <w:rsid w:val="000C471B"/>
    <w:rsid w:val="000C4A1B"/>
    <w:rsid w:val="000C4A8C"/>
    <w:rsid w:val="000C6272"/>
    <w:rsid w:val="000C6F0D"/>
    <w:rsid w:val="000C7B0A"/>
    <w:rsid w:val="000D03A6"/>
    <w:rsid w:val="000D0D8F"/>
    <w:rsid w:val="000D1158"/>
    <w:rsid w:val="000D1D5A"/>
    <w:rsid w:val="000D2165"/>
    <w:rsid w:val="000D21BD"/>
    <w:rsid w:val="000D274A"/>
    <w:rsid w:val="000D2B8A"/>
    <w:rsid w:val="000D2DAA"/>
    <w:rsid w:val="000D3652"/>
    <w:rsid w:val="000D3715"/>
    <w:rsid w:val="000D3735"/>
    <w:rsid w:val="000D3ECD"/>
    <w:rsid w:val="000D43A8"/>
    <w:rsid w:val="000D47CC"/>
    <w:rsid w:val="000D4DCB"/>
    <w:rsid w:val="000D4FB4"/>
    <w:rsid w:val="000D4FFB"/>
    <w:rsid w:val="000D605B"/>
    <w:rsid w:val="000D62DA"/>
    <w:rsid w:val="000D7AA1"/>
    <w:rsid w:val="000E082B"/>
    <w:rsid w:val="000E0861"/>
    <w:rsid w:val="000E0ACA"/>
    <w:rsid w:val="000E1382"/>
    <w:rsid w:val="000E1A86"/>
    <w:rsid w:val="000E1B99"/>
    <w:rsid w:val="000E1E16"/>
    <w:rsid w:val="000E24EA"/>
    <w:rsid w:val="000E2518"/>
    <w:rsid w:val="000E373C"/>
    <w:rsid w:val="000E3A89"/>
    <w:rsid w:val="000E3B57"/>
    <w:rsid w:val="000E3BBE"/>
    <w:rsid w:val="000E3FB0"/>
    <w:rsid w:val="000E407F"/>
    <w:rsid w:val="000E4442"/>
    <w:rsid w:val="000E49A0"/>
    <w:rsid w:val="000E4D36"/>
    <w:rsid w:val="000E53C7"/>
    <w:rsid w:val="000E53D1"/>
    <w:rsid w:val="000E5F7E"/>
    <w:rsid w:val="000E630F"/>
    <w:rsid w:val="000E6965"/>
    <w:rsid w:val="000E7063"/>
    <w:rsid w:val="000E762A"/>
    <w:rsid w:val="000E7F1C"/>
    <w:rsid w:val="000F039D"/>
    <w:rsid w:val="000F0592"/>
    <w:rsid w:val="000F05E5"/>
    <w:rsid w:val="000F06FA"/>
    <w:rsid w:val="000F097E"/>
    <w:rsid w:val="000F0BE6"/>
    <w:rsid w:val="000F10FA"/>
    <w:rsid w:val="000F151B"/>
    <w:rsid w:val="000F1643"/>
    <w:rsid w:val="000F17CA"/>
    <w:rsid w:val="000F1B95"/>
    <w:rsid w:val="000F1D9D"/>
    <w:rsid w:val="000F1F9E"/>
    <w:rsid w:val="000F1FA8"/>
    <w:rsid w:val="000F2C71"/>
    <w:rsid w:val="000F3877"/>
    <w:rsid w:val="000F42B0"/>
    <w:rsid w:val="000F4307"/>
    <w:rsid w:val="000F44DB"/>
    <w:rsid w:val="000F45EC"/>
    <w:rsid w:val="000F4679"/>
    <w:rsid w:val="000F493F"/>
    <w:rsid w:val="000F52B3"/>
    <w:rsid w:val="000F53F1"/>
    <w:rsid w:val="000F54AD"/>
    <w:rsid w:val="000F684E"/>
    <w:rsid w:val="000F6C49"/>
    <w:rsid w:val="000F719C"/>
    <w:rsid w:val="000F72BF"/>
    <w:rsid w:val="000F7466"/>
    <w:rsid w:val="000F752B"/>
    <w:rsid w:val="000F76D7"/>
    <w:rsid w:val="000F7718"/>
    <w:rsid w:val="000F7B01"/>
    <w:rsid w:val="000F7B8D"/>
    <w:rsid w:val="000F7D84"/>
    <w:rsid w:val="00100026"/>
    <w:rsid w:val="00100150"/>
    <w:rsid w:val="001002B2"/>
    <w:rsid w:val="00100614"/>
    <w:rsid w:val="001006FD"/>
    <w:rsid w:val="001009E3"/>
    <w:rsid w:val="00100ADD"/>
    <w:rsid w:val="001010BE"/>
    <w:rsid w:val="00101A58"/>
    <w:rsid w:val="00101C11"/>
    <w:rsid w:val="00102089"/>
    <w:rsid w:val="0010282D"/>
    <w:rsid w:val="00102A82"/>
    <w:rsid w:val="00102BC7"/>
    <w:rsid w:val="00103650"/>
    <w:rsid w:val="00103B09"/>
    <w:rsid w:val="00103B98"/>
    <w:rsid w:val="00104810"/>
    <w:rsid w:val="001053DB"/>
    <w:rsid w:val="00105436"/>
    <w:rsid w:val="0010572B"/>
    <w:rsid w:val="001064D8"/>
    <w:rsid w:val="0010653A"/>
    <w:rsid w:val="00106858"/>
    <w:rsid w:val="001069B5"/>
    <w:rsid w:val="00107918"/>
    <w:rsid w:val="0011014B"/>
    <w:rsid w:val="001107CF"/>
    <w:rsid w:val="00110987"/>
    <w:rsid w:val="00111803"/>
    <w:rsid w:val="001119FF"/>
    <w:rsid w:val="0011322F"/>
    <w:rsid w:val="001135A8"/>
    <w:rsid w:val="001135F4"/>
    <w:rsid w:val="00113C29"/>
    <w:rsid w:val="00113E34"/>
    <w:rsid w:val="00114628"/>
    <w:rsid w:val="00114740"/>
    <w:rsid w:val="00114924"/>
    <w:rsid w:val="00114A66"/>
    <w:rsid w:val="00114A99"/>
    <w:rsid w:val="001154D0"/>
    <w:rsid w:val="001158CF"/>
    <w:rsid w:val="00115EC7"/>
    <w:rsid w:val="0011647E"/>
    <w:rsid w:val="001178B9"/>
    <w:rsid w:val="00117C23"/>
    <w:rsid w:val="00117E13"/>
    <w:rsid w:val="00120445"/>
    <w:rsid w:val="00120F4A"/>
    <w:rsid w:val="001215E0"/>
    <w:rsid w:val="00121721"/>
    <w:rsid w:val="0012193E"/>
    <w:rsid w:val="00121B93"/>
    <w:rsid w:val="00121D69"/>
    <w:rsid w:val="00121E60"/>
    <w:rsid w:val="00122288"/>
    <w:rsid w:val="00122530"/>
    <w:rsid w:val="00122E60"/>
    <w:rsid w:val="00123097"/>
    <w:rsid w:val="00123136"/>
    <w:rsid w:val="00123277"/>
    <w:rsid w:val="001234FB"/>
    <w:rsid w:val="001237F3"/>
    <w:rsid w:val="00123C7C"/>
    <w:rsid w:val="00123E0C"/>
    <w:rsid w:val="0012418B"/>
    <w:rsid w:val="0012619D"/>
    <w:rsid w:val="00126382"/>
    <w:rsid w:val="001263C1"/>
    <w:rsid w:val="001267A3"/>
    <w:rsid w:val="001269CC"/>
    <w:rsid w:val="00127082"/>
    <w:rsid w:val="0012712D"/>
    <w:rsid w:val="00127628"/>
    <w:rsid w:val="001277AA"/>
    <w:rsid w:val="00127972"/>
    <w:rsid w:val="00127DAC"/>
    <w:rsid w:val="00130298"/>
    <w:rsid w:val="00130705"/>
    <w:rsid w:val="0013077E"/>
    <w:rsid w:val="00130C32"/>
    <w:rsid w:val="001314D8"/>
    <w:rsid w:val="001318C8"/>
    <w:rsid w:val="0013195A"/>
    <w:rsid w:val="0013217D"/>
    <w:rsid w:val="00133810"/>
    <w:rsid w:val="00133DA0"/>
    <w:rsid w:val="001340DA"/>
    <w:rsid w:val="00134B2B"/>
    <w:rsid w:val="001350E9"/>
    <w:rsid w:val="0013549C"/>
    <w:rsid w:val="00135B08"/>
    <w:rsid w:val="00136C94"/>
    <w:rsid w:val="001375BC"/>
    <w:rsid w:val="00137B6D"/>
    <w:rsid w:val="00140413"/>
    <w:rsid w:val="00140AF4"/>
    <w:rsid w:val="00140C81"/>
    <w:rsid w:val="001417ED"/>
    <w:rsid w:val="00141EF4"/>
    <w:rsid w:val="00142EB7"/>
    <w:rsid w:val="00142FD7"/>
    <w:rsid w:val="001435E9"/>
    <w:rsid w:val="0014397B"/>
    <w:rsid w:val="00144318"/>
    <w:rsid w:val="00144504"/>
    <w:rsid w:val="00144B87"/>
    <w:rsid w:val="00144F77"/>
    <w:rsid w:val="0014544A"/>
    <w:rsid w:val="001456B7"/>
    <w:rsid w:val="00145F9A"/>
    <w:rsid w:val="0014607A"/>
    <w:rsid w:val="00146165"/>
    <w:rsid w:val="00146186"/>
    <w:rsid w:val="00146274"/>
    <w:rsid w:val="00146322"/>
    <w:rsid w:val="00146733"/>
    <w:rsid w:val="00146789"/>
    <w:rsid w:val="00146AD5"/>
    <w:rsid w:val="00146B09"/>
    <w:rsid w:val="00146B8A"/>
    <w:rsid w:val="00146CD1"/>
    <w:rsid w:val="00146D01"/>
    <w:rsid w:val="00146DDC"/>
    <w:rsid w:val="00146F3A"/>
    <w:rsid w:val="001473BB"/>
    <w:rsid w:val="0014759E"/>
    <w:rsid w:val="00147BEA"/>
    <w:rsid w:val="00147C11"/>
    <w:rsid w:val="00147C33"/>
    <w:rsid w:val="00147F53"/>
    <w:rsid w:val="00150375"/>
    <w:rsid w:val="0015063D"/>
    <w:rsid w:val="00150726"/>
    <w:rsid w:val="00150878"/>
    <w:rsid w:val="00150974"/>
    <w:rsid w:val="00150B14"/>
    <w:rsid w:val="001514AE"/>
    <w:rsid w:val="00151B1C"/>
    <w:rsid w:val="001521D9"/>
    <w:rsid w:val="001523D5"/>
    <w:rsid w:val="00152710"/>
    <w:rsid w:val="00152BB7"/>
    <w:rsid w:val="00152BEB"/>
    <w:rsid w:val="00152C57"/>
    <w:rsid w:val="00152E82"/>
    <w:rsid w:val="0015324E"/>
    <w:rsid w:val="0015340E"/>
    <w:rsid w:val="001538B1"/>
    <w:rsid w:val="00153CE5"/>
    <w:rsid w:val="001544E3"/>
    <w:rsid w:val="001549A2"/>
    <w:rsid w:val="00154AE6"/>
    <w:rsid w:val="0015513C"/>
    <w:rsid w:val="0015589A"/>
    <w:rsid w:val="00156518"/>
    <w:rsid w:val="001565DC"/>
    <w:rsid w:val="001566ED"/>
    <w:rsid w:val="00156A1C"/>
    <w:rsid w:val="00157A82"/>
    <w:rsid w:val="001606DA"/>
    <w:rsid w:val="00160795"/>
    <w:rsid w:val="00160B32"/>
    <w:rsid w:val="00160F68"/>
    <w:rsid w:val="00162228"/>
    <w:rsid w:val="0016281C"/>
    <w:rsid w:val="00162871"/>
    <w:rsid w:val="001631B0"/>
    <w:rsid w:val="00163AE9"/>
    <w:rsid w:val="00163B2F"/>
    <w:rsid w:val="00163CAE"/>
    <w:rsid w:val="001641FD"/>
    <w:rsid w:val="00164565"/>
    <w:rsid w:val="0016466D"/>
    <w:rsid w:val="00164F8F"/>
    <w:rsid w:val="00165A8B"/>
    <w:rsid w:val="00165D82"/>
    <w:rsid w:val="00166BCF"/>
    <w:rsid w:val="00166C61"/>
    <w:rsid w:val="00166F0E"/>
    <w:rsid w:val="00167066"/>
    <w:rsid w:val="001676D5"/>
    <w:rsid w:val="00167854"/>
    <w:rsid w:val="00167DF1"/>
    <w:rsid w:val="001703AF"/>
    <w:rsid w:val="00170DCF"/>
    <w:rsid w:val="00170EAA"/>
    <w:rsid w:val="001715D6"/>
    <w:rsid w:val="00171DC7"/>
    <w:rsid w:val="00171E6C"/>
    <w:rsid w:val="0017208C"/>
    <w:rsid w:val="001721C1"/>
    <w:rsid w:val="001729C3"/>
    <w:rsid w:val="00172DA8"/>
    <w:rsid w:val="00172F33"/>
    <w:rsid w:val="00173290"/>
    <w:rsid w:val="001738CB"/>
    <w:rsid w:val="00173D22"/>
    <w:rsid w:val="00174586"/>
    <w:rsid w:val="00174663"/>
    <w:rsid w:val="00174AE6"/>
    <w:rsid w:val="00174BBD"/>
    <w:rsid w:val="00175116"/>
    <w:rsid w:val="0017590B"/>
    <w:rsid w:val="00175BC2"/>
    <w:rsid w:val="00175C7F"/>
    <w:rsid w:val="00175E9A"/>
    <w:rsid w:val="00177D4E"/>
    <w:rsid w:val="0018051D"/>
    <w:rsid w:val="00180F42"/>
    <w:rsid w:val="001816C2"/>
    <w:rsid w:val="001817FA"/>
    <w:rsid w:val="00182857"/>
    <w:rsid w:val="00182AF7"/>
    <w:rsid w:val="00182BBA"/>
    <w:rsid w:val="00182BDD"/>
    <w:rsid w:val="00182D48"/>
    <w:rsid w:val="00183141"/>
    <w:rsid w:val="00183536"/>
    <w:rsid w:val="00183763"/>
    <w:rsid w:val="001839BC"/>
    <w:rsid w:val="001840FC"/>
    <w:rsid w:val="00184624"/>
    <w:rsid w:val="00184BB0"/>
    <w:rsid w:val="001853D5"/>
    <w:rsid w:val="001856C4"/>
    <w:rsid w:val="0018661C"/>
    <w:rsid w:val="00186851"/>
    <w:rsid w:val="00186930"/>
    <w:rsid w:val="00187740"/>
    <w:rsid w:val="00187963"/>
    <w:rsid w:val="00187CB1"/>
    <w:rsid w:val="00187F4F"/>
    <w:rsid w:val="0019019A"/>
    <w:rsid w:val="001901D0"/>
    <w:rsid w:val="00190D84"/>
    <w:rsid w:val="001913BB"/>
    <w:rsid w:val="00191894"/>
    <w:rsid w:val="00191D99"/>
    <w:rsid w:val="00192373"/>
    <w:rsid w:val="0019279E"/>
    <w:rsid w:val="00192AC8"/>
    <w:rsid w:val="00192F08"/>
    <w:rsid w:val="00192FF9"/>
    <w:rsid w:val="0019304F"/>
    <w:rsid w:val="00193807"/>
    <w:rsid w:val="00193A0C"/>
    <w:rsid w:val="00194033"/>
    <w:rsid w:val="001942F5"/>
    <w:rsid w:val="00194A08"/>
    <w:rsid w:val="00194AE8"/>
    <w:rsid w:val="00194B02"/>
    <w:rsid w:val="00194BC3"/>
    <w:rsid w:val="0019525B"/>
    <w:rsid w:val="00195822"/>
    <w:rsid w:val="00195BA0"/>
    <w:rsid w:val="00196129"/>
    <w:rsid w:val="001962F5"/>
    <w:rsid w:val="0019631D"/>
    <w:rsid w:val="00196377"/>
    <w:rsid w:val="00196829"/>
    <w:rsid w:val="001969B0"/>
    <w:rsid w:val="00196CF3"/>
    <w:rsid w:val="00197031"/>
    <w:rsid w:val="00197560"/>
    <w:rsid w:val="00197963"/>
    <w:rsid w:val="001A028A"/>
    <w:rsid w:val="001A0DC8"/>
    <w:rsid w:val="001A212D"/>
    <w:rsid w:val="001A22AC"/>
    <w:rsid w:val="001A2B54"/>
    <w:rsid w:val="001A2E38"/>
    <w:rsid w:val="001A30EF"/>
    <w:rsid w:val="001A3510"/>
    <w:rsid w:val="001A3562"/>
    <w:rsid w:val="001A356A"/>
    <w:rsid w:val="001A36AB"/>
    <w:rsid w:val="001A372C"/>
    <w:rsid w:val="001A3D3D"/>
    <w:rsid w:val="001A4CD6"/>
    <w:rsid w:val="001A4E34"/>
    <w:rsid w:val="001A5B55"/>
    <w:rsid w:val="001A5CC8"/>
    <w:rsid w:val="001A6241"/>
    <w:rsid w:val="001A6441"/>
    <w:rsid w:val="001A66AF"/>
    <w:rsid w:val="001A6BBC"/>
    <w:rsid w:val="001A6BE0"/>
    <w:rsid w:val="001A6ECE"/>
    <w:rsid w:val="001A773D"/>
    <w:rsid w:val="001A774D"/>
    <w:rsid w:val="001A7952"/>
    <w:rsid w:val="001A7C9A"/>
    <w:rsid w:val="001B0641"/>
    <w:rsid w:val="001B074B"/>
    <w:rsid w:val="001B091A"/>
    <w:rsid w:val="001B0AA3"/>
    <w:rsid w:val="001B0D61"/>
    <w:rsid w:val="001B1692"/>
    <w:rsid w:val="001B2423"/>
    <w:rsid w:val="001B28AC"/>
    <w:rsid w:val="001B2AAA"/>
    <w:rsid w:val="001B429D"/>
    <w:rsid w:val="001B42AD"/>
    <w:rsid w:val="001B452E"/>
    <w:rsid w:val="001B4B2F"/>
    <w:rsid w:val="001B50B5"/>
    <w:rsid w:val="001B5319"/>
    <w:rsid w:val="001B56BB"/>
    <w:rsid w:val="001B592A"/>
    <w:rsid w:val="001B5E7C"/>
    <w:rsid w:val="001B6D1F"/>
    <w:rsid w:val="001B6DE8"/>
    <w:rsid w:val="001B6F10"/>
    <w:rsid w:val="001B7003"/>
    <w:rsid w:val="001B7247"/>
    <w:rsid w:val="001B7382"/>
    <w:rsid w:val="001B7436"/>
    <w:rsid w:val="001B7ED7"/>
    <w:rsid w:val="001C00C3"/>
    <w:rsid w:val="001C04B7"/>
    <w:rsid w:val="001C07E0"/>
    <w:rsid w:val="001C0835"/>
    <w:rsid w:val="001C08AA"/>
    <w:rsid w:val="001C1D7C"/>
    <w:rsid w:val="001C1DA5"/>
    <w:rsid w:val="001C1F82"/>
    <w:rsid w:val="001C241E"/>
    <w:rsid w:val="001C25A4"/>
    <w:rsid w:val="001C290F"/>
    <w:rsid w:val="001C2D29"/>
    <w:rsid w:val="001C320D"/>
    <w:rsid w:val="001C3633"/>
    <w:rsid w:val="001C3B74"/>
    <w:rsid w:val="001C41FF"/>
    <w:rsid w:val="001C46E2"/>
    <w:rsid w:val="001C493D"/>
    <w:rsid w:val="001C4BD5"/>
    <w:rsid w:val="001C4FC6"/>
    <w:rsid w:val="001C5504"/>
    <w:rsid w:val="001C55A2"/>
    <w:rsid w:val="001C56C0"/>
    <w:rsid w:val="001C5950"/>
    <w:rsid w:val="001C5E53"/>
    <w:rsid w:val="001C5EDF"/>
    <w:rsid w:val="001C630E"/>
    <w:rsid w:val="001C66A4"/>
    <w:rsid w:val="001C77DF"/>
    <w:rsid w:val="001D065C"/>
    <w:rsid w:val="001D0F39"/>
    <w:rsid w:val="001D102D"/>
    <w:rsid w:val="001D10FD"/>
    <w:rsid w:val="001D152B"/>
    <w:rsid w:val="001D1803"/>
    <w:rsid w:val="001D214F"/>
    <w:rsid w:val="001D2A37"/>
    <w:rsid w:val="001D2F28"/>
    <w:rsid w:val="001D3105"/>
    <w:rsid w:val="001D4418"/>
    <w:rsid w:val="001D44C7"/>
    <w:rsid w:val="001D4617"/>
    <w:rsid w:val="001D49E8"/>
    <w:rsid w:val="001D54A2"/>
    <w:rsid w:val="001D5A71"/>
    <w:rsid w:val="001D5E36"/>
    <w:rsid w:val="001D60AD"/>
    <w:rsid w:val="001D6DF4"/>
    <w:rsid w:val="001D6DF7"/>
    <w:rsid w:val="001D703B"/>
    <w:rsid w:val="001D7DB7"/>
    <w:rsid w:val="001E058C"/>
    <w:rsid w:val="001E05A5"/>
    <w:rsid w:val="001E08C2"/>
    <w:rsid w:val="001E0FE7"/>
    <w:rsid w:val="001E11E0"/>
    <w:rsid w:val="001E15E7"/>
    <w:rsid w:val="001E1600"/>
    <w:rsid w:val="001E262A"/>
    <w:rsid w:val="001E2924"/>
    <w:rsid w:val="001E2AD2"/>
    <w:rsid w:val="001E2E19"/>
    <w:rsid w:val="001E3A85"/>
    <w:rsid w:val="001E3DDB"/>
    <w:rsid w:val="001E4DBA"/>
    <w:rsid w:val="001E4F59"/>
    <w:rsid w:val="001E50EC"/>
    <w:rsid w:val="001E51BC"/>
    <w:rsid w:val="001E6120"/>
    <w:rsid w:val="001E6182"/>
    <w:rsid w:val="001E62B0"/>
    <w:rsid w:val="001E64CC"/>
    <w:rsid w:val="001E6A2C"/>
    <w:rsid w:val="001E73FC"/>
    <w:rsid w:val="001E7871"/>
    <w:rsid w:val="001E7ABC"/>
    <w:rsid w:val="001E7C2F"/>
    <w:rsid w:val="001F01D1"/>
    <w:rsid w:val="001F031D"/>
    <w:rsid w:val="001F0A18"/>
    <w:rsid w:val="001F0CAC"/>
    <w:rsid w:val="001F0FBD"/>
    <w:rsid w:val="001F1354"/>
    <w:rsid w:val="001F190B"/>
    <w:rsid w:val="001F19A0"/>
    <w:rsid w:val="001F1AAC"/>
    <w:rsid w:val="001F213D"/>
    <w:rsid w:val="001F2A38"/>
    <w:rsid w:val="001F2CBB"/>
    <w:rsid w:val="001F305A"/>
    <w:rsid w:val="001F31D2"/>
    <w:rsid w:val="001F3812"/>
    <w:rsid w:val="001F38D7"/>
    <w:rsid w:val="001F3B03"/>
    <w:rsid w:val="001F3B14"/>
    <w:rsid w:val="001F3E1E"/>
    <w:rsid w:val="001F3FCE"/>
    <w:rsid w:val="001F421E"/>
    <w:rsid w:val="001F442E"/>
    <w:rsid w:val="001F5007"/>
    <w:rsid w:val="001F539F"/>
    <w:rsid w:val="001F550F"/>
    <w:rsid w:val="001F57E2"/>
    <w:rsid w:val="001F5CB0"/>
    <w:rsid w:val="001F5F2F"/>
    <w:rsid w:val="001F638A"/>
    <w:rsid w:val="001F654A"/>
    <w:rsid w:val="001F6CDF"/>
    <w:rsid w:val="001F6F83"/>
    <w:rsid w:val="001F7147"/>
    <w:rsid w:val="001F75C9"/>
    <w:rsid w:val="001F7E43"/>
    <w:rsid w:val="001F7EE3"/>
    <w:rsid w:val="00200108"/>
    <w:rsid w:val="002002ED"/>
    <w:rsid w:val="00200656"/>
    <w:rsid w:val="002006F2"/>
    <w:rsid w:val="002007AB"/>
    <w:rsid w:val="002009AF"/>
    <w:rsid w:val="00200AD8"/>
    <w:rsid w:val="0020140E"/>
    <w:rsid w:val="00201805"/>
    <w:rsid w:val="00201A35"/>
    <w:rsid w:val="00201A4C"/>
    <w:rsid w:val="00201CFE"/>
    <w:rsid w:val="00201FDB"/>
    <w:rsid w:val="0020256F"/>
    <w:rsid w:val="0020269B"/>
    <w:rsid w:val="00202ACE"/>
    <w:rsid w:val="00202BBD"/>
    <w:rsid w:val="00202E1A"/>
    <w:rsid w:val="00202E56"/>
    <w:rsid w:val="0020320D"/>
    <w:rsid w:val="00203CC2"/>
    <w:rsid w:val="002040E7"/>
    <w:rsid w:val="0020411E"/>
    <w:rsid w:val="00204509"/>
    <w:rsid w:val="00204A82"/>
    <w:rsid w:val="002051F5"/>
    <w:rsid w:val="0020560A"/>
    <w:rsid w:val="00205747"/>
    <w:rsid w:val="00205C79"/>
    <w:rsid w:val="00205CE7"/>
    <w:rsid w:val="0020683C"/>
    <w:rsid w:val="0020698A"/>
    <w:rsid w:val="00206A23"/>
    <w:rsid w:val="00206A7E"/>
    <w:rsid w:val="00206C58"/>
    <w:rsid w:val="0020700A"/>
    <w:rsid w:val="002076AF"/>
    <w:rsid w:val="00207979"/>
    <w:rsid w:val="00210114"/>
    <w:rsid w:val="002105ED"/>
    <w:rsid w:val="00211D1D"/>
    <w:rsid w:val="00211D48"/>
    <w:rsid w:val="00211DB0"/>
    <w:rsid w:val="00212023"/>
    <w:rsid w:val="002123DF"/>
    <w:rsid w:val="002125A4"/>
    <w:rsid w:val="00212660"/>
    <w:rsid w:val="00212B64"/>
    <w:rsid w:val="002131DE"/>
    <w:rsid w:val="00213292"/>
    <w:rsid w:val="00213595"/>
    <w:rsid w:val="00213F62"/>
    <w:rsid w:val="00214D42"/>
    <w:rsid w:val="0021573D"/>
    <w:rsid w:val="002163C2"/>
    <w:rsid w:val="002167A5"/>
    <w:rsid w:val="0021681B"/>
    <w:rsid w:val="0021686A"/>
    <w:rsid w:val="00216C0C"/>
    <w:rsid w:val="00216CA2"/>
    <w:rsid w:val="00216EA4"/>
    <w:rsid w:val="00217454"/>
    <w:rsid w:val="0021747B"/>
    <w:rsid w:val="00217B2A"/>
    <w:rsid w:val="00220006"/>
    <w:rsid w:val="00220188"/>
    <w:rsid w:val="0022098F"/>
    <w:rsid w:val="00220E1E"/>
    <w:rsid w:val="00221379"/>
    <w:rsid w:val="00221430"/>
    <w:rsid w:val="002215A9"/>
    <w:rsid w:val="002215FC"/>
    <w:rsid w:val="0022184E"/>
    <w:rsid w:val="00221996"/>
    <w:rsid w:val="00221D1E"/>
    <w:rsid w:val="00221D22"/>
    <w:rsid w:val="002220A7"/>
    <w:rsid w:val="00223161"/>
    <w:rsid w:val="0022365A"/>
    <w:rsid w:val="00223998"/>
    <w:rsid w:val="00223C96"/>
    <w:rsid w:val="00224089"/>
    <w:rsid w:val="00224439"/>
    <w:rsid w:val="002244A3"/>
    <w:rsid w:val="0022497C"/>
    <w:rsid w:val="00224B69"/>
    <w:rsid w:val="00224B94"/>
    <w:rsid w:val="00224D3E"/>
    <w:rsid w:val="00225185"/>
    <w:rsid w:val="002254EC"/>
    <w:rsid w:val="00225609"/>
    <w:rsid w:val="002257ED"/>
    <w:rsid w:val="00225978"/>
    <w:rsid w:val="002261A1"/>
    <w:rsid w:val="00226342"/>
    <w:rsid w:val="002267DA"/>
    <w:rsid w:val="00226964"/>
    <w:rsid w:val="002270A3"/>
    <w:rsid w:val="0022788A"/>
    <w:rsid w:val="002278C9"/>
    <w:rsid w:val="00227A1A"/>
    <w:rsid w:val="00227CB3"/>
    <w:rsid w:val="00227E39"/>
    <w:rsid w:val="00227FD4"/>
    <w:rsid w:val="00230F29"/>
    <w:rsid w:val="00230F80"/>
    <w:rsid w:val="002313BD"/>
    <w:rsid w:val="00231624"/>
    <w:rsid w:val="00231717"/>
    <w:rsid w:val="00231727"/>
    <w:rsid w:val="00231731"/>
    <w:rsid w:val="00231A8E"/>
    <w:rsid w:val="002322B9"/>
    <w:rsid w:val="00232544"/>
    <w:rsid w:val="00232690"/>
    <w:rsid w:val="00232D69"/>
    <w:rsid w:val="00232F05"/>
    <w:rsid w:val="00233085"/>
    <w:rsid w:val="00233095"/>
    <w:rsid w:val="00233831"/>
    <w:rsid w:val="002343BE"/>
    <w:rsid w:val="002345AD"/>
    <w:rsid w:val="002345D7"/>
    <w:rsid w:val="00234889"/>
    <w:rsid w:val="00234C01"/>
    <w:rsid w:val="00234EA5"/>
    <w:rsid w:val="0023504F"/>
    <w:rsid w:val="002351EA"/>
    <w:rsid w:val="002351FB"/>
    <w:rsid w:val="0023521F"/>
    <w:rsid w:val="00235395"/>
    <w:rsid w:val="0023563B"/>
    <w:rsid w:val="00235BAF"/>
    <w:rsid w:val="00235BE4"/>
    <w:rsid w:val="00236443"/>
    <w:rsid w:val="00236788"/>
    <w:rsid w:val="00237011"/>
    <w:rsid w:val="00237051"/>
    <w:rsid w:val="0023787A"/>
    <w:rsid w:val="00237B1A"/>
    <w:rsid w:val="00240120"/>
    <w:rsid w:val="002401D3"/>
    <w:rsid w:val="00240ADE"/>
    <w:rsid w:val="00241D0F"/>
    <w:rsid w:val="00241DFC"/>
    <w:rsid w:val="00242160"/>
    <w:rsid w:val="00242F11"/>
    <w:rsid w:val="00243688"/>
    <w:rsid w:val="00243B14"/>
    <w:rsid w:val="00243F1A"/>
    <w:rsid w:val="00244EA3"/>
    <w:rsid w:val="00245A05"/>
    <w:rsid w:val="00245F68"/>
    <w:rsid w:val="00246260"/>
    <w:rsid w:val="00246352"/>
    <w:rsid w:val="00246530"/>
    <w:rsid w:val="0024674D"/>
    <w:rsid w:val="00247765"/>
    <w:rsid w:val="00247859"/>
    <w:rsid w:val="00247A64"/>
    <w:rsid w:val="00247BD2"/>
    <w:rsid w:val="00247E88"/>
    <w:rsid w:val="00247EAB"/>
    <w:rsid w:val="00247FD6"/>
    <w:rsid w:val="0025001E"/>
    <w:rsid w:val="002501BF"/>
    <w:rsid w:val="002508FB"/>
    <w:rsid w:val="0025157C"/>
    <w:rsid w:val="00251FB0"/>
    <w:rsid w:val="002521ED"/>
    <w:rsid w:val="002523F0"/>
    <w:rsid w:val="00252548"/>
    <w:rsid w:val="00252BB8"/>
    <w:rsid w:val="00252E4E"/>
    <w:rsid w:val="00253532"/>
    <w:rsid w:val="002539FD"/>
    <w:rsid w:val="00253D35"/>
    <w:rsid w:val="00254443"/>
    <w:rsid w:val="00255258"/>
    <w:rsid w:val="0025585E"/>
    <w:rsid w:val="00256033"/>
    <w:rsid w:val="002563A6"/>
    <w:rsid w:val="002568CF"/>
    <w:rsid w:val="00256997"/>
    <w:rsid w:val="00256D19"/>
    <w:rsid w:val="00256E50"/>
    <w:rsid w:val="00256F0B"/>
    <w:rsid w:val="00260052"/>
    <w:rsid w:val="002603BB"/>
    <w:rsid w:val="002603D3"/>
    <w:rsid w:val="00260466"/>
    <w:rsid w:val="0026052D"/>
    <w:rsid w:val="00260727"/>
    <w:rsid w:val="00261093"/>
    <w:rsid w:val="00261382"/>
    <w:rsid w:val="00261453"/>
    <w:rsid w:val="0026156D"/>
    <w:rsid w:val="00261718"/>
    <w:rsid w:val="00261810"/>
    <w:rsid w:val="00261BA7"/>
    <w:rsid w:val="00262260"/>
    <w:rsid w:val="00262412"/>
    <w:rsid w:val="00262783"/>
    <w:rsid w:val="002629C4"/>
    <w:rsid w:val="00263147"/>
    <w:rsid w:val="00263366"/>
    <w:rsid w:val="00263861"/>
    <w:rsid w:val="00263864"/>
    <w:rsid w:val="0026387F"/>
    <w:rsid w:val="00263F0B"/>
    <w:rsid w:val="0026414D"/>
    <w:rsid w:val="00264406"/>
    <w:rsid w:val="00264A0B"/>
    <w:rsid w:val="00264A1A"/>
    <w:rsid w:val="00264DB8"/>
    <w:rsid w:val="00265C8A"/>
    <w:rsid w:val="0026619D"/>
    <w:rsid w:val="0026625E"/>
    <w:rsid w:val="002662BB"/>
    <w:rsid w:val="0026672E"/>
    <w:rsid w:val="0026707E"/>
    <w:rsid w:val="00267432"/>
    <w:rsid w:val="0026749E"/>
    <w:rsid w:val="00267E6E"/>
    <w:rsid w:val="00270175"/>
    <w:rsid w:val="002704A9"/>
    <w:rsid w:val="00270B36"/>
    <w:rsid w:val="0027170A"/>
    <w:rsid w:val="0027173E"/>
    <w:rsid w:val="00271B05"/>
    <w:rsid w:val="0027214B"/>
    <w:rsid w:val="0027241D"/>
    <w:rsid w:val="00272553"/>
    <w:rsid w:val="002728D8"/>
    <w:rsid w:val="00273391"/>
    <w:rsid w:val="002735DD"/>
    <w:rsid w:val="002737ED"/>
    <w:rsid w:val="00273CD2"/>
    <w:rsid w:val="00274524"/>
    <w:rsid w:val="00274732"/>
    <w:rsid w:val="00274DF7"/>
    <w:rsid w:val="002750E5"/>
    <w:rsid w:val="00275176"/>
    <w:rsid w:val="0027518C"/>
    <w:rsid w:val="00275789"/>
    <w:rsid w:val="002757B9"/>
    <w:rsid w:val="0027608F"/>
    <w:rsid w:val="0027659C"/>
    <w:rsid w:val="0027728D"/>
    <w:rsid w:val="002773A6"/>
    <w:rsid w:val="002775DA"/>
    <w:rsid w:val="00277763"/>
    <w:rsid w:val="00277851"/>
    <w:rsid w:val="002779DA"/>
    <w:rsid w:val="0028099E"/>
    <w:rsid w:val="00280CC7"/>
    <w:rsid w:val="00280FCE"/>
    <w:rsid w:val="00281176"/>
    <w:rsid w:val="002811EE"/>
    <w:rsid w:val="00281333"/>
    <w:rsid w:val="0028197E"/>
    <w:rsid w:val="00281C66"/>
    <w:rsid w:val="002822B8"/>
    <w:rsid w:val="002823A3"/>
    <w:rsid w:val="002824DA"/>
    <w:rsid w:val="00282719"/>
    <w:rsid w:val="00282921"/>
    <w:rsid w:val="002830B4"/>
    <w:rsid w:val="002833C0"/>
    <w:rsid w:val="00284274"/>
    <w:rsid w:val="00285B39"/>
    <w:rsid w:val="00286879"/>
    <w:rsid w:val="00286C2C"/>
    <w:rsid w:val="00286C2E"/>
    <w:rsid w:val="00286CA6"/>
    <w:rsid w:val="00286DE0"/>
    <w:rsid w:val="002871EA"/>
    <w:rsid w:val="002873AA"/>
    <w:rsid w:val="00287510"/>
    <w:rsid w:val="002878F3"/>
    <w:rsid w:val="00287A6C"/>
    <w:rsid w:val="00287DCC"/>
    <w:rsid w:val="00287F6C"/>
    <w:rsid w:val="002908D2"/>
    <w:rsid w:val="00290976"/>
    <w:rsid w:val="00290A11"/>
    <w:rsid w:val="00290BD1"/>
    <w:rsid w:val="00290BE4"/>
    <w:rsid w:val="00290E1A"/>
    <w:rsid w:val="00291379"/>
    <w:rsid w:val="00291417"/>
    <w:rsid w:val="0029200B"/>
    <w:rsid w:val="00292294"/>
    <w:rsid w:val="002922AD"/>
    <w:rsid w:val="002928F0"/>
    <w:rsid w:val="00293215"/>
    <w:rsid w:val="00293356"/>
    <w:rsid w:val="00293C19"/>
    <w:rsid w:val="002940BF"/>
    <w:rsid w:val="002940F8"/>
    <w:rsid w:val="0029448F"/>
    <w:rsid w:val="002945A3"/>
    <w:rsid w:val="00295CEE"/>
    <w:rsid w:val="00295E56"/>
    <w:rsid w:val="00296255"/>
    <w:rsid w:val="002963B2"/>
    <w:rsid w:val="00296C61"/>
    <w:rsid w:val="00297244"/>
    <w:rsid w:val="00297248"/>
    <w:rsid w:val="00297F6A"/>
    <w:rsid w:val="002A008E"/>
    <w:rsid w:val="002A02F5"/>
    <w:rsid w:val="002A0519"/>
    <w:rsid w:val="002A0604"/>
    <w:rsid w:val="002A0E53"/>
    <w:rsid w:val="002A0F61"/>
    <w:rsid w:val="002A16E0"/>
    <w:rsid w:val="002A18ED"/>
    <w:rsid w:val="002A1FE2"/>
    <w:rsid w:val="002A20AC"/>
    <w:rsid w:val="002A2207"/>
    <w:rsid w:val="002A2851"/>
    <w:rsid w:val="002A2B5A"/>
    <w:rsid w:val="002A2DC1"/>
    <w:rsid w:val="002A3455"/>
    <w:rsid w:val="002A3AB5"/>
    <w:rsid w:val="002A3F0E"/>
    <w:rsid w:val="002A42A3"/>
    <w:rsid w:val="002A47E7"/>
    <w:rsid w:val="002A4ACB"/>
    <w:rsid w:val="002A4B39"/>
    <w:rsid w:val="002A52A7"/>
    <w:rsid w:val="002A543E"/>
    <w:rsid w:val="002A619B"/>
    <w:rsid w:val="002A61BC"/>
    <w:rsid w:val="002A6455"/>
    <w:rsid w:val="002A6505"/>
    <w:rsid w:val="002A67CD"/>
    <w:rsid w:val="002A6B68"/>
    <w:rsid w:val="002A701D"/>
    <w:rsid w:val="002A703D"/>
    <w:rsid w:val="002A72AB"/>
    <w:rsid w:val="002A789B"/>
    <w:rsid w:val="002A7C09"/>
    <w:rsid w:val="002B00C9"/>
    <w:rsid w:val="002B02A7"/>
    <w:rsid w:val="002B0582"/>
    <w:rsid w:val="002B0623"/>
    <w:rsid w:val="002B0656"/>
    <w:rsid w:val="002B083D"/>
    <w:rsid w:val="002B0CEC"/>
    <w:rsid w:val="002B13B4"/>
    <w:rsid w:val="002B1E58"/>
    <w:rsid w:val="002B224A"/>
    <w:rsid w:val="002B22B9"/>
    <w:rsid w:val="002B24DA"/>
    <w:rsid w:val="002B2B60"/>
    <w:rsid w:val="002B2F4F"/>
    <w:rsid w:val="002B2FA8"/>
    <w:rsid w:val="002B304C"/>
    <w:rsid w:val="002B333E"/>
    <w:rsid w:val="002B3E04"/>
    <w:rsid w:val="002B4016"/>
    <w:rsid w:val="002B4BC1"/>
    <w:rsid w:val="002B4C5F"/>
    <w:rsid w:val="002B5042"/>
    <w:rsid w:val="002B5C0E"/>
    <w:rsid w:val="002B5D2F"/>
    <w:rsid w:val="002B6094"/>
    <w:rsid w:val="002B617A"/>
    <w:rsid w:val="002B63AA"/>
    <w:rsid w:val="002B665C"/>
    <w:rsid w:val="002B7011"/>
    <w:rsid w:val="002B762C"/>
    <w:rsid w:val="002B78BF"/>
    <w:rsid w:val="002B7BE5"/>
    <w:rsid w:val="002C00AF"/>
    <w:rsid w:val="002C04EB"/>
    <w:rsid w:val="002C072A"/>
    <w:rsid w:val="002C07F7"/>
    <w:rsid w:val="002C0890"/>
    <w:rsid w:val="002C136D"/>
    <w:rsid w:val="002C1411"/>
    <w:rsid w:val="002C1423"/>
    <w:rsid w:val="002C16B9"/>
    <w:rsid w:val="002C171C"/>
    <w:rsid w:val="002C1C9C"/>
    <w:rsid w:val="002C1CD3"/>
    <w:rsid w:val="002C245F"/>
    <w:rsid w:val="002C25D8"/>
    <w:rsid w:val="002C2761"/>
    <w:rsid w:val="002C2EDC"/>
    <w:rsid w:val="002C2EF1"/>
    <w:rsid w:val="002C3298"/>
    <w:rsid w:val="002C3605"/>
    <w:rsid w:val="002C3F88"/>
    <w:rsid w:val="002C467C"/>
    <w:rsid w:val="002C4A48"/>
    <w:rsid w:val="002C4F21"/>
    <w:rsid w:val="002C50C8"/>
    <w:rsid w:val="002C5679"/>
    <w:rsid w:val="002C56DD"/>
    <w:rsid w:val="002C5BA9"/>
    <w:rsid w:val="002C5CA5"/>
    <w:rsid w:val="002C6C31"/>
    <w:rsid w:val="002C7315"/>
    <w:rsid w:val="002D0362"/>
    <w:rsid w:val="002D0560"/>
    <w:rsid w:val="002D0BF8"/>
    <w:rsid w:val="002D118B"/>
    <w:rsid w:val="002D155B"/>
    <w:rsid w:val="002D161E"/>
    <w:rsid w:val="002D1C0A"/>
    <w:rsid w:val="002D210B"/>
    <w:rsid w:val="002D257F"/>
    <w:rsid w:val="002D274A"/>
    <w:rsid w:val="002D2ADE"/>
    <w:rsid w:val="002D2B36"/>
    <w:rsid w:val="002D309B"/>
    <w:rsid w:val="002D33D7"/>
    <w:rsid w:val="002D3511"/>
    <w:rsid w:val="002D39ED"/>
    <w:rsid w:val="002D3E55"/>
    <w:rsid w:val="002D3EC8"/>
    <w:rsid w:val="002D3FF7"/>
    <w:rsid w:val="002D40B1"/>
    <w:rsid w:val="002D4CE2"/>
    <w:rsid w:val="002D57A5"/>
    <w:rsid w:val="002D58B1"/>
    <w:rsid w:val="002D5DB6"/>
    <w:rsid w:val="002D5FB1"/>
    <w:rsid w:val="002D684B"/>
    <w:rsid w:val="002D6D66"/>
    <w:rsid w:val="002D6D6F"/>
    <w:rsid w:val="002D6F9E"/>
    <w:rsid w:val="002D71E5"/>
    <w:rsid w:val="002E0E79"/>
    <w:rsid w:val="002E1376"/>
    <w:rsid w:val="002E1D22"/>
    <w:rsid w:val="002E2ED1"/>
    <w:rsid w:val="002E3556"/>
    <w:rsid w:val="002E38AD"/>
    <w:rsid w:val="002E3F0E"/>
    <w:rsid w:val="002E48DB"/>
    <w:rsid w:val="002E4B64"/>
    <w:rsid w:val="002E4E96"/>
    <w:rsid w:val="002E514D"/>
    <w:rsid w:val="002E536A"/>
    <w:rsid w:val="002E5539"/>
    <w:rsid w:val="002E5615"/>
    <w:rsid w:val="002E5759"/>
    <w:rsid w:val="002E58EF"/>
    <w:rsid w:val="002E5A66"/>
    <w:rsid w:val="002E5BEC"/>
    <w:rsid w:val="002E6610"/>
    <w:rsid w:val="002E699D"/>
    <w:rsid w:val="002E6FC3"/>
    <w:rsid w:val="002E71A3"/>
    <w:rsid w:val="002E72AB"/>
    <w:rsid w:val="002E789C"/>
    <w:rsid w:val="002E7A8F"/>
    <w:rsid w:val="002E7BBE"/>
    <w:rsid w:val="002E7C72"/>
    <w:rsid w:val="002E7DDF"/>
    <w:rsid w:val="002F007B"/>
    <w:rsid w:val="002F09AF"/>
    <w:rsid w:val="002F0B11"/>
    <w:rsid w:val="002F0EF4"/>
    <w:rsid w:val="002F1024"/>
    <w:rsid w:val="002F164F"/>
    <w:rsid w:val="002F17BF"/>
    <w:rsid w:val="002F1D13"/>
    <w:rsid w:val="002F2B70"/>
    <w:rsid w:val="002F2E8A"/>
    <w:rsid w:val="002F3103"/>
    <w:rsid w:val="002F3834"/>
    <w:rsid w:val="002F4086"/>
    <w:rsid w:val="002F45B9"/>
    <w:rsid w:val="002F4A1A"/>
    <w:rsid w:val="002F4C36"/>
    <w:rsid w:val="002F5FD5"/>
    <w:rsid w:val="002F6254"/>
    <w:rsid w:val="002F65B6"/>
    <w:rsid w:val="002F69B3"/>
    <w:rsid w:val="002F7087"/>
    <w:rsid w:val="002F71D9"/>
    <w:rsid w:val="002F725B"/>
    <w:rsid w:val="002F7411"/>
    <w:rsid w:val="002F77ED"/>
    <w:rsid w:val="002F78DE"/>
    <w:rsid w:val="002F7A07"/>
    <w:rsid w:val="002F7C97"/>
    <w:rsid w:val="002F7CBD"/>
    <w:rsid w:val="0030021B"/>
    <w:rsid w:val="003002D1"/>
    <w:rsid w:val="00300918"/>
    <w:rsid w:val="00300A05"/>
    <w:rsid w:val="00300A77"/>
    <w:rsid w:val="00300C6D"/>
    <w:rsid w:val="00300E27"/>
    <w:rsid w:val="003016CD"/>
    <w:rsid w:val="00301C65"/>
    <w:rsid w:val="00302299"/>
    <w:rsid w:val="003022CC"/>
    <w:rsid w:val="0030285B"/>
    <w:rsid w:val="00303075"/>
    <w:rsid w:val="003046B5"/>
    <w:rsid w:val="0030481F"/>
    <w:rsid w:val="00304969"/>
    <w:rsid w:val="003050D6"/>
    <w:rsid w:val="00305A93"/>
    <w:rsid w:val="00305B4A"/>
    <w:rsid w:val="003067FA"/>
    <w:rsid w:val="00306974"/>
    <w:rsid w:val="00306F2D"/>
    <w:rsid w:val="0030722B"/>
    <w:rsid w:val="00307504"/>
    <w:rsid w:val="003076C9"/>
    <w:rsid w:val="00307E9A"/>
    <w:rsid w:val="00310377"/>
    <w:rsid w:val="00310B93"/>
    <w:rsid w:val="00310BEC"/>
    <w:rsid w:val="00310E06"/>
    <w:rsid w:val="00311534"/>
    <w:rsid w:val="003115E1"/>
    <w:rsid w:val="00311934"/>
    <w:rsid w:val="00311B17"/>
    <w:rsid w:val="00311C2B"/>
    <w:rsid w:val="00312FF9"/>
    <w:rsid w:val="00312FFA"/>
    <w:rsid w:val="0031343D"/>
    <w:rsid w:val="003138E9"/>
    <w:rsid w:val="003139E0"/>
    <w:rsid w:val="00314C76"/>
    <w:rsid w:val="00314E98"/>
    <w:rsid w:val="00315470"/>
    <w:rsid w:val="003156B5"/>
    <w:rsid w:val="00315825"/>
    <w:rsid w:val="0031630E"/>
    <w:rsid w:val="0031649C"/>
    <w:rsid w:val="00316562"/>
    <w:rsid w:val="00316E65"/>
    <w:rsid w:val="003171AF"/>
    <w:rsid w:val="00317212"/>
    <w:rsid w:val="0031747A"/>
    <w:rsid w:val="00317A34"/>
    <w:rsid w:val="00317A65"/>
    <w:rsid w:val="00317BE6"/>
    <w:rsid w:val="00317C2A"/>
    <w:rsid w:val="00320671"/>
    <w:rsid w:val="00320873"/>
    <w:rsid w:val="00320914"/>
    <w:rsid w:val="00320DE7"/>
    <w:rsid w:val="00320DEC"/>
    <w:rsid w:val="00321C38"/>
    <w:rsid w:val="00322789"/>
    <w:rsid w:val="00322CA6"/>
    <w:rsid w:val="003239C9"/>
    <w:rsid w:val="0032448F"/>
    <w:rsid w:val="00324C80"/>
    <w:rsid w:val="00324CC5"/>
    <w:rsid w:val="00325389"/>
    <w:rsid w:val="003254F6"/>
    <w:rsid w:val="00325728"/>
    <w:rsid w:val="00325C72"/>
    <w:rsid w:val="00326460"/>
    <w:rsid w:val="00326520"/>
    <w:rsid w:val="00326539"/>
    <w:rsid w:val="00326683"/>
    <w:rsid w:val="00326847"/>
    <w:rsid w:val="00326DA1"/>
    <w:rsid w:val="00327505"/>
    <w:rsid w:val="003278D5"/>
    <w:rsid w:val="00327BB9"/>
    <w:rsid w:val="00330328"/>
    <w:rsid w:val="00330BE8"/>
    <w:rsid w:val="003311D6"/>
    <w:rsid w:val="003312BB"/>
    <w:rsid w:val="0033146B"/>
    <w:rsid w:val="00331551"/>
    <w:rsid w:val="003319B2"/>
    <w:rsid w:val="0033201C"/>
    <w:rsid w:val="00332043"/>
    <w:rsid w:val="00332067"/>
    <w:rsid w:val="0033261E"/>
    <w:rsid w:val="0033291A"/>
    <w:rsid w:val="00332BB8"/>
    <w:rsid w:val="00332C3B"/>
    <w:rsid w:val="00334460"/>
    <w:rsid w:val="003344B5"/>
    <w:rsid w:val="003349C0"/>
    <w:rsid w:val="003350A8"/>
    <w:rsid w:val="00335106"/>
    <w:rsid w:val="00335ABD"/>
    <w:rsid w:val="00335B7A"/>
    <w:rsid w:val="00335EA8"/>
    <w:rsid w:val="00336262"/>
    <w:rsid w:val="003368CE"/>
    <w:rsid w:val="00337253"/>
    <w:rsid w:val="003372FE"/>
    <w:rsid w:val="00337770"/>
    <w:rsid w:val="0034021F"/>
    <w:rsid w:val="0034033D"/>
    <w:rsid w:val="003403C7"/>
    <w:rsid w:val="003406A9"/>
    <w:rsid w:val="00341117"/>
    <w:rsid w:val="003413CF"/>
    <w:rsid w:val="003414D7"/>
    <w:rsid w:val="0034150F"/>
    <w:rsid w:val="00341578"/>
    <w:rsid w:val="00341924"/>
    <w:rsid w:val="0034195C"/>
    <w:rsid w:val="00341BB4"/>
    <w:rsid w:val="00341C8E"/>
    <w:rsid w:val="00341D2D"/>
    <w:rsid w:val="00341E34"/>
    <w:rsid w:val="00341F6E"/>
    <w:rsid w:val="00342301"/>
    <w:rsid w:val="00342C19"/>
    <w:rsid w:val="00343DA7"/>
    <w:rsid w:val="0034439C"/>
    <w:rsid w:val="003445AE"/>
    <w:rsid w:val="00345157"/>
    <w:rsid w:val="003463BC"/>
    <w:rsid w:val="003468B1"/>
    <w:rsid w:val="00346D45"/>
    <w:rsid w:val="00347396"/>
    <w:rsid w:val="0034743C"/>
    <w:rsid w:val="00347924"/>
    <w:rsid w:val="003504A1"/>
    <w:rsid w:val="003504FA"/>
    <w:rsid w:val="00350621"/>
    <w:rsid w:val="003506FA"/>
    <w:rsid w:val="00350846"/>
    <w:rsid w:val="003509C7"/>
    <w:rsid w:val="00350D36"/>
    <w:rsid w:val="00350D3F"/>
    <w:rsid w:val="003512D5"/>
    <w:rsid w:val="00351344"/>
    <w:rsid w:val="00351C89"/>
    <w:rsid w:val="00351CCB"/>
    <w:rsid w:val="00351D47"/>
    <w:rsid w:val="00351F26"/>
    <w:rsid w:val="003520CA"/>
    <w:rsid w:val="0035216F"/>
    <w:rsid w:val="0035248D"/>
    <w:rsid w:val="00352585"/>
    <w:rsid w:val="0035290B"/>
    <w:rsid w:val="00352ADE"/>
    <w:rsid w:val="00353117"/>
    <w:rsid w:val="003532B7"/>
    <w:rsid w:val="00353320"/>
    <w:rsid w:val="00354074"/>
    <w:rsid w:val="00354181"/>
    <w:rsid w:val="003546D5"/>
    <w:rsid w:val="00354C3B"/>
    <w:rsid w:val="00354D77"/>
    <w:rsid w:val="00354F37"/>
    <w:rsid w:val="003556B4"/>
    <w:rsid w:val="00355721"/>
    <w:rsid w:val="00356683"/>
    <w:rsid w:val="0035680D"/>
    <w:rsid w:val="00356979"/>
    <w:rsid w:val="00357064"/>
    <w:rsid w:val="00357245"/>
    <w:rsid w:val="0035779A"/>
    <w:rsid w:val="00357A60"/>
    <w:rsid w:val="00357D37"/>
    <w:rsid w:val="003600CF"/>
    <w:rsid w:val="00360126"/>
    <w:rsid w:val="0036014D"/>
    <w:rsid w:val="00360295"/>
    <w:rsid w:val="00360EDF"/>
    <w:rsid w:val="0036103D"/>
    <w:rsid w:val="00361994"/>
    <w:rsid w:val="00361A90"/>
    <w:rsid w:val="0036211D"/>
    <w:rsid w:val="00362524"/>
    <w:rsid w:val="0036256A"/>
    <w:rsid w:val="0036287E"/>
    <w:rsid w:val="003628F5"/>
    <w:rsid w:val="00362D28"/>
    <w:rsid w:val="00363029"/>
    <w:rsid w:val="00363042"/>
    <w:rsid w:val="003632E3"/>
    <w:rsid w:val="0036365D"/>
    <w:rsid w:val="00363D42"/>
    <w:rsid w:val="0036459E"/>
    <w:rsid w:val="003650C7"/>
    <w:rsid w:val="00365234"/>
    <w:rsid w:val="0036633E"/>
    <w:rsid w:val="00366459"/>
    <w:rsid w:val="0036679C"/>
    <w:rsid w:val="00366992"/>
    <w:rsid w:val="00366B02"/>
    <w:rsid w:val="00367033"/>
    <w:rsid w:val="0036730C"/>
    <w:rsid w:val="003676D4"/>
    <w:rsid w:val="00367AB8"/>
    <w:rsid w:val="00367B53"/>
    <w:rsid w:val="00367C9A"/>
    <w:rsid w:val="00367EBF"/>
    <w:rsid w:val="00370BAA"/>
    <w:rsid w:val="003717AB"/>
    <w:rsid w:val="00371BBA"/>
    <w:rsid w:val="00372583"/>
    <w:rsid w:val="00372F81"/>
    <w:rsid w:val="00373232"/>
    <w:rsid w:val="00373752"/>
    <w:rsid w:val="003737C0"/>
    <w:rsid w:val="00373DF1"/>
    <w:rsid w:val="00373E3F"/>
    <w:rsid w:val="0037411D"/>
    <w:rsid w:val="00374294"/>
    <w:rsid w:val="00374330"/>
    <w:rsid w:val="00374927"/>
    <w:rsid w:val="00374DBB"/>
    <w:rsid w:val="003752C7"/>
    <w:rsid w:val="00375449"/>
    <w:rsid w:val="003757AB"/>
    <w:rsid w:val="00375C57"/>
    <w:rsid w:val="00375E17"/>
    <w:rsid w:val="0037620E"/>
    <w:rsid w:val="00376816"/>
    <w:rsid w:val="00376E70"/>
    <w:rsid w:val="00377161"/>
    <w:rsid w:val="00377B74"/>
    <w:rsid w:val="00377C1B"/>
    <w:rsid w:val="003800B3"/>
    <w:rsid w:val="00380331"/>
    <w:rsid w:val="0038106D"/>
    <w:rsid w:val="00381F13"/>
    <w:rsid w:val="00382694"/>
    <w:rsid w:val="003828D3"/>
    <w:rsid w:val="00382B63"/>
    <w:rsid w:val="0038350C"/>
    <w:rsid w:val="00384032"/>
    <w:rsid w:val="00384121"/>
    <w:rsid w:val="00384272"/>
    <w:rsid w:val="00384606"/>
    <w:rsid w:val="00384CCB"/>
    <w:rsid w:val="003857C0"/>
    <w:rsid w:val="0038614D"/>
    <w:rsid w:val="00386DC8"/>
    <w:rsid w:val="00386F05"/>
    <w:rsid w:val="00387010"/>
    <w:rsid w:val="00387069"/>
    <w:rsid w:val="003875EC"/>
    <w:rsid w:val="003877C2"/>
    <w:rsid w:val="003877FC"/>
    <w:rsid w:val="00387A1D"/>
    <w:rsid w:val="00387A7A"/>
    <w:rsid w:val="003901C1"/>
    <w:rsid w:val="003902FC"/>
    <w:rsid w:val="0039046A"/>
    <w:rsid w:val="00391260"/>
    <w:rsid w:val="0039139C"/>
    <w:rsid w:val="003913E7"/>
    <w:rsid w:val="00391B2C"/>
    <w:rsid w:val="00391E8B"/>
    <w:rsid w:val="003925CA"/>
    <w:rsid w:val="00392858"/>
    <w:rsid w:val="00392F64"/>
    <w:rsid w:val="00393893"/>
    <w:rsid w:val="003939ED"/>
    <w:rsid w:val="00393DA3"/>
    <w:rsid w:val="003941CF"/>
    <w:rsid w:val="003944C8"/>
    <w:rsid w:val="00394953"/>
    <w:rsid w:val="003949FC"/>
    <w:rsid w:val="00394DEE"/>
    <w:rsid w:val="00394F69"/>
    <w:rsid w:val="0039507A"/>
    <w:rsid w:val="00395168"/>
    <w:rsid w:val="00395A09"/>
    <w:rsid w:val="00395DA8"/>
    <w:rsid w:val="00396125"/>
    <w:rsid w:val="00396145"/>
    <w:rsid w:val="003968F8"/>
    <w:rsid w:val="0039692C"/>
    <w:rsid w:val="00396B5D"/>
    <w:rsid w:val="0039713F"/>
    <w:rsid w:val="00397641"/>
    <w:rsid w:val="003A05F2"/>
    <w:rsid w:val="003A082A"/>
    <w:rsid w:val="003A0A42"/>
    <w:rsid w:val="003A0CD5"/>
    <w:rsid w:val="003A0ED8"/>
    <w:rsid w:val="003A1370"/>
    <w:rsid w:val="003A15A8"/>
    <w:rsid w:val="003A15D0"/>
    <w:rsid w:val="003A18BF"/>
    <w:rsid w:val="003A1A01"/>
    <w:rsid w:val="003A1C5D"/>
    <w:rsid w:val="003A1D74"/>
    <w:rsid w:val="003A21EB"/>
    <w:rsid w:val="003A22B8"/>
    <w:rsid w:val="003A27FC"/>
    <w:rsid w:val="003A34CB"/>
    <w:rsid w:val="003A369C"/>
    <w:rsid w:val="003A3988"/>
    <w:rsid w:val="003A3DC0"/>
    <w:rsid w:val="003A4199"/>
    <w:rsid w:val="003A440D"/>
    <w:rsid w:val="003A4790"/>
    <w:rsid w:val="003A4B36"/>
    <w:rsid w:val="003A4CE2"/>
    <w:rsid w:val="003A51D9"/>
    <w:rsid w:val="003A574E"/>
    <w:rsid w:val="003A582C"/>
    <w:rsid w:val="003A62C9"/>
    <w:rsid w:val="003A641D"/>
    <w:rsid w:val="003A6E25"/>
    <w:rsid w:val="003A6E9E"/>
    <w:rsid w:val="003A6F1F"/>
    <w:rsid w:val="003A7435"/>
    <w:rsid w:val="003A76AA"/>
    <w:rsid w:val="003A7E14"/>
    <w:rsid w:val="003B03B5"/>
    <w:rsid w:val="003B09E8"/>
    <w:rsid w:val="003B0AE7"/>
    <w:rsid w:val="003B0E29"/>
    <w:rsid w:val="003B169A"/>
    <w:rsid w:val="003B1BD1"/>
    <w:rsid w:val="003B1E1D"/>
    <w:rsid w:val="003B1F76"/>
    <w:rsid w:val="003B230D"/>
    <w:rsid w:val="003B2790"/>
    <w:rsid w:val="003B2CBA"/>
    <w:rsid w:val="003B2F8A"/>
    <w:rsid w:val="003B31A0"/>
    <w:rsid w:val="003B3853"/>
    <w:rsid w:val="003B3B38"/>
    <w:rsid w:val="003B42FC"/>
    <w:rsid w:val="003B4344"/>
    <w:rsid w:val="003B4538"/>
    <w:rsid w:val="003B4965"/>
    <w:rsid w:val="003B4E3E"/>
    <w:rsid w:val="003B5304"/>
    <w:rsid w:val="003B538A"/>
    <w:rsid w:val="003B5608"/>
    <w:rsid w:val="003B57DF"/>
    <w:rsid w:val="003B5990"/>
    <w:rsid w:val="003B5BF0"/>
    <w:rsid w:val="003B649C"/>
    <w:rsid w:val="003B64D6"/>
    <w:rsid w:val="003B6AB1"/>
    <w:rsid w:val="003B7031"/>
    <w:rsid w:val="003B749A"/>
    <w:rsid w:val="003B76C0"/>
    <w:rsid w:val="003B79DA"/>
    <w:rsid w:val="003C0365"/>
    <w:rsid w:val="003C0382"/>
    <w:rsid w:val="003C07C4"/>
    <w:rsid w:val="003C08CC"/>
    <w:rsid w:val="003C08FD"/>
    <w:rsid w:val="003C0E18"/>
    <w:rsid w:val="003C1108"/>
    <w:rsid w:val="003C1363"/>
    <w:rsid w:val="003C13A6"/>
    <w:rsid w:val="003C19D6"/>
    <w:rsid w:val="003C203B"/>
    <w:rsid w:val="003C2880"/>
    <w:rsid w:val="003C2934"/>
    <w:rsid w:val="003C29F9"/>
    <w:rsid w:val="003C32F7"/>
    <w:rsid w:val="003C3A63"/>
    <w:rsid w:val="003C423D"/>
    <w:rsid w:val="003C4B86"/>
    <w:rsid w:val="003C52CE"/>
    <w:rsid w:val="003C5749"/>
    <w:rsid w:val="003C5921"/>
    <w:rsid w:val="003C5EE9"/>
    <w:rsid w:val="003C630B"/>
    <w:rsid w:val="003C683C"/>
    <w:rsid w:val="003C76F8"/>
    <w:rsid w:val="003C7D14"/>
    <w:rsid w:val="003C7D65"/>
    <w:rsid w:val="003D0017"/>
    <w:rsid w:val="003D04C8"/>
    <w:rsid w:val="003D137A"/>
    <w:rsid w:val="003D1919"/>
    <w:rsid w:val="003D28DA"/>
    <w:rsid w:val="003D2B2B"/>
    <w:rsid w:val="003D2CD1"/>
    <w:rsid w:val="003D2F0E"/>
    <w:rsid w:val="003D37B8"/>
    <w:rsid w:val="003D37EA"/>
    <w:rsid w:val="003D3B0C"/>
    <w:rsid w:val="003D4FF4"/>
    <w:rsid w:val="003D5050"/>
    <w:rsid w:val="003D5163"/>
    <w:rsid w:val="003D57CA"/>
    <w:rsid w:val="003D5A29"/>
    <w:rsid w:val="003D620B"/>
    <w:rsid w:val="003D6258"/>
    <w:rsid w:val="003D7154"/>
    <w:rsid w:val="003D7E43"/>
    <w:rsid w:val="003E0329"/>
    <w:rsid w:val="003E0821"/>
    <w:rsid w:val="003E0F66"/>
    <w:rsid w:val="003E128E"/>
    <w:rsid w:val="003E167A"/>
    <w:rsid w:val="003E1D8E"/>
    <w:rsid w:val="003E1F0B"/>
    <w:rsid w:val="003E22F1"/>
    <w:rsid w:val="003E288C"/>
    <w:rsid w:val="003E29B3"/>
    <w:rsid w:val="003E2A17"/>
    <w:rsid w:val="003E2A27"/>
    <w:rsid w:val="003E2BFB"/>
    <w:rsid w:val="003E31E2"/>
    <w:rsid w:val="003E35DA"/>
    <w:rsid w:val="003E38D5"/>
    <w:rsid w:val="003E3CF7"/>
    <w:rsid w:val="003E438C"/>
    <w:rsid w:val="003E441A"/>
    <w:rsid w:val="003E48BA"/>
    <w:rsid w:val="003E498C"/>
    <w:rsid w:val="003E4BFF"/>
    <w:rsid w:val="003E4EF7"/>
    <w:rsid w:val="003E514C"/>
    <w:rsid w:val="003E585B"/>
    <w:rsid w:val="003E5F13"/>
    <w:rsid w:val="003E62B8"/>
    <w:rsid w:val="003E6555"/>
    <w:rsid w:val="003E6DEE"/>
    <w:rsid w:val="003E75A3"/>
    <w:rsid w:val="003E7DB4"/>
    <w:rsid w:val="003E7ECA"/>
    <w:rsid w:val="003F017F"/>
    <w:rsid w:val="003F03C7"/>
    <w:rsid w:val="003F082E"/>
    <w:rsid w:val="003F0935"/>
    <w:rsid w:val="003F0977"/>
    <w:rsid w:val="003F109D"/>
    <w:rsid w:val="003F273F"/>
    <w:rsid w:val="003F361A"/>
    <w:rsid w:val="003F38F3"/>
    <w:rsid w:val="003F3932"/>
    <w:rsid w:val="003F39A3"/>
    <w:rsid w:val="003F39ED"/>
    <w:rsid w:val="003F401B"/>
    <w:rsid w:val="003F4ABC"/>
    <w:rsid w:val="003F5EF0"/>
    <w:rsid w:val="003F5FAB"/>
    <w:rsid w:val="003F6CBC"/>
    <w:rsid w:val="003F6CFF"/>
    <w:rsid w:val="0040062E"/>
    <w:rsid w:val="004007E8"/>
    <w:rsid w:val="00401182"/>
    <w:rsid w:val="00401407"/>
    <w:rsid w:val="0040145F"/>
    <w:rsid w:val="00401A6B"/>
    <w:rsid w:val="00402C08"/>
    <w:rsid w:val="00402F81"/>
    <w:rsid w:val="00402F9F"/>
    <w:rsid w:val="00403187"/>
    <w:rsid w:val="004033AC"/>
    <w:rsid w:val="004039C1"/>
    <w:rsid w:val="0040410B"/>
    <w:rsid w:val="0040453B"/>
    <w:rsid w:val="004049B3"/>
    <w:rsid w:val="00404C13"/>
    <w:rsid w:val="00404DFB"/>
    <w:rsid w:val="00405113"/>
    <w:rsid w:val="0040528C"/>
    <w:rsid w:val="00405835"/>
    <w:rsid w:val="00405BC3"/>
    <w:rsid w:val="00406B71"/>
    <w:rsid w:val="004075D1"/>
    <w:rsid w:val="00407E86"/>
    <w:rsid w:val="004101E2"/>
    <w:rsid w:val="004102F2"/>
    <w:rsid w:val="0041038A"/>
    <w:rsid w:val="004107F5"/>
    <w:rsid w:val="00410A26"/>
    <w:rsid w:val="00411075"/>
    <w:rsid w:val="0041148B"/>
    <w:rsid w:val="00412359"/>
    <w:rsid w:val="00412510"/>
    <w:rsid w:val="00412B13"/>
    <w:rsid w:val="004131F2"/>
    <w:rsid w:val="00413791"/>
    <w:rsid w:val="00413E07"/>
    <w:rsid w:val="0041409D"/>
    <w:rsid w:val="00414355"/>
    <w:rsid w:val="00414C09"/>
    <w:rsid w:val="00414D49"/>
    <w:rsid w:val="00415064"/>
    <w:rsid w:val="0041566C"/>
    <w:rsid w:val="00415C8F"/>
    <w:rsid w:val="00415EE2"/>
    <w:rsid w:val="004161CF"/>
    <w:rsid w:val="00416B04"/>
    <w:rsid w:val="00416F88"/>
    <w:rsid w:val="004172A9"/>
    <w:rsid w:val="004178D5"/>
    <w:rsid w:val="00417DB9"/>
    <w:rsid w:val="00417DFF"/>
    <w:rsid w:val="00417F01"/>
    <w:rsid w:val="004208B4"/>
    <w:rsid w:val="00420FF2"/>
    <w:rsid w:val="00421962"/>
    <w:rsid w:val="00421C05"/>
    <w:rsid w:val="00421C47"/>
    <w:rsid w:val="00421F3B"/>
    <w:rsid w:val="00421F5F"/>
    <w:rsid w:val="004221A5"/>
    <w:rsid w:val="00422573"/>
    <w:rsid w:val="004226B8"/>
    <w:rsid w:val="004227C4"/>
    <w:rsid w:val="004228EE"/>
    <w:rsid w:val="0042305F"/>
    <w:rsid w:val="0042353D"/>
    <w:rsid w:val="004238BD"/>
    <w:rsid w:val="00423E3A"/>
    <w:rsid w:val="00423FF1"/>
    <w:rsid w:val="0042455E"/>
    <w:rsid w:val="00424668"/>
    <w:rsid w:val="00424AB5"/>
    <w:rsid w:val="0042518B"/>
    <w:rsid w:val="004255E6"/>
    <w:rsid w:val="00426153"/>
    <w:rsid w:val="0042649C"/>
    <w:rsid w:val="00426527"/>
    <w:rsid w:val="004265B8"/>
    <w:rsid w:val="0042684B"/>
    <w:rsid w:val="004268D8"/>
    <w:rsid w:val="00426A49"/>
    <w:rsid w:val="00426BDC"/>
    <w:rsid w:val="00426D9C"/>
    <w:rsid w:val="00426E69"/>
    <w:rsid w:val="00426FFE"/>
    <w:rsid w:val="0042756E"/>
    <w:rsid w:val="004277A9"/>
    <w:rsid w:val="004277BF"/>
    <w:rsid w:val="00427808"/>
    <w:rsid w:val="0042798F"/>
    <w:rsid w:val="00427C9D"/>
    <w:rsid w:val="00430991"/>
    <w:rsid w:val="00430A8B"/>
    <w:rsid w:val="00431223"/>
    <w:rsid w:val="00431B48"/>
    <w:rsid w:val="00431E7F"/>
    <w:rsid w:val="00431F3E"/>
    <w:rsid w:val="00431F90"/>
    <w:rsid w:val="004322C3"/>
    <w:rsid w:val="004325E1"/>
    <w:rsid w:val="004327FA"/>
    <w:rsid w:val="00432926"/>
    <w:rsid w:val="00432DA0"/>
    <w:rsid w:val="00433566"/>
    <w:rsid w:val="00433588"/>
    <w:rsid w:val="0043391E"/>
    <w:rsid w:val="00433B37"/>
    <w:rsid w:val="00433D2C"/>
    <w:rsid w:val="00433F99"/>
    <w:rsid w:val="00434043"/>
    <w:rsid w:val="004341F5"/>
    <w:rsid w:val="00434DE2"/>
    <w:rsid w:val="004350D4"/>
    <w:rsid w:val="0043522A"/>
    <w:rsid w:val="00435775"/>
    <w:rsid w:val="00435C0F"/>
    <w:rsid w:val="004363E3"/>
    <w:rsid w:val="004372B9"/>
    <w:rsid w:val="00437789"/>
    <w:rsid w:val="00440797"/>
    <w:rsid w:val="004408ED"/>
    <w:rsid w:val="00440CFE"/>
    <w:rsid w:val="00440D37"/>
    <w:rsid w:val="00440F31"/>
    <w:rsid w:val="004414C1"/>
    <w:rsid w:val="00441572"/>
    <w:rsid w:val="004415DD"/>
    <w:rsid w:val="004419D3"/>
    <w:rsid w:val="00441C44"/>
    <w:rsid w:val="00442275"/>
    <w:rsid w:val="004430FA"/>
    <w:rsid w:val="00443124"/>
    <w:rsid w:val="00444084"/>
    <w:rsid w:val="00444935"/>
    <w:rsid w:val="00444D3D"/>
    <w:rsid w:val="00444DF1"/>
    <w:rsid w:val="004451B5"/>
    <w:rsid w:val="004452F6"/>
    <w:rsid w:val="00445BD7"/>
    <w:rsid w:val="00445DD8"/>
    <w:rsid w:val="00445DE7"/>
    <w:rsid w:val="00445EFC"/>
    <w:rsid w:val="0044624B"/>
    <w:rsid w:val="0044661F"/>
    <w:rsid w:val="00446777"/>
    <w:rsid w:val="00446A33"/>
    <w:rsid w:val="00446A38"/>
    <w:rsid w:val="00446A66"/>
    <w:rsid w:val="004474C2"/>
    <w:rsid w:val="00447A1A"/>
    <w:rsid w:val="00447B0F"/>
    <w:rsid w:val="00447BAB"/>
    <w:rsid w:val="00447DF9"/>
    <w:rsid w:val="00450121"/>
    <w:rsid w:val="00450176"/>
    <w:rsid w:val="00450450"/>
    <w:rsid w:val="00450B55"/>
    <w:rsid w:val="00450B67"/>
    <w:rsid w:val="00450BAD"/>
    <w:rsid w:val="004519EE"/>
    <w:rsid w:val="00451C87"/>
    <w:rsid w:val="00452295"/>
    <w:rsid w:val="00452A7E"/>
    <w:rsid w:val="00452C4D"/>
    <w:rsid w:val="00452D5A"/>
    <w:rsid w:val="0045321A"/>
    <w:rsid w:val="00453BA5"/>
    <w:rsid w:val="004543E7"/>
    <w:rsid w:val="00454538"/>
    <w:rsid w:val="00454833"/>
    <w:rsid w:val="00454A46"/>
    <w:rsid w:val="00454F87"/>
    <w:rsid w:val="004552ED"/>
    <w:rsid w:val="00455375"/>
    <w:rsid w:val="004554CA"/>
    <w:rsid w:val="004555A6"/>
    <w:rsid w:val="00456635"/>
    <w:rsid w:val="00457407"/>
    <w:rsid w:val="004576C3"/>
    <w:rsid w:val="00457901"/>
    <w:rsid w:val="00457AE9"/>
    <w:rsid w:val="00457F40"/>
    <w:rsid w:val="0046005C"/>
    <w:rsid w:val="0046021B"/>
    <w:rsid w:val="00460637"/>
    <w:rsid w:val="00460652"/>
    <w:rsid w:val="004606CD"/>
    <w:rsid w:val="00460B42"/>
    <w:rsid w:val="00460D8E"/>
    <w:rsid w:val="00461071"/>
    <w:rsid w:val="00461F64"/>
    <w:rsid w:val="004620BD"/>
    <w:rsid w:val="004622BB"/>
    <w:rsid w:val="004623F5"/>
    <w:rsid w:val="004627ED"/>
    <w:rsid w:val="00462CC3"/>
    <w:rsid w:val="00462D1A"/>
    <w:rsid w:val="004630C3"/>
    <w:rsid w:val="00463138"/>
    <w:rsid w:val="0046377C"/>
    <w:rsid w:val="00463AD8"/>
    <w:rsid w:val="00464122"/>
    <w:rsid w:val="00464374"/>
    <w:rsid w:val="004644D3"/>
    <w:rsid w:val="00465DD3"/>
    <w:rsid w:val="00465F90"/>
    <w:rsid w:val="00465FFB"/>
    <w:rsid w:val="004661B8"/>
    <w:rsid w:val="00466547"/>
    <w:rsid w:val="0046678F"/>
    <w:rsid w:val="004668A6"/>
    <w:rsid w:val="00466AEB"/>
    <w:rsid w:val="00466F35"/>
    <w:rsid w:val="00467261"/>
    <w:rsid w:val="0046751F"/>
    <w:rsid w:val="004676B3"/>
    <w:rsid w:val="004679C8"/>
    <w:rsid w:val="00470120"/>
    <w:rsid w:val="0047038D"/>
    <w:rsid w:val="0047040A"/>
    <w:rsid w:val="0047061E"/>
    <w:rsid w:val="00470658"/>
    <w:rsid w:val="0047071C"/>
    <w:rsid w:val="0047084D"/>
    <w:rsid w:val="00470E18"/>
    <w:rsid w:val="00471547"/>
    <w:rsid w:val="00471B63"/>
    <w:rsid w:val="00471C9C"/>
    <w:rsid w:val="0047243A"/>
    <w:rsid w:val="004724B9"/>
    <w:rsid w:val="004728C2"/>
    <w:rsid w:val="004729BE"/>
    <w:rsid w:val="0047330E"/>
    <w:rsid w:val="00473573"/>
    <w:rsid w:val="00473B02"/>
    <w:rsid w:val="00474726"/>
    <w:rsid w:val="00474C96"/>
    <w:rsid w:val="00475013"/>
    <w:rsid w:val="00475124"/>
    <w:rsid w:val="00475153"/>
    <w:rsid w:val="004761FD"/>
    <w:rsid w:val="00476662"/>
    <w:rsid w:val="00476947"/>
    <w:rsid w:val="00476B79"/>
    <w:rsid w:val="00477FCC"/>
    <w:rsid w:val="00480567"/>
    <w:rsid w:val="00482012"/>
    <w:rsid w:val="00482096"/>
    <w:rsid w:val="00482237"/>
    <w:rsid w:val="004822AC"/>
    <w:rsid w:val="00482D9E"/>
    <w:rsid w:val="00482F70"/>
    <w:rsid w:val="00482FE9"/>
    <w:rsid w:val="00483B7C"/>
    <w:rsid w:val="00483F83"/>
    <w:rsid w:val="00483F8D"/>
    <w:rsid w:val="00484185"/>
    <w:rsid w:val="0048467F"/>
    <w:rsid w:val="00484728"/>
    <w:rsid w:val="00484B0E"/>
    <w:rsid w:val="00484C96"/>
    <w:rsid w:val="00484EEA"/>
    <w:rsid w:val="00485141"/>
    <w:rsid w:val="00486211"/>
    <w:rsid w:val="004868DC"/>
    <w:rsid w:val="00487286"/>
    <w:rsid w:val="00487573"/>
    <w:rsid w:val="00487A7E"/>
    <w:rsid w:val="00487E03"/>
    <w:rsid w:val="00487EF2"/>
    <w:rsid w:val="004900CB"/>
    <w:rsid w:val="004900D6"/>
    <w:rsid w:val="00490125"/>
    <w:rsid w:val="004902C9"/>
    <w:rsid w:val="00490976"/>
    <w:rsid w:val="00490E08"/>
    <w:rsid w:val="00491543"/>
    <w:rsid w:val="00491614"/>
    <w:rsid w:val="00491DCD"/>
    <w:rsid w:val="0049204E"/>
    <w:rsid w:val="004922F2"/>
    <w:rsid w:val="004925A8"/>
    <w:rsid w:val="00493197"/>
    <w:rsid w:val="00493400"/>
    <w:rsid w:val="00493AA5"/>
    <w:rsid w:val="00493C46"/>
    <w:rsid w:val="00493E0D"/>
    <w:rsid w:val="00493E5E"/>
    <w:rsid w:val="00493FC4"/>
    <w:rsid w:val="004941A0"/>
    <w:rsid w:val="004942EE"/>
    <w:rsid w:val="00494CD7"/>
    <w:rsid w:val="004950AA"/>
    <w:rsid w:val="004956B6"/>
    <w:rsid w:val="00495CC5"/>
    <w:rsid w:val="00495F16"/>
    <w:rsid w:val="00496091"/>
    <w:rsid w:val="0049616D"/>
    <w:rsid w:val="004967E2"/>
    <w:rsid w:val="00496937"/>
    <w:rsid w:val="00496C9D"/>
    <w:rsid w:val="00496CBB"/>
    <w:rsid w:val="00496EA2"/>
    <w:rsid w:val="00496F51"/>
    <w:rsid w:val="00496FA1"/>
    <w:rsid w:val="00497258"/>
    <w:rsid w:val="00497523"/>
    <w:rsid w:val="00497697"/>
    <w:rsid w:val="00497BE6"/>
    <w:rsid w:val="00497E6C"/>
    <w:rsid w:val="004A0400"/>
    <w:rsid w:val="004A045C"/>
    <w:rsid w:val="004A08AE"/>
    <w:rsid w:val="004A0DE4"/>
    <w:rsid w:val="004A0E68"/>
    <w:rsid w:val="004A0F88"/>
    <w:rsid w:val="004A1344"/>
    <w:rsid w:val="004A15EC"/>
    <w:rsid w:val="004A2161"/>
    <w:rsid w:val="004A2487"/>
    <w:rsid w:val="004A3315"/>
    <w:rsid w:val="004A3647"/>
    <w:rsid w:val="004A392C"/>
    <w:rsid w:val="004A3D4B"/>
    <w:rsid w:val="004A3E5B"/>
    <w:rsid w:val="004A4070"/>
    <w:rsid w:val="004A44A6"/>
    <w:rsid w:val="004A4EC3"/>
    <w:rsid w:val="004A593A"/>
    <w:rsid w:val="004A625E"/>
    <w:rsid w:val="004A6771"/>
    <w:rsid w:val="004A6838"/>
    <w:rsid w:val="004A6A97"/>
    <w:rsid w:val="004A6CEF"/>
    <w:rsid w:val="004A6D60"/>
    <w:rsid w:val="004A7305"/>
    <w:rsid w:val="004A76A4"/>
    <w:rsid w:val="004A7992"/>
    <w:rsid w:val="004A7998"/>
    <w:rsid w:val="004A7C18"/>
    <w:rsid w:val="004B05FA"/>
    <w:rsid w:val="004B08EB"/>
    <w:rsid w:val="004B0A73"/>
    <w:rsid w:val="004B192C"/>
    <w:rsid w:val="004B19E2"/>
    <w:rsid w:val="004B1D13"/>
    <w:rsid w:val="004B2527"/>
    <w:rsid w:val="004B28A6"/>
    <w:rsid w:val="004B35A3"/>
    <w:rsid w:val="004B3F38"/>
    <w:rsid w:val="004B453A"/>
    <w:rsid w:val="004B4544"/>
    <w:rsid w:val="004B4586"/>
    <w:rsid w:val="004B4652"/>
    <w:rsid w:val="004B4D71"/>
    <w:rsid w:val="004B564E"/>
    <w:rsid w:val="004B5854"/>
    <w:rsid w:val="004B59E0"/>
    <w:rsid w:val="004B5E38"/>
    <w:rsid w:val="004B6020"/>
    <w:rsid w:val="004B69AB"/>
    <w:rsid w:val="004B6D8D"/>
    <w:rsid w:val="004B7013"/>
    <w:rsid w:val="004B71D1"/>
    <w:rsid w:val="004B736E"/>
    <w:rsid w:val="004B7401"/>
    <w:rsid w:val="004B760B"/>
    <w:rsid w:val="004C03A3"/>
    <w:rsid w:val="004C0437"/>
    <w:rsid w:val="004C051C"/>
    <w:rsid w:val="004C0A0F"/>
    <w:rsid w:val="004C0B13"/>
    <w:rsid w:val="004C0B53"/>
    <w:rsid w:val="004C1312"/>
    <w:rsid w:val="004C150E"/>
    <w:rsid w:val="004C1884"/>
    <w:rsid w:val="004C1F28"/>
    <w:rsid w:val="004C20B7"/>
    <w:rsid w:val="004C21A4"/>
    <w:rsid w:val="004C28B2"/>
    <w:rsid w:val="004C3232"/>
    <w:rsid w:val="004C36F2"/>
    <w:rsid w:val="004C48D0"/>
    <w:rsid w:val="004C4F1B"/>
    <w:rsid w:val="004C545E"/>
    <w:rsid w:val="004C61F1"/>
    <w:rsid w:val="004C6888"/>
    <w:rsid w:val="004C6B4F"/>
    <w:rsid w:val="004C6CB3"/>
    <w:rsid w:val="004C6FBB"/>
    <w:rsid w:val="004C7060"/>
    <w:rsid w:val="004C720E"/>
    <w:rsid w:val="004C7423"/>
    <w:rsid w:val="004C758A"/>
    <w:rsid w:val="004C7716"/>
    <w:rsid w:val="004C7AA2"/>
    <w:rsid w:val="004D0595"/>
    <w:rsid w:val="004D1430"/>
    <w:rsid w:val="004D196B"/>
    <w:rsid w:val="004D19F1"/>
    <w:rsid w:val="004D1CA3"/>
    <w:rsid w:val="004D20F1"/>
    <w:rsid w:val="004D23A3"/>
    <w:rsid w:val="004D23EA"/>
    <w:rsid w:val="004D246A"/>
    <w:rsid w:val="004D2767"/>
    <w:rsid w:val="004D2798"/>
    <w:rsid w:val="004D2DC9"/>
    <w:rsid w:val="004D3324"/>
    <w:rsid w:val="004D387A"/>
    <w:rsid w:val="004D4187"/>
    <w:rsid w:val="004D4829"/>
    <w:rsid w:val="004D4D72"/>
    <w:rsid w:val="004D5142"/>
    <w:rsid w:val="004D52D4"/>
    <w:rsid w:val="004D5806"/>
    <w:rsid w:val="004D58E8"/>
    <w:rsid w:val="004D5932"/>
    <w:rsid w:val="004D5AD8"/>
    <w:rsid w:val="004D5BE7"/>
    <w:rsid w:val="004D635C"/>
    <w:rsid w:val="004D65FE"/>
    <w:rsid w:val="004D6AC0"/>
    <w:rsid w:val="004D7006"/>
    <w:rsid w:val="004D7C2E"/>
    <w:rsid w:val="004D7C3F"/>
    <w:rsid w:val="004E0375"/>
    <w:rsid w:val="004E03AD"/>
    <w:rsid w:val="004E0541"/>
    <w:rsid w:val="004E09D6"/>
    <w:rsid w:val="004E0D24"/>
    <w:rsid w:val="004E0D82"/>
    <w:rsid w:val="004E0E9B"/>
    <w:rsid w:val="004E179C"/>
    <w:rsid w:val="004E1A4D"/>
    <w:rsid w:val="004E1EA7"/>
    <w:rsid w:val="004E25A2"/>
    <w:rsid w:val="004E2687"/>
    <w:rsid w:val="004E268E"/>
    <w:rsid w:val="004E29C3"/>
    <w:rsid w:val="004E2B97"/>
    <w:rsid w:val="004E2F63"/>
    <w:rsid w:val="004E35E6"/>
    <w:rsid w:val="004E3713"/>
    <w:rsid w:val="004E3968"/>
    <w:rsid w:val="004E39C1"/>
    <w:rsid w:val="004E45A8"/>
    <w:rsid w:val="004E4711"/>
    <w:rsid w:val="004E4DD3"/>
    <w:rsid w:val="004E5138"/>
    <w:rsid w:val="004E562E"/>
    <w:rsid w:val="004E5875"/>
    <w:rsid w:val="004E5F4E"/>
    <w:rsid w:val="004E628B"/>
    <w:rsid w:val="004E6DCE"/>
    <w:rsid w:val="004E75B2"/>
    <w:rsid w:val="004E7E4F"/>
    <w:rsid w:val="004F0432"/>
    <w:rsid w:val="004F0552"/>
    <w:rsid w:val="004F0A59"/>
    <w:rsid w:val="004F16D1"/>
    <w:rsid w:val="004F1714"/>
    <w:rsid w:val="004F1C38"/>
    <w:rsid w:val="004F1E1B"/>
    <w:rsid w:val="004F1F81"/>
    <w:rsid w:val="004F2CA3"/>
    <w:rsid w:val="004F2E80"/>
    <w:rsid w:val="004F307A"/>
    <w:rsid w:val="004F4379"/>
    <w:rsid w:val="004F4435"/>
    <w:rsid w:val="004F4F5D"/>
    <w:rsid w:val="004F6D72"/>
    <w:rsid w:val="004F7682"/>
    <w:rsid w:val="004F79AB"/>
    <w:rsid w:val="00500376"/>
    <w:rsid w:val="00500685"/>
    <w:rsid w:val="00500732"/>
    <w:rsid w:val="0050074B"/>
    <w:rsid w:val="00500DC1"/>
    <w:rsid w:val="00500F56"/>
    <w:rsid w:val="0050106F"/>
    <w:rsid w:val="00503519"/>
    <w:rsid w:val="0050384E"/>
    <w:rsid w:val="00503988"/>
    <w:rsid w:val="005039E1"/>
    <w:rsid w:val="00503A4C"/>
    <w:rsid w:val="00503A89"/>
    <w:rsid w:val="00503E91"/>
    <w:rsid w:val="005041AF"/>
    <w:rsid w:val="0050447A"/>
    <w:rsid w:val="0050537D"/>
    <w:rsid w:val="00505509"/>
    <w:rsid w:val="005059CE"/>
    <w:rsid w:val="00505EC8"/>
    <w:rsid w:val="00506332"/>
    <w:rsid w:val="0050634F"/>
    <w:rsid w:val="005064CC"/>
    <w:rsid w:val="00507022"/>
    <w:rsid w:val="0050734C"/>
    <w:rsid w:val="005073DA"/>
    <w:rsid w:val="005074AB"/>
    <w:rsid w:val="0050779D"/>
    <w:rsid w:val="00507982"/>
    <w:rsid w:val="00507A85"/>
    <w:rsid w:val="00507DE4"/>
    <w:rsid w:val="00510592"/>
    <w:rsid w:val="005105BE"/>
    <w:rsid w:val="00510D42"/>
    <w:rsid w:val="00511168"/>
    <w:rsid w:val="00511486"/>
    <w:rsid w:val="00511741"/>
    <w:rsid w:val="00511818"/>
    <w:rsid w:val="00511A60"/>
    <w:rsid w:val="005128B8"/>
    <w:rsid w:val="0051298D"/>
    <w:rsid w:val="00512A49"/>
    <w:rsid w:val="00512DD2"/>
    <w:rsid w:val="00512E73"/>
    <w:rsid w:val="005135A9"/>
    <w:rsid w:val="00513B1B"/>
    <w:rsid w:val="00513BB1"/>
    <w:rsid w:val="00513F87"/>
    <w:rsid w:val="005141CB"/>
    <w:rsid w:val="0051453C"/>
    <w:rsid w:val="00514C16"/>
    <w:rsid w:val="00514EBA"/>
    <w:rsid w:val="005155C7"/>
    <w:rsid w:val="005158D4"/>
    <w:rsid w:val="00516138"/>
    <w:rsid w:val="0051697B"/>
    <w:rsid w:val="00516A98"/>
    <w:rsid w:val="00516AC2"/>
    <w:rsid w:val="00516ADB"/>
    <w:rsid w:val="00516C9D"/>
    <w:rsid w:val="00516F46"/>
    <w:rsid w:val="00516FC6"/>
    <w:rsid w:val="005171FB"/>
    <w:rsid w:val="00517EDE"/>
    <w:rsid w:val="0052028D"/>
    <w:rsid w:val="00520C50"/>
    <w:rsid w:val="00520EFA"/>
    <w:rsid w:val="00521049"/>
    <w:rsid w:val="00521075"/>
    <w:rsid w:val="005218B5"/>
    <w:rsid w:val="00521A36"/>
    <w:rsid w:val="00521D38"/>
    <w:rsid w:val="00521DEA"/>
    <w:rsid w:val="005227F4"/>
    <w:rsid w:val="00522984"/>
    <w:rsid w:val="005229E7"/>
    <w:rsid w:val="00522EE2"/>
    <w:rsid w:val="0052394D"/>
    <w:rsid w:val="00524B20"/>
    <w:rsid w:val="00524C71"/>
    <w:rsid w:val="00524D7E"/>
    <w:rsid w:val="00524E5D"/>
    <w:rsid w:val="00526160"/>
    <w:rsid w:val="005266C6"/>
    <w:rsid w:val="00526EA1"/>
    <w:rsid w:val="00527290"/>
    <w:rsid w:val="0052729D"/>
    <w:rsid w:val="00527B00"/>
    <w:rsid w:val="00530C3A"/>
    <w:rsid w:val="00531091"/>
    <w:rsid w:val="00531140"/>
    <w:rsid w:val="005319B3"/>
    <w:rsid w:val="00531A6E"/>
    <w:rsid w:val="00531B81"/>
    <w:rsid w:val="00532D39"/>
    <w:rsid w:val="0053308C"/>
    <w:rsid w:val="005334F9"/>
    <w:rsid w:val="005337F9"/>
    <w:rsid w:val="00534963"/>
    <w:rsid w:val="005349C4"/>
    <w:rsid w:val="00534E0D"/>
    <w:rsid w:val="005355AF"/>
    <w:rsid w:val="005356F1"/>
    <w:rsid w:val="00535F13"/>
    <w:rsid w:val="00535FDD"/>
    <w:rsid w:val="00536770"/>
    <w:rsid w:val="0053790B"/>
    <w:rsid w:val="00537B94"/>
    <w:rsid w:val="00537EFA"/>
    <w:rsid w:val="0054028F"/>
    <w:rsid w:val="0054046E"/>
    <w:rsid w:val="00540940"/>
    <w:rsid w:val="00540E4D"/>
    <w:rsid w:val="005411B7"/>
    <w:rsid w:val="005415E3"/>
    <w:rsid w:val="00541B86"/>
    <w:rsid w:val="0054267B"/>
    <w:rsid w:val="0054280F"/>
    <w:rsid w:val="005429CC"/>
    <w:rsid w:val="00542CE0"/>
    <w:rsid w:val="00543258"/>
    <w:rsid w:val="0054349B"/>
    <w:rsid w:val="005434FE"/>
    <w:rsid w:val="0054386D"/>
    <w:rsid w:val="00543BD0"/>
    <w:rsid w:val="005441BD"/>
    <w:rsid w:val="00544377"/>
    <w:rsid w:val="00544671"/>
    <w:rsid w:val="00544981"/>
    <w:rsid w:val="00544A4C"/>
    <w:rsid w:val="0054550A"/>
    <w:rsid w:val="00545897"/>
    <w:rsid w:val="00545A71"/>
    <w:rsid w:val="00545AAE"/>
    <w:rsid w:val="005462EB"/>
    <w:rsid w:val="00546724"/>
    <w:rsid w:val="00546951"/>
    <w:rsid w:val="005469FE"/>
    <w:rsid w:val="00546A8D"/>
    <w:rsid w:val="00546F41"/>
    <w:rsid w:val="005471C5"/>
    <w:rsid w:val="005474C4"/>
    <w:rsid w:val="005477EB"/>
    <w:rsid w:val="00547B5F"/>
    <w:rsid w:val="00547FD7"/>
    <w:rsid w:val="00550696"/>
    <w:rsid w:val="00550C62"/>
    <w:rsid w:val="00550DC0"/>
    <w:rsid w:val="005511D9"/>
    <w:rsid w:val="005512C4"/>
    <w:rsid w:val="005519E0"/>
    <w:rsid w:val="00551AF4"/>
    <w:rsid w:val="0055265C"/>
    <w:rsid w:val="00553032"/>
    <w:rsid w:val="00553925"/>
    <w:rsid w:val="00553D84"/>
    <w:rsid w:val="00554445"/>
    <w:rsid w:val="005548E1"/>
    <w:rsid w:val="00554A2D"/>
    <w:rsid w:val="00554DAE"/>
    <w:rsid w:val="005555AC"/>
    <w:rsid w:val="00555FC8"/>
    <w:rsid w:val="00556273"/>
    <w:rsid w:val="005564C9"/>
    <w:rsid w:val="00556572"/>
    <w:rsid w:val="0055689B"/>
    <w:rsid w:val="00556939"/>
    <w:rsid w:val="00556B65"/>
    <w:rsid w:val="005576FC"/>
    <w:rsid w:val="0055777F"/>
    <w:rsid w:val="00557BDC"/>
    <w:rsid w:val="00557E7D"/>
    <w:rsid w:val="0056058C"/>
    <w:rsid w:val="00560E6F"/>
    <w:rsid w:val="0056239C"/>
    <w:rsid w:val="00563116"/>
    <w:rsid w:val="0056348A"/>
    <w:rsid w:val="00564271"/>
    <w:rsid w:val="0056435D"/>
    <w:rsid w:val="00564E99"/>
    <w:rsid w:val="0056501D"/>
    <w:rsid w:val="00565E98"/>
    <w:rsid w:val="005670D0"/>
    <w:rsid w:val="005674F2"/>
    <w:rsid w:val="00567BBC"/>
    <w:rsid w:val="005700EF"/>
    <w:rsid w:val="005703FA"/>
    <w:rsid w:val="00570C15"/>
    <w:rsid w:val="00570EC6"/>
    <w:rsid w:val="005717FF"/>
    <w:rsid w:val="00571CD6"/>
    <w:rsid w:val="0057235E"/>
    <w:rsid w:val="005723F5"/>
    <w:rsid w:val="0057265D"/>
    <w:rsid w:val="0057284F"/>
    <w:rsid w:val="00572DF3"/>
    <w:rsid w:val="005731AC"/>
    <w:rsid w:val="005733FA"/>
    <w:rsid w:val="005738B6"/>
    <w:rsid w:val="0057391A"/>
    <w:rsid w:val="00573EEE"/>
    <w:rsid w:val="00574100"/>
    <w:rsid w:val="00574930"/>
    <w:rsid w:val="005749C8"/>
    <w:rsid w:val="005752CE"/>
    <w:rsid w:val="00575A57"/>
    <w:rsid w:val="00575B08"/>
    <w:rsid w:val="00575C4D"/>
    <w:rsid w:val="00576583"/>
    <w:rsid w:val="00576A02"/>
    <w:rsid w:val="005770CC"/>
    <w:rsid w:val="00577216"/>
    <w:rsid w:val="005807DA"/>
    <w:rsid w:val="00580808"/>
    <w:rsid w:val="00580DD5"/>
    <w:rsid w:val="0058126C"/>
    <w:rsid w:val="00581875"/>
    <w:rsid w:val="005821ED"/>
    <w:rsid w:val="0058252F"/>
    <w:rsid w:val="00582A0D"/>
    <w:rsid w:val="00582ADA"/>
    <w:rsid w:val="00583040"/>
    <w:rsid w:val="005833A6"/>
    <w:rsid w:val="005837DD"/>
    <w:rsid w:val="005838FA"/>
    <w:rsid w:val="00583A36"/>
    <w:rsid w:val="00583A83"/>
    <w:rsid w:val="005840E4"/>
    <w:rsid w:val="0058431A"/>
    <w:rsid w:val="00584382"/>
    <w:rsid w:val="00584A5B"/>
    <w:rsid w:val="00584ACA"/>
    <w:rsid w:val="0058516A"/>
    <w:rsid w:val="0058549B"/>
    <w:rsid w:val="00585735"/>
    <w:rsid w:val="00585BBB"/>
    <w:rsid w:val="005860D3"/>
    <w:rsid w:val="00587462"/>
    <w:rsid w:val="0058749B"/>
    <w:rsid w:val="00590573"/>
    <w:rsid w:val="005908A8"/>
    <w:rsid w:val="00590F26"/>
    <w:rsid w:val="00591125"/>
    <w:rsid w:val="0059168F"/>
    <w:rsid w:val="00591AA4"/>
    <w:rsid w:val="00591CDA"/>
    <w:rsid w:val="00591FD7"/>
    <w:rsid w:val="00592001"/>
    <w:rsid w:val="00592926"/>
    <w:rsid w:val="00592959"/>
    <w:rsid w:val="00592AD5"/>
    <w:rsid w:val="00592B30"/>
    <w:rsid w:val="00592C07"/>
    <w:rsid w:val="00592DA7"/>
    <w:rsid w:val="005933F9"/>
    <w:rsid w:val="0059345F"/>
    <w:rsid w:val="00593B7C"/>
    <w:rsid w:val="00593E54"/>
    <w:rsid w:val="00594407"/>
    <w:rsid w:val="00594630"/>
    <w:rsid w:val="005946FB"/>
    <w:rsid w:val="0059486F"/>
    <w:rsid w:val="00594D63"/>
    <w:rsid w:val="00594FEC"/>
    <w:rsid w:val="00595125"/>
    <w:rsid w:val="00595278"/>
    <w:rsid w:val="00595380"/>
    <w:rsid w:val="005953B8"/>
    <w:rsid w:val="00595BD8"/>
    <w:rsid w:val="00595DBD"/>
    <w:rsid w:val="00596395"/>
    <w:rsid w:val="0059649C"/>
    <w:rsid w:val="00596F7C"/>
    <w:rsid w:val="00597004"/>
    <w:rsid w:val="0059790B"/>
    <w:rsid w:val="00597E7B"/>
    <w:rsid w:val="005A0088"/>
    <w:rsid w:val="005A0983"/>
    <w:rsid w:val="005A10DE"/>
    <w:rsid w:val="005A164A"/>
    <w:rsid w:val="005A1CB4"/>
    <w:rsid w:val="005A1F7C"/>
    <w:rsid w:val="005A23A3"/>
    <w:rsid w:val="005A2A6F"/>
    <w:rsid w:val="005A2BAD"/>
    <w:rsid w:val="005A343E"/>
    <w:rsid w:val="005A426B"/>
    <w:rsid w:val="005A4509"/>
    <w:rsid w:val="005A48EE"/>
    <w:rsid w:val="005A4A5D"/>
    <w:rsid w:val="005A4C5B"/>
    <w:rsid w:val="005A5219"/>
    <w:rsid w:val="005A5874"/>
    <w:rsid w:val="005A5ABC"/>
    <w:rsid w:val="005A5CA7"/>
    <w:rsid w:val="005A5D50"/>
    <w:rsid w:val="005A6164"/>
    <w:rsid w:val="005A668D"/>
    <w:rsid w:val="005A7289"/>
    <w:rsid w:val="005A7FB7"/>
    <w:rsid w:val="005B027B"/>
    <w:rsid w:val="005B030F"/>
    <w:rsid w:val="005B03B8"/>
    <w:rsid w:val="005B1158"/>
    <w:rsid w:val="005B1297"/>
    <w:rsid w:val="005B1398"/>
    <w:rsid w:val="005B1797"/>
    <w:rsid w:val="005B1F82"/>
    <w:rsid w:val="005B2223"/>
    <w:rsid w:val="005B256D"/>
    <w:rsid w:val="005B2671"/>
    <w:rsid w:val="005B2788"/>
    <w:rsid w:val="005B2A4E"/>
    <w:rsid w:val="005B2D2A"/>
    <w:rsid w:val="005B2E45"/>
    <w:rsid w:val="005B3224"/>
    <w:rsid w:val="005B3419"/>
    <w:rsid w:val="005B36B4"/>
    <w:rsid w:val="005B37C6"/>
    <w:rsid w:val="005B388B"/>
    <w:rsid w:val="005B3963"/>
    <w:rsid w:val="005B3E34"/>
    <w:rsid w:val="005B4169"/>
    <w:rsid w:val="005B41C2"/>
    <w:rsid w:val="005B420A"/>
    <w:rsid w:val="005B48B6"/>
    <w:rsid w:val="005B4972"/>
    <w:rsid w:val="005B51D3"/>
    <w:rsid w:val="005B5248"/>
    <w:rsid w:val="005B5A33"/>
    <w:rsid w:val="005B5BB9"/>
    <w:rsid w:val="005B6303"/>
    <w:rsid w:val="005B6C61"/>
    <w:rsid w:val="005B71BF"/>
    <w:rsid w:val="005B73BE"/>
    <w:rsid w:val="005B7732"/>
    <w:rsid w:val="005B78AA"/>
    <w:rsid w:val="005C049A"/>
    <w:rsid w:val="005C0630"/>
    <w:rsid w:val="005C06C8"/>
    <w:rsid w:val="005C0798"/>
    <w:rsid w:val="005C0A3C"/>
    <w:rsid w:val="005C0E3E"/>
    <w:rsid w:val="005C1093"/>
    <w:rsid w:val="005C10F3"/>
    <w:rsid w:val="005C1588"/>
    <w:rsid w:val="005C1704"/>
    <w:rsid w:val="005C1BFA"/>
    <w:rsid w:val="005C2629"/>
    <w:rsid w:val="005C2D6D"/>
    <w:rsid w:val="005C3A47"/>
    <w:rsid w:val="005C3BCA"/>
    <w:rsid w:val="005C3D90"/>
    <w:rsid w:val="005C3F96"/>
    <w:rsid w:val="005C4392"/>
    <w:rsid w:val="005C47E9"/>
    <w:rsid w:val="005C5149"/>
    <w:rsid w:val="005C5BFC"/>
    <w:rsid w:val="005C602B"/>
    <w:rsid w:val="005C676E"/>
    <w:rsid w:val="005C685F"/>
    <w:rsid w:val="005C6DC6"/>
    <w:rsid w:val="005C73E1"/>
    <w:rsid w:val="005C75C7"/>
    <w:rsid w:val="005C7F2A"/>
    <w:rsid w:val="005D0119"/>
    <w:rsid w:val="005D0419"/>
    <w:rsid w:val="005D04FC"/>
    <w:rsid w:val="005D051E"/>
    <w:rsid w:val="005D0790"/>
    <w:rsid w:val="005D177F"/>
    <w:rsid w:val="005D1858"/>
    <w:rsid w:val="005D18A5"/>
    <w:rsid w:val="005D20CE"/>
    <w:rsid w:val="005D233B"/>
    <w:rsid w:val="005D2424"/>
    <w:rsid w:val="005D279D"/>
    <w:rsid w:val="005D2BA2"/>
    <w:rsid w:val="005D33E8"/>
    <w:rsid w:val="005D3A81"/>
    <w:rsid w:val="005D3F17"/>
    <w:rsid w:val="005D408F"/>
    <w:rsid w:val="005D4169"/>
    <w:rsid w:val="005D4699"/>
    <w:rsid w:val="005D54A5"/>
    <w:rsid w:val="005D5E2E"/>
    <w:rsid w:val="005D5E3A"/>
    <w:rsid w:val="005D5F40"/>
    <w:rsid w:val="005D6FED"/>
    <w:rsid w:val="005D71EE"/>
    <w:rsid w:val="005D733A"/>
    <w:rsid w:val="005D7578"/>
    <w:rsid w:val="005D7A26"/>
    <w:rsid w:val="005E07AA"/>
    <w:rsid w:val="005E0A00"/>
    <w:rsid w:val="005E0D05"/>
    <w:rsid w:val="005E0D7D"/>
    <w:rsid w:val="005E1300"/>
    <w:rsid w:val="005E155C"/>
    <w:rsid w:val="005E1B83"/>
    <w:rsid w:val="005E1D13"/>
    <w:rsid w:val="005E25AE"/>
    <w:rsid w:val="005E265D"/>
    <w:rsid w:val="005E2808"/>
    <w:rsid w:val="005E2BC9"/>
    <w:rsid w:val="005E3443"/>
    <w:rsid w:val="005E4323"/>
    <w:rsid w:val="005E4EAE"/>
    <w:rsid w:val="005E55BD"/>
    <w:rsid w:val="005E5900"/>
    <w:rsid w:val="005E5D45"/>
    <w:rsid w:val="005E6B68"/>
    <w:rsid w:val="005E6E3B"/>
    <w:rsid w:val="005E72CB"/>
    <w:rsid w:val="005E7412"/>
    <w:rsid w:val="005F0AC3"/>
    <w:rsid w:val="005F0C63"/>
    <w:rsid w:val="005F0F7C"/>
    <w:rsid w:val="005F1B1F"/>
    <w:rsid w:val="005F1D0F"/>
    <w:rsid w:val="005F2469"/>
    <w:rsid w:val="005F2BBE"/>
    <w:rsid w:val="005F2F41"/>
    <w:rsid w:val="005F3209"/>
    <w:rsid w:val="005F3255"/>
    <w:rsid w:val="005F332D"/>
    <w:rsid w:val="005F35D5"/>
    <w:rsid w:val="005F3628"/>
    <w:rsid w:val="005F3A7C"/>
    <w:rsid w:val="005F4DDC"/>
    <w:rsid w:val="005F54D0"/>
    <w:rsid w:val="005F56DB"/>
    <w:rsid w:val="005F587D"/>
    <w:rsid w:val="005F5D87"/>
    <w:rsid w:val="005F5D8E"/>
    <w:rsid w:val="005F7F42"/>
    <w:rsid w:val="005F7FD5"/>
    <w:rsid w:val="00600253"/>
    <w:rsid w:val="006002C1"/>
    <w:rsid w:val="006006C1"/>
    <w:rsid w:val="00600F1F"/>
    <w:rsid w:val="006011DD"/>
    <w:rsid w:val="00601329"/>
    <w:rsid w:val="00601757"/>
    <w:rsid w:val="00601B26"/>
    <w:rsid w:val="00602ABE"/>
    <w:rsid w:val="00602EC3"/>
    <w:rsid w:val="00602F74"/>
    <w:rsid w:val="00603F71"/>
    <w:rsid w:val="00603FE3"/>
    <w:rsid w:val="006041D1"/>
    <w:rsid w:val="006042ED"/>
    <w:rsid w:val="00604E79"/>
    <w:rsid w:val="00604E95"/>
    <w:rsid w:val="0060525A"/>
    <w:rsid w:val="0060552E"/>
    <w:rsid w:val="00605E60"/>
    <w:rsid w:val="00606827"/>
    <w:rsid w:val="006069E9"/>
    <w:rsid w:val="00606CFE"/>
    <w:rsid w:val="00606FBD"/>
    <w:rsid w:val="00607741"/>
    <w:rsid w:val="006100F8"/>
    <w:rsid w:val="006103EB"/>
    <w:rsid w:val="006107E9"/>
    <w:rsid w:val="006108A1"/>
    <w:rsid w:val="00610AFD"/>
    <w:rsid w:val="00611AE4"/>
    <w:rsid w:val="00611B93"/>
    <w:rsid w:val="00611F47"/>
    <w:rsid w:val="00612156"/>
    <w:rsid w:val="00612F41"/>
    <w:rsid w:val="00613320"/>
    <w:rsid w:val="0061375C"/>
    <w:rsid w:val="006138F9"/>
    <w:rsid w:val="00613A1C"/>
    <w:rsid w:val="00613ABC"/>
    <w:rsid w:val="00613C47"/>
    <w:rsid w:val="00613C7F"/>
    <w:rsid w:val="0061412D"/>
    <w:rsid w:val="0061434F"/>
    <w:rsid w:val="00614430"/>
    <w:rsid w:val="00614614"/>
    <w:rsid w:val="006147A8"/>
    <w:rsid w:val="00615363"/>
    <w:rsid w:val="00615539"/>
    <w:rsid w:val="006157C4"/>
    <w:rsid w:val="00615ECF"/>
    <w:rsid w:val="00616155"/>
    <w:rsid w:val="0061621D"/>
    <w:rsid w:val="006165FE"/>
    <w:rsid w:val="00616827"/>
    <w:rsid w:val="00616B30"/>
    <w:rsid w:val="006175B3"/>
    <w:rsid w:val="0062013C"/>
    <w:rsid w:val="0062059D"/>
    <w:rsid w:val="00620E0A"/>
    <w:rsid w:val="00621450"/>
    <w:rsid w:val="006219AF"/>
    <w:rsid w:val="00621B72"/>
    <w:rsid w:val="00621BB3"/>
    <w:rsid w:val="00621BE3"/>
    <w:rsid w:val="00622E88"/>
    <w:rsid w:val="006230A0"/>
    <w:rsid w:val="00623380"/>
    <w:rsid w:val="00623691"/>
    <w:rsid w:val="00623FA5"/>
    <w:rsid w:val="006241A3"/>
    <w:rsid w:val="00624367"/>
    <w:rsid w:val="006251DE"/>
    <w:rsid w:val="00625A7F"/>
    <w:rsid w:val="00625CEA"/>
    <w:rsid w:val="00625E5D"/>
    <w:rsid w:val="00626226"/>
    <w:rsid w:val="0062627E"/>
    <w:rsid w:val="006262BC"/>
    <w:rsid w:val="00626447"/>
    <w:rsid w:val="00626655"/>
    <w:rsid w:val="00626A85"/>
    <w:rsid w:val="0062715C"/>
    <w:rsid w:val="00627240"/>
    <w:rsid w:val="006277BF"/>
    <w:rsid w:val="00627BB5"/>
    <w:rsid w:val="006301FC"/>
    <w:rsid w:val="006303C4"/>
    <w:rsid w:val="00630616"/>
    <w:rsid w:val="00630B5C"/>
    <w:rsid w:val="00630E37"/>
    <w:rsid w:val="0063177B"/>
    <w:rsid w:val="00631B38"/>
    <w:rsid w:val="00631D2E"/>
    <w:rsid w:val="00632649"/>
    <w:rsid w:val="00632AD3"/>
    <w:rsid w:val="00632E5B"/>
    <w:rsid w:val="00633DBF"/>
    <w:rsid w:val="00634002"/>
    <w:rsid w:val="00634087"/>
    <w:rsid w:val="00634446"/>
    <w:rsid w:val="00634484"/>
    <w:rsid w:val="00634EBE"/>
    <w:rsid w:val="00634F22"/>
    <w:rsid w:val="00635207"/>
    <w:rsid w:val="006353DB"/>
    <w:rsid w:val="0063582D"/>
    <w:rsid w:val="00635BD8"/>
    <w:rsid w:val="00636189"/>
    <w:rsid w:val="00636646"/>
    <w:rsid w:val="00636C5F"/>
    <w:rsid w:val="00636FA0"/>
    <w:rsid w:val="006372D9"/>
    <w:rsid w:val="0064055A"/>
    <w:rsid w:val="006412FF"/>
    <w:rsid w:val="00641334"/>
    <w:rsid w:val="00641CFC"/>
    <w:rsid w:val="00642218"/>
    <w:rsid w:val="006427FA"/>
    <w:rsid w:val="00642887"/>
    <w:rsid w:val="00643919"/>
    <w:rsid w:val="00643B55"/>
    <w:rsid w:val="00643BA6"/>
    <w:rsid w:val="006441B8"/>
    <w:rsid w:val="0064452B"/>
    <w:rsid w:val="006445C5"/>
    <w:rsid w:val="00644BFD"/>
    <w:rsid w:val="006456C1"/>
    <w:rsid w:val="00645C0A"/>
    <w:rsid w:val="00645F7B"/>
    <w:rsid w:val="006460BD"/>
    <w:rsid w:val="0064621E"/>
    <w:rsid w:val="006464B7"/>
    <w:rsid w:val="0064657F"/>
    <w:rsid w:val="006468F6"/>
    <w:rsid w:val="00646B05"/>
    <w:rsid w:val="00647000"/>
    <w:rsid w:val="0064745C"/>
    <w:rsid w:val="00650127"/>
    <w:rsid w:val="006501BB"/>
    <w:rsid w:val="006503E7"/>
    <w:rsid w:val="00650413"/>
    <w:rsid w:val="0065080B"/>
    <w:rsid w:val="00650CF4"/>
    <w:rsid w:val="006516C5"/>
    <w:rsid w:val="00651C05"/>
    <w:rsid w:val="00652565"/>
    <w:rsid w:val="00652BC8"/>
    <w:rsid w:val="00652D91"/>
    <w:rsid w:val="00653121"/>
    <w:rsid w:val="00653284"/>
    <w:rsid w:val="006535FF"/>
    <w:rsid w:val="00653A72"/>
    <w:rsid w:val="00653C27"/>
    <w:rsid w:val="00654B33"/>
    <w:rsid w:val="00654C78"/>
    <w:rsid w:val="00654CF9"/>
    <w:rsid w:val="00655D1E"/>
    <w:rsid w:val="006560DD"/>
    <w:rsid w:val="00656263"/>
    <w:rsid w:val="00656363"/>
    <w:rsid w:val="00656886"/>
    <w:rsid w:val="00656D3B"/>
    <w:rsid w:val="00657088"/>
    <w:rsid w:val="006576A1"/>
    <w:rsid w:val="00657AD3"/>
    <w:rsid w:val="00660256"/>
    <w:rsid w:val="0066043D"/>
    <w:rsid w:val="006605FF"/>
    <w:rsid w:val="006610AF"/>
    <w:rsid w:val="00661CFF"/>
    <w:rsid w:val="00661D0D"/>
    <w:rsid w:val="00662762"/>
    <w:rsid w:val="0066288D"/>
    <w:rsid w:val="00662B88"/>
    <w:rsid w:val="00662C56"/>
    <w:rsid w:val="00662FB9"/>
    <w:rsid w:val="00663DC7"/>
    <w:rsid w:val="0066422B"/>
    <w:rsid w:val="006646DE"/>
    <w:rsid w:val="0066473F"/>
    <w:rsid w:val="00664C96"/>
    <w:rsid w:val="00664DAB"/>
    <w:rsid w:val="00664E84"/>
    <w:rsid w:val="00665D60"/>
    <w:rsid w:val="006660D4"/>
    <w:rsid w:val="0066641D"/>
    <w:rsid w:val="006665A4"/>
    <w:rsid w:val="00666968"/>
    <w:rsid w:val="00666A69"/>
    <w:rsid w:val="0066740F"/>
    <w:rsid w:val="00670453"/>
    <w:rsid w:val="00670A08"/>
    <w:rsid w:val="00670A15"/>
    <w:rsid w:val="00670EC5"/>
    <w:rsid w:val="00670FFA"/>
    <w:rsid w:val="006713DD"/>
    <w:rsid w:val="00671FDC"/>
    <w:rsid w:val="006725A6"/>
    <w:rsid w:val="0067271E"/>
    <w:rsid w:val="00672727"/>
    <w:rsid w:val="00672B9B"/>
    <w:rsid w:val="00672D69"/>
    <w:rsid w:val="00672E79"/>
    <w:rsid w:val="00673206"/>
    <w:rsid w:val="0067385D"/>
    <w:rsid w:val="00673C07"/>
    <w:rsid w:val="006741B6"/>
    <w:rsid w:val="0067440C"/>
    <w:rsid w:val="0067511E"/>
    <w:rsid w:val="0067567D"/>
    <w:rsid w:val="00675750"/>
    <w:rsid w:val="00675EDF"/>
    <w:rsid w:val="00676056"/>
    <w:rsid w:val="00676284"/>
    <w:rsid w:val="00676DFD"/>
    <w:rsid w:val="00677257"/>
    <w:rsid w:val="00677724"/>
    <w:rsid w:val="00677876"/>
    <w:rsid w:val="00677DE5"/>
    <w:rsid w:val="006809F9"/>
    <w:rsid w:val="00680B7E"/>
    <w:rsid w:val="00680CE0"/>
    <w:rsid w:val="0068187D"/>
    <w:rsid w:val="0068244C"/>
    <w:rsid w:val="00682734"/>
    <w:rsid w:val="00682ED3"/>
    <w:rsid w:val="00682FD2"/>
    <w:rsid w:val="00683475"/>
    <w:rsid w:val="006838DD"/>
    <w:rsid w:val="00683B9D"/>
    <w:rsid w:val="00683C84"/>
    <w:rsid w:val="00683D3B"/>
    <w:rsid w:val="0068438C"/>
    <w:rsid w:val="00684422"/>
    <w:rsid w:val="00684AA6"/>
    <w:rsid w:val="00684BC6"/>
    <w:rsid w:val="00684C90"/>
    <w:rsid w:val="006854F2"/>
    <w:rsid w:val="00685504"/>
    <w:rsid w:val="006855A3"/>
    <w:rsid w:val="006856EA"/>
    <w:rsid w:val="00685B3B"/>
    <w:rsid w:val="00686202"/>
    <w:rsid w:val="00686840"/>
    <w:rsid w:val="00686A90"/>
    <w:rsid w:val="00686BF2"/>
    <w:rsid w:val="00686F7C"/>
    <w:rsid w:val="0068748D"/>
    <w:rsid w:val="006874D6"/>
    <w:rsid w:val="00687E13"/>
    <w:rsid w:val="00690303"/>
    <w:rsid w:val="00690A3D"/>
    <w:rsid w:val="00690A58"/>
    <w:rsid w:val="00690ACE"/>
    <w:rsid w:val="0069103A"/>
    <w:rsid w:val="0069121E"/>
    <w:rsid w:val="0069127A"/>
    <w:rsid w:val="0069133A"/>
    <w:rsid w:val="00691839"/>
    <w:rsid w:val="00691F09"/>
    <w:rsid w:val="0069295D"/>
    <w:rsid w:val="0069470B"/>
    <w:rsid w:val="006948DE"/>
    <w:rsid w:val="00694983"/>
    <w:rsid w:val="00694B3C"/>
    <w:rsid w:val="00695282"/>
    <w:rsid w:val="00695721"/>
    <w:rsid w:val="00695899"/>
    <w:rsid w:val="00695A34"/>
    <w:rsid w:val="00695AD0"/>
    <w:rsid w:val="00696A05"/>
    <w:rsid w:val="00696ECC"/>
    <w:rsid w:val="006972E8"/>
    <w:rsid w:val="0069775F"/>
    <w:rsid w:val="006978FC"/>
    <w:rsid w:val="00697D4D"/>
    <w:rsid w:val="006A02AC"/>
    <w:rsid w:val="006A0CE3"/>
    <w:rsid w:val="006A0DAF"/>
    <w:rsid w:val="006A110C"/>
    <w:rsid w:val="006A1272"/>
    <w:rsid w:val="006A13C6"/>
    <w:rsid w:val="006A2210"/>
    <w:rsid w:val="006A2678"/>
    <w:rsid w:val="006A2729"/>
    <w:rsid w:val="006A2B30"/>
    <w:rsid w:val="006A32F1"/>
    <w:rsid w:val="006A34B2"/>
    <w:rsid w:val="006A3F90"/>
    <w:rsid w:val="006A488D"/>
    <w:rsid w:val="006A5383"/>
    <w:rsid w:val="006A5C5D"/>
    <w:rsid w:val="006A6381"/>
    <w:rsid w:val="006A6396"/>
    <w:rsid w:val="006A640F"/>
    <w:rsid w:val="006A662F"/>
    <w:rsid w:val="006A66DE"/>
    <w:rsid w:val="006A672B"/>
    <w:rsid w:val="006A6893"/>
    <w:rsid w:val="006A6973"/>
    <w:rsid w:val="006A6CFF"/>
    <w:rsid w:val="006A6D6D"/>
    <w:rsid w:val="006A6F57"/>
    <w:rsid w:val="006A6FC0"/>
    <w:rsid w:val="006A7580"/>
    <w:rsid w:val="006A76D5"/>
    <w:rsid w:val="006A784C"/>
    <w:rsid w:val="006A7CEC"/>
    <w:rsid w:val="006A7F9D"/>
    <w:rsid w:val="006A7FB4"/>
    <w:rsid w:val="006B02B0"/>
    <w:rsid w:val="006B0B4F"/>
    <w:rsid w:val="006B1E28"/>
    <w:rsid w:val="006B2AEC"/>
    <w:rsid w:val="006B32D4"/>
    <w:rsid w:val="006B36D7"/>
    <w:rsid w:val="006B3A24"/>
    <w:rsid w:val="006B3F20"/>
    <w:rsid w:val="006B508F"/>
    <w:rsid w:val="006B524A"/>
    <w:rsid w:val="006B65DC"/>
    <w:rsid w:val="006B710F"/>
    <w:rsid w:val="006B7757"/>
    <w:rsid w:val="006B77BE"/>
    <w:rsid w:val="006C00B1"/>
    <w:rsid w:val="006C058F"/>
    <w:rsid w:val="006C05FF"/>
    <w:rsid w:val="006C0638"/>
    <w:rsid w:val="006C0991"/>
    <w:rsid w:val="006C0D01"/>
    <w:rsid w:val="006C121E"/>
    <w:rsid w:val="006C1291"/>
    <w:rsid w:val="006C1A7E"/>
    <w:rsid w:val="006C205F"/>
    <w:rsid w:val="006C22F9"/>
    <w:rsid w:val="006C2875"/>
    <w:rsid w:val="006C2C30"/>
    <w:rsid w:val="006C320B"/>
    <w:rsid w:val="006C3387"/>
    <w:rsid w:val="006C34A6"/>
    <w:rsid w:val="006C4C5C"/>
    <w:rsid w:val="006C5416"/>
    <w:rsid w:val="006C553C"/>
    <w:rsid w:val="006C591A"/>
    <w:rsid w:val="006C59B2"/>
    <w:rsid w:val="006C5B4E"/>
    <w:rsid w:val="006C5C68"/>
    <w:rsid w:val="006C5DB6"/>
    <w:rsid w:val="006C5F89"/>
    <w:rsid w:val="006C650D"/>
    <w:rsid w:val="006C65AA"/>
    <w:rsid w:val="006C65CA"/>
    <w:rsid w:val="006C6A07"/>
    <w:rsid w:val="006C6B55"/>
    <w:rsid w:val="006C6FAD"/>
    <w:rsid w:val="006C763F"/>
    <w:rsid w:val="006D0241"/>
    <w:rsid w:val="006D06E7"/>
    <w:rsid w:val="006D1098"/>
    <w:rsid w:val="006D1C0C"/>
    <w:rsid w:val="006D238B"/>
    <w:rsid w:val="006D33F7"/>
    <w:rsid w:val="006D379F"/>
    <w:rsid w:val="006D3EE2"/>
    <w:rsid w:val="006D3FEC"/>
    <w:rsid w:val="006D4548"/>
    <w:rsid w:val="006D558B"/>
    <w:rsid w:val="006D5AF9"/>
    <w:rsid w:val="006D62AF"/>
    <w:rsid w:val="006D649C"/>
    <w:rsid w:val="006D6689"/>
    <w:rsid w:val="006D6E83"/>
    <w:rsid w:val="006D6FED"/>
    <w:rsid w:val="006E0C2C"/>
    <w:rsid w:val="006E23BE"/>
    <w:rsid w:val="006E2BA9"/>
    <w:rsid w:val="006E2EC3"/>
    <w:rsid w:val="006E2F4F"/>
    <w:rsid w:val="006E3759"/>
    <w:rsid w:val="006E3A35"/>
    <w:rsid w:val="006E3A5A"/>
    <w:rsid w:val="006E401E"/>
    <w:rsid w:val="006E4066"/>
    <w:rsid w:val="006E415D"/>
    <w:rsid w:val="006E4BEE"/>
    <w:rsid w:val="006E4D74"/>
    <w:rsid w:val="006E51B5"/>
    <w:rsid w:val="006E54E4"/>
    <w:rsid w:val="006E5612"/>
    <w:rsid w:val="006E5E98"/>
    <w:rsid w:val="006E662F"/>
    <w:rsid w:val="006E6712"/>
    <w:rsid w:val="006E6D5D"/>
    <w:rsid w:val="006E7004"/>
    <w:rsid w:val="006E72AE"/>
    <w:rsid w:val="006E72D0"/>
    <w:rsid w:val="006E74BD"/>
    <w:rsid w:val="006E7980"/>
    <w:rsid w:val="006E7BC3"/>
    <w:rsid w:val="006E7D4A"/>
    <w:rsid w:val="006E7D8F"/>
    <w:rsid w:val="006E7FBB"/>
    <w:rsid w:val="006F01F5"/>
    <w:rsid w:val="006F0906"/>
    <w:rsid w:val="006F09DE"/>
    <w:rsid w:val="006F0DF8"/>
    <w:rsid w:val="006F10C0"/>
    <w:rsid w:val="006F1A08"/>
    <w:rsid w:val="006F1E80"/>
    <w:rsid w:val="006F2082"/>
    <w:rsid w:val="006F2691"/>
    <w:rsid w:val="006F32CE"/>
    <w:rsid w:val="006F34D7"/>
    <w:rsid w:val="006F3E8B"/>
    <w:rsid w:val="006F5643"/>
    <w:rsid w:val="006F609C"/>
    <w:rsid w:val="006F6702"/>
    <w:rsid w:val="006F6C9B"/>
    <w:rsid w:val="006F6CA8"/>
    <w:rsid w:val="006F7D53"/>
    <w:rsid w:val="006F7DAA"/>
    <w:rsid w:val="006F7E56"/>
    <w:rsid w:val="006F7E74"/>
    <w:rsid w:val="0070007C"/>
    <w:rsid w:val="007001D9"/>
    <w:rsid w:val="0070059B"/>
    <w:rsid w:val="00700B5E"/>
    <w:rsid w:val="0070105D"/>
    <w:rsid w:val="0070151A"/>
    <w:rsid w:val="0070179E"/>
    <w:rsid w:val="00701846"/>
    <w:rsid w:val="00701C76"/>
    <w:rsid w:val="00701CA8"/>
    <w:rsid w:val="00702A14"/>
    <w:rsid w:val="00702E61"/>
    <w:rsid w:val="00702E69"/>
    <w:rsid w:val="00702EC3"/>
    <w:rsid w:val="0070373B"/>
    <w:rsid w:val="00703D08"/>
    <w:rsid w:val="00704146"/>
    <w:rsid w:val="00704370"/>
    <w:rsid w:val="00704B9C"/>
    <w:rsid w:val="00704ECB"/>
    <w:rsid w:val="007066D1"/>
    <w:rsid w:val="00706A74"/>
    <w:rsid w:val="00706B06"/>
    <w:rsid w:val="00706B96"/>
    <w:rsid w:val="00706CBA"/>
    <w:rsid w:val="00707B5D"/>
    <w:rsid w:val="00707F05"/>
    <w:rsid w:val="007100CC"/>
    <w:rsid w:val="007102D6"/>
    <w:rsid w:val="007112C9"/>
    <w:rsid w:val="007113B9"/>
    <w:rsid w:val="0071179C"/>
    <w:rsid w:val="007118AA"/>
    <w:rsid w:val="0071256E"/>
    <w:rsid w:val="00712709"/>
    <w:rsid w:val="007127FF"/>
    <w:rsid w:val="00712ED3"/>
    <w:rsid w:val="007138CA"/>
    <w:rsid w:val="00713D3C"/>
    <w:rsid w:val="0071442D"/>
    <w:rsid w:val="007147A2"/>
    <w:rsid w:val="00714857"/>
    <w:rsid w:val="007150CF"/>
    <w:rsid w:val="007153E5"/>
    <w:rsid w:val="00715447"/>
    <w:rsid w:val="007154A8"/>
    <w:rsid w:val="00715680"/>
    <w:rsid w:val="00715CCF"/>
    <w:rsid w:val="00716082"/>
    <w:rsid w:val="00716424"/>
    <w:rsid w:val="007167C3"/>
    <w:rsid w:val="007169C6"/>
    <w:rsid w:val="00717838"/>
    <w:rsid w:val="007178EE"/>
    <w:rsid w:val="007178F4"/>
    <w:rsid w:val="00720062"/>
    <w:rsid w:val="00720DB0"/>
    <w:rsid w:val="00720E02"/>
    <w:rsid w:val="0072117A"/>
    <w:rsid w:val="00721398"/>
    <w:rsid w:val="0072152B"/>
    <w:rsid w:val="007227D5"/>
    <w:rsid w:val="00722D0B"/>
    <w:rsid w:val="00722EDA"/>
    <w:rsid w:val="00723E41"/>
    <w:rsid w:val="0072491D"/>
    <w:rsid w:val="00724AC0"/>
    <w:rsid w:val="007250CA"/>
    <w:rsid w:val="00725112"/>
    <w:rsid w:val="00725312"/>
    <w:rsid w:val="00725623"/>
    <w:rsid w:val="00725D20"/>
    <w:rsid w:val="00726314"/>
    <w:rsid w:val="007265BB"/>
    <w:rsid w:val="007266E6"/>
    <w:rsid w:val="00726FE9"/>
    <w:rsid w:val="0072727D"/>
    <w:rsid w:val="007273D2"/>
    <w:rsid w:val="00727528"/>
    <w:rsid w:val="00727E2B"/>
    <w:rsid w:val="00727EE5"/>
    <w:rsid w:val="007303C4"/>
    <w:rsid w:val="007306B9"/>
    <w:rsid w:val="007310DA"/>
    <w:rsid w:val="0073147B"/>
    <w:rsid w:val="00731AAA"/>
    <w:rsid w:val="00731AB0"/>
    <w:rsid w:val="00731FB9"/>
    <w:rsid w:val="007320FF"/>
    <w:rsid w:val="00732824"/>
    <w:rsid w:val="00733180"/>
    <w:rsid w:val="00733358"/>
    <w:rsid w:val="007335FD"/>
    <w:rsid w:val="00733861"/>
    <w:rsid w:val="00733F90"/>
    <w:rsid w:val="007346BA"/>
    <w:rsid w:val="00734ECC"/>
    <w:rsid w:val="00734FB5"/>
    <w:rsid w:val="00735775"/>
    <w:rsid w:val="00735943"/>
    <w:rsid w:val="007361C0"/>
    <w:rsid w:val="007363AA"/>
    <w:rsid w:val="007368D2"/>
    <w:rsid w:val="007369D6"/>
    <w:rsid w:val="00736DF9"/>
    <w:rsid w:val="0073730D"/>
    <w:rsid w:val="00737794"/>
    <w:rsid w:val="00737D0A"/>
    <w:rsid w:val="00737F1F"/>
    <w:rsid w:val="00737F2C"/>
    <w:rsid w:val="007406E3"/>
    <w:rsid w:val="007409EE"/>
    <w:rsid w:val="00740BF1"/>
    <w:rsid w:val="00741233"/>
    <w:rsid w:val="00741723"/>
    <w:rsid w:val="007418CB"/>
    <w:rsid w:val="0074208A"/>
    <w:rsid w:val="0074212B"/>
    <w:rsid w:val="007425D8"/>
    <w:rsid w:val="00742C6D"/>
    <w:rsid w:val="00742D3B"/>
    <w:rsid w:val="00742FB7"/>
    <w:rsid w:val="00742FEF"/>
    <w:rsid w:val="007437F0"/>
    <w:rsid w:val="007451DE"/>
    <w:rsid w:val="00745597"/>
    <w:rsid w:val="007461D7"/>
    <w:rsid w:val="00746B5A"/>
    <w:rsid w:val="00747536"/>
    <w:rsid w:val="00747BB6"/>
    <w:rsid w:val="00747DA6"/>
    <w:rsid w:val="00750100"/>
    <w:rsid w:val="007504B3"/>
    <w:rsid w:val="00750691"/>
    <w:rsid w:val="0075090F"/>
    <w:rsid w:val="00750938"/>
    <w:rsid w:val="007519DC"/>
    <w:rsid w:val="007523D2"/>
    <w:rsid w:val="007530ED"/>
    <w:rsid w:val="00753677"/>
    <w:rsid w:val="00753A44"/>
    <w:rsid w:val="0075452F"/>
    <w:rsid w:val="0075479B"/>
    <w:rsid w:val="007549D6"/>
    <w:rsid w:val="00754C7C"/>
    <w:rsid w:val="00754F75"/>
    <w:rsid w:val="00755028"/>
    <w:rsid w:val="007551F4"/>
    <w:rsid w:val="00755238"/>
    <w:rsid w:val="00755528"/>
    <w:rsid w:val="00755C11"/>
    <w:rsid w:val="00756696"/>
    <w:rsid w:val="00756FF6"/>
    <w:rsid w:val="00757194"/>
    <w:rsid w:val="007577D3"/>
    <w:rsid w:val="0076001F"/>
    <w:rsid w:val="007600A9"/>
    <w:rsid w:val="007600E7"/>
    <w:rsid w:val="00760496"/>
    <w:rsid w:val="00760A05"/>
    <w:rsid w:val="00760C9F"/>
    <w:rsid w:val="00760F27"/>
    <w:rsid w:val="0076183B"/>
    <w:rsid w:val="00761936"/>
    <w:rsid w:val="00762245"/>
    <w:rsid w:val="00762509"/>
    <w:rsid w:val="00762701"/>
    <w:rsid w:val="007629F5"/>
    <w:rsid w:val="00762DF0"/>
    <w:rsid w:val="007637D5"/>
    <w:rsid w:val="00764367"/>
    <w:rsid w:val="00764769"/>
    <w:rsid w:val="00764790"/>
    <w:rsid w:val="00764862"/>
    <w:rsid w:val="00765355"/>
    <w:rsid w:val="0076589F"/>
    <w:rsid w:val="00765A6D"/>
    <w:rsid w:val="007670B4"/>
    <w:rsid w:val="007675A8"/>
    <w:rsid w:val="00767BDE"/>
    <w:rsid w:val="00767E29"/>
    <w:rsid w:val="00767EB1"/>
    <w:rsid w:val="00770DEF"/>
    <w:rsid w:val="00770F6D"/>
    <w:rsid w:val="0077115C"/>
    <w:rsid w:val="0077150B"/>
    <w:rsid w:val="00771752"/>
    <w:rsid w:val="007718D7"/>
    <w:rsid w:val="007725CC"/>
    <w:rsid w:val="0077264E"/>
    <w:rsid w:val="00772A33"/>
    <w:rsid w:val="00773245"/>
    <w:rsid w:val="007738AE"/>
    <w:rsid w:val="00773948"/>
    <w:rsid w:val="00774638"/>
    <w:rsid w:val="00774B50"/>
    <w:rsid w:val="00774D49"/>
    <w:rsid w:val="00774DC0"/>
    <w:rsid w:val="00774F6D"/>
    <w:rsid w:val="0077501C"/>
    <w:rsid w:val="0077505D"/>
    <w:rsid w:val="00775270"/>
    <w:rsid w:val="0077574C"/>
    <w:rsid w:val="0077605A"/>
    <w:rsid w:val="00776226"/>
    <w:rsid w:val="0077679F"/>
    <w:rsid w:val="0077696C"/>
    <w:rsid w:val="007800C5"/>
    <w:rsid w:val="0078011F"/>
    <w:rsid w:val="007801EA"/>
    <w:rsid w:val="0078039D"/>
    <w:rsid w:val="00780579"/>
    <w:rsid w:val="00780ED9"/>
    <w:rsid w:val="00781233"/>
    <w:rsid w:val="00781A4F"/>
    <w:rsid w:val="00781C76"/>
    <w:rsid w:val="00781EAB"/>
    <w:rsid w:val="00781FC4"/>
    <w:rsid w:val="00782058"/>
    <w:rsid w:val="0078206F"/>
    <w:rsid w:val="0078208A"/>
    <w:rsid w:val="00783F4C"/>
    <w:rsid w:val="0078454A"/>
    <w:rsid w:val="007846CE"/>
    <w:rsid w:val="00784861"/>
    <w:rsid w:val="00784B79"/>
    <w:rsid w:val="00784CDD"/>
    <w:rsid w:val="007855DB"/>
    <w:rsid w:val="007856E2"/>
    <w:rsid w:val="007857FE"/>
    <w:rsid w:val="007868B3"/>
    <w:rsid w:val="0078717E"/>
    <w:rsid w:val="007876CF"/>
    <w:rsid w:val="007879E0"/>
    <w:rsid w:val="00787EFE"/>
    <w:rsid w:val="00787F04"/>
    <w:rsid w:val="007900F2"/>
    <w:rsid w:val="0079016A"/>
    <w:rsid w:val="0079139E"/>
    <w:rsid w:val="0079145D"/>
    <w:rsid w:val="007918D2"/>
    <w:rsid w:val="00791B24"/>
    <w:rsid w:val="00791B33"/>
    <w:rsid w:val="00791CCB"/>
    <w:rsid w:val="00791E2D"/>
    <w:rsid w:val="00791F26"/>
    <w:rsid w:val="00791F84"/>
    <w:rsid w:val="00792284"/>
    <w:rsid w:val="00792C72"/>
    <w:rsid w:val="00792CB4"/>
    <w:rsid w:val="007931E5"/>
    <w:rsid w:val="007931E9"/>
    <w:rsid w:val="00793DF5"/>
    <w:rsid w:val="00794173"/>
    <w:rsid w:val="007945EC"/>
    <w:rsid w:val="00794CAC"/>
    <w:rsid w:val="00795EB6"/>
    <w:rsid w:val="0079675C"/>
    <w:rsid w:val="00796CA1"/>
    <w:rsid w:val="007970EE"/>
    <w:rsid w:val="00797C17"/>
    <w:rsid w:val="007A0E7C"/>
    <w:rsid w:val="007A0EA9"/>
    <w:rsid w:val="007A12A4"/>
    <w:rsid w:val="007A1601"/>
    <w:rsid w:val="007A18FF"/>
    <w:rsid w:val="007A193A"/>
    <w:rsid w:val="007A1DAC"/>
    <w:rsid w:val="007A1EB8"/>
    <w:rsid w:val="007A1F04"/>
    <w:rsid w:val="007A27FB"/>
    <w:rsid w:val="007A2FA2"/>
    <w:rsid w:val="007A2FA6"/>
    <w:rsid w:val="007A3613"/>
    <w:rsid w:val="007A376F"/>
    <w:rsid w:val="007A3CF3"/>
    <w:rsid w:val="007A3D2B"/>
    <w:rsid w:val="007A4015"/>
    <w:rsid w:val="007A44C4"/>
    <w:rsid w:val="007A4504"/>
    <w:rsid w:val="007A4542"/>
    <w:rsid w:val="007A4558"/>
    <w:rsid w:val="007A45D2"/>
    <w:rsid w:val="007A4840"/>
    <w:rsid w:val="007A4B64"/>
    <w:rsid w:val="007A50B7"/>
    <w:rsid w:val="007A5DC1"/>
    <w:rsid w:val="007A6949"/>
    <w:rsid w:val="007A7A5E"/>
    <w:rsid w:val="007A7BE5"/>
    <w:rsid w:val="007B00D9"/>
    <w:rsid w:val="007B01C8"/>
    <w:rsid w:val="007B01FC"/>
    <w:rsid w:val="007B0315"/>
    <w:rsid w:val="007B096F"/>
    <w:rsid w:val="007B0995"/>
    <w:rsid w:val="007B0B87"/>
    <w:rsid w:val="007B11BC"/>
    <w:rsid w:val="007B1237"/>
    <w:rsid w:val="007B164C"/>
    <w:rsid w:val="007B1733"/>
    <w:rsid w:val="007B21EE"/>
    <w:rsid w:val="007B25CA"/>
    <w:rsid w:val="007B287C"/>
    <w:rsid w:val="007B28BB"/>
    <w:rsid w:val="007B2C53"/>
    <w:rsid w:val="007B2FF8"/>
    <w:rsid w:val="007B399B"/>
    <w:rsid w:val="007B4112"/>
    <w:rsid w:val="007B4852"/>
    <w:rsid w:val="007B4D40"/>
    <w:rsid w:val="007B5122"/>
    <w:rsid w:val="007B536B"/>
    <w:rsid w:val="007B5688"/>
    <w:rsid w:val="007B599A"/>
    <w:rsid w:val="007B61FC"/>
    <w:rsid w:val="007B62F3"/>
    <w:rsid w:val="007B6519"/>
    <w:rsid w:val="007B65CF"/>
    <w:rsid w:val="007B6834"/>
    <w:rsid w:val="007B6A55"/>
    <w:rsid w:val="007B6ECE"/>
    <w:rsid w:val="007B7724"/>
    <w:rsid w:val="007B7EFE"/>
    <w:rsid w:val="007C175C"/>
    <w:rsid w:val="007C221A"/>
    <w:rsid w:val="007C27F2"/>
    <w:rsid w:val="007C29B3"/>
    <w:rsid w:val="007C2EEE"/>
    <w:rsid w:val="007C3668"/>
    <w:rsid w:val="007C45A7"/>
    <w:rsid w:val="007C466A"/>
    <w:rsid w:val="007C49CD"/>
    <w:rsid w:val="007C4B5A"/>
    <w:rsid w:val="007C5426"/>
    <w:rsid w:val="007C5F98"/>
    <w:rsid w:val="007C6032"/>
    <w:rsid w:val="007C633C"/>
    <w:rsid w:val="007C647E"/>
    <w:rsid w:val="007C6A2B"/>
    <w:rsid w:val="007C6FEF"/>
    <w:rsid w:val="007C70A9"/>
    <w:rsid w:val="007C7A66"/>
    <w:rsid w:val="007C7B73"/>
    <w:rsid w:val="007C7CD5"/>
    <w:rsid w:val="007C7D14"/>
    <w:rsid w:val="007C7F5E"/>
    <w:rsid w:val="007D0046"/>
    <w:rsid w:val="007D0A9E"/>
    <w:rsid w:val="007D1333"/>
    <w:rsid w:val="007D1906"/>
    <w:rsid w:val="007D21E6"/>
    <w:rsid w:val="007D232F"/>
    <w:rsid w:val="007D2553"/>
    <w:rsid w:val="007D2F5C"/>
    <w:rsid w:val="007D2FA1"/>
    <w:rsid w:val="007D2FF6"/>
    <w:rsid w:val="007D347A"/>
    <w:rsid w:val="007D3BA9"/>
    <w:rsid w:val="007D3E69"/>
    <w:rsid w:val="007D4025"/>
    <w:rsid w:val="007D4736"/>
    <w:rsid w:val="007D56FE"/>
    <w:rsid w:val="007D59CD"/>
    <w:rsid w:val="007D5B2E"/>
    <w:rsid w:val="007D61D1"/>
    <w:rsid w:val="007D63B5"/>
    <w:rsid w:val="007D6403"/>
    <w:rsid w:val="007D6840"/>
    <w:rsid w:val="007D69BA"/>
    <w:rsid w:val="007D6B29"/>
    <w:rsid w:val="007D6DC9"/>
    <w:rsid w:val="007D7447"/>
    <w:rsid w:val="007D747D"/>
    <w:rsid w:val="007D7672"/>
    <w:rsid w:val="007E0341"/>
    <w:rsid w:val="007E03DE"/>
    <w:rsid w:val="007E0746"/>
    <w:rsid w:val="007E09F5"/>
    <w:rsid w:val="007E0B46"/>
    <w:rsid w:val="007E0B7E"/>
    <w:rsid w:val="007E0C63"/>
    <w:rsid w:val="007E0D7E"/>
    <w:rsid w:val="007E0EB4"/>
    <w:rsid w:val="007E11C4"/>
    <w:rsid w:val="007E1BF5"/>
    <w:rsid w:val="007E1FBB"/>
    <w:rsid w:val="007E2142"/>
    <w:rsid w:val="007E21F0"/>
    <w:rsid w:val="007E36CF"/>
    <w:rsid w:val="007E3E22"/>
    <w:rsid w:val="007E3E64"/>
    <w:rsid w:val="007E3E95"/>
    <w:rsid w:val="007E4E70"/>
    <w:rsid w:val="007E5654"/>
    <w:rsid w:val="007E5C3B"/>
    <w:rsid w:val="007E634B"/>
    <w:rsid w:val="007E66B8"/>
    <w:rsid w:val="007E6F4C"/>
    <w:rsid w:val="007E727E"/>
    <w:rsid w:val="007E728E"/>
    <w:rsid w:val="007E72D9"/>
    <w:rsid w:val="007E760F"/>
    <w:rsid w:val="007E784B"/>
    <w:rsid w:val="007E7E19"/>
    <w:rsid w:val="007F054D"/>
    <w:rsid w:val="007F062B"/>
    <w:rsid w:val="007F08B9"/>
    <w:rsid w:val="007F1530"/>
    <w:rsid w:val="007F15B5"/>
    <w:rsid w:val="007F16C8"/>
    <w:rsid w:val="007F1A0D"/>
    <w:rsid w:val="007F2186"/>
    <w:rsid w:val="007F2EBE"/>
    <w:rsid w:val="007F3054"/>
    <w:rsid w:val="007F30B2"/>
    <w:rsid w:val="007F37AF"/>
    <w:rsid w:val="007F38FF"/>
    <w:rsid w:val="007F3A63"/>
    <w:rsid w:val="007F407B"/>
    <w:rsid w:val="007F4087"/>
    <w:rsid w:val="007F4736"/>
    <w:rsid w:val="007F4EBF"/>
    <w:rsid w:val="007F5200"/>
    <w:rsid w:val="007F5481"/>
    <w:rsid w:val="007F62FF"/>
    <w:rsid w:val="007F6656"/>
    <w:rsid w:val="007F7E9A"/>
    <w:rsid w:val="008007AA"/>
    <w:rsid w:val="00800DA9"/>
    <w:rsid w:val="0080111F"/>
    <w:rsid w:val="00801D1C"/>
    <w:rsid w:val="00801F78"/>
    <w:rsid w:val="00802569"/>
    <w:rsid w:val="008025FE"/>
    <w:rsid w:val="0080296A"/>
    <w:rsid w:val="00802980"/>
    <w:rsid w:val="008033E6"/>
    <w:rsid w:val="00803DD2"/>
    <w:rsid w:val="00803EE4"/>
    <w:rsid w:val="00803F1C"/>
    <w:rsid w:val="00804501"/>
    <w:rsid w:val="00804B4C"/>
    <w:rsid w:val="00804C77"/>
    <w:rsid w:val="00805C36"/>
    <w:rsid w:val="00805C99"/>
    <w:rsid w:val="0080637D"/>
    <w:rsid w:val="00806534"/>
    <w:rsid w:val="00806F62"/>
    <w:rsid w:val="00807394"/>
    <w:rsid w:val="00807571"/>
    <w:rsid w:val="00807B54"/>
    <w:rsid w:val="00807BDB"/>
    <w:rsid w:val="0081009F"/>
    <w:rsid w:val="008100DB"/>
    <w:rsid w:val="0081081E"/>
    <w:rsid w:val="0081082A"/>
    <w:rsid w:val="008112BD"/>
    <w:rsid w:val="00811B7D"/>
    <w:rsid w:val="00811D10"/>
    <w:rsid w:val="008125ED"/>
    <w:rsid w:val="00812DA2"/>
    <w:rsid w:val="00812E17"/>
    <w:rsid w:val="008131A7"/>
    <w:rsid w:val="00813485"/>
    <w:rsid w:val="00813BE0"/>
    <w:rsid w:val="00814036"/>
    <w:rsid w:val="0081472F"/>
    <w:rsid w:val="008147DD"/>
    <w:rsid w:val="00814CA0"/>
    <w:rsid w:val="00815B5E"/>
    <w:rsid w:val="00815D89"/>
    <w:rsid w:val="00816682"/>
    <w:rsid w:val="00816BA6"/>
    <w:rsid w:val="0081774D"/>
    <w:rsid w:val="0081778B"/>
    <w:rsid w:val="008177A7"/>
    <w:rsid w:val="00817C66"/>
    <w:rsid w:val="008200E4"/>
    <w:rsid w:val="008205BA"/>
    <w:rsid w:val="00820700"/>
    <w:rsid w:val="00820D7F"/>
    <w:rsid w:val="00821605"/>
    <w:rsid w:val="00821672"/>
    <w:rsid w:val="0082167E"/>
    <w:rsid w:val="008218D9"/>
    <w:rsid w:val="008224EA"/>
    <w:rsid w:val="0082266C"/>
    <w:rsid w:val="008226AD"/>
    <w:rsid w:val="00822B98"/>
    <w:rsid w:val="00822CBF"/>
    <w:rsid w:val="00822D55"/>
    <w:rsid w:val="00822DA3"/>
    <w:rsid w:val="00822E27"/>
    <w:rsid w:val="00823232"/>
    <w:rsid w:val="0082384E"/>
    <w:rsid w:val="008239C2"/>
    <w:rsid w:val="00823AD0"/>
    <w:rsid w:val="00823E3A"/>
    <w:rsid w:val="00824391"/>
    <w:rsid w:val="008244C3"/>
    <w:rsid w:val="00824BAC"/>
    <w:rsid w:val="00824CB5"/>
    <w:rsid w:val="00825228"/>
    <w:rsid w:val="008253F7"/>
    <w:rsid w:val="0082582D"/>
    <w:rsid w:val="0082589E"/>
    <w:rsid w:val="008258C3"/>
    <w:rsid w:val="00825A38"/>
    <w:rsid w:val="00826650"/>
    <w:rsid w:val="00826B22"/>
    <w:rsid w:val="00826D94"/>
    <w:rsid w:val="00827538"/>
    <w:rsid w:val="00827CD0"/>
    <w:rsid w:val="00830278"/>
    <w:rsid w:val="00830642"/>
    <w:rsid w:val="00830A26"/>
    <w:rsid w:val="00830BFB"/>
    <w:rsid w:val="00830DA2"/>
    <w:rsid w:val="00831613"/>
    <w:rsid w:val="008316A0"/>
    <w:rsid w:val="00831B8E"/>
    <w:rsid w:val="00831E1D"/>
    <w:rsid w:val="00831F23"/>
    <w:rsid w:val="0083219B"/>
    <w:rsid w:val="00832205"/>
    <w:rsid w:val="008325A1"/>
    <w:rsid w:val="00832681"/>
    <w:rsid w:val="00832CD8"/>
    <w:rsid w:val="008330BC"/>
    <w:rsid w:val="0083321E"/>
    <w:rsid w:val="00833630"/>
    <w:rsid w:val="00833B82"/>
    <w:rsid w:val="00834063"/>
    <w:rsid w:val="0083412F"/>
    <w:rsid w:val="008343A6"/>
    <w:rsid w:val="00834749"/>
    <w:rsid w:val="00834751"/>
    <w:rsid w:val="00834C69"/>
    <w:rsid w:val="00835064"/>
    <w:rsid w:val="00835789"/>
    <w:rsid w:val="00835AB7"/>
    <w:rsid w:val="00835CD0"/>
    <w:rsid w:val="0083606F"/>
    <w:rsid w:val="00836324"/>
    <w:rsid w:val="008368FB"/>
    <w:rsid w:val="008369EF"/>
    <w:rsid w:val="00836B41"/>
    <w:rsid w:val="00836F1D"/>
    <w:rsid w:val="0083711E"/>
    <w:rsid w:val="00837572"/>
    <w:rsid w:val="008406E6"/>
    <w:rsid w:val="00840714"/>
    <w:rsid w:val="00840D12"/>
    <w:rsid w:val="00840D75"/>
    <w:rsid w:val="00840E22"/>
    <w:rsid w:val="00840E98"/>
    <w:rsid w:val="00841586"/>
    <w:rsid w:val="00841E15"/>
    <w:rsid w:val="00842159"/>
    <w:rsid w:val="00842543"/>
    <w:rsid w:val="00842916"/>
    <w:rsid w:val="00843951"/>
    <w:rsid w:val="00844546"/>
    <w:rsid w:val="008448A2"/>
    <w:rsid w:val="00844DF1"/>
    <w:rsid w:val="00844E17"/>
    <w:rsid w:val="008451F0"/>
    <w:rsid w:val="008457CE"/>
    <w:rsid w:val="00845D5A"/>
    <w:rsid w:val="008468C5"/>
    <w:rsid w:val="00847136"/>
    <w:rsid w:val="008472B4"/>
    <w:rsid w:val="00847511"/>
    <w:rsid w:val="0084785C"/>
    <w:rsid w:val="00847B79"/>
    <w:rsid w:val="00850C2A"/>
    <w:rsid w:val="00850D88"/>
    <w:rsid w:val="00850EFB"/>
    <w:rsid w:val="008515F5"/>
    <w:rsid w:val="0085182C"/>
    <w:rsid w:val="00851B99"/>
    <w:rsid w:val="008522B5"/>
    <w:rsid w:val="008524D3"/>
    <w:rsid w:val="00852663"/>
    <w:rsid w:val="00852BBD"/>
    <w:rsid w:val="0085337C"/>
    <w:rsid w:val="00853501"/>
    <w:rsid w:val="00853711"/>
    <w:rsid w:val="00853BE4"/>
    <w:rsid w:val="00853F16"/>
    <w:rsid w:val="00853FF8"/>
    <w:rsid w:val="008542F6"/>
    <w:rsid w:val="00854839"/>
    <w:rsid w:val="00856838"/>
    <w:rsid w:val="00856965"/>
    <w:rsid w:val="00856A36"/>
    <w:rsid w:val="00856B96"/>
    <w:rsid w:val="00856CDF"/>
    <w:rsid w:val="00856D67"/>
    <w:rsid w:val="00857416"/>
    <w:rsid w:val="008578A9"/>
    <w:rsid w:val="00857906"/>
    <w:rsid w:val="00857932"/>
    <w:rsid w:val="00857D67"/>
    <w:rsid w:val="00857F77"/>
    <w:rsid w:val="008601E9"/>
    <w:rsid w:val="00860230"/>
    <w:rsid w:val="00860E8C"/>
    <w:rsid w:val="008615B9"/>
    <w:rsid w:val="008615C8"/>
    <w:rsid w:val="008619D9"/>
    <w:rsid w:val="00861A3D"/>
    <w:rsid w:val="00861BA3"/>
    <w:rsid w:val="00862B04"/>
    <w:rsid w:val="00862C03"/>
    <w:rsid w:val="00862F10"/>
    <w:rsid w:val="00863061"/>
    <w:rsid w:val="008634A6"/>
    <w:rsid w:val="00863869"/>
    <w:rsid w:val="00863AF3"/>
    <w:rsid w:val="00863C6E"/>
    <w:rsid w:val="0086483A"/>
    <w:rsid w:val="00864A7B"/>
    <w:rsid w:val="00864CBB"/>
    <w:rsid w:val="00864E1B"/>
    <w:rsid w:val="0086546D"/>
    <w:rsid w:val="00865761"/>
    <w:rsid w:val="00865791"/>
    <w:rsid w:val="008659B4"/>
    <w:rsid w:val="008661AD"/>
    <w:rsid w:val="0086652A"/>
    <w:rsid w:val="0086671F"/>
    <w:rsid w:val="008669B1"/>
    <w:rsid w:val="00866D22"/>
    <w:rsid w:val="00866E73"/>
    <w:rsid w:val="00866FB5"/>
    <w:rsid w:val="00867349"/>
    <w:rsid w:val="00867472"/>
    <w:rsid w:val="00867654"/>
    <w:rsid w:val="00867B6F"/>
    <w:rsid w:val="00867D79"/>
    <w:rsid w:val="00867E77"/>
    <w:rsid w:val="00870460"/>
    <w:rsid w:val="00870633"/>
    <w:rsid w:val="00870D02"/>
    <w:rsid w:val="008716C0"/>
    <w:rsid w:val="00871AED"/>
    <w:rsid w:val="00871B3D"/>
    <w:rsid w:val="008720B5"/>
    <w:rsid w:val="008721AE"/>
    <w:rsid w:val="0087226E"/>
    <w:rsid w:val="00872501"/>
    <w:rsid w:val="008725C2"/>
    <w:rsid w:val="00872A94"/>
    <w:rsid w:val="008730C6"/>
    <w:rsid w:val="008734E4"/>
    <w:rsid w:val="00873675"/>
    <w:rsid w:val="00873701"/>
    <w:rsid w:val="008737C6"/>
    <w:rsid w:val="00873BBD"/>
    <w:rsid w:val="00873C3D"/>
    <w:rsid w:val="00873E09"/>
    <w:rsid w:val="00873EBF"/>
    <w:rsid w:val="008743A9"/>
    <w:rsid w:val="0087467F"/>
    <w:rsid w:val="00874CA6"/>
    <w:rsid w:val="008754CF"/>
    <w:rsid w:val="00875FCE"/>
    <w:rsid w:val="00876006"/>
    <w:rsid w:val="00876088"/>
    <w:rsid w:val="008761E0"/>
    <w:rsid w:val="008774CA"/>
    <w:rsid w:val="00877C55"/>
    <w:rsid w:val="00880664"/>
    <w:rsid w:val="008808F9"/>
    <w:rsid w:val="00880A15"/>
    <w:rsid w:val="00880C18"/>
    <w:rsid w:val="00880F69"/>
    <w:rsid w:val="00881117"/>
    <w:rsid w:val="00881301"/>
    <w:rsid w:val="00881547"/>
    <w:rsid w:val="00881800"/>
    <w:rsid w:val="008818C2"/>
    <w:rsid w:val="00881B8C"/>
    <w:rsid w:val="00881CA5"/>
    <w:rsid w:val="00882434"/>
    <w:rsid w:val="00882E7F"/>
    <w:rsid w:val="00882E8D"/>
    <w:rsid w:val="008835C2"/>
    <w:rsid w:val="00883AEE"/>
    <w:rsid w:val="00883E33"/>
    <w:rsid w:val="00883E81"/>
    <w:rsid w:val="008841F0"/>
    <w:rsid w:val="0088467E"/>
    <w:rsid w:val="0088470A"/>
    <w:rsid w:val="00884738"/>
    <w:rsid w:val="0088490A"/>
    <w:rsid w:val="00884A02"/>
    <w:rsid w:val="008850E6"/>
    <w:rsid w:val="008854DC"/>
    <w:rsid w:val="00885A19"/>
    <w:rsid w:val="00885E40"/>
    <w:rsid w:val="00885ED6"/>
    <w:rsid w:val="00886063"/>
    <w:rsid w:val="008868D3"/>
    <w:rsid w:val="008868DA"/>
    <w:rsid w:val="00886BBF"/>
    <w:rsid w:val="00887183"/>
    <w:rsid w:val="008874EE"/>
    <w:rsid w:val="00887675"/>
    <w:rsid w:val="00887BA2"/>
    <w:rsid w:val="00887FB1"/>
    <w:rsid w:val="00890909"/>
    <w:rsid w:val="00890BB4"/>
    <w:rsid w:val="00890F66"/>
    <w:rsid w:val="0089104E"/>
    <w:rsid w:val="00891AAC"/>
    <w:rsid w:val="00891D3F"/>
    <w:rsid w:val="0089201D"/>
    <w:rsid w:val="0089212D"/>
    <w:rsid w:val="0089242D"/>
    <w:rsid w:val="0089255F"/>
    <w:rsid w:val="008935BA"/>
    <w:rsid w:val="00893D4D"/>
    <w:rsid w:val="008941B6"/>
    <w:rsid w:val="00894346"/>
    <w:rsid w:val="008943AD"/>
    <w:rsid w:val="008944B8"/>
    <w:rsid w:val="008944BF"/>
    <w:rsid w:val="008959F0"/>
    <w:rsid w:val="00895F72"/>
    <w:rsid w:val="008962FB"/>
    <w:rsid w:val="00896375"/>
    <w:rsid w:val="008974AD"/>
    <w:rsid w:val="00897713"/>
    <w:rsid w:val="00897D54"/>
    <w:rsid w:val="008A09BC"/>
    <w:rsid w:val="008A1714"/>
    <w:rsid w:val="008A18CD"/>
    <w:rsid w:val="008A1B8B"/>
    <w:rsid w:val="008A1EBC"/>
    <w:rsid w:val="008A1F56"/>
    <w:rsid w:val="008A2719"/>
    <w:rsid w:val="008A320C"/>
    <w:rsid w:val="008A32F6"/>
    <w:rsid w:val="008A343A"/>
    <w:rsid w:val="008A3D5A"/>
    <w:rsid w:val="008A3D7E"/>
    <w:rsid w:val="008A43A4"/>
    <w:rsid w:val="008A454B"/>
    <w:rsid w:val="008A4E7E"/>
    <w:rsid w:val="008A4EAC"/>
    <w:rsid w:val="008A513F"/>
    <w:rsid w:val="008A579A"/>
    <w:rsid w:val="008A5B2A"/>
    <w:rsid w:val="008A5CE6"/>
    <w:rsid w:val="008A629E"/>
    <w:rsid w:val="008A6DD6"/>
    <w:rsid w:val="008A6DEB"/>
    <w:rsid w:val="008A6F2D"/>
    <w:rsid w:val="008A70F7"/>
    <w:rsid w:val="008A72DA"/>
    <w:rsid w:val="008A7348"/>
    <w:rsid w:val="008A7C12"/>
    <w:rsid w:val="008A7DF5"/>
    <w:rsid w:val="008B08BF"/>
    <w:rsid w:val="008B0FFB"/>
    <w:rsid w:val="008B1335"/>
    <w:rsid w:val="008B16B4"/>
    <w:rsid w:val="008B1F03"/>
    <w:rsid w:val="008B1F6A"/>
    <w:rsid w:val="008B20BD"/>
    <w:rsid w:val="008B21D6"/>
    <w:rsid w:val="008B2699"/>
    <w:rsid w:val="008B3476"/>
    <w:rsid w:val="008B387F"/>
    <w:rsid w:val="008B3998"/>
    <w:rsid w:val="008B3BCD"/>
    <w:rsid w:val="008B512E"/>
    <w:rsid w:val="008B5170"/>
    <w:rsid w:val="008B563A"/>
    <w:rsid w:val="008B5F4F"/>
    <w:rsid w:val="008B6136"/>
    <w:rsid w:val="008B7113"/>
    <w:rsid w:val="008B745F"/>
    <w:rsid w:val="008B77EB"/>
    <w:rsid w:val="008B7F93"/>
    <w:rsid w:val="008C0297"/>
    <w:rsid w:val="008C09F0"/>
    <w:rsid w:val="008C0BCE"/>
    <w:rsid w:val="008C0D87"/>
    <w:rsid w:val="008C0EC8"/>
    <w:rsid w:val="008C1DF3"/>
    <w:rsid w:val="008C20B5"/>
    <w:rsid w:val="008C2522"/>
    <w:rsid w:val="008C2981"/>
    <w:rsid w:val="008C2BFB"/>
    <w:rsid w:val="008C2F09"/>
    <w:rsid w:val="008C2F3C"/>
    <w:rsid w:val="008C3292"/>
    <w:rsid w:val="008C35E5"/>
    <w:rsid w:val="008C419F"/>
    <w:rsid w:val="008C4432"/>
    <w:rsid w:val="008C4896"/>
    <w:rsid w:val="008C5F51"/>
    <w:rsid w:val="008D05C4"/>
    <w:rsid w:val="008D0C36"/>
    <w:rsid w:val="008D1672"/>
    <w:rsid w:val="008D20A1"/>
    <w:rsid w:val="008D29C1"/>
    <w:rsid w:val="008D2C1A"/>
    <w:rsid w:val="008D3195"/>
    <w:rsid w:val="008D3781"/>
    <w:rsid w:val="008D39DC"/>
    <w:rsid w:val="008D500F"/>
    <w:rsid w:val="008D55FA"/>
    <w:rsid w:val="008D66D6"/>
    <w:rsid w:val="008D67D0"/>
    <w:rsid w:val="008D6CBB"/>
    <w:rsid w:val="008D7658"/>
    <w:rsid w:val="008E0614"/>
    <w:rsid w:val="008E099C"/>
    <w:rsid w:val="008E1174"/>
    <w:rsid w:val="008E161E"/>
    <w:rsid w:val="008E19FD"/>
    <w:rsid w:val="008E1B12"/>
    <w:rsid w:val="008E2B83"/>
    <w:rsid w:val="008E3565"/>
    <w:rsid w:val="008E3A6D"/>
    <w:rsid w:val="008E3CF0"/>
    <w:rsid w:val="008E4109"/>
    <w:rsid w:val="008E47A5"/>
    <w:rsid w:val="008E50AA"/>
    <w:rsid w:val="008E56D3"/>
    <w:rsid w:val="008E5D1F"/>
    <w:rsid w:val="008E5DB4"/>
    <w:rsid w:val="008E6DCB"/>
    <w:rsid w:val="008E7439"/>
    <w:rsid w:val="008E75DB"/>
    <w:rsid w:val="008E794B"/>
    <w:rsid w:val="008F0022"/>
    <w:rsid w:val="008F04C4"/>
    <w:rsid w:val="008F05B9"/>
    <w:rsid w:val="008F0ABF"/>
    <w:rsid w:val="008F0EAB"/>
    <w:rsid w:val="008F12BC"/>
    <w:rsid w:val="008F17B5"/>
    <w:rsid w:val="008F3809"/>
    <w:rsid w:val="008F3C6C"/>
    <w:rsid w:val="008F3DCB"/>
    <w:rsid w:val="008F416F"/>
    <w:rsid w:val="008F42DD"/>
    <w:rsid w:val="008F4584"/>
    <w:rsid w:val="008F4743"/>
    <w:rsid w:val="008F4B2D"/>
    <w:rsid w:val="008F4BAC"/>
    <w:rsid w:val="008F5028"/>
    <w:rsid w:val="008F507B"/>
    <w:rsid w:val="008F51DB"/>
    <w:rsid w:val="008F58C6"/>
    <w:rsid w:val="008F5A2F"/>
    <w:rsid w:val="008F5E38"/>
    <w:rsid w:val="008F6025"/>
    <w:rsid w:val="008F6303"/>
    <w:rsid w:val="008F63C3"/>
    <w:rsid w:val="008F6B98"/>
    <w:rsid w:val="008F6E18"/>
    <w:rsid w:val="008F6E2C"/>
    <w:rsid w:val="008F6E8B"/>
    <w:rsid w:val="008F743A"/>
    <w:rsid w:val="008F7F32"/>
    <w:rsid w:val="009000DF"/>
    <w:rsid w:val="0090031C"/>
    <w:rsid w:val="00900684"/>
    <w:rsid w:val="00900749"/>
    <w:rsid w:val="009013C0"/>
    <w:rsid w:val="009014A5"/>
    <w:rsid w:val="00901757"/>
    <w:rsid w:val="00901E54"/>
    <w:rsid w:val="009024C0"/>
    <w:rsid w:val="00902EDF"/>
    <w:rsid w:val="009036AF"/>
    <w:rsid w:val="0090453C"/>
    <w:rsid w:val="009047ED"/>
    <w:rsid w:val="00904D08"/>
    <w:rsid w:val="0090521E"/>
    <w:rsid w:val="009063F7"/>
    <w:rsid w:val="009065CD"/>
    <w:rsid w:val="00910A2B"/>
    <w:rsid w:val="00910DF9"/>
    <w:rsid w:val="0091108D"/>
    <w:rsid w:val="009111D6"/>
    <w:rsid w:val="009113B1"/>
    <w:rsid w:val="00911457"/>
    <w:rsid w:val="00911F22"/>
    <w:rsid w:val="009121A7"/>
    <w:rsid w:val="009122B2"/>
    <w:rsid w:val="00912B67"/>
    <w:rsid w:val="00912E7A"/>
    <w:rsid w:val="00912FB9"/>
    <w:rsid w:val="00912FE1"/>
    <w:rsid w:val="00912FE3"/>
    <w:rsid w:val="009136DE"/>
    <w:rsid w:val="00913B6B"/>
    <w:rsid w:val="00913D78"/>
    <w:rsid w:val="00914501"/>
    <w:rsid w:val="009156A5"/>
    <w:rsid w:val="00915766"/>
    <w:rsid w:val="00915E3A"/>
    <w:rsid w:val="00916237"/>
    <w:rsid w:val="00916391"/>
    <w:rsid w:val="00916D57"/>
    <w:rsid w:val="00916D89"/>
    <w:rsid w:val="00916F91"/>
    <w:rsid w:val="009175EF"/>
    <w:rsid w:val="00917D5A"/>
    <w:rsid w:val="009200B5"/>
    <w:rsid w:val="009206C6"/>
    <w:rsid w:val="00921B3C"/>
    <w:rsid w:val="00921F94"/>
    <w:rsid w:val="009221B1"/>
    <w:rsid w:val="0092295F"/>
    <w:rsid w:val="00922CB7"/>
    <w:rsid w:val="00922DD3"/>
    <w:rsid w:val="00923333"/>
    <w:rsid w:val="00923366"/>
    <w:rsid w:val="009239A4"/>
    <w:rsid w:val="00923E00"/>
    <w:rsid w:val="0092491C"/>
    <w:rsid w:val="00924A80"/>
    <w:rsid w:val="00924A95"/>
    <w:rsid w:val="00924D5A"/>
    <w:rsid w:val="00924E94"/>
    <w:rsid w:val="00924F45"/>
    <w:rsid w:val="00925088"/>
    <w:rsid w:val="009252B5"/>
    <w:rsid w:val="009254B1"/>
    <w:rsid w:val="00926007"/>
    <w:rsid w:val="009264FE"/>
    <w:rsid w:val="0092653C"/>
    <w:rsid w:val="00926944"/>
    <w:rsid w:val="00926B9C"/>
    <w:rsid w:val="00926C15"/>
    <w:rsid w:val="00926F0C"/>
    <w:rsid w:val="00927675"/>
    <w:rsid w:val="00927780"/>
    <w:rsid w:val="00927A04"/>
    <w:rsid w:val="00930F5C"/>
    <w:rsid w:val="00930F62"/>
    <w:rsid w:val="00931A2C"/>
    <w:rsid w:val="00931ED2"/>
    <w:rsid w:val="00931F9E"/>
    <w:rsid w:val="009322C5"/>
    <w:rsid w:val="00932705"/>
    <w:rsid w:val="0093288A"/>
    <w:rsid w:val="00932B80"/>
    <w:rsid w:val="00932DE9"/>
    <w:rsid w:val="009330AE"/>
    <w:rsid w:val="009331B7"/>
    <w:rsid w:val="00933B3B"/>
    <w:rsid w:val="00933BE3"/>
    <w:rsid w:val="00933F56"/>
    <w:rsid w:val="009349EF"/>
    <w:rsid w:val="00934B88"/>
    <w:rsid w:val="00934D98"/>
    <w:rsid w:val="00935083"/>
    <w:rsid w:val="00935C20"/>
    <w:rsid w:val="00935D2D"/>
    <w:rsid w:val="00935E7D"/>
    <w:rsid w:val="00936352"/>
    <w:rsid w:val="00936434"/>
    <w:rsid w:val="00936B68"/>
    <w:rsid w:val="00936DCF"/>
    <w:rsid w:val="009378FE"/>
    <w:rsid w:val="00937D69"/>
    <w:rsid w:val="00937FD2"/>
    <w:rsid w:val="00940300"/>
    <w:rsid w:val="009404CE"/>
    <w:rsid w:val="009405AF"/>
    <w:rsid w:val="00940D8F"/>
    <w:rsid w:val="009412AB"/>
    <w:rsid w:val="00941B2A"/>
    <w:rsid w:val="00941B47"/>
    <w:rsid w:val="00941BF8"/>
    <w:rsid w:val="00942633"/>
    <w:rsid w:val="00943417"/>
    <w:rsid w:val="00943685"/>
    <w:rsid w:val="009437BF"/>
    <w:rsid w:val="00943B9A"/>
    <w:rsid w:val="00943C88"/>
    <w:rsid w:val="00943ECA"/>
    <w:rsid w:val="009440E9"/>
    <w:rsid w:val="00944319"/>
    <w:rsid w:val="00944636"/>
    <w:rsid w:val="009448FC"/>
    <w:rsid w:val="00945056"/>
    <w:rsid w:val="00945A4F"/>
    <w:rsid w:val="00946315"/>
    <w:rsid w:val="0094638E"/>
    <w:rsid w:val="009465AE"/>
    <w:rsid w:val="00946E2B"/>
    <w:rsid w:val="00947E21"/>
    <w:rsid w:val="00950400"/>
    <w:rsid w:val="00950473"/>
    <w:rsid w:val="0095089F"/>
    <w:rsid w:val="0095099D"/>
    <w:rsid w:val="00951B42"/>
    <w:rsid w:val="0095204A"/>
    <w:rsid w:val="0095235A"/>
    <w:rsid w:val="009525AF"/>
    <w:rsid w:val="0095279E"/>
    <w:rsid w:val="00952C52"/>
    <w:rsid w:val="0095311C"/>
    <w:rsid w:val="0095315B"/>
    <w:rsid w:val="0095319C"/>
    <w:rsid w:val="00953C56"/>
    <w:rsid w:val="009540A0"/>
    <w:rsid w:val="0095438A"/>
    <w:rsid w:val="009543D0"/>
    <w:rsid w:val="00954491"/>
    <w:rsid w:val="00954494"/>
    <w:rsid w:val="00954747"/>
    <w:rsid w:val="009547EE"/>
    <w:rsid w:val="009548DC"/>
    <w:rsid w:val="009549E3"/>
    <w:rsid w:val="00954B35"/>
    <w:rsid w:val="00954CAB"/>
    <w:rsid w:val="00954CFC"/>
    <w:rsid w:val="009551C7"/>
    <w:rsid w:val="009557D7"/>
    <w:rsid w:val="00955B2F"/>
    <w:rsid w:val="00955C54"/>
    <w:rsid w:val="00955E21"/>
    <w:rsid w:val="00956A12"/>
    <w:rsid w:val="00956ED9"/>
    <w:rsid w:val="0096008A"/>
    <w:rsid w:val="00960332"/>
    <w:rsid w:val="00960968"/>
    <w:rsid w:val="00960ACD"/>
    <w:rsid w:val="00960C2C"/>
    <w:rsid w:val="00961604"/>
    <w:rsid w:val="009616C1"/>
    <w:rsid w:val="009617BD"/>
    <w:rsid w:val="00961DDA"/>
    <w:rsid w:val="00961EA1"/>
    <w:rsid w:val="009621C4"/>
    <w:rsid w:val="009623E0"/>
    <w:rsid w:val="009624B4"/>
    <w:rsid w:val="009624E4"/>
    <w:rsid w:val="00962539"/>
    <w:rsid w:val="00962612"/>
    <w:rsid w:val="00962670"/>
    <w:rsid w:val="00962C7D"/>
    <w:rsid w:val="00962D57"/>
    <w:rsid w:val="00963631"/>
    <w:rsid w:val="009638FC"/>
    <w:rsid w:val="00963DC6"/>
    <w:rsid w:val="0096441C"/>
    <w:rsid w:val="00964577"/>
    <w:rsid w:val="00964B34"/>
    <w:rsid w:val="00964E4D"/>
    <w:rsid w:val="00965027"/>
    <w:rsid w:val="00965826"/>
    <w:rsid w:val="00965948"/>
    <w:rsid w:val="00965AD4"/>
    <w:rsid w:val="00966085"/>
    <w:rsid w:val="0096663F"/>
    <w:rsid w:val="00966742"/>
    <w:rsid w:val="009667E1"/>
    <w:rsid w:val="00966FA7"/>
    <w:rsid w:val="00966FAA"/>
    <w:rsid w:val="009671BE"/>
    <w:rsid w:val="00967FCC"/>
    <w:rsid w:val="009703CF"/>
    <w:rsid w:val="0097094B"/>
    <w:rsid w:val="00970F87"/>
    <w:rsid w:val="009712B4"/>
    <w:rsid w:val="009713B8"/>
    <w:rsid w:val="009713D7"/>
    <w:rsid w:val="00971410"/>
    <w:rsid w:val="009715CD"/>
    <w:rsid w:val="0097179C"/>
    <w:rsid w:val="00971CA4"/>
    <w:rsid w:val="00972381"/>
    <w:rsid w:val="00972438"/>
    <w:rsid w:val="0097273E"/>
    <w:rsid w:val="00972746"/>
    <w:rsid w:val="0097288C"/>
    <w:rsid w:val="00972C62"/>
    <w:rsid w:val="0097308C"/>
    <w:rsid w:val="00973D04"/>
    <w:rsid w:val="00974046"/>
    <w:rsid w:val="00974613"/>
    <w:rsid w:val="009747D2"/>
    <w:rsid w:val="00974E10"/>
    <w:rsid w:val="009759A7"/>
    <w:rsid w:val="00975C86"/>
    <w:rsid w:val="00975D57"/>
    <w:rsid w:val="00976447"/>
    <w:rsid w:val="00976BA7"/>
    <w:rsid w:val="00976CB4"/>
    <w:rsid w:val="00977010"/>
    <w:rsid w:val="00977048"/>
    <w:rsid w:val="009770A9"/>
    <w:rsid w:val="009773F3"/>
    <w:rsid w:val="00977D97"/>
    <w:rsid w:val="00980325"/>
    <w:rsid w:val="0098047A"/>
    <w:rsid w:val="009807B3"/>
    <w:rsid w:val="009808BE"/>
    <w:rsid w:val="00980AF8"/>
    <w:rsid w:val="00981843"/>
    <w:rsid w:val="00981CD6"/>
    <w:rsid w:val="00982416"/>
    <w:rsid w:val="0098280C"/>
    <w:rsid w:val="0098295D"/>
    <w:rsid w:val="00982EC3"/>
    <w:rsid w:val="009834EE"/>
    <w:rsid w:val="009839A5"/>
    <w:rsid w:val="00983AAA"/>
    <w:rsid w:val="00984739"/>
    <w:rsid w:val="00984BD0"/>
    <w:rsid w:val="00984F1E"/>
    <w:rsid w:val="00985574"/>
    <w:rsid w:val="00985F2C"/>
    <w:rsid w:val="00985F6E"/>
    <w:rsid w:val="00986050"/>
    <w:rsid w:val="009876E4"/>
    <w:rsid w:val="009877DC"/>
    <w:rsid w:val="0098782A"/>
    <w:rsid w:val="009878CB"/>
    <w:rsid w:val="009879F8"/>
    <w:rsid w:val="00987C3A"/>
    <w:rsid w:val="00990249"/>
    <w:rsid w:val="00990743"/>
    <w:rsid w:val="00991193"/>
    <w:rsid w:val="00991436"/>
    <w:rsid w:val="00991496"/>
    <w:rsid w:val="0099189A"/>
    <w:rsid w:val="0099210F"/>
    <w:rsid w:val="009923ED"/>
    <w:rsid w:val="00992C2B"/>
    <w:rsid w:val="00993297"/>
    <w:rsid w:val="00993485"/>
    <w:rsid w:val="00993646"/>
    <w:rsid w:val="00993F9C"/>
    <w:rsid w:val="00994F03"/>
    <w:rsid w:val="00994F0B"/>
    <w:rsid w:val="00994F1E"/>
    <w:rsid w:val="009950AE"/>
    <w:rsid w:val="00995246"/>
    <w:rsid w:val="00995488"/>
    <w:rsid w:val="00996055"/>
    <w:rsid w:val="0099618A"/>
    <w:rsid w:val="009969DE"/>
    <w:rsid w:val="00996FA1"/>
    <w:rsid w:val="00997403"/>
    <w:rsid w:val="009977A9"/>
    <w:rsid w:val="00997E5E"/>
    <w:rsid w:val="009A01A0"/>
    <w:rsid w:val="009A04DD"/>
    <w:rsid w:val="009A068B"/>
    <w:rsid w:val="009A0BC7"/>
    <w:rsid w:val="009A0E63"/>
    <w:rsid w:val="009A11A9"/>
    <w:rsid w:val="009A120D"/>
    <w:rsid w:val="009A1323"/>
    <w:rsid w:val="009A1560"/>
    <w:rsid w:val="009A18EA"/>
    <w:rsid w:val="009A1C7A"/>
    <w:rsid w:val="009A2360"/>
    <w:rsid w:val="009A253D"/>
    <w:rsid w:val="009A254C"/>
    <w:rsid w:val="009A2F71"/>
    <w:rsid w:val="009A466A"/>
    <w:rsid w:val="009A46D3"/>
    <w:rsid w:val="009A4D69"/>
    <w:rsid w:val="009A5F20"/>
    <w:rsid w:val="009A7018"/>
    <w:rsid w:val="009A7124"/>
    <w:rsid w:val="009A73F6"/>
    <w:rsid w:val="009A7520"/>
    <w:rsid w:val="009A7B0B"/>
    <w:rsid w:val="009A7FB9"/>
    <w:rsid w:val="009B01C2"/>
    <w:rsid w:val="009B0AC2"/>
    <w:rsid w:val="009B0F1B"/>
    <w:rsid w:val="009B1B18"/>
    <w:rsid w:val="009B1DB3"/>
    <w:rsid w:val="009B2E49"/>
    <w:rsid w:val="009B2F70"/>
    <w:rsid w:val="009B3230"/>
    <w:rsid w:val="009B3415"/>
    <w:rsid w:val="009B345C"/>
    <w:rsid w:val="009B3C4E"/>
    <w:rsid w:val="009B40A5"/>
    <w:rsid w:val="009B42C1"/>
    <w:rsid w:val="009B43F8"/>
    <w:rsid w:val="009B46F2"/>
    <w:rsid w:val="009B488E"/>
    <w:rsid w:val="009B49DE"/>
    <w:rsid w:val="009B4B5C"/>
    <w:rsid w:val="009B5220"/>
    <w:rsid w:val="009B6455"/>
    <w:rsid w:val="009B6518"/>
    <w:rsid w:val="009B668A"/>
    <w:rsid w:val="009B6D27"/>
    <w:rsid w:val="009B6E83"/>
    <w:rsid w:val="009B733E"/>
    <w:rsid w:val="009B7368"/>
    <w:rsid w:val="009B7D79"/>
    <w:rsid w:val="009B7E08"/>
    <w:rsid w:val="009C00BC"/>
    <w:rsid w:val="009C03C9"/>
    <w:rsid w:val="009C07B2"/>
    <w:rsid w:val="009C082D"/>
    <w:rsid w:val="009C09C7"/>
    <w:rsid w:val="009C1F26"/>
    <w:rsid w:val="009C2146"/>
    <w:rsid w:val="009C320C"/>
    <w:rsid w:val="009C34DC"/>
    <w:rsid w:val="009C38AD"/>
    <w:rsid w:val="009C421E"/>
    <w:rsid w:val="009C45F1"/>
    <w:rsid w:val="009C489F"/>
    <w:rsid w:val="009C4DB7"/>
    <w:rsid w:val="009C572D"/>
    <w:rsid w:val="009C5973"/>
    <w:rsid w:val="009C613B"/>
    <w:rsid w:val="009C62AB"/>
    <w:rsid w:val="009C6462"/>
    <w:rsid w:val="009C6504"/>
    <w:rsid w:val="009C6630"/>
    <w:rsid w:val="009C672B"/>
    <w:rsid w:val="009C6A3C"/>
    <w:rsid w:val="009C7469"/>
    <w:rsid w:val="009D046E"/>
    <w:rsid w:val="009D1516"/>
    <w:rsid w:val="009D15B8"/>
    <w:rsid w:val="009D1B9C"/>
    <w:rsid w:val="009D2674"/>
    <w:rsid w:val="009D2827"/>
    <w:rsid w:val="009D2B2A"/>
    <w:rsid w:val="009D2C14"/>
    <w:rsid w:val="009D2C98"/>
    <w:rsid w:val="009D2D97"/>
    <w:rsid w:val="009D2FC1"/>
    <w:rsid w:val="009D3066"/>
    <w:rsid w:val="009D31CC"/>
    <w:rsid w:val="009D333D"/>
    <w:rsid w:val="009D39EC"/>
    <w:rsid w:val="009D4114"/>
    <w:rsid w:val="009D4472"/>
    <w:rsid w:val="009D44F4"/>
    <w:rsid w:val="009D522A"/>
    <w:rsid w:val="009D5261"/>
    <w:rsid w:val="009D5367"/>
    <w:rsid w:val="009D571F"/>
    <w:rsid w:val="009D5788"/>
    <w:rsid w:val="009D59E8"/>
    <w:rsid w:val="009D5B25"/>
    <w:rsid w:val="009D5D11"/>
    <w:rsid w:val="009D62F2"/>
    <w:rsid w:val="009D6778"/>
    <w:rsid w:val="009D6E8A"/>
    <w:rsid w:val="009D7D74"/>
    <w:rsid w:val="009E0767"/>
    <w:rsid w:val="009E09B9"/>
    <w:rsid w:val="009E13E8"/>
    <w:rsid w:val="009E16E9"/>
    <w:rsid w:val="009E1FDB"/>
    <w:rsid w:val="009E2061"/>
    <w:rsid w:val="009E2468"/>
    <w:rsid w:val="009E255B"/>
    <w:rsid w:val="009E258C"/>
    <w:rsid w:val="009E29CA"/>
    <w:rsid w:val="009E2D7E"/>
    <w:rsid w:val="009E327A"/>
    <w:rsid w:val="009E32E0"/>
    <w:rsid w:val="009E3541"/>
    <w:rsid w:val="009E3C9B"/>
    <w:rsid w:val="009E3FD6"/>
    <w:rsid w:val="009E4024"/>
    <w:rsid w:val="009E44DE"/>
    <w:rsid w:val="009E479A"/>
    <w:rsid w:val="009E4910"/>
    <w:rsid w:val="009E4D1B"/>
    <w:rsid w:val="009E56B6"/>
    <w:rsid w:val="009E5ABF"/>
    <w:rsid w:val="009E5EC1"/>
    <w:rsid w:val="009E6181"/>
    <w:rsid w:val="009E652F"/>
    <w:rsid w:val="009E69C7"/>
    <w:rsid w:val="009E6A7B"/>
    <w:rsid w:val="009E79A0"/>
    <w:rsid w:val="009E7D93"/>
    <w:rsid w:val="009F07B4"/>
    <w:rsid w:val="009F0D72"/>
    <w:rsid w:val="009F1048"/>
    <w:rsid w:val="009F16FE"/>
    <w:rsid w:val="009F1D1B"/>
    <w:rsid w:val="009F2C1B"/>
    <w:rsid w:val="009F2F4E"/>
    <w:rsid w:val="009F34A3"/>
    <w:rsid w:val="009F34C8"/>
    <w:rsid w:val="009F3B39"/>
    <w:rsid w:val="009F4407"/>
    <w:rsid w:val="009F4582"/>
    <w:rsid w:val="009F4800"/>
    <w:rsid w:val="009F4CF3"/>
    <w:rsid w:val="009F506C"/>
    <w:rsid w:val="009F526E"/>
    <w:rsid w:val="009F54E0"/>
    <w:rsid w:val="009F5CAD"/>
    <w:rsid w:val="009F5D35"/>
    <w:rsid w:val="009F67EB"/>
    <w:rsid w:val="009F6922"/>
    <w:rsid w:val="009F6930"/>
    <w:rsid w:val="009F6DD0"/>
    <w:rsid w:val="009F7402"/>
    <w:rsid w:val="009F7573"/>
    <w:rsid w:val="009F7B12"/>
    <w:rsid w:val="00A0031C"/>
    <w:rsid w:val="00A00455"/>
    <w:rsid w:val="00A00982"/>
    <w:rsid w:val="00A00A2E"/>
    <w:rsid w:val="00A00D67"/>
    <w:rsid w:val="00A00EEB"/>
    <w:rsid w:val="00A01299"/>
    <w:rsid w:val="00A015EC"/>
    <w:rsid w:val="00A0162C"/>
    <w:rsid w:val="00A01981"/>
    <w:rsid w:val="00A019B1"/>
    <w:rsid w:val="00A01BE3"/>
    <w:rsid w:val="00A0220E"/>
    <w:rsid w:val="00A02280"/>
    <w:rsid w:val="00A0295C"/>
    <w:rsid w:val="00A02F70"/>
    <w:rsid w:val="00A03323"/>
    <w:rsid w:val="00A03F36"/>
    <w:rsid w:val="00A03FC7"/>
    <w:rsid w:val="00A04032"/>
    <w:rsid w:val="00A044CF"/>
    <w:rsid w:val="00A04687"/>
    <w:rsid w:val="00A046BD"/>
    <w:rsid w:val="00A05459"/>
    <w:rsid w:val="00A064E1"/>
    <w:rsid w:val="00A066A4"/>
    <w:rsid w:val="00A0685E"/>
    <w:rsid w:val="00A06956"/>
    <w:rsid w:val="00A0729D"/>
    <w:rsid w:val="00A0734D"/>
    <w:rsid w:val="00A0771B"/>
    <w:rsid w:val="00A0776D"/>
    <w:rsid w:val="00A079AA"/>
    <w:rsid w:val="00A10031"/>
    <w:rsid w:val="00A1003F"/>
    <w:rsid w:val="00A1046D"/>
    <w:rsid w:val="00A10961"/>
    <w:rsid w:val="00A10B5D"/>
    <w:rsid w:val="00A10B75"/>
    <w:rsid w:val="00A112F7"/>
    <w:rsid w:val="00A11C13"/>
    <w:rsid w:val="00A11C57"/>
    <w:rsid w:val="00A11D7F"/>
    <w:rsid w:val="00A11D84"/>
    <w:rsid w:val="00A12045"/>
    <w:rsid w:val="00A120B9"/>
    <w:rsid w:val="00A1211D"/>
    <w:rsid w:val="00A122D2"/>
    <w:rsid w:val="00A122F9"/>
    <w:rsid w:val="00A12479"/>
    <w:rsid w:val="00A124A6"/>
    <w:rsid w:val="00A12BF6"/>
    <w:rsid w:val="00A12D05"/>
    <w:rsid w:val="00A12F29"/>
    <w:rsid w:val="00A1343F"/>
    <w:rsid w:val="00A13CEA"/>
    <w:rsid w:val="00A13F2D"/>
    <w:rsid w:val="00A14A25"/>
    <w:rsid w:val="00A14EE9"/>
    <w:rsid w:val="00A15116"/>
    <w:rsid w:val="00A163C6"/>
    <w:rsid w:val="00A1663C"/>
    <w:rsid w:val="00A16830"/>
    <w:rsid w:val="00A16B31"/>
    <w:rsid w:val="00A16D68"/>
    <w:rsid w:val="00A16DC1"/>
    <w:rsid w:val="00A1782B"/>
    <w:rsid w:val="00A17F3A"/>
    <w:rsid w:val="00A2006F"/>
    <w:rsid w:val="00A204F9"/>
    <w:rsid w:val="00A20960"/>
    <w:rsid w:val="00A21039"/>
    <w:rsid w:val="00A2117A"/>
    <w:rsid w:val="00A21CB5"/>
    <w:rsid w:val="00A2214B"/>
    <w:rsid w:val="00A22B21"/>
    <w:rsid w:val="00A22B72"/>
    <w:rsid w:val="00A22CA6"/>
    <w:rsid w:val="00A22CED"/>
    <w:rsid w:val="00A2306B"/>
    <w:rsid w:val="00A2315D"/>
    <w:rsid w:val="00A23371"/>
    <w:rsid w:val="00A23590"/>
    <w:rsid w:val="00A23CFF"/>
    <w:rsid w:val="00A23EAE"/>
    <w:rsid w:val="00A23F94"/>
    <w:rsid w:val="00A2419F"/>
    <w:rsid w:val="00A2470B"/>
    <w:rsid w:val="00A2484A"/>
    <w:rsid w:val="00A24AA1"/>
    <w:rsid w:val="00A24EA4"/>
    <w:rsid w:val="00A24F0A"/>
    <w:rsid w:val="00A2513C"/>
    <w:rsid w:val="00A2525F"/>
    <w:rsid w:val="00A259A7"/>
    <w:rsid w:val="00A259AD"/>
    <w:rsid w:val="00A25A0C"/>
    <w:rsid w:val="00A2602B"/>
    <w:rsid w:val="00A26615"/>
    <w:rsid w:val="00A27215"/>
    <w:rsid w:val="00A278C3"/>
    <w:rsid w:val="00A27D63"/>
    <w:rsid w:val="00A3065C"/>
    <w:rsid w:val="00A30910"/>
    <w:rsid w:val="00A3140A"/>
    <w:rsid w:val="00A3142C"/>
    <w:rsid w:val="00A3164F"/>
    <w:rsid w:val="00A31654"/>
    <w:rsid w:val="00A31F9C"/>
    <w:rsid w:val="00A3202D"/>
    <w:rsid w:val="00A32034"/>
    <w:rsid w:val="00A320DB"/>
    <w:rsid w:val="00A324E3"/>
    <w:rsid w:val="00A3281A"/>
    <w:rsid w:val="00A32A14"/>
    <w:rsid w:val="00A32A7D"/>
    <w:rsid w:val="00A32CAD"/>
    <w:rsid w:val="00A32D2C"/>
    <w:rsid w:val="00A32FC6"/>
    <w:rsid w:val="00A330E6"/>
    <w:rsid w:val="00A33103"/>
    <w:rsid w:val="00A3454A"/>
    <w:rsid w:val="00A345AE"/>
    <w:rsid w:val="00A34AE0"/>
    <w:rsid w:val="00A34F58"/>
    <w:rsid w:val="00A351B3"/>
    <w:rsid w:val="00A35217"/>
    <w:rsid w:val="00A35473"/>
    <w:rsid w:val="00A35E63"/>
    <w:rsid w:val="00A35F21"/>
    <w:rsid w:val="00A365FC"/>
    <w:rsid w:val="00A36A4C"/>
    <w:rsid w:val="00A36E60"/>
    <w:rsid w:val="00A37049"/>
    <w:rsid w:val="00A3791C"/>
    <w:rsid w:val="00A37B67"/>
    <w:rsid w:val="00A403BC"/>
    <w:rsid w:val="00A406BC"/>
    <w:rsid w:val="00A40C57"/>
    <w:rsid w:val="00A40E09"/>
    <w:rsid w:val="00A40FF2"/>
    <w:rsid w:val="00A41CF2"/>
    <w:rsid w:val="00A42211"/>
    <w:rsid w:val="00A42C06"/>
    <w:rsid w:val="00A42DA0"/>
    <w:rsid w:val="00A42F88"/>
    <w:rsid w:val="00A430B3"/>
    <w:rsid w:val="00A43439"/>
    <w:rsid w:val="00A43C7D"/>
    <w:rsid w:val="00A441AB"/>
    <w:rsid w:val="00A447AA"/>
    <w:rsid w:val="00A45677"/>
    <w:rsid w:val="00A4682F"/>
    <w:rsid w:val="00A46982"/>
    <w:rsid w:val="00A46DA1"/>
    <w:rsid w:val="00A47CAB"/>
    <w:rsid w:val="00A5020C"/>
    <w:rsid w:val="00A50282"/>
    <w:rsid w:val="00A504B7"/>
    <w:rsid w:val="00A509D9"/>
    <w:rsid w:val="00A517D9"/>
    <w:rsid w:val="00A523BB"/>
    <w:rsid w:val="00A529BB"/>
    <w:rsid w:val="00A52B3F"/>
    <w:rsid w:val="00A52C2B"/>
    <w:rsid w:val="00A538AE"/>
    <w:rsid w:val="00A53A09"/>
    <w:rsid w:val="00A53B99"/>
    <w:rsid w:val="00A53BDD"/>
    <w:rsid w:val="00A53C17"/>
    <w:rsid w:val="00A54411"/>
    <w:rsid w:val="00A545D2"/>
    <w:rsid w:val="00A54DEC"/>
    <w:rsid w:val="00A54E1A"/>
    <w:rsid w:val="00A55088"/>
    <w:rsid w:val="00A55752"/>
    <w:rsid w:val="00A563CD"/>
    <w:rsid w:val="00A564F0"/>
    <w:rsid w:val="00A56617"/>
    <w:rsid w:val="00A5720B"/>
    <w:rsid w:val="00A576E2"/>
    <w:rsid w:val="00A57A64"/>
    <w:rsid w:val="00A57AE2"/>
    <w:rsid w:val="00A57AFA"/>
    <w:rsid w:val="00A57D50"/>
    <w:rsid w:val="00A60182"/>
    <w:rsid w:val="00A601AC"/>
    <w:rsid w:val="00A60733"/>
    <w:rsid w:val="00A60906"/>
    <w:rsid w:val="00A60ADA"/>
    <w:rsid w:val="00A60F14"/>
    <w:rsid w:val="00A60FC2"/>
    <w:rsid w:val="00A6152D"/>
    <w:rsid w:val="00A617F9"/>
    <w:rsid w:val="00A61D97"/>
    <w:rsid w:val="00A620D3"/>
    <w:rsid w:val="00A62218"/>
    <w:rsid w:val="00A63182"/>
    <w:rsid w:val="00A63B38"/>
    <w:rsid w:val="00A645CB"/>
    <w:rsid w:val="00A6498A"/>
    <w:rsid w:val="00A64B07"/>
    <w:rsid w:val="00A64D8E"/>
    <w:rsid w:val="00A65899"/>
    <w:rsid w:val="00A658C4"/>
    <w:rsid w:val="00A65B46"/>
    <w:rsid w:val="00A66212"/>
    <w:rsid w:val="00A673E2"/>
    <w:rsid w:val="00A67EDD"/>
    <w:rsid w:val="00A70123"/>
    <w:rsid w:val="00A7074F"/>
    <w:rsid w:val="00A70750"/>
    <w:rsid w:val="00A707E5"/>
    <w:rsid w:val="00A70911"/>
    <w:rsid w:val="00A70B7F"/>
    <w:rsid w:val="00A7141A"/>
    <w:rsid w:val="00A7182C"/>
    <w:rsid w:val="00A729CE"/>
    <w:rsid w:val="00A72AE4"/>
    <w:rsid w:val="00A72E09"/>
    <w:rsid w:val="00A73368"/>
    <w:rsid w:val="00A7369F"/>
    <w:rsid w:val="00A73AFC"/>
    <w:rsid w:val="00A7420D"/>
    <w:rsid w:val="00A7421F"/>
    <w:rsid w:val="00A743FC"/>
    <w:rsid w:val="00A753C0"/>
    <w:rsid w:val="00A76590"/>
    <w:rsid w:val="00A76B52"/>
    <w:rsid w:val="00A76C39"/>
    <w:rsid w:val="00A76F20"/>
    <w:rsid w:val="00A77111"/>
    <w:rsid w:val="00A77397"/>
    <w:rsid w:val="00A77DC1"/>
    <w:rsid w:val="00A802B9"/>
    <w:rsid w:val="00A808AA"/>
    <w:rsid w:val="00A808F5"/>
    <w:rsid w:val="00A81006"/>
    <w:rsid w:val="00A81069"/>
    <w:rsid w:val="00A811BF"/>
    <w:rsid w:val="00A81C42"/>
    <w:rsid w:val="00A81E48"/>
    <w:rsid w:val="00A826EC"/>
    <w:rsid w:val="00A827B5"/>
    <w:rsid w:val="00A82EA8"/>
    <w:rsid w:val="00A83194"/>
    <w:rsid w:val="00A832FB"/>
    <w:rsid w:val="00A83F1C"/>
    <w:rsid w:val="00A84597"/>
    <w:rsid w:val="00A84893"/>
    <w:rsid w:val="00A84E1E"/>
    <w:rsid w:val="00A85196"/>
    <w:rsid w:val="00A85204"/>
    <w:rsid w:val="00A8565C"/>
    <w:rsid w:val="00A858FA"/>
    <w:rsid w:val="00A8592E"/>
    <w:rsid w:val="00A8642B"/>
    <w:rsid w:val="00A86548"/>
    <w:rsid w:val="00A865A2"/>
    <w:rsid w:val="00A86631"/>
    <w:rsid w:val="00A86912"/>
    <w:rsid w:val="00A86A3A"/>
    <w:rsid w:val="00A871E2"/>
    <w:rsid w:val="00A87643"/>
    <w:rsid w:val="00A87A3D"/>
    <w:rsid w:val="00A90912"/>
    <w:rsid w:val="00A909BF"/>
    <w:rsid w:val="00A90B91"/>
    <w:rsid w:val="00A90B95"/>
    <w:rsid w:val="00A91218"/>
    <w:rsid w:val="00A919E3"/>
    <w:rsid w:val="00A91BEA"/>
    <w:rsid w:val="00A92693"/>
    <w:rsid w:val="00A93105"/>
    <w:rsid w:val="00A93CB6"/>
    <w:rsid w:val="00A94874"/>
    <w:rsid w:val="00A955D6"/>
    <w:rsid w:val="00A956FE"/>
    <w:rsid w:val="00A959CC"/>
    <w:rsid w:val="00A95C9E"/>
    <w:rsid w:val="00A96429"/>
    <w:rsid w:val="00A96561"/>
    <w:rsid w:val="00A96A41"/>
    <w:rsid w:val="00A971BC"/>
    <w:rsid w:val="00A9795C"/>
    <w:rsid w:val="00A979FD"/>
    <w:rsid w:val="00A97F2E"/>
    <w:rsid w:val="00AA04D8"/>
    <w:rsid w:val="00AA076E"/>
    <w:rsid w:val="00AA0833"/>
    <w:rsid w:val="00AA0A44"/>
    <w:rsid w:val="00AA0E0D"/>
    <w:rsid w:val="00AA1C45"/>
    <w:rsid w:val="00AA1EF2"/>
    <w:rsid w:val="00AA211B"/>
    <w:rsid w:val="00AA2620"/>
    <w:rsid w:val="00AA2D36"/>
    <w:rsid w:val="00AA2F6E"/>
    <w:rsid w:val="00AA30A6"/>
    <w:rsid w:val="00AA31A5"/>
    <w:rsid w:val="00AA32D0"/>
    <w:rsid w:val="00AA330C"/>
    <w:rsid w:val="00AA340C"/>
    <w:rsid w:val="00AA36B5"/>
    <w:rsid w:val="00AA3846"/>
    <w:rsid w:val="00AA38A7"/>
    <w:rsid w:val="00AA397E"/>
    <w:rsid w:val="00AA3D75"/>
    <w:rsid w:val="00AA3E15"/>
    <w:rsid w:val="00AA43FC"/>
    <w:rsid w:val="00AA45C7"/>
    <w:rsid w:val="00AA4A8D"/>
    <w:rsid w:val="00AA5828"/>
    <w:rsid w:val="00AA6182"/>
    <w:rsid w:val="00AA698C"/>
    <w:rsid w:val="00AA75EF"/>
    <w:rsid w:val="00AA78FB"/>
    <w:rsid w:val="00AA7D81"/>
    <w:rsid w:val="00AA7DAF"/>
    <w:rsid w:val="00AA7FD3"/>
    <w:rsid w:val="00AB006D"/>
    <w:rsid w:val="00AB00BB"/>
    <w:rsid w:val="00AB050C"/>
    <w:rsid w:val="00AB0A74"/>
    <w:rsid w:val="00AB10D9"/>
    <w:rsid w:val="00AB19F9"/>
    <w:rsid w:val="00AB1A44"/>
    <w:rsid w:val="00AB1B30"/>
    <w:rsid w:val="00AB220C"/>
    <w:rsid w:val="00AB223E"/>
    <w:rsid w:val="00AB2781"/>
    <w:rsid w:val="00AB278B"/>
    <w:rsid w:val="00AB2A29"/>
    <w:rsid w:val="00AB2DFE"/>
    <w:rsid w:val="00AB2F03"/>
    <w:rsid w:val="00AB36A7"/>
    <w:rsid w:val="00AB374E"/>
    <w:rsid w:val="00AB3D4C"/>
    <w:rsid w:val="00AB3E81"/>
    <w:rsid w:val="00AB43D3"/>
    <w:rsid w:val="00AB4441"/>
    <w:rsid w:val="00AB482B"/>
    <w:rsid w:val="00AB489D"/>
    <w:rsid w:val="00AB4A52"/>
    <w:rsid w:val="00AB4BCA"/>
    <w:rsid w:val="00AB4BDE"/>
    <w:rsid w:val="00AB4DCF"/>
    <w:rsid w:val="00AB51B2"/>
    <w:rsid w:val="00AB608F"/>
    <w:rsid w:val="00AB70AC"/>
    <w:rsid w:val="00AB7313"/>
    <w:rsid w:val="00AB790E"/>
    <w:rsid w:val="00AB79AD"/>
    <w:rsid w:val="00AB7E1E"/>
    <w:rsid w:val="00AB7F6E"/>
    <w:rsid w:val="00AB7FDA"/>
    <w:rsid w:val="00AC0325"/>
    <w:rsid w:val="00AC0506"/>
    <w:rsid w:val="00AC1653"/>
    <w:rsid w:val="00AC1AAC"/>
    <w:rsid w:val="00AC1AF3"/>
    <w:rsid w:val="00AC1B11"/>
    <w:rsid w:val="00AC1B30"/>
    <w:rsid w:val="00AC1EEC"/>
    <w:rsid w:val="00AC1F5E"/>
    <w:rsid w:val="00AC21D5"/>
    <w:rsid w:val="00AC2C87"/>
    <w:rsid w:val="00AC31C6"/>
    <w:rsid w:val="00AC38ED"/>
    <w:rsid w:val="00AC3BB7"/>
    <w:rsid w:val="00AC3D61"/>
    <w:rsid w:val="00AC40C3"/>
    <w:rsid w:val="00AC455F"/>
    <w:rsid w:val="00AC4C48"/>
    <w:rsid w:val="00AC52C4"/>
    <w:rsid w:val="00AC55AC"/>
    <w:rsid w:val="00AC56EA"/>
    <w:rsid w:val="00AC5E36"/>
    <w:rsid w:val="00AC5FD6"/>
    <w:rsid w:val="00AC601F"/>
    <w:rsid w:val="00AC642D"/>
    <w:rsid w:val="00AC67B4"/>
    <w:rsid w:val="00AC6C2D"/>
    <w:rsid w:val="00AC7466"/>
    <w:rsid w:val="00AC77A9"/>
    <w:rsid w:val="00AC7853"/>
    <w:rsid w:val="00AC7E63"/>
    <w:rsid w:val="00AD0D8B"/>
    <w:rsid w:val="00AD0F53"/>
    <w:rsid w:val="00AD1513"/>
    <w:rsid w:val="00AD3851"/>
    <w:rsid w:val="00AD40A4"/>
    <w:rsid w:val="00AD44D7"/>
    <w:rsid w:val="00AD488F"/>
    <w:rsid w:val="00AD4EFB"/>
    <w:rsid w:val="00AD56CB"/>
    <w:rsid w:val="00AD5D62"/>
    <w:rsid w:val="00AD5DF7"/>
    <w:rsid w:val="00AD6066"/>
    <w:rsid w:val="00AD6161"/>
    <w:rsid w:val="00AD62F7"/>
    <w:rsid w:val="00AD69CB"/>
    <w:rsid w:val="00AD7583"/>
    <w:rsid w:val="00AD7862"/>
    <w:rsid w:val="00AD7967"/>
    <w:rsid w:val="00AD7AF3"/>
    <w:rsid w:val="00AE04F4"/>
    <w:rsid w:val="00AE0B7B"/>
    <w:rsid w:val="00AE1130"/>
    <w:rsid w:val="00AE1937"/>
    <w:rsid w:val="00AE1E64"/>
    <w:rsid w:val="00AE2373"/>
    <w:rsid w:val="00AE2486"/>
    <w:rsid w:val="00AE2C67"/>
    <w:rsid w:val="00AE2F0B"/>
    <w:rsid w:val="00AE3377"/>
    <w:rsid w:val="00AE3425"/>
    <w:rsid w:val="00AE3577"/>
    <w:rsid w:val="00AE3C4E"/>
    <w:rsid w:val="00AE3C79"/>
    <w:rsid w:val="00AE433D"/>
    <w:rsid w:val="00AE4786"/>
    <w:rsid w:val="00AE50B1"/>
    <w:rsid w:val="00AE5490"/>
    <w:rsid w:val="00AE5987"/>
    <w:rsid w:val="00AE604F"/>
    <w:rsid w:val="00AE634B"/>
    <w:rsid w:val="00AE6B2A"/>
    <w:rsid w:val="00AE6D29"/>
    <w:rsid w:val="00AE76F6"/>
    <w:rsid w:val="00AE78FE"/>
    <w:rsid w:val="00AE7B8A"/>
    <w:rsid w:val="00AE7D95"/>
    <w:rsid w:val="00AE7E7D"/>
    <w:rsid w:val="00AF03C0"/>
    <w:rsid w:val="00AF09F7"/>
    <w:rsid w:val="00AF0F45"/>
    <w:rsid w:val="00AF11A9"/>
    <w:rsid w:val="00AF14C5"/>
    <w:rsid w:val="00AF14F2"/>
    <w:rsid w:val="00AF1709"/>
    <w:rsid w:val="00AF184B"/>
    <w:rsid w:val="00AF1966"/>
    <w:rsid w:val="00AF23E9"/>
    <w:rsid w:val="00AF24BB"/>
    <w:rsid w:val="00AF2840"/>
    <w:rsid w:val="00AF34EB"/>
    <w:rsid w:val="00AF357D"/>
    <w:rsid w:val="00AF3872"/>
    <w:rsid w:val="00AF3E7C"/>
    <w:rsid w:val="00AF4217"/>
    <w:rsid w:val="00AF42E3"/>
    <w:rsid w:val="00AF46EF"/>
    <w:rsid w:val="00AF4DBA"/>
    <w:rsid w:val="00AF5479"/>
    <w:rsid w:val="00AF59DA"/>
    <w:rsid w:val="00AF5CD1"/>
    <w:rsid w:val="00AF5FED"/>
    <w:rsid w:val="00AF5FF9"/>
    <w:rsid w:val="00AF6275"/>
    <w:rsid w:val="00AF63CA"/>
    <w:rsid w:val="00AF6426"/>
    <w:rsid w:val="00AF6446"/>
    <w:rsid w:val="00AF675C"/>
    <w:rsid w:val="00AF681B"/>
    <w:rsid w:val="00AF6977"/>
    <w:rsid w:val="00AF6DC9"/>
    <w:rsid w:val="00AF716A"/>
    <w:rsid w:val="00AF788F"/>
    <w:rsid w:val="00AF7913"/>
    <w:rsid w:val="00B005DD"/>
    <w:rsid w:val="00B006E3"/>
    <w:rsid w:val="00B00EC2"/>
    <w:rsid w:val="00B014E1"/>
    <w:rsid w:val="00B02D05"/>
    <w:rsid w:val="00B036AB"/>
    <w:rsid w:val="00B036D7"/>
    <w:rsid w:val="00B03CEA"/>
    <w:rsid w:val="00B043A1"/>
    <w:rsid w:val="00B0575F"/>
    <w:rsid w:val="00B05967"/>
    <w:rsid w:val="00B07E07"/>
    <w:rsid w:val="00B103AC"/>
    <w:rsid w:val="00B104C6"/>
    <w:rsid w:val="00B1091F"/>
    <w:rsid w:val="00B10D85"/>
    <w:rsid w:val="00B1104C"/>
    <w:rsid w:val="00B11C6E"/>
    <w:rsid w:val="00B11D36"/>
    <w:rsid w:val="00B11DA7"/>
    <w:rsid w:val="00B11E52"/>
    <w:rsid w:val="00B12E23"/>
    <w:rsid w:val="00B136DC"/>
    <w:rsid w:val="00B13BEF"/>
    <w:rsid w:val="00B13E49"/>
    <w:rsid w:val="00B1409F"/>
    <w:rsid w:val="00B14770"/>
    <w:rsid w:val="00B14839"/>
    <w:rsid w:val="00B15059"/>
    <w:rsid w:val="00B159F3"/>
    <w:rsid w:val="00B160D4"/>
    <w:rsid w:val="00B16763"/>
    <w:rsid w:val="00B16C77"/>
    <w:rsid w:val="00B16D8F"/>
    <w:rsid w:val="00B17717"/>
    <w:rsid w:val="00B17762"/>
    <w:rsid w:val="00B17AAF"/>
    <w:rsid w:val="00B20538"/>
    <w:rsid w:val="00B205B4"/>
    <w:rsid w:val="00B207D3"/>
    <w:rsid w:val="00B20D26"/>
    <w:rsid w:val="00B2151F"/>
    <w:rsid w:val="00B21A07"/>
    <w:rsid w:val="00B21DE7"/>
    <w:rsid w:val="00B2254F"/>
    <w:rsid w:val="00B22636"/>
    <w:rsid w:val="00B23458"/>
    <w:rsid w:val="00B23B85"/>
    <w:rsid w:val="00B23ED0"/>
    <w:rsid w:val="00B24169"/>
    <w:rsid w:val="00B24509"/>
    <w:rsid w:val="00B245BD"/>
    <w:rsid w:val="00B24D3F"/>
    <w:rsid w:val="00B258A0"/>
    <w:rsid w:val="00B25CAE"/>
    <w:rsid w:val="00B25F76"/>
    <w:rsid w:val="00B26289"/>
    <w:rsid w:val="00B2698B"/>
    <w:rsid w:val="00B26B4D"/>
    <w:rsid w:val="00B26F8C"/>
    <w:rsid w:val="00B271FD"/>
    <w:rsid w:val="00B27306"/>
    <w:rsid w:val="00B275DF"/>
    <w:rsid w:val="00B27695"/>
    <w:rsid w:val="00B27F38"/>
    <w:rsid w:val="00B3048D"/>
    <w:rsid w:val="00B306AF"/>
    <w:rsid w:val="00B30F4B"/>
    <w:rsid w:val="00B31026"/>
    <w:rsid w:val="00B310C0"/>
    <w:rsid w:val="00B31452"/>
    <w:rsid w:val="00B314EA"/>
    <w:rsid w:val="00B318F1"/>
    <w:rsid w:val="00B319A4"/>
    <w:rsid w:val="00B319F3"/>
    <w:rsid w:val="00B3238A"/>
    <w:rsid w:val="00B32A65"/>
    <w:rsid w:val="00B32BD0"/>
    <w:rsid w:val="00B32D97"/>
    <w:rsid w:val="00B32DA5"/>
    <w:rsid w:val="00B32FF8"/>
    <w:rsid w:val="00B3414D"/>
    <w:rsid w:val="00B345F8"/>
    <w:rsid w:val="00B347DC"/>
    <w:rsid w:val="00B34A76"/>
    <w:rsid w:val="00B34B2F"/>
    <w:rsid w:val="00B351E9"/>
    <w:rsid w:val="00B351F5"/>
    <w:rsid w:val="00B3575D"/>
    <w:rsid w:val="00B35BA9"/>
    <w:rsid w:val="00B35BE9"/>
    <w:rsid w:val="00B35C69"/>
    <w:rsid w:val="00B3601A"/>
    <w:rsid w:val="00B36A7F"/>
    <w:rsid w:val="00B36AF3"/>
    <w:rsid w:val="00B36BD5"/>
    <w:rsid w:val="00B36DDA"/>
    <w:rsid w:val="00B378E8"/>
    <w:rsid w:val="00B37939"/>
    <w:rsid w:val="00B40287"/>
    <w:rsid w:val="00B40A1D"/>
    <w:rsid w:val="00B40F25"/>
    <w:rsid w:val="00B41056"/>
    <w:rsid w:val="00B42020"/>
    <w:rsid w:val="00B42179"/>
    <w:rsid w:val="00B42342"/>
    <w:rsid w:val="00B42D6A"/>
    <w:rsid w:val="00B43160"/>
    <w:rsid w:val="00B43299"/>
    <w:rsid w:val="00B43B9F"/>
    <w:rsid w:val="00B44319"/>
    <w:rsid w:val="00B4444D"/>
    <w:rsid w:val="00B445EB"/>
    <w:rsid w:val="00B44915"/>
    <w:rsid w:val="00B44A30"/>
    <w:rsid w:val="00B45644"/>
    <w:rsid w:val="00B4569B"/>
    <w:rsid w:val="00B45E7B"/>
    <w:rsid w:val="00B46271"/>
    <w:rsid w:val="00B4645F"/>
    <w:rsid w:val="00B46B3D"/>
    <w:rsid w:val="00B47627"/>
    <w:rsid w:val="00B5029C"/>
    <w:rsid w:val="00B502A0"/>
    <w:rsid w:val="00B502AE"/>
    <w:rsid w:val="00B50387"/>
    <w:rsid w:val="00B51256"/>
    <w:rsid w:val="00B514E6"/>
    <w:rsid w:val="00B52A33"/>
    <w:rsid w:val="00B53533"/>
    <w:rsid w:val="00B53D06"/>
    <w:rsid w:val="00B546F2"/>
    <w:rsid w:val="00B54959"/>
    <w:rsid w:val="00B54D9F"/>
    <w:rsid w:val="00B55703"/>
    <w:rsid w:val="00B559A0"/>
    <w:rsid w:val="00B55D02"/>
    <w:rsid w:val="00B55DD1"/>
    <w:rsid w:val="00B55FDD"/>
    <w:rsid w:val="00B56AFD"/>
    <w:rsid w:val="00B56B0A"/>
    <w:rsid w:val="00B56B2B"/>
    <w:rsid w:val="00B57029"/>
    <w:rsid w:val="00B573CF"/>
    <w:rsid w:val="00B573F2"/>
    <w:rsid w:val="00B577EF"/>
    <w:rsid w:val="00B57946"/>
    <w:rsid w:val="00B603AE"/>
    <w:rsid w:val="00B60E4C"/>
    <w:rsid w:val="00B610DF"/>
    <w:rsid w:val="00B6145F"/>
    <w:rsid w:val="00B61AA2"/>
    <w:rsid w:val="00B6213D"/>
    <w:rsid w:val="00B6231E"/>
    <w:rsid w:val="00B626CF"/>
    <w:rsid w:val="00B626E9"/>
    <w:rsid w:val="00B6284C"/>
    <w:rsid w:val="00B6348D"/>
    <w:rsid w:val="00B641A2"/>
    <w:rsid w:val="00B64418"/>
    <w:rsid w:val="00B64AB1"/>
    <w:rsid w:val="00B64C10"/>
    <w:rsid w:val="00B655EA"/>
    <w:rsid w:val="00B65D6D"/>
    <w:rsid w:val="00B660BD"/>
    <w:rsid w:val="00B6672A"/>
    <w:rsid w:val="00B66A6B"/>
    <w:rsid w:val="00B66B12"/>
    <w:rsid w:val="00B66DC4"/>
    <w:rsid w:val="00B66E43"/>
    <w:rsid w:val="00B66FC4"/>
    <w:rsid w:val="00B67015"/>
    <w:rsid w:val="00B671C8"/>
    <w:rsid w:val="00B673C2"/>
    <w:rsid w:val="00B67411"/>
    <w:rsid w:val="00B6741A"/>
    <w:rsid w:val="00B674F9"/>
    <w:rsid w:val="00B67D0A"/>
    <w:rsid w:val="00B70A3C"/>
    <w:rsid w:val="00B7122A"/>
    <w:rsid w:val="00B71237"/>
    <w:rsid w:val="00B716EA"/>
    <w:rsid w:val="00B7176E"/>
    <w:rsid w:val="00B71777"/>
    <w:rsid w:val="00B71FF4"/>
    <w:rsid w:val="00B724F0"/>
    <w:rsid w:val="00B7266C"/>
    <w:rsid w:val="00B72749"/>
    <w:rsid w:val="00B7319A"/>
    <w:rsid w:val="00B734EB"/>
    <w:rsid w:val="00B73788"/>
    <w:rsid w:val="00B73EAC"/>
    <w:rsid w:val="00B740B4"/>
    <w:rsid w:val="00B740C4"/>
    <w:rsid w:val="00B74BEA"/>
    <w:rsid w:val="00B7511E"/>
    <w:rsid w:val="00B752DB"/>
    <w:rsid w:val="00B752EC"/>
    <w:rsid w:val="00B757E2"/>
    <w:rsid w:val="00B75DFC"/>
    <w:rsid w:val="00B75EAE"/>
    <w:rsid w:val="00B7662D"/>
    <w:rsid w:val="00B7675F"/>
    <w:rsid w:val="00B77019"/>
    <w:rsid w:val="00B77135"/>
    <w:rsid w:val="00B775A2"/>
    <w:rsid w:val="00B77962"/>
    <w:rsid w:val="00B779BB"/>
    <w:rsid w:val="00B77F73"/>
    <w:rsid w:val="00B801D2"/>
    <w:rsid w:val="00B80B27"/>
    <w:rsid w:val="00B80C6A"/>
    <w:rsid w:val="00B80D5D"/>
    <w:rsid w:val="00B80DDD"/>
    <w:rsid w:val="00B81287"/>
    <w:rsid w:val="00B81305"/>
    <w:rsid w:val="00B81461"/>
    <w:rsid w:val="00B8185C"/>
    <w:rsid w:val="00B81987"/>
    <w:rsid w:val="00B81C0C"/>
    <w:rsid w:val="00B82AE5"/>
    <w:rsid w:val="00B83D43"/>
    <w:rsid w:val="00B841F1"/>
    <w:rsid w:val="00B84559"/>
    <w:rsid w:val="00B84A34"/>
    <w:rsid w:val="00B854D2"/>
    <w:rsid w:val="00B85E8B"/>
    <w:rsid w:val="00B85F84"/>
    <w:rsid w:val="00B86C14"/>
    <w:rsid w:val="00B86C33"/>
    <w:rsid w:val="00B87261"/>
    <w:rsid w:val="00B874C3"/>
    <w:rsid w:val="00B907DA"/>
    <w:rsid w:val="00B9089E"/>
    <w:rsid w:val="00B90A2F"/>
    <w:rsid w:val="00B90BC0"/>
    <w:rsid w:val="00B9113E"/>
    <w:rsid w:val="00B911DF"/>
    <w:rsid w:val="00B913B9"/>
    <w:rsid w:val="00B91429"/>
    <w:rsid w:val="00B914D3"/>
    <w:rsid w:val="00B917F3"/>
    <w:rsid w:val="00B92A8A"/>
    <w:rsid w:val="00B92FFB"/>
    <w:rsid w:val="00B935A4"/>
    <w:rsid w:val="00B93DAB"/>
    <w:rsid w:val="00B93DCD"/>
    <w:rsid w:val="00B94478"/>
    <w:rsid w:val="00B94634"/>
    <w:rsid w:val="00B948EA"/>
    <w:rsid w:val="00B94F02"/>
    <w:rsid w:val="00B94F78"/>
    <w:rsid w:val="00B956C2"/>
    <w:rsid w:val="00B9575F"/>
    <w:rsid w:val="00B95A18"/>
    <w:rsid w:val="00B95C5A"/>
    <w:rsid w:val="00B95E7A"/>
    <w:rsid w:val="00B962A8"/>
    <w:rsid w:val="00B963FD"/>
    <w:rsid w:val="00B96400"/>
    <w:rsid w:val="00B9685D"/>
    <w:rsid w:val="00B968E5"/>
    <w:rsid w:val="00B97700"/>
    <w:rsid w:val="00B97932"/>
    <w:rsid w:val="00BA08BB"/>
    <w:rsid w:val="00BA08BF"/>
    <w:rsid w:val="00BA09E0"/>
    <w:rsid w:val="00BA0EA5"/>
    <w:rsid w:val="00BA1391"/>
    <w:rsid w:val="00BA1B08"/>
    <w:rsid w:val="00BA1C77"/>
    <w:rsid w:val="00BA1EB9"/>
    <w:rsid w:val="00BA24CC"/>
    <w:rsid w:val="00BA2548"/>
    <w:rsid w:val="00BA3289"/>
    <w:rsid w:val="00BA3C8B"/>
    <w:rsid w:val="00BA3CB3"/>
    <w:rsid w:val="00BA4146"/>
    <w:rsid w:val="00BA450F"/>
    <w:rsid w:val="00BA50A5"/>
    <w:rsid w:val="00BA50F2"/>
    <w:rsid w:val="00BA5E36"/>
    <w:rsid w:val="00BA5F8B"/>
    <w:rsid w:val="00BA6B74"/>
    <w:rsid w:val="00BA6DC4"/>
    <w:rsid w:val="00BA6E9E"/>
    <w:rsid w:val="00BA737D"/>
    <w:rsid w:val="00BA74C6"/>
    <w:rsid w:val="00BA7B7A"/>
    <w:rsid w:val="00BA7E6D"/>
    <w:rsid w:val="00BB00CB"/>
    <w:rsid w:val="00BB02D1"/>
    <w:rsid w:val="00BB0803"/>
    <w:rsid w:val="00BB093F"/>
    <w:rsid w:val="00BB0DA1"/>
    <w:rsid w:val="00BB1288"/>
    <w:rsid w:val="00BB19B2"/>
    <w:rsid w:val="00BB1D52"/>
    <w:rsid w:val="00BB29A4"/>
    <w:rsid w:val="00BB2BE8"/>
    <w:rsid w:val="00BB2D03"/>
    <w:rsid w:val="00BB2FCD"/>
    <w:rsid w:val="00BB38B6"/>
    <w:rsid w:val="00BB3A23"/>
    <w:rsid w:val="00BB3D40"/>
    <w:rsid w:val="00BB481C"/>
    <w:rsid w:val="00BB4CB7"/>
    <w:rsid w:val="00BB4D2D"/>
    <w:rsid w:val="00BB502F"/>
    <w:rsid w:val="00BB5654"/>
    <w:rsid w:val="00BB5B2B"/>
    <w:rsid w:val="00BB67D7"/>
    <w:rsid w:val="00BB6AE6"/>
    <w:rsid w:val="00BB6BC2"/>
    <w:rsid w:val="00BB7295"/>
    <w:rsid w:val="00BC15FF"/>
    <w:rsid w:val="00BC2920"/>
    <w:rsid w:val="00BC2C9D"/>
    <w:rsid w:val="00BC301B"/>
    <w:rsid w:val="00BC3226"/>
    <w:rsid w:val="00BC3A0A"/>
    <w:rsid w:val="00BC486F"/>
    <w:rsid w:val="00BC51EE"/>
    <w:rsid w:val="00BC535C"/>
    <w:rsid w:val="00BC576B"/>
    <w:rsid w:val="00BC5C5F"/>
    <w:rsid w:val="00BC5CFE"/>
    <w:rsid w:val="00BC5D16"/>
    <w:rsid w:val="00BC628E"/>
    <w:rsid w:val="00BC6455"/>
    <w:rsid w:val="00BC65C8"/>
    <w:rsid w:val="00BC6DA7"/>
    <w:rsid w:val="00BC7018"/>
    <w:rsid w:val="00BC731F"/>
    <w:rsid w:val="00BC791B"/>
    <w:rsid w:val="00BC7A62"/>
    <w:rsid w:val="00BD0A29"/>
    <w:rsid w:val="00BD151B"/>
    <w:rsid w:val="00BD268A"/>
    <w:rsid w:val="00BD2A91"/>
    <w:rsid w:val="00BD2B95"/>
    <w:rsid w:val="00BD2D44"/>
    <w:rsid w:val="00BD3867"/>
    <w:rsid w:val="00BD3969"/>
    <w:rsid w:val="00BD3F5C"/>
    <w:rsid w:val="00BD4214"/>
    <w:rsid w:val="00BD44DB"/>
    <w:rsid w:val="00BD498D"/>
    <w:rsid w:val="00BD4C59"/>
    <w:rsid w:val="00BD4C83"/>
    <w:rsid w:val="00BD4D1E"/>
    <w:rsid w:val="00BD53FE"/>
    <w:rsid w:val="00BD554A"/>
    <w:rsid w:val="00BD5C78"/>
    <w:rsid w:val="00BD5D3F"/>
    <w:rsid w:val="00BD5EAB"/>
    <w:rsid w:val="00BD6316"/>
    <w:rsid w:val="00BD67DB"/>
    <w:rsid w:val="00BD7319"/>
    <w:rsid w:val="00BD74B4"/>
    <w:rsid w:val="00BE0523"/>
    <w:rsid w:val="00BE0F67"/>
    <w:rsid w:val="00BE0FD9"/>
    <w:rsid w:val="00BE11BF"/>
    <w:rsid w:val="00BE154F"/>
    <w:rsid w:val="00BE164C"/>
    <w:rsid w:val="00BE199B"/>
    <w:rsid w:val="00BE1C32"/>
    <w:rsid w:val="00BE1F0B"/>
    <w:rsid w:val="00BE2246"/>
    <w:rsid w:val="00BE26CC"/>
    <w:rsid w:val="00BE2745"/>
    <w:rsid w:val="00BE2F13"/>
    <w:rsid w:val="00BE31F2"/>
    <w:rsid w:val="00BE36FD"/>
    <w:rsid w:val="00BE3C11"/>
    <w:rsid w:val="00BE413A"/>
    <w:rsid w:val="00BE4B3B"/>
    <w:rsid w:val="00BE4C67"/>
    <w:rsid w:val="00BE57CA"/>
    <w:rsid w:val="00BE57F7"/>
    <w:rsid w:val="00BE5C1D"/>
    <w:rsid w:val="00BE5C7C"/>
    <w:rsid w:val="00BE60E8"/>
    <w:rsid w:val="00BE64FB"/>
    <w:rsid w:val="00BE6792"/>
    <w:rsid w:val="00BE679A"/>
    <w:rsid w:val="00BE694F"/>
    <w:rsid w:val="00BE6B4C"/>
    <w:rsid w:val="00BE750F"/>
    <w:rsid w:val="00BE7663"/>
    <w:rsid w:val="00BE7B0B"/>
    <w:rsid w:val="00BE7B8E"/>
    <w:rsid w:val="00BE7EC3"/>
    <w:rsid w:val="00BF0314"/>
    <w:rsid w:val="00BF033A"/>
    <w:rsid w:val="00BF03ED"/>
    <w:rsid w:val="00BF0EB1"/>
    <w:rsid w:val="00BF0EEC"/>
    <w:rsid w:val="00BF184B"/>
    <w:rsid w:val="00BF1AA9"/>
    <w:rsid w:val="00BF1C0A"/>
    <w:rsid w:val="00BF1D31"/>
    <w:rsid w:val="00BF205D"/>
    <w:rsid w:val="00BF30D4"/>
    <w:rsid w:val="00BF31B6"/>
    <w:rsid w:val="00BF35FC"/>
    <w:rsid w:val="00BF3ABE"/>
    <w:rsid w:val="00BF4242"/>
    <w:rsid w:val="00BF42B9"/>
    <w:rsid w:val="00BF45AB"/>
    <w:rsid w:val="00BF4726"/>
    <w:rsid w:val="00BF4E78"/>
    <w:rsid w:val="00BF4F59"/>
    <w:rsid w:val="00BF5BE8"/>
    <w:rsid w:val="00BF6130"/>
    <w:rsid w:val="00BF640E"/>
    <w:rsid w:val="00BF6863"/>
    <w:rsid w:val="00BF71B9"/>
    <w:rsid w:val="00BF7924"/>
    <w:rsid w:val="00BF7E7B"/>
    <w:rsid w:val="00BF7EDC"/>
    <w:rsid w:val="00C00191"/>
    <w:rsid w:val="00C00342"/>
    <w:rsid w:val="00C02DA2"/>
    <w:rsid w:val="00C02E28"/>
    <w:rsid w:val="00C02E5E"/>
    <w:rsid w:val="00C04042"/>
    <w:rsid w:val="00C041A6"/>
    <w:rsid w:val="00C04B3E"/>
    <w:rsid w:val="00C04C60"/>
    <w:rsid w:val="00C066D4"/>
    <w:rsid w:val="00C06E0A"/>
    <w:rsid w:val="00C0790B"/>
    <w:rsid w:val="00C07999"/>
    <w:rsid w:val="00C100F0"/>
    <w:rsid w:val="00C10BBE"/>
    <w:rsid w:val="00C10C42"/>
    <w:rsid w:val="00C10DAA"/>
    <w:rsid w:val="00C116C4"/>
    <w:rsid w:val="00C11737"/>
    <w:rsid w:val="00C1180F"/>
    <w:rsid w:val="00C11904"/>
    <w:rsid w:val="00C11F72"/>
    <w:rsid w:val="00C121C6"/>
    <w:rsid w:val="00C12207"/>
    <w:rsid w:val="00C123E0"/>
    <w:rsid w:val="00C12487"/>
    <w:rsid w:val="00C12848"/>
    <w:rsid w:val="00C12975"/>
    <w:rsid w:val="00C12F29"/>
    <w:rsid w:val="00C138B7"/>
    <w:rsid w:val="00C13908"/>
    <w:rsid w:val="00C13EE7"/>
    <w:rsid w:val="00C14389"/>
    <w:rsid w:val="00C143CD"/>
    <w:rsid w:val="00C147F3"/>
    <w:rsid w:val="00C14AE3"/>
    <w:rsid w:val="00C14B17"/>
    <w:rsid w:val="00C14DDB"/>
    <w:rsid w:val="00C1516E"/>
    <w:rsid w:val="00C151E1"/>
    <w:rsid w:val="00C152DB"/>
    <w:rsid w:val="00C164D2"/>
    <w:rsid w:val="00C16990"/>
    <w:rsid w:val="00C16F70"/>
    <w:rsid w:val="00C16FDF"/>
    <w:rsid w:val="00C17428"/>
    <w:rsid w:val="00C205CB"/>
    <w:rsid w:val="00C206A1"/>
    <w:rsid w:val="00C20710"/>
    <w:rsid w:val="00C207D4"/>
    <w:rsid w:val="00C210C9"/>
    <w:rsid w:val="00C21A01"/>
    <w:rsid w:val="00C21ACA"/>
    <w:rsid w:val="00C221D9"/>
    <w:rsid w:val="00C224A9"/>
    <w:rsid w:val="00C22881"/>
    <w:rsid w:val="00C23537"/>
    <w:rsid w:val="00C238D3"/>
    <w:rsid w:val="00C23DB3"/>
    <w:rsid w:val="00C242B6"/>
    <w:rsid w:val="00C24C97"/>
    <w:rsid w:val="00C24F6D"/>
    <w:rsid w:val="00C25082"/>
    <w:rsid w:val="00C255CE"/>
    <w:rsid w:val="00C255EA"/>
    <w:rsid w:val="00C2572D"/>
    <w:rsid w:val="00C25753"/>
    <w:rsid w:val="00C25806"/>
    <w:rsid w:val="00C25ED0"/>
    <w:rsid w:val="00C25FCA"/>
    <w:rsid w:val="00C2622C"/>
    <w:rsid w:val="00C268E1"/>
    <w:rsid w:val="00C26FA5"/>
    <w:rsid w:val="00C2718F"/>
    <w:rsid w:val="00C27365"/>
    <w:rsid w:val="00C303D7"/>
    <w:rsid w:val="00C305CA"/>
    <w:rsid w:val="00C31529"/>
    <w:rsid w:val="00C31625"/>
    <w:rsid w:val="00C316DC"/>
    <w:rsid w:val="00C31C36"/>
    <w:rsid w:val="00C31D6E"/>
    <w:rsid w:val="00C32B0E"/>
    <w:rsid w:val="00C32C7A"/>
    <w:rsid w:val="00C33483"/>
    <w:rsid w:val="00C336A1"/>
    <w:rsid w:val="00C33FCA"/>
    <w:rsid w:val="00C34631"/>
    <w:rsid w:val="00C34708"/>
    <w:rsid w:val="00C34E14"/>
    <w:rsid w:val="00C3500A"/>
    <w:rsid w:val="00C35267"/>
    <w:rsid w:val="00C354BC"/>
    <w:rsid w:val="00C3573A"/>
    <w:rsid w:val="00C35AC3"/>
    <w:rsid w:val="00C36537"/>
    <w:rsid w:val="00C37140"/>
    <w:rsid w:val="00C373E8"/>
    <w:rsid w:val="00C37689"/>
    <w:rsid w:val="00C37732"/>
    <w:rsid w:val="00C3795D"/>
    <w:rsid w:val="00C37BA6"/>
    <w:rsid w:val="00C400EC"/>
    <w:rsid w:val="00C40687"/>
    <w:rsid w:val="00C407C0"/>
    <w:rsid w:val="00C407F6"/>
    <w:rsid w:val="00C409BD"/>
    <w:rsid w:val="00C40AF7"/>
    <w:rsid w:val="00C40B78"/>
    <w:rsid w:val="00C4158C"/>
    <w:rsid w:val="00C41632"/>
    <w:rsid w:val="00C419F8"/>
    <w:rsid w:val="00C41A42"/>
    <w:rsid w:val="00C41ACC"/>
    <w:rsid w:val="00C41E52"/>
    <w:rsid w:val="00C428C1"/>
    <w:rsid w:val="00C42D26"/>
    <w:rsid w:val="00C42F9C"/>
    <w:rsid w:val="00C43661"/>
    <w:rsid w:val="00C4370E"/>
    <w:rsid w:val="00C439FC"/>
    <w:rsid w:val="00C44199"/>
    <w:rsid w:val="00C4419B"/>
    <w:rsid w:val="00C441C6"/>
    <w:rsid w:val="00C44960"/>
    <w:rsid w:val="00C44AFF"/>
    <w:rsid w:val="00C456B6"/>
    <w:rsid w:val="00C45C37"/>
    <w:rsid w:val="00C45FAD"/>
    <w:rsid w:val="00C463B7"/>
    <w:rsid w:val="00C4642E"/>
    <w:rsid w:val="00C464AD"/>
    <w:rsid w:val="00C465E7"/>
    <w:rsid w:val="00C46761"/>
    <w:rsid w:val="00C4709E"/>
    <w:rsid w:val="00C47974"/>
    <w:rsid w:val="00C500F7"/>
    <w:rsid w:val="00C50C97"/>
    <w:rsid w:val="00C514D3"/>
    <w:rsid w:val="00C515CB"/>
    <w:rsid w:val="00C51B9C"/>
    <w:rsid w:val="00C52E96"/>
    <w:rsid w:val="00C5300E"/>
    <w:rsid w:val="00C5310D"/>
    <w:rsid w:val="00C531C9"/>
    <w:rsid w:val="00C53A7C"/>
    <w:rsid w:val="00C53B32"/>
    <w:rsid w:val="00C54635"/>
    <w:rsid w:val="00C549BB"/>
    <w:rsid w:val="00C54B70"/>
    <w:rsid w:val="00C54D16"/>
    <w:rsid w:val="00C54F95"/>
    <w:rsid w:val="00C5522C"/>
    <w:rsid w:val="00C555EA"/>
    <w:rsid w:val="00C56B9F"/>
    <w:rsid w:val="00C56C38"/>
    <w:rsid w:val="00C57DCF"/>
    <w:rsid w:val="00C6011B"/>
    <w:rsid w:val="00C61022"/>
    <w:rsid w:val="00C6145B"/>
    <w:rsid w:val="00C61779"/>
    <w:rsid w:val="00C6222D"/>
    <w:rsid w:val="00C62588"/>
    <w:rsid w:val="00C62632"/>
    <w:rsid w:val="00C62690"/>
    <w:rsid w:val="00C62E79"/>
    <w:rsid w:val="00C631B3"/>
    <w:rsid w:val="00C634A0"/>
    <w:rsid w:val="00C63E40"/>
    <w:rsid w:val="00C642EE"/>
    <w:rsid w:val="00C6441F"/>
    <w:rsid w:val="00C646B0"/>
    <w:rsid w:val="00C64C16"/>
    <w:rsid w:val="00C6509B"/>
    <w:rsid w:val="00C65213"/>
    <w:rsid w:val="00C6535F"/>
    <w:rsid w:val="00C653DB"/>
    <w:rsid w:val="00C65593"/>
    <w:rsid w:val="00C658EE"/>
    <w:rsid w:val="00C6596C"/>
    <w:rsid w:val="00C65CCF"/>
    <w:rsid w:val="00C66D0F"/>
    <w:rsid w:val="00C67BDF"/>
    <w:rsid w:val="00C70051"/>
    <w:rsid w:val="00C70AC4"/>
    <w:rsid w:val="00C71C2A"/>
    <w:rsid w:val="00C71F72"/>
    <w:rsid w:val="00C72268"/>
    <w:rsid w:val="00C72423"/>
    <w:rsid w:val="00C745C2"/>
    <w:rsid w:val="00C74788"/>
    <w:rsid w:val="00C7481B"/>
    <w:rsid w:val="00C748A8"/>
    <w:rsid w:val="00C74B3F"/>
    <w:rsid w:val="00C7505F"/>
    <w:rsid w:val="00C751BC"/>
    <w:rsid w:val="00C75418"/>
    <w:rsid w:val="00C756B9"/>
    <w:rsid w:val="00C75944"/>
    <w:rsid w:val="00C76542"/>
    <w:rsid w:val="00C767AC"/>
    <w:rsid w:val="00C76947"/>
    <w:rsid w:val="00C7699B"/>
    <w:rsid w:val="00C76BFF"/>
    <w:rsid w:val="00C77222"/>
    <w:rsid w:val="00C7742B"/>
    <w:rsid w:val="00C775A5"/>
    <w:rsid w:val="00C80693"/>
    <w:rsid w:val="00C80B10"/>
    <w:rsid w:val="00C80BA1"/>
    <w:rsid w:val="00C80C0B"/>
    <w:rsid w:val="00C8100E"/>
    <w:rsid w:val="00C81238"/>
    <w:rsid w:val="00C81541"/>
    <w:rsid w:val="00C817C3"/>
    <w:rsid w:val="00C81C05"/>
    <w:rsid w:val="00C82403"/>
    <w:rsid w:val="00C8261B"/>
    <w:rsid w:val="00C82663"/>
    <w:rsid w:val="00C82FDD"/>
    <w:rsid w:val="00C83618"/>
    <w:rsid w:val="00C837FA"/>
    <w:rsid w:val="00C83CD4"/>
    <w:rsid w:val="00C83DED"/>
    <w:rsid w:val="00C83FCD"/>
    <w:rsid w:val="00C84EC6"/>
    <w:rsid w:val="00C84F47"/>
    <w:rsid w:val="00C84F49"/>
    <w:rsid w:val="00C8502D"/>
    <w:rsid w:val="00C85094"/>
    <w:rsid w:val="00C8530E"/>
    <w:rsid w:val="00C85863"/>
    <w:rsid w:val="00C866C5"/>
    <w:rsid w:val="00C86A61"/>
    <w:rsid w:val="00C86BD2"/>
    <w:rsid w:val="00C8750F"/>
    <w:rsid w:val="00C87F3C"/>
    <w:rsid w:val="00C90178"/>
    <w:rsid w:val="00C90243"/>
    <w:rsid w:val="00C905F6"/>
    <w:rsid w:val="00C90747"/>
    <w:rsid w:val="00C91861"/>
    <w:rsid w:val="00C919C6"/>
    <w:rsid w:val="00C91AB9"/>
    <w:rsid w:val="00C9280F"/>
    <w:rsid w:val="00C9296A"/>
    <w:rsid w:val="00C92E66"/>
    <w:rsid w:val="00C93184"/>
    <w:rsid w:val="00C9378E"/>
    <w:rsid w:val="00C93B4E"/>
    <w:rsid w:val="00C93D7F"/>
    <w:rsid w:val="00C943F1"/>
    <w:rsid w:val="00C94B85"/>
    <w:rsid w:val="00C94FEB"/>
    <w:rsid w:val="00C9514B"/>
    <w:rsid w:val="00C95569"/>
    <w:rsid w:val="00C959BC"/>
    <w:rsid w:val="00C96979"/>
    <w:rsid w:val="00C96EA9"/>
    <w:rsid w:val="00C96F6E"/>
    <w:rsid w:val="00C97292"/>
    <w:rsid w:val="00C97461"/>
    <w:rsid w:val="00C97915"/>
    <w:rsid w:val="00C97A1C"/>
    <w:rsid w:val="00C97D26"/>
    <w:rsid w:val="00C97DF7"/>
    <w:rsid w:val="00C97E64"/>
    <w:rsid w:val="00C97EFD"/>
    <w:rsid w:val="00CA0402"/>
    <w:rsid w:val="00CA0584"/>
    <w:rsid w:val="00CA080B"/>
    <w:rsid w:val="00CA0B62"/>
    <w:rsid w:val="00CA0E5E"/>
    <w:rsid w:val="00CA1393"/>
    <w:rsid w:val="00CA1586"/>
    <w:rsid w:val="00CA1960"/>
    <w:rsid w:val="00CA1FA5"/>
    <w:rsid w:val="00CA2547"/>
    <w:rsid w:val="00CA2783"/>
    <w:rsid w:val="00CA288D"/>
    <w:rsid w:val="00CA2949"/>
    <w:rsid w:val="00CA2E95"/>
    <w:rsid w:val="00CA3547"/>
    <w:rsid w:val="00CA3A06"/>
    <w:rsid w:val="00CA3BE2"/>
    <w:rsid w:val="00CA3EF3"/>
    <w:rsid w:val="00CA4079"/>
    <w:rsid w:val="00CA4147"/>
    <w:rsid w:val="00CA455F"/>
    <w:rsid w:val="00CA4A6E"/>
    <w:rsid w:val="00CA542C"/>
    <w:rsid w:val="00CA5515"/>
    <w:rsid w:val="00CA60BE"/>
    <w:rsid w:val="00CA61F5"/>
    <w:rsid w:val="00CA620A"/>
    <w:rsid w:val="00CA6876"/>
    <w:rsid w:val="00CA7203"/>
    <w:rsid w:val="00CA73DE"/>
    <w:rsid w:val="00CA7684"/>
    <w:rsid w:val="00CA7762"/>
    <w:rsid w:val="00CA77EC"/>
    <w:rsid w:val="00CA7AA6"/>
    <w:rsid w:val="00CA7C0F"/>
    <w:rsid w:val="00CB0AA6"/>
    <w:rsid w:val="00CB0D8C"/>
    <w:rsid w:val="00CB1366"/>
    <w:rsid w:val="00CB4E3E"/>
    <w:rsid w:val="00CB51A3"/>
    <w:rsid w:val="00CB546B"/>
    <w:rsid w:val="00CB55BB"/>
    <w:rsid w:val="00CB56C2"/>
    <w:rsid w:val="00CB6056"/>
    <w:rsid w:val="00CB691D"/>
    <w:rsid w:val="00CB6980"/>
    <w:rsid w:val="00CB7149"/>
    <w:rsid w:val="00CB739D"/>
    <w:rsid w:val="00CC0351"/>
    <w:rsid w:val="00CC077F"/>
    <w:rsid w:val="00CC0AA7"/>
    <w:rsid w:val="00CC18EB"/>
    <w:rsid w:val="00CC1DA4"/>
    <w:rsid w:val="00CC2327"/>
    <w:rsid w:val="00CC2546"/>
    <w:rsid w:val="00CC2ED5"/>
    <w:rsid w:val="00CC35EA"/>
    <w:rsid w:val="00CC3665"/>
    <w:rsid w:val="00CC367E"/>
    <w:rsid w:val="00CC39D0"/>
    <w:rsid w:val="00CC3A5E"/>
    <w:rsid w:val="00CC3B49"/>
    <w:rsid w:val="00CC42FC"/>
    <w:rsid w:val="00CC4B98"/>
    <w:rsid w:val="00CC4C74"/>
    <w:rsid w:val="00CC51DE"/>
    <w:rsid w:val="00CC523A"/>
    <w:rsid w:val="00CC55D3"/>
    <w:rsid w:val="00CC5621"/>
    <w:rsid w:val="00CC5FC1"/>
    <w:rsid w:val="00CC65E6"/>
    <w:rsid w:val="00CC6982"/>
    <w:rsid w:val="00CC6B87"/>
    <w:rsid w:val="00CC7517"/>
    <w:rsid w:val="00CC7B2E"/>
    <w:rsid w:val="00CC7C7F"/>
    <w:rsid w:val="00CC7F7B"/>
    <w:rsid w:val="00CD0828"/>
    <w:rsid w:val="00CD090F"/>
    <w:rsid w:val="00CD0F5F"/>
    <w:rsid w:val="00CD1F40"/>
    <w:rsid w:val="00CD233C"/>
    <w:rsid w:val="00CD262B"/>
    <w:rsid w:val="00CD2DD4"/>
    <w:rsid w:val="00CD3660"/>
    <w:rsid w:val="00CD4226"/>
    <w:rsid w:val="00CD444F"/>
    <w:rsid w:val="00CD4772"/>
    <w:rsid w:val="00CD4C2D"/>
    <w:rsid w:val="00CD4C9B"/>
    <w:rsid w:val="00CD4EE0"/>
    <w:rsid w:val="00CD5F36"/>
    <w:rsid w:val="00CD65C9"/>
    <w:rsid w:val="00CD70C6"/>
    <w:rsid w:val="00CD7621"/>
    <w:rsid w:val="00CD7A72"/>
    <w:rsid w:val="00CD7BD2"/>
    <w:rsid w:val="00CD7C0C"/>
    <w:rsid w:val="00CE0656"/>
    <w:rsid w:val="00CE0AA9"/>
    <w:rsid w:val="00CE0AF3"/>
    <w:rsid w:val="00CE1834"/>
    <w:rsid w:val="00CE1AF1"/>
    <w:rsid w:val="00CE1E70"/>
    <w:rsid w:val="00CE21AB"/>
    <w:rsid w:val="00CE237B"/>
    <w:rsid w:val="00CE2480"/>
    <w:rsid w:val="00CE27CE"/>
    <w:rsid w:val="00CE281E"/>
    <w:rsid w:val="00CE2EE9"/>
    <w:rsid w:val="00CE3577"/>
    <w:rsid w:val="00CE3E30"/>
    <w:rsid w:val="00CE4C87"/>
    <w:rsid w:val="00CE54B3"/>
    <w:rsid w:val="00CE56DF"/>
    <w:rsid w:val="00CE60A4"/>
    <w:rsid w:val="00CE6327"/>
    <w:rsid w:val="00CE65B6"/>
    <w:rsid w:val="00CE6614"/>
    <w:rsid w:val="00CE6953"/>
    <w:rsid w:val="00CE6B32"/>
    <w:rsid w:val="00CE6F45"/>
    <w:rsid w:val="00CE72F1"/>
    <w:rsid w:val="00CE7A33"/>
    <w:rsid w:val="00CE7AF8"/>
    <w:rsid w:val="00CE7EFD"/>
    <w:rsid w:val="00CF0594"/>
    <w:rsid w:val="00CF07F6"/>
    <w:rsid w:val="00CF0A72"/>
    <w:rsid w:val="00CF0C38"/>
    <w:rsid w:val="00CF0E65"/>
    <w:rsid w:val="00CF1050"/>
    <w:rsid w:val="00CF14E7"/>
    <w:rsid w:val="00CF176F"/>
    <w:rsid w:val="00CF2154"/>
    <w:rsid w:val="00CF22B9"/>
    <w:rsid w:val="00CF25E3"/>
    <w:rsid w:val="00CF260E"/>
    <w:rsid w:val="00CF2E57"/>
    <w:rsid w:val="00CF400C"/>
    <w:rsid w:val="00CF4106"/>
    <w:rsid w:val="00CF4196"/>
    <w:rsid w:val="00CF420A"/>
    <w:rsid w:val="00CF4569"/>
    <w:rsid w:val="00CF47F7"/>
    <w:rsid w:val="00CF5685"/>
    <w:rsid w:val="00CF5B97"/>
    <w:rsid w:val="00CF6555"/>
    <w:rsid w:val="00CF680D"/>
    <w:rsid w:val="00CF6831"/>
    <w:rsid w:val="00CF6B12"/>
    <w:rsid w:val="00CF72FB"/>
    <w:rsid w:val="00D00434"/>
    <w:rsid w:val="00D0051F"/>
    <w:rsid w:val="00D00C6E"/>
    <w:rsid w:val="00D00E71"/>
    <w:rsid w:val="00D01391"/>
    <w:rsid w:val="00D013DF"/>
    <w:rsid w:val="00D01626"/>
    <w:rsid w:val="00D01670"/>
    <w:rsid w:val="00D01B9A"/>
    <w:rsid w:val="00D01B9F"/>
    <w:rsid w:val="00D02569"/>
    <w:rsid w:val="00D02B66"/>
    <w:rsid w:val="00D0302D"/>
    <w:rsid w:val="00D030EA"/>
    <w:rsid w:val="00D03967"/>
    <w:rsid w:val="00D03ED8"/>
    <w:rsid w:val="00D041F8"/>
    <w:rsid w:val="00D044A9"/>
    <w:rsid w:val="00D04A5B"/>
    <w:rsid w:val="00D05389"/>
    <w:rsid w:val="00D056BE"/>
    <w:rsid w:val="00D05879"/>
    <w:rsid w:val="00D05E59"/>
    <w:rsid w:val="00D06ACC"/>
    <w:rsid w:val="00D06D9F"/>
    <w:rsid w:val="00D0749E"/>
    <w:rsid w:val="00D07950"/>
    <w:rsid w:val="00D079A1"/>
    <w:rsid w:val="00D10396"/>
    <w:rsid w:val="00D10935"/>
    <w:rsid w:val="00D10A85"/>
    <w:rsid w:val="00D10ECB"/>
    <w:rsid w:val="00D126BF"/>
    <w:rsid w:val="00D12922"/>
    <w:rsid w:val="00D12A35"/>
    <w:rsid w:val="00D12FAF"/>
    <w:rsid w:val="00D1328A"/>
    <w:rsid w:val="00D134A8"/>
    <w:rsid w:val="00D1359D"/>
    <w:rsid w:val="00D13832"/>
    <w:rsid w:val="00D1421B"/>
    <w:rsid w:val="00D14D70"/>
    <w:rsid w:val="00D1512A"/>
    <w:rsid w:val="00D15782"/>
    <w:rsid w:val="00D169C0"/>
    <w:rsid w:val="00D17C16"/>
    <w:rsid w:val="00D17D1C"/>
    <w:rsid w:val="00D20978"/>
    <w:rsid w:val="00D2129F"/>
    <w:rsid w:val="00D212B8"/>
    <w:rsid w:val="00D21AB3"/>
    <w:rsid w:val="00D222C0"/>
    <w:rsid w:val="00D226BD"/>
    <w:rsid w:val="00D227A3"/>
    <w:rsid w:val="00D2286E"/>
    <w:rsid w:val="00D22F17"/>
    <w:rsid w:val="00D23085"/>
    <w:rsid w:val="00D23470"/>
    <w:rsid w:val="00D24063"/>
    <w:rsid w:val="00D24210"/>
    <w:rsid w:val="00D24D63"/>
    <w:rsid w:val="00D2507A"/>
    <w:rsid w:val="00D2513B"/>
    <w:rsid w:val="00D25165"/>
    <w:rsid w:val="00D256D6"/>
    <w:rsid w:val="00D25795"/>
    <w:rsid w:val="00D257CB"/>
    <w:rsid w:val="00D2650C"/>
    <w:rsid w:val="00D26A08"/>
    <w:rsid w:val="00D27438"/>
    <w:rsid w:val="00D27775"/>
    <w:rsid w:val="00D2780B"/>
    <w:rsid w:val="00D30238"/>
    <w:rsid w:val="00D3044D"/>
    <w:rsid w:val="00D3051D"/>
    <w:rsid w:val="00D3087A"/>
    <w:rsid w:val="00D30F2C"/>
    <w:rsid w:val="00D31AF4"/>
    <w:rsid w:val="00D31E55"/>
    <w:rsid w:val="00D31E9B"/>
    <w:rsid w:val="00D31FAA"/>
    <w:rsid w:val="00D320EA"/>
    <w:rsid w:val="00D321B1"/>
    <w:rsid w:val="00D32485"/>
    <w:rsid w:val="00D3343B"/>
    <w:rsid w:val="00D336F0"/>
    <w:rsid w:val="00D3494E"/>
    <w:rsid w:val="00D34956"/>
    <w:rsid w:val="00D3508C"/>
    <w:rsid w:val="00D35398"/>
    <w:rsid w:val="00D35751"/>
    <w:rsid w:val="00D35D44"/>
    <w:rsid w:val="00D35E08"/>
    <w:rsid w:val="00D361AD"/>
    <w:rsid w:val="00D36B85"/>
    <w:rsid w:val="00D36B8B"/>
    <w:rsid w:val="00D36E05"/>
    <w:rsid w:val="00D370AC"/>
    <w:rsid w:val="00D37106"/>
    <w:rsid w:val="00D3754A"/>
    <w:rsid w:val="00D37747"/>
    <w:rsid w:val="00D37761"/>
    <w:rsid w:val="00D37829"/>
    <w:rsid w:val="00D40430"/>
    <w:rsid w:val="00D4043A"/>
    <w:rsid w:val="00D40478"/>
    <w:rsid w:val="00D40656"/>
    <w:rsid w:val="00D40F25"/>
    <w:rsid w:val="00D41858"/>
    <w:rsid w:val="00D41F5E"/>
    <w:rsid w:val="00D4228F"/>
    <w:rsid w:val="00D42530"/>
    <w:rsid w:val="00D42584"/>
    <w:rsid w:val="00D42688"/>
    <w:rsid w:val="00D4309E"/>
    <w:rsid w:val="00D4389F"/>
    <w:rsid w:val="00D43997"/>
    <w:rsid w:val="00D43A94"/>
    <w:rsid w:val="00D43ACD"/>
    <w:rsid w:val="00D43D1B"/>
    <w:rsid w:val="00D43D50"/>
    <w:rsid w:val="00D43E69"/>
    <w:rsid w:val="00D4411A"/>
    <w:rsid w:val="00D441FD"/>
    <w:rsid w:val="00D44248"/>
    <w:rsid w:val="00D4452A"/>
    <w:rsid w:val="00D44989"/>
    <w:rsid w:val="00D453B3"/>
    <w:rsid w:val="00D458F9"/>
    <w:rsid w:val="00D45B10"/>
    <w:rsid w:val="00D45F68"/>
    <w:rsid w:val="00D4604C"/>
    <w:rsid w:val="00D4691C"/>
    <w:rsid w:val="00D470A4"/>
    <w:rsid w:val="00D4747A"/>
    <w:rsid w:val="00D47586"/>
    <w:rsid w:val="00D509CD"/>
    <w:rsid w:val="00D5112B"/>
    <w:rsid w:val="00D51627"/>
    <w:rsid w:val="00D528CF"/>
    <w:rsid w:val="00D5292D"/>
    <w:rsid w:val="00D529B8"/>
    <w:rsid w:val="00D533D5"/>
    <w:rsid w:val="00D533F0"/>
    <w:rsid w:val="00D53913"/>
    <w:rsid w:val="00D539B3"/>
    <w:rsid w:val="00D53F31"/>
    <w:rsid w:val="00D53FD7"/>
    <w:rsid w:val="00D54CD3"/>
    <w:rsid w:val="00D54D78"/>
    <w:rsid w:val="00D5547E"/>
    <w:rsid w:val="00D5599F"/>
    <w:rsid w:val="00D55C30"/>
    <w:rsid w:val="00D55DA0"/>
    <w:rsid w:val="00D55E20"/>
    <w:rsid w:val="00D55E59"/>
    <w:rsid w:val="00D55F05"/>
    <w:rsid w:val="00D56528"/>
    <w:rsid w:val="00D57135"/>
    <w:rsid w:val="00D576BD"/>
    <w:rsid w:val="00D57C25"/>
    <w:rsid w:val="00D57FAF"/>
    <w:rsid w:val="00D6006A"/>
    <w:rsid w:val="00D60623"/>
    <w:rsid w:val="00D6105B"/>
    <w:rsid w:val="00D61393"/>
    <w:rsid w:val="00D61725"/>
    <w:rsid w:val="00D61D8A"/>
    <w:rsid w:val="00D62370"/>
    <w:rsid w:val="00D625F3"/>
    <w:rsid w:val="00D629F0"/>
    <w:rsid w:val="00D62E68"/>
    <w:rsid w:val="00D63531"/>
    <w:rsid w:val="00D63DF9"/>
    <w:rsid w:val="00D64456"/>
    <w:rsid w:val="00D64579"/>
    <w:rsid w:val="00D647FE"/>
    <w:rsid w:val="00D64A6A"/>
    <w:rsid w:val="00D64F07"/>
    <w:rsid w:val="00D65000"/>
    <w:rsid w:val="00D65950"/>
    <w:rsid w:val="00D65D3B"/>
    <w:rsid w:val="00D65D91"/>
    <w:rsid w:val="00D65F25"/>
    <w:rsid w:val="00D66552"/>
    <w:rsid w:val="00D6740B"/>
    <w:rsid w:val="00D674FA"/>
    <w:rsid w:val="00D676CF"/>
    <w:rsid w:val="00D67CAC"/>
    <w:rsid w:val="00D706F8"/>
    <w:rsid w:val="00D70909"/>
    <w:rsid w:val="00D716D2"/>
    <w:rsid w:val="00D71745"/>
    <w:rsid w:val="00D726C8"/>
    <w:rsid w:val="00D72D3F"/>
    <w:rsid w:val="00D73219"/>
    <w:rsid w:val="00D73C1E"/>
    <w:rsid w:val="00D73D40"/>
    <w:rsid w:val="00D73DF4"/>
    <w:rsid w:val="00D7464D"/>
    <w:rsid w:val="00D74873"/>
    <w:rsid w:val="00D749DC"/>
    <w:rsid w:val="00D74DBA"/>
    <w:rsid w:val="00D75231"/>
    <w:rsid w:val="00D75375"/>
    <w:rsid w:val="00D75D5A"/>
    <w:rsid w:val="00D760D0"/>
    <w:rsid w:val="00D76354"/>
    <w:rsid w:val="00D76372"/>
    <w:rsid w:val="00D76618"/>
    <w:rsid w:val="00D767EF"/>
    <w:rsid w:val="00D76B25"/>
    <w:rsid w:val="00D76B6D"/>
    <w:rsid w:val="00D7714C"/>
    <w:rsid w:val="00D777E9"/>
    <w:rsid w:val="00D778EF"/>
    <w:rsid w:val="00D779E8"/>
    <w:rsid w:val="00D77EE9"/>
    <w:rsid w:val="00D804E8"/>
    <w:rsid w:val="00D80FE0"/>
    <w:rsid w:val="00D8101B"/>
    <w:rsid w:val="00D813A0"/>
    <w:rsid w:val="00D814AF"/>
    <w:rsid w:val="00D81A8A"/>
    <w:rsid w:val="00D81FED"/>
    <w:rsid w:val="00D82621"/>
    <w:rsid w:val="00D8283D"/>
    <w:rsid w:val="00D828AF"/>
    <w:rsid w:val="00D82A5A"/>
    <w:rsid w:val="00D83229"/>
    <w:rsid w:val="00D8349E"/>
    <w:rsid w:val="00D835B0"/>
    <w:rsid w:val="00D83952"/>
    <w:rsid w:val="00D83A8C"/>
    <w:rsid w:val="00D83D0F"/>
    <w:rsid w:val="00D83E9C"/>
    <w:rsid w:val="00D8430D"/>
    <w:rsid w:val="00D84424"/>
    <w:rsid w:val="00D84C30"/>
    <w:rsid w:val="00D84E0F"/>
    <w:rsid w:val="00D84E6F"/>
    <w:rsid w:val="00D85568"/>
    <w:rsid w:val="00D8560E"/>
    <w:rsid w:val="00D85669"/>
    <w:rsid w:val="00D85AF9"/>
    <w:rsid w:val="00D85CE8"/>
    <w:rsid w:val="00D861B7"/>
    <w:rsid w:val="00D867A4"/>
    <w:rsid w:val="00D86972"/>
    <w:rsid w:val="00D86CF4"/>
    <w:rsid w:val="00D872C3"/>
    <w:rsid w:val="00D872ED"/>
    <w:rsid w:val="00D87882"/>
    <w:rsid w:val="00D87A05"/>
    <w:rsid w:val="00D87A52"/>
    <w:rsid w:val="00D87B4B"/>
    <w:rsid w:val="00D87CD8"/>
    <w:rsid w:val="00D90623"/>
    <w:rsid w:val="00D90AD1"/>
    <w:rsid w:val="00D910C1"/>
    <w:rsid w:val="00D914B6"/>
    <w:rsid w:val="00D91956"/>
    <w:rsid w:val="00D91D74"/>
    <w:rsid w:val="00D92DAB"/>
    <w:rsid w:val="00D9367D"/>
    <w:rsid w:val="00D9381C"/>
    <w:rsid w:val="00D938D4"/>
    <w:rsid w:val="00D939BD"/>
    <w:rsid w:val="00D93C6D"/>
    <w:rsid w:val="00D93EDF"/>
    <w:rsid w:val="00D94006"/>
    <w:rsid w:val="00D9435C"/>
    <w:rsid w:val="00D94576"/>
    <w:rsid w:val="00D945A8"/>
    <w:rsid w:val="00D9559E"/>
    <w:rsid w:val="00D960C4"/>
    <w:rsid w:val="00D96C00"/>
    <w:rsid w:val="00D97714"/>
    <w:rsid w:val="00DA09E8"/>
    <w:rsid w:val="00DA0C75"/>
    <w:rsid w:val="00DA13E2"/>
    <w:rsid w:val="00DA18DF"/>
    <w:rsid w:val="00DA1979"/>
    <w:rsid w:val="00DA19FC"/>
    <w:rsid w:val="00DA1E2A"/>
    <w:rsid w:val="00DA1EBA"/>
    <w:rsid w:val="00DA1ECD"/>
    <w:rsid w:val="00DA24EA"/>
    <w:rsid w:val="00DA271E"/>
    <w:rsid w:val="00DA2F62"/>
    <w:rsid w:val="00DA351E"/>
    <w:rsid w:val="00DA37EC"/>
    <w:rsid w:val="00DA3862"/>
    <w:rsid w:val="00DA3A14"/>
    <w:rsid w:val="00DA3F74"/>
    <w:rsid w:val="00DA4057"/>
    <w:rsid w:val="00DA4165"/>
    <w:rsid w:val="00DA4521"/>
    <w:rsid w:val="00DA460B"/>
    <w:rsid w:val="00DA460C"/>
    <w:rsid w:val="00DA4C95"/>
    <w:rsid w:val="00DA4FCB"/>
    <w:rsid w:val="00DA50B7"/>
    <w:rsid w:val="00DA51A8"/>
    <w:rsid w:val="00DA53FE"/>
    <w:rsid w:val="00DA553A"/>
    <w:rsid w:val="00DA5791"/>
    <w:rsid w:val="00DA58DA"/>
    <w:rsid w:val="00DA5931"/>
    <w:rsid w:val="00DA5FEC"/>
    <w:rsid w:val="00DA6472"/>
    <w:rsid w:val="00DA66AA"/>
    <w:rsid w:val="00DA686D"/>
    <w:rsid w:val="00DA6F81"/>
    <w:rsid w:val="00DA70C2"/>
    <w:rsid w:val="00DA731A"/>
    <w:rsid w:val="00DA7445"/>
    <w:rsid w:val="00DA7D0B"/>
    <w:rsid w:val="00DA7E6C"/>
    <w:rsid w:val="00DA7E7C"/>
    <w:rsid w:val="00DB0636"/>
    <w:rsid w:val="00DB0BF6"/>
    <w:rsid w:val="00DB0E23"/>
    <w:rsid w:val="00DB0F82"/>
    <w:rsid w:val="00DB0FB8"/>
    <w:rsid w:val="00DB121D"/>
    <w:rsid w:val="00DB17D0"/>
    <w:rsid w:val="00DB20DD"/>
    <w:rsid w:val="00DB2D9D"/>
    <w:rsid w:val="00DB3832"/>
    <w:rsid w:val="00DB3BE2"/>
    <w:rsid w:val="00DB4034"/>
    <w:rsid w:val="00DB4114"/>
    <w:rsid w:val="00DB4247"/>
    <w:rsid w:val="00DB4576"/>
    <w:rsid w:val="00DB481C"/>
    <w:rsid w:val="00DB49FB"/>
    <w:rsid w:val="00DB4B46"/>
    <w:rsid w:val="00DB5415"/>
    <w:rsid w:val="00DB5E3D"/>
    <w:rsid w:val="00DB626D"/>
    <w:rsid w:val="00DB639D"/>
    <w:rsid w:val="00DB63EB"/>
    <w:rsid w:val="00DB678F"/>
    <w:rsid w:val="00DB681A"/>
    <w:rsid w:val="00DB6F4A"/>
    <w:rsid w:val="00DB7098"/>
    <w:rsid w:val="00DB78A3"/>
    <w:rsid w:val="00DC0367"/>
    <w:rsid w:val="00DC04D4"/>
    <w:rsid w:val="00DC0510"/>
    <w:rsid w:val="00DC0B56"/>
    <w:rsid w:val="00DC0C08"/>
    <w:rsid w:val="00DC23B4"/>
    <w:rsid w:val="00DC24CE"/>
    <w:rsid w:val="00DC2FD1"/>
    <w:rsid w:val="00DC3831"/>
    <w:rsid w:val="00DC3B7B"/>
    <w:rsid w:val="00DC3CB7"/>
    <w:rsid w:val="00DC3F1E"/>
    <w:rsid w:val="00DC492D"/>
    <w:rsid w:val="00DC4B06"/>
    <w:rsid w:val="00DC58B0"/>
    <w:rsid w:val="00DC5FCE"/>
    <w:rsid w:val="00DC6123"/>
    <w:rsid w:val="00DC686C"/>
    <w:rsid w:val="00DC6D91"/>
    <w:rsid w:val="00DC6ED1"/>
    <w:rsid w:val="00DC70B2"/>
    <w:rsid w:val="00DC753D"/>
    <w:rsid w:val="00DC7AA4"/>
    <w:rsid w:val="00DD0175"/>
    <w:rsid w:val="00DD0204"/>
    <w:rsid w:val="00DD14AD"/>
    <w:rsid w:val="00DD14EF"/>
    <w:rsid w:val="00DD1DC6"/>
    <w:rsid w:val="00DD2222"/>
    <w:rsid w:val="00DD27E2"/>
    <w:rsid w:val="00DD2BD9"/>
    <w:rsid w:val="00DD3046"/>
    <w:rsid w:val="00DD3194"/>
    <w:rsid w:val="00DD3E5B"/>
    <w:rsid w:val="00DD432C"/>
    <w:rsid w:val="00DD445D"/>
    <w:rsid w:val="00DD4B24"/>
    <w:rsid w:val="00DD4D8F"/>
    <w:rsid w:val="00DD4FB4"/>
    <w:rsid w:val="00DD4FFD"/>
    <w:rsid w:val="00DD51EF"/>
    <w:rsid w:val="00DD5CAF"/>
    <w:rsid w:val="00DD66B7"/>
    <w:rsid w:val="00DD715A"/>
    <w:rsid w:val="00DD7206"/>
    <w:rsid w:val="00DE0138"/>
    <w:rsid w:val="00DE033C"/>
    <w:rsid w:val="00DE07FA"/>
    <w:rsid w:val="00DE086D"/>
    <w:rsid w:val="00DE0962"/>
    <w:rsid w:val="00DE09AC"/>
    <w:rsid w:val="00DE0BC9"/>
    <w:rsid w:val="00DE0D23"/>
    <w:rsid w:val="00DE0DC0"/>
    <w:rsid w:val="00DE1559"/>
    <w:rsid w:val="00DE2823"/>
    <w:rsid w:val="00DE2B7F"/>
    <w:rsid w:val="00DE335C"/>
    <w:rsid w:val="00DE3452"/>
    <w:rsid w:val="00DE3500"/>
    <w:rsid w:val="00DE3666"/>
    <w:rsid w:val="00DE3678"/>
    <w:rsid w:val="00DE3B5B"/>
    <w:rsid w:val="00DE3B84"/>
    <w:rsid w:val="00DE3C54"/>
    <w:rsid w:val="00DE414A"/>
    <w:rsid w:val="00DE425D"/>
    <w:rsid w:val="00DE4A7D"/>
    <w:rsid w:val="00DE4D3F"/>
    <w:rsid w:val="00DE53A1"/>
    <w:rsid w:val="00DE61F0"/>
    <w:rsid w:val="00DE628C"/>
    <w:rsid w:val="00DE639C"/>
    <w:rsid w:val="00DE6E89"/>
    <w:rsid w:val="00DE726E"/>
    <w:rsid w:val="00DE7697"/>
    <w:rsid w:val="00DE7C20"/>
    <w:rsid w:val="00DE7ED0"/>
    <w:rsid w:val="00DF095E"/>
    <w:rsid w:val="00DF1486"/>
    <w:rsid w:val="00DF279C"/>
    <w:rsid w:val="00DF2999"/>
    <w:rsid w:val="00DF2A3C"/>
    <w:rsid w:val="00DF2E1F"/>
    <w:rsid w:val="00DF3BE8"/>
    <w:rsid w:val="00DF41D9"/>
    <w:rsid w:val="00DF4618"/>
    <w:rsid w:val="00DF4BCC"/>
    <w:rsid w:val="00DF5400"/>
    <w:rsid w:val="00DF607B"/>
    <w:rsid w:val="00DF74AF"/>
    <w:rsid w:val="00DF7B31"/>
    <w:rsid w:val="00E0060C"/>
    <w:rsid w:val="00E00822"/>
    <w:rsid w:val="00E00ABF"/>
    <w:rsid w:val="00E00CC6"/>
    <w:rsid w:val="00E01666"/>
    <w:rsid w:val="00E019BA"/>
    <w:rsid w:val="00E01DBE"/>
    <w:rsid w:val="00E0220E"/>
    <w:rsid w:val="00E02B3D"/>
    <w:rsid w:val="00E02B83"/>
    <w:rsid w:val="00E02E60"/>
    <w:rsid w:val="00E02FE1"/>
    <w:rsid w:val="00E03131"/>
    <w:rsid w:val="00E0328B"/>
    <w:rsid w:val="00E033D1"/>
    <w:rsid w:val="00E0400B"/>
    <w:rsid w:val="00E04206"/>
    <w:rsid w:val="00E0438A"/>
    <w:rsid w:val="00E0497F"/>
    <w:rsid w:val="00E0533B"/>
    <w:rsid w:val="00E0560F"/>
    <w:rsid w:val="00E05DDE"/>
    <w:rsid w:val="00E06B4B"/>
    <w:rsid w:val="00E0716D"/>
    <w:rsid w:val="00E071A3"/>
    <w:rsid w:val="00E0764C"/>
    <w:rsid w:val="00E078EA"/>
    <w:rsid w:val="00E10993"/>
    <w:rsid w:val="00E114B2"/>
    <w:rsid w:val="00E116BE"/>
    <w:rsid w:val="00E1180B"/>
    <w:rsid w:val="00E11C85"/>
    <w:rsid w:val="00E11D76"/>
    <w:rsid w:val="00E11F8B"/>
    <w:rsid w:val="00E124CA"/>
    <w:rsid w:val="00E12E88"/>
    <w:rsid w:val="00E13087"/>
    <w:rsid w:val="00E131D6"/>
    <w:rsid w:val="00E13292"/>
    <w:rsid w:val="00E13964"/>
    <w:rsid w:val="00E13EFF"/>
    <w:rsid w:val="00E14793"/>
    <w:rsid w:val="00E1486C"/>
    <w:rsid w:val="00E148BF"/>
    <w:rsid w:val="00E14A11"/>
    <w:rsid w:val="00E14F34"/>
    <w:rsid w:val="00E15092"/>
    <w:rsid w:val="00E15180"/>
    <w:rsid w:val="00E155E1"/>
    <w:rsid w:val="00E15716"/>
    <w:rsid w:val="00E15AF6"/>
    <w:rsid w:val="00E15B95"/>
    <w:rsid w:val="00E1653D"/>
    <w:rsid w:val="00E16836"/>
    <w:rsid w:val="00E16871"/>
    <w:rsid w:val="00E16898"/>
    <w:rsid w:val="00E169BB"/>
    <w:rsid w:val="00E16AFF"/>
    <w:rsid w:val="00E16E76"/>
    <w:rsid w:val="00E17337"/>
    <w:rsid w:val="00E1775D"/>
    <w:rsid w:val="00E179C8"/>
    <w:rsid w:val="00E17B12"/>
    <w:rsid w:val="00E17FA7"/>
    <w:rsid w:val="00E207BB"/>
    <w:rsid w:val="00E20C5B"/>
    <w:rsid w:val="00E210F3"/>
    <w:rsid w:val="00E213D9"/>
    <w:rsid w:val="00E2192B"/>
    <w:rsid w:val="00E2193D"/>
    <w:rsid w:val="00E21AD7"/>
    <w:rsid w:val="00E21EC6"/>
    <w:rsid w:val="00E23043"/>
    <w:rsid w:val="00E23141"/>
    <w:rsid w:val="00E2326C"/>
    <w:rsid w:val="00E23480"/>
    <w:rsid w:val="00E236E5"/>
    <w:rsid w:val="00E238B6"/>
    <w:rsid w:val="00E23A06"/>
    <w:rsid w:val="00E23A91"/>
    <w:rsid w:val="00E23FD9"/>
    <w:rsid w:val="00E24081"/>
    <w:rsid w:val="00E2453D"/>
    <w:rsid w:val="00E24731"/>
    <w:rsid w:val="00E24AEE"/>
    <w:rsid w:val="00E2558A"/>
    <w:rsid w:val="00E25C24"/>
    <w:rsid w:val="00E260C4"/>
    <w:rsid w:val="00E269E5"/>
    <w:rsid w:val="00E274B8"/>
    <w:rsid w:val="00E27AA4"/>
    <w:rsid w:val="00E30CFE"/>
    <w:rsid w:val="00E31278"/>
    <w:rsid w:val="00E31487"/>
    <w:rsid w:val="00E316D8"/>
    <w:rsid w:val="00E31B8E"/>
    <w:rsid w:val="00E324AC"/>
    <w:rsid w:val="00E327C5"/>
    <w:rsid w:val="00E33D62"/>
    <w:rsid w:val="00E33E5A"/>
    <w:rsid w:val="00E34151"/>
    <w:rsid w:val="00E3423C"/>
    <w:rsid w:val="00E34D73"/>
    <w:rsid w:val="00E350FB"/>
    <w:rsid w:val="00E35178"/>
    <w:rsid w:val="00E35606"/>
    <w:rsid w:val="00E35C95"/>
    <w:rsid w:val="00E36179"/>
    <w:rsid w:val="00E36A98"/>
    <w:rsid w:val="00E373A5"/>
    <w:rsid w:val="00E374B4"/>
    <w:rsid w:val="00E37E8C"/>
    <w:rsid w:val="00E37F4A"/>
    <w:rsid w:val="00E41394"/>
    <w:rsid w:val="00E41446"/>
    <w:rsid w:val="00E415B0"/>
    <w:rsid w:val="00E416E8"/>
    <w:rsid w:val="00E4180E"/>
    <w:rsid w:val="00E418C5"/>
    <w:rsid w:val="00E41967"/>
    <w:rsid w:val="00E419E3"/>
    <w:rsid w:val="00E427CF"/>
    <w:rsid w:val="00E42947"/>
    <w:rsid w:val="00E42B2F"/>
    <w:rsid w:val="00E43388"/>
    <w:rsid w:val="00E43434"/>
    <w:rsid w:val="00E43542"/>
    <w:rsid w:val="00E438E8"/>
    <w:rsid w:val="00E43C29"/>
    <w:rsid w:val="00E43CE4"/>
    <w:rsid w:val="00E43D91"/>
    <w:rsid w:val="00E44C11"/>
    <w:rsid w:val="00E45240"/>
    <w:rsid w:val="00E454CB"/>
    <w:rsid w:val="00E45823"/>
    <w:rsid w:val="00E4619E"/>
    <w:rsid w:val="00E4677D"/>
    <w:rsid w:val="00E469D9"/>
    <w:rsid w:val="00E46A48"/>
    <w:rsid w:val="00E46C8A"/>
    <w:rsid w:val="00E46D27"/>
    <w:rsid w:val="00E47136"/>
    <w:rsid w:val="00E47982"/>
    <w:rsid w:val="00E50EB2"/>
    <w:rsid w:val="00E51588"/>
    <w:rsid w:val="00E5220D"/>
    <w:rsid w:val="00E52231"/>
    <w:rsid w:val="00E526AA"/>
    <w:rsid w:val="00E5298F"/>
    <w:rsid w:val="00E529AF"/>
    <w:rsid w:val="00E54351"/>
    <w:rsid w:val="00E54638"/>
    <w:rsid w:val="00E54728"/>
    <w:rsid w:val="00E54864"/>
    <w:rsid w:val="00E54AE4"/>
    <w:rsid w:val="00E54D70"/>
    <w:rsid w:val="00E5531B"/>
    <w:rsid w:val="00E5563F"/>
    <w:rsid w:val="00E55B20"/>
    <w:rsid w:val="00E55E36"/>
    <w:rsid w:val="00E564CC"/>
    <w:rsid w:val="00E56A55"/>
    <w:rsid w:val="00E56BDD"/>
    <w:rsid w:val="00E57008"/>
    <w:rsid w:val="00E571C7"/>
    <w:rsid w:val="00E60143"/>
    <w:rsid w:val="00E603AA"/>
    <w:rsid w:val="00E60677"/>
    <w:rsid w:val="00E606C0"/>
    <w:rsid w:val="00E60BA7"/>
    <w:rsid w:val="00E60FC9"/>
    <w:rsid w:val="00E6118A"/>
    <w:rsid w:val="00E61288"/>
    <w:rsid w:val="00E612D9"/>
    <w:rsid w:val="00E61670"/>
    <w:rsid w:val="00E617C5"/>
    <w:rsid w:val="00E625CF"/>
    <w:rsid w:val="00E6287A"/>
    <w:rsid w:val="00E62970"/>
    <w:rsid w:val="00E62A33"/>
    <w:rsid w:val="00E63050"/>
    <w:rsid w:val="00E63362"/>
    <w:rsid w:val="00E63398"/>
    <w:rsid w:val="00E633FA"/>
    <w:rsid w:val="00E63A61"/>
    <w:rsid w:val="00E63E98"/>
    <w:rsid w:val="00E640E8"/>
    <w:rsid w:val="00E645B1"/>
    <w:rsid w:val="00E6486B"/>
    <w:rsid w:val="00E648B5"/>
    <w:rsid w:val="00E648FD"/>
    <w:rsid w:val="00E64917"/>
    <w:rsid w:val="00E64F31"/>
    <w:rsid w:val="00E652E3"/>
    <w:rsid w:val="00E655DD"/>
    <w:rsid w:val="00E6598D"/>
    <w:rsid w:val="00E65E96"/>
    <w:rsid w:val="00E65EB8"/>
    <w:rsid w:val="00E66220"/>
    <w:rsid w:val="00E66413"/>
    <w:rsid w:val="00E67005"/>
    <w:rsid w:val="00E6736E"/>
    <w:rsid w:val="00E67629"/>
    <w:rsid w:val="00E70219"/>
    <w:rsid w:val="00E7038E"/>
    <w:rsid w:val="00E7097A"/>
    <w:rsid w:val="00E709F1"/>
    <w:rsid w:val="00E70DCA"/>
    <w:rsid w:val="00E713DC"/>
    <w:rsid w:val="00E71AF3"/>
    <w:rsid w:val="00E71CB2"/>
    <w:rsid w:val="00E725E9"/>
    <w:rsid w:val="00E7296F"/>
    <w:rsid w:val="00E7303B"/>
    <w:rsid w:val="00E73507"/>
    <w:rsid w:val="00E74E73"/>
    <w:rsid w:val="00E75546"/>
    <w:rsid w:val="00E75CC1"/>
    <w:rsid w:val="00E76665"/>
    <w:rsid w:val="00E76711"/>
    <w:rsid w:val="00E76772"/>
    <w:rsid w:val="00E767E8"/>
    <w:rsid w:val="00E7716E"/>
    <w:rsid w:val="00E77286"/>
    <w:rsid w:val="00E77A9A"/>
    <w:rsid w:val="00E77C21"/>
    <w:rsid w:val="00E77EB6"/>
    <w:rsid w:val="00E804A8"/>
    <w:rsid w:val="00E80BD8"/>
    <w:rsid w:val="00E80E4B"/>
    <w:rsid w:val="00E810A2"/>
    <w:rsid w:val="00E81632"/>
    <w:rsid w:val="00E81FA2"/>
    <w:rsid w:val="00E82917"/>
    <w:rsid w:val="00E82BE6"/>
    <w:rsid w:val="00E82CF1"/>
    <w:rsid w:val="00E8307B"/>
    <w:rsid w:val="00E83136"/>
    <w:rsid w:val="00E83485"/>
    <w:rsid w:val="00E83789"/>
    <w:rsid w:val="00E837DD"/>
    <w:rsid w:val="00E84390"/>
    <w:rsid w:val="00E845D1"/>
    <w:rsid w:val="00E84BCF"/>
    <w:rsid w:val="00E85771"/>
    <w:rsid w:val="00E85C91"/>
    <w:rsid w:val="00E85ED2"/>
    <w:rsid w:val="00E867FF"/>
    <w:rsid w:val="00E86A21"/>
    <w:rsid w:val="00E86BF2"/>
    <w:rsid w:val="00E870B9"/>
    <w:rsid w:val="00E87556"/>
    <w:rsid w:val="00E878B2"/>
    <w:rsid w:val="00E87FC4"/>
    <w:rsid w:val="00E90635"/>
    <w:rsid w:val="00E90B82"/>
    <w:rsid w:val="00E9146C"/>
    <w:rsid w:val="00E917D7"/>
    <w:rsid w:val="00E919B5"/>
    <w:rsid w:val="00E91F0A"/>
    <w:rsid w:val="00E9233C"/>
    <w:rsid w:val="00E92595"/>
    <w:rsid w:val="00E92B4B"/>
    <w:rsid w:val="00E931D6"/>
    <w:rsid w:val="00E93399"/>
    <w:rsid w:val="00E93585"/>
    <w:rsid w:val="00E93812"/>
    <w:rsid w:val="00E93855"/>
    <w:rsid w:val="00E93BCE"/>
    <w:rsid w:val="00E940D3"/>
    <w:rsid w:val="00E94150"/>
    <w:rsid w:val="00E94411"/>
    <w:rsid w:val="00E9447D"/>
    <w:rsid w:val="00E9460D"/>
    <w:rsid w:val="00E94E41"/>
    <w:rsid w:val="00E94EFF"/>
    <w:rsid w:val="00E94F51"/>
    <w:rsid w:val="00E94F53"/>
    <w:rsid w:val="00E95061"/>
    <w:rsid w:val="00E95997"/>
    <w:rsid w:val="00E95C24"/>
    <w:rsid w:val="00E961A3"/>
    <w:rsid w:val="00E966ED"/>
    <w:rsid w:val="00E96796"/>
    <w:rsid w:val="00E968B7"/>
    <w:rsid w:val="00E97222"/>
    <w:rsid w:val="00E978F9"/>
    <w:rsid w:val="00EA014D"/>
    <w:rsid w:val="00EA019B"/>
    <w:rsid w:val="00EA051F"/>
    <w:rsid w:val="00EA08BF"/>
    <w:rsid w:val="00EA0CF3"/>
    <w:rsid w:val="00EA0E06"/>
    <w:rsid w:val="00EA18D2"/>
    <w:rsid w:val="00EA2306"/>
    <w:rsid w:val="00EA273D"/>
    <w:rsid w:val="00EA2773"/>
    <w:rsid w:val="00EA2879"/>
    <w:rsid w:val="00EA2EDF"/>
    <w:rsid w:val="00EA326E"/>
    <w:rsid w:val="00EA44AD"/>
    <w:rsid w:val="00EA44F9"/>
    <w:rsid w:val="00EA4C2A"/>
    <w:rsid w:val="00EA5056"/>
    <w:rsid w:val="00EA56A2"/>
    <w:rsid w:val="00EA5765"/>
    <w:rsid w:val="00EA5DEC"/>
    <w:rsid w:val="00EA5DF5"/>
    <w:rsid w:val="00EA5EFA"/>
    <w:rsid w:val="00EA6035"/>
    <w:rsid w:val="00EA6297"/>
    <w:rsid w:val="00EA648F"/>
    <w:rsid w:val="00EA668A"/>
    <w:rsid w:val="00EA67AE"/>
    <w:rsid w:val="00EA6D11"/>
    <w:rsid w:val="00EA7040"/>
    <w:rsid w:val="00EA7661"/>
    <w:rsid w:val="00EA769A"/>
    <w:rsid w:val="00EA77FF"/>
    <w:rsid w:val="00EA79D4"/>
    <w:rsid w:val="00EB0D02"/>
    <w:rsid w:val="00EB0DF6"/>
    <w:rsid w:val="00EB1094"/>
    <w:rsid w:val="00EB11B4"/>
    <w:rsid w:val="00EB1330"/>
    <w:rsid w:val="00EB1515"/>
    <w:rsid w:val="00EB19CF"/>
    <w:rsid w:val="00EB1B2A"/>
    <w:rsid w:val="00EB20E8"/>
    <w:rsid w:val="00EB2C3F"/>
    <w:rsid w:val="00EB2DBC"/>
    <w:rsid w:val="00EB3581"/>
    <w:rsid w:val="00EB3DA6"/>
    <w:rsid w:val="00EB404B"/>
    <w:rsid w:val="00EB4322"/>
    <w:rsid w:val="00EB466F"/>
    <w:rsid w:val="00EB4ABC"/>
    <w:rsid w:val="00EB4BF9"/>
    <w:rsid w:val="00EB505A"/>
    <w:rsid w:val="00EB5109"/>
    <w:rsid w:val="00EB5182"/>
    <w:rsid w:val="00EB58A6"/>
    <w:rsid w:val="00EB58AF"/>
    <w:rsid w:val="00EB5C92"/>
    <w:rsid w:val="00EB6098"/>
    <w:rsid w:val="00EB6199"/>
    <w:rsid w:val="00EB6B3F"/>
    <w:rsid w:val="00EB7AE0"/>
    <w:rsid w:val="00EB7DA4"/>
    <w:rsid w:val="00EB7FC3"/>
    <w:rsid w:val="00EC0891"/>
    <w:rsid w:val="00EC09DD"/>
    <w:rsid w:val="00EC163F"/>
    <w:rsid w:val="00EC1DA8"/>
    <w:rsid w:val="00EC1DF2"/>
    <w:rsid w:val="00EC22F0"/>
    <w:rsid w:val="00EC3963"/>
    <w:rsid w:val="00EC42EF"/>
    <w:rsid w:val="00EC462A"/>
    <w:rsid w:val="00EC4CC2"/>
    <w:rsid w:val="00EC514C"/>
    <w:rsid w:val="00EC5755"/>
    <w:rsid w:val="00EC5FA2"/>
    <w:rsid w:val="00EC6281"/>
    <w:rsid w:val="00EC63EC"/>
    <w:rsid w:val="00EC6810"/>
    <w:rsid w:val="00EC6B6D"/>
    <w:rsid w:val="00EC6B71"/>
    <w:rsid w:val="00EC731C"/>
    <w:rsid w:val="00EC73B9"/>
    <w:rsid w:val="00EC787F"/>
    <w:rsid w:val="00EC7ABD"/>
    <w:rsid w:val="00EC7B05"/>
    <w:rsid w:val="00EC7C2C"/>
    <w:rsid w:val="00ED0115"/>
    <w:rsid w:val="00ED10B6"/>
    <w:rsid w:val="00ED1386"/>
    <w:rsid w:val="00ED1702"/>
    <w:rsid w:val="00ED26FA"/>
    <w:rsid w:val="00ED270F"/>
    <w:rsid w:val="00ED2830"/>
    <w:rsid w:val="00ED2ACA"/>
    <w:rsid w:val="00ED2C2F"/>
    <w:rsid w:val="00ED312E"/>
    <w:rsid w:val="00ED3E88"/>
    <w:rsid w:val="00ED4B26"/>
    <w:rsid w:val="00ED4C31"/>
    <w:rsid w:val="00ED4D62"/>
    <w:rsid w:val="00ED5174"/>
    <w:rsid w:val="00ED58DB"/>
    <w:rsid w:val="00ED6797"/>
    <w:rsid w:val="00ED6EED"/>
    <w:rsid w:val="00ED77FD"/>
    <w:rsid w:val="00ED7C1D"/>
    <w:rsid w:val="00EE0156"/>
    <w:rsid w:val="00EE0D6A"/>
    <w:rsid w:val="00EE0DB0"/>
    <w:rsid w:val="00EE1537"/>
    <w:rsid w:val="00EE15C1"/>
    <w:rsid w:val="00EE1682"/>
    <w:rsid w:val="00EE19C8"/>
    <w:rsid w:val="00EE1A56"/>
    <w:rsid w:val="00EE20BB"/>
    <w:rsid w:val="00EE2A4F"/>
    <w:rsid w:val="00EE2DA8"/>
    <w:rsid w:val="00EE3119"/>
    <w:rsid w:val="00EE33D2"/>
    <w:rsid w:val="00EE33EC"/>
    <w:rsid w:val="00EE3788"/>
    <w:rsid w:val="00EE37DA"/>
    <w:rsid w:val="00EE39DF"/>
    <w:rsid w:val="00EE3AE3"/>
    <w:rsid w:val="00EE3B96"/>
    <w:rsid w:val="00EE3BE2"/>
    <w:rsid w:val="00EE3D4D"/>
    <w:rsid w:val="00EE450B"/>
    <w:rsid w:val="00EE4525"/>
    <w:rsid w:val="00EE4776"/>
    <w:rsid w:val="00EE4919"/>
    <w:rsid w:val="00EE58AD"/>
    <w:rsid w:val="00EE5CA7"/>
    <w:rsid w:val="00EE5CF4"/>
    <w:rsid w:val="00EE602F"/>
    <w:rsid w:val="00EE624D"/>
    <w:rsid w:val="00EE67F3"/>
    <w:rsid w:val="00EE7170"/>
    <w:rsid w:val="00EF07D2"/>
    <w:rsid w:val="00EF081E"/>
    <w:rsid w:val="00EF17ED"/>
    <w:rsid w:val="00EF25D5"/>
    <w:rsid w:val="00EF2919"/>
    <w:rsid w:val="00EF294C"/>
    <w:rsid w:val="00EF3865"/>
    <w:rsid w:val="00EF3D90"/>
    <w:rsid w:val="00EF4B06"/>
    <w:rsid w:val="00EF56F7"/>
    <w:rsid w:val="00EF5941"/>
    <w:rsid w:val="00EF5BCB"/>
    <w:rsid w:val="00EF688F"/>
    <w:rsid w:val="00EF68C3"/>
    <w:rsid w:val="00EF7957"/>
    <w:rsid w:val="00EF7EC0"/>
    <w:rsid w:val="00F00264"/>
    <w:rsid w:val="00F00BE7"/>
    <w:rsid w:val="00F00E0E"/>
    <w:rsid w:val="00F0104F"/>
    <w:rsid w:val="00F01877"/>
    <w:rsid w:val="00F018B8"/>
    <w:rsid w:val="00F01D28"/>
    <w:rsid w:val="00F022F8"/>
    <w:rsid w:val="00F023F4"/>
    <w:rsid w:val="00F0255A"/>
    <w:rsid w:val="00F02613"/>
    <w:rsid w:val="00F02CF2"/>
    <w:rsid w:val="00F030F1"/>
    <w:rsid w:val="00F034FA"/>
    <w:rsid w:val="00F03653"/>
    <w:rsid w:val="00F03702"/>
    <w:rsid w:val="00F04604"/>
    <w:rsid w:val="00F047A7"/>
    <w:rsid w:val="00F049EE"/>
    <w:rsid w:val="00F04BF0"/>
    <w:rsid w:val="00F0500C"/>
    <w:rsid w:val="00F05A9A"/>
    <w:rsid w:val="00F06845"/>
    <w:rsid w:val="00F0693A"/>
    <w:rsid w:val="00F06D1C"/>
    <w:rsid w:val="00F07C19"/>
    <w:rsid w:val="00F07FF9"/>
    <w:rsid w:val="00F10D88"/>
    <w:rsid w:val="00F1106C"/>
    <w:rsid w:val="00F111E8"/>
    <w:rsid w:val="00F112A2"/>
    <w:rsid w:val="00F1136C"/>
    <w:rsid w:val="00F1142D"/>
    <w:rsid w:val="00F1177B"/>
    <w:rsid w:val="00F11D28"/>
    <w:rsid w:val="00F124A2"/>
    <w:rsid w:val="00F125AB"/>
    <w:rsid w:val="00F1279D"/>
    <w:rsid w:val="00F12C93"/>
    <w:rsid w:val="00F1309C"/>
    <w:rsid w:val="00F131BC"/>
    <w:rsid w:val="00F131EF"/>
    <w:rsid w:val="00F13E06"/>
    <w:rsid w:val="00F1472E"/>
    <w:rsid w:val="00F14735"/>
    <w:rsid w:val="00F14E37"/>
    <w:rsid w:val="00F15094"/>
    <w:rsid w:val="00F15A58"/>
    <w:rsid w:val="00F168DB"/>
    <w:rsid w:val="00F16ED1"/>
    <w:rsid w:val="00F16ED7"/>
    <w:rsid w:val="00F17070"/>
    <w:rsid w:val="00F17493"/>
    <w:rsid w:val="00F179C2"/>
    <w:rsid w:val="00F204E7"/>
    <w:rsid w:val="00F20E4F"/>
    <w:rsid w:val="00F20F2C"/>
    <w:rsid w:val="00F21362"/>
    <w:rsid w:val="00F21452"/>
    <w:rsid w:val="00F2158E"/>
    <w:rsid w:val="00F21E16"/>
    <w:rsid w:val="00F221A4"/>
    <w:rsid w:val="00F22AEB"/>
    <w:rsid w:val="00F22C78"/>
    <w:rsid w:val="00F22F26"/>
    <w:rsid w:val="00F23384"/>
    <w:rsid w:val="00F236F2"/>
    <w:rsid w:val="00F237FB"/>
    <w:rsid w:val="00F238BA"/>
    <w:rsid w:val="00F23AA1"/>
    <w:rsid w:val="00F243A1"/>
    <w:rsid w:val="00F24AF7"/>
    <w:rsid w:val="00F24F08"/>
    <w:rsid w:val="00F25332"/>
    <w:rsid w:val="00F255ED"/>
    <w:rsid w:val="00F25926"/>
    <w:rsid w:val="00F25A36"/>
    <w:rsid w:val="00F25DFE"/>
    <w:rsid w:val="00F2614D"/>
    <w:rsid w:val="00F2646E"/>
    <w:rsid w:val="00F269F9"/>
    <w:rsid w:val="00F26D3C"/>
    <w:rsid w:val="00F274D5"/>
    <w:rsid w:val="00F2789E"/>
    <w:rsid w:val="00F278EC"/>
    <w:rsid w:val="00F27B9D"/>
    <w:rsid w:val="00F30CB0"/>
    <w:rsid w:val="00F3128F"/>
    <w:rsid w:val="00F314C5"/>
    <w:rsid w:val="00F31C83"/>
    <w:rsid w:val="00F323C0"/>
    <w:rsid w:val="00F3274A"/>
    <w:rsid w:val="00F32B2A"/>
    <w:rsid w:val="00F32E7F"/>
    <w:rsid w:val="00F331B0"/>
    <w:rsid w:val="00F342DD"/>
    <w:rsid w:val="00F34572"/>
    <w:rsid w:val="00F3546B"/>
    <w:rsid w:val="00F355BD"/>
    <w:rsid w:val="00F35898"/>
    <w:rsid w:val="00F35A16"/>
    <w:rsid w:val="00F36248"/>
    <w:rsid w:val="00F362C3"/>
    <w:rsid w:val="00F369C7"/>
    <w:rsid w:val="00F37126"/>
    <w:rsid w:val="00F374DE"/>
    <w:rsid w:val="00F37954"/>
    <w:rsid w:val="00F40299"/>
    <w:rsid w:val="00F406D9"/>
    <w:rsid w:val="00F40F08"/>
    <w:rsid w:val="00F41C3F"/>
    <w:rsid w:val="00F427C9"/>
    <w:rsid w:val="00F433F2"/>
    <w:rsid w:val="00F44061"/>
    <w:rsid w:val="00F4447E"/>
    <w:rsid w:val="00F4457A"/>
    <w:rsid w:val="00F4463A"/>
    <w:rsid w:val="00F447DA"/>
    <w:rsid w:val="00F44AB5"/>
    <w:rsid w:val="00F44E6A"/>
    <w:rsid w:val="00F45141"/>
    <w:rsid w:val="00F4551C"/>
    <w:rsid w:val="00F45CD2"/>
    <w:rsid w:val="00F45EBA"/>
    <w:rsid w:val="00F45EED"/>
    <w:rsid w:val="00F46113"/>
    <w:rsid w:val="00F46464"/>
    <w:rsid w:val="00F46555"/>
    <w:rsid w:val="00F46CE6"/>
    <w:rsid w:val="00F46D9B"/>
    <w:rsid w:val="00F46DBA"/>
    <w:rsid w:val="00F47029"/>
    <w:rsid w:val="00F474FD"/>
    <w:rsid w:val="00F47A31"/>
    <w:rsid w:val="00F501E9"/>
    <w:rsid w:val="00F5051E"/>
    <w:rsid w:val="00F509DE"/>
    <w:rsid w:val="00F50C0A"/>
    <w:rsid w:val="00F50CF2"/>
    <w:rsid w:val="00F50E25"/>
    <w:rsid w:val="00F52056"/>
    <w:rsid w:val="00F525DE"/>
    <w:rsid w:val="00F53063"/>
    <w:rsid w:val="00F533BA"/>
    <w:rsid w:val="00F53BAD"/>
    <w:rsid w:val="00F540C0"/>
    <w:rsid w:val="00F54333"/>
    <w:rsid w:val="00F544D1"/>
    <w:rsid w:val="00F54878"/>
    <w:rsid w:val="00F54892"/>
    <w:rsid w:val="00F54CEB"/>
    <w:rsid w:val="00F54E88"/>
    <w:rsid w:val="00F551E3"/>
    <w:rsid w:val="00F5582A"/>
    <w:rsid w:val="00F56709"/>
    <w:rsid w:val="00F579C2"/>
    <w:rsid w:val="00F57B9F"/>
    <w:rsid w:val="00F60219"/>
    <w:rsid w:val="00F603A1"/>
    <w:rsid w:val="00F605E0"/>
    <w:rsid w:val="00F608E3"/>
    <w:rsid w:val="00F60DFA"/>
    <w:rsid w:val="00F617BE"/>
    <w:rsid w:val="00F61896"/>
    <w:rsid w:val="00F61ADE"/>
    <w:rsid w:val="00F61CF5"/>
    <w:rsid w:val="00F61EAD"/>
    <w:rsid w:val="00F61FBA"/>
    <w:rsid w:val="00F62677"/>
    <w:rsid w:val="00F62A50"/>
    <w:rsid w:val="00F62A69"/>
    <w:rsid w:val="00F62D9C"/>
    <w:rsid w:val="00F62E3B"/>
    <w:rsid w:val="00F635EA"/>
    <w:rsid w:val="00F63A1F"/>
    <w:rsid w:val="00F641AE"/>
    <w:rsid w:val="00F64ECB"/>
    <w:rsid w:val="00F65EA0"/>
    <w:rsid w:val="00F66F26"/>
    <w:rsid w:val="00F67319"/>
    <w:rsid w:val="00F673E7"/>
    <w:rsid w:val="00F67A84"/>
    <w:rsid w:val="00F70063"/>
    <w:rsid w:val="00F703E6"/>
    <w:rsid w:val="00F706EA"/>
    <w:rsid w:val="00F70A2F"/>
    <w:rsid w:val="00F711A3"/>
    <w:rsid w:val="00F711BF"/>
    <w:rsid w:val="00F715DB"/>
    <w:rsid w:val="00F72555"/>
    <w:rsid w:val="00F726F4"/>
    <w:rsid w:val="00F73912"/>
    <w:rsid w:val="00F73A86"/>
    <w:rsid w:val="00F73C72"/>
    <w:rsid w:val="00F742E9"/>
    <w:rsid w:val="00F74394"/>
    <w:rsid w:val="00F74879"/>
    <w:rsid w:val="00F74A2F"/>
    <w:rsid w:val="00F74A49"/>
    <w:rsid w:val="00F751D7"/>
    <w:rsid w:val="00F7583D"/>
    <w:rsid w:val="00F76167"/>
    <w:rsid w:val="00F768BE"/>
    <w:rsid w:val="00F7708F"/>
    <w:rsid w:val="00F773CA"/>
    <w:rsid w:val="00F80062"/>
    <w:rsid w:val="00F806F8"/>
    <w:rsid w:val="00F80B5E"/>
    <w:rsid w:val="00F8120A"/>
    <w:rsid w:val="00F81764"/>
    <w:rsid w:val="00F81C44"/>
    <w:rsid w:val="00F8213D"/>
    <w:rsid w:val="00F82289"/>
    <w:rsid w:val="00F824EC"/>
    <w:rsid w:val="00F824F9"/>
    <w:rsid w:val="00F833A2"/>
    <w:rsid w:val="00F834B1"/>
    <w:rsid w:val="00F83FD2"/>
    <w:rsid w:val="00F83FF2"/>
    <w:rsid w:val="00F8425A"/>
    <w:rsid w:val="00F8471B"/>
    <w:rsid w:val="00F84BAF"/>
    <w:rsid w:val="00F84BC5"/>
    <w:rsid w:val="00F850AB"/>
    <w:rsid w:val="00F85371"/>
    <w:rsid w:val="00F85500"/>
    <w:rsid w:val="00F85ABF"/>
    <w:rsid w:val="00F85BC2"/>
    <w:rsid w:val="00F85DA6"/>
    <w:rsid w:val="00F86655"/>
    <w:rsid w:val="00F866BA"/>
    <w:rsid w:val="00F86BF6"/>
    <w:rsid w:val="00F86F78"/>
    <w:rsid w:val="00F87055"/>
    <w:rsid w:val="00F8730E"/>
    <w:rsid w:val="00F87710"/>
    <w:rsid w:val="00F87A50"/>
    <w:rsid w:val="00F87C66"/>
    <w:rsid w:val="00F87F4D"/>
    <w:rsid w:val="00F90740"/>
    <w:rsid w:val="00F909AD"/>
    <w:rsid w:val="00F90E35"/>
    <w:rsid w:val="00F9168C"/>
    <w:rsid w:val="00F9182E"/>
    <w:rsid w:val="00F91A20"/>
    <w:rsid w:val="00F91BF2"/>
    <w:rsid w:val="00F91D7A"/>
    <w:rsid w:val="00F92BDC"/>
    <w:rsid w:val="00F9314C"/>
    <w:rsid w:val="00F93497"/>
    <w:rsid w:val="00F93FB7"/>
    <w:rsid w:val="00F948E3"/>
    <w:rsid w:val="00F94A60"/>
    <w:rsid w:val="00F94DE9"/>
    <w:rsid w:val="00F951A2"/>
    <w:rsid w:val="00F9592F"/>
    <w:rsid w:val="00F95EBF"/>
    <w:rsid w:val="00F95EDA"/>
    <w:rsid w:val="00F960EA"/>
    <w:rsid w:val="00F961B7"/>
    <w:rsid w:val="00F9639F"/>
    <w:rsid w:val="00F963B1"/>
    <w:rsid w:val="00F96484"/>
    <w:rsid w:val="00F9662A"/>
    <w:rsid w:val="00F96A0A"/>
    <w:rsid w:val="00F96A39"/>
    <w:rsid w:val="00F96ECB"/>
    <w:rsid w:val="00F9710C"/>
    <w:rsid w:val="00F97357"/>
    <w:rsid w:val="00F97568"/>
    <w:rsid w:val="00F977A3"/>
    <w:rsid w:val="00FA0066"/>
    <w:rsid w:val="00FA05BC"/>
    <w:rsid w:val="00FA0BC3"/>
    <w:rsid w:val="00FA0DA9"/>
    <w:rsid w:val="00FA15DD"/>
    <w:rsid w:val="00FA15EF"/>
    <w:rsid w:val="00FA15F5"/>
    <w:rsid w:val="00FA1650"/>
    <w:rsid w:val="00FA415A"/>
    <w:rsid w:val="00FA4542"/>
    <w:rsid w:val="00FA5404"/>
    <w:rsid w:val="00FA5DCD"/>
    <w:rsid w:val="00FA5F5F"/>
    <w:rsid w:val="00FA63C0"/>
    <w:rsid w:val="00FA6435"/>
    <w:rsid w:val="00FA665D"/>
    <w:rsid w:val="00FB02CF"/>
    <w:rsid w:val="00FB048C"/>
    <w:rsid w:val="00FB0CE4"/>
    <w:rsid w:val="00FB17FC"/>
    <w:rsid w:val="00FB1A49"/>
    <w:rsid w:val="00FB21D1"/>
    <w:rsid w:val="00FB2796"/>
    <w:rsid w:val="00FB3374"/>
    <w:rsid w:val="00FB3805"/>
    <w:rsid w:val="00FB388D"/>
    <w:rsid w:val="00FB391E"/>
    <w:rsid w:val="00FB39D5"/>
    <w:rsid w:val="00FB3B09"/>
    <w:rsid w:val="00FB4A89"/>
    <w:rsid w:val="00FB4AD5"/>
    <w:rsid w:val="00FB501D"/>
    <w:rsid w:val="00FB55A7"/>
    <w:rsid w:val="00FB592A"/>
    <w:rsid w:val="00FB5D54"/>
    <w:rsid w:val="00FB5DFF"/>
    <w:rsid w:val="00FB61C7"/>
    <w:rsid w:val="00FB6EDF"/>
    <w:rsid w:val="00FB7265"/>
    <w:rsid w:val="00FB7413"/>
    <w:rsid w:val="00FB7FDE"/>
    <w:rsid w:val="00FC0084"/>
    <w:rsid w:val="00FC0658"/>
    <w:rsid w:val="00FC06E1"/>
    <w:rsid w:val="00FC0997"/>
    <w:rsid w:val="00FC0AFC"/>
    <w:rsid w:val="00FC0CD0"/>
    <w:rsid w:val="00FC0DC0"/>
    <w:rsid w:val="00FC1FC9"/>
    <w:rsid w:val="00FC23C7"/>
    <w:rsid w:val="00FC27F5"/>
    <w:rsid w:val="00FC2914"/>
    <w:rsid w:val="00FC2A0E"/>
    <w:rsid w:val="00FC2BAA"/>
    <w:rsid w:val="00FC2CF3"/>
    <w:rsid w:val="00FC2D13"/>
    <w:rsid w:val="00FC2D8E"/>
    <w:rsid w:val="00FC3F8F"/>
    <w:rsid w:val="00FC4400"/>
    <w:rsid w:val="00FC4662"/>
    <w:rsid w:val="00FC47BC"/>
    <w:rsid w:val="00FC55D6"/>
    <w:rsid w:val="00FC57A7"/>
    <w:rsid w:val="00FC5B69"/>
    <w:rsid w:val="00FC5C84"/>
    <w:rsid w:val="00FC5D07"/>
    <w:rsid w:val="00FC5F8B"/>
    <w:rsid w:val="00FC64AB"/>
    <w:rsid w:val="00FC6713"/>
    <w:rsid w:val="00FC6CE2"/>
    <w:rsid w:val="00FC7002"/>
    <w:rsid w:val="00FC7026"/>
    <w:rsid w:val="00FC7348"/>
    <w:rsid w:val="00FC78E3"/>
    <w:rsid w:val="00FC7DAE"/>
    <w:rsid w:val="00FD010F"/>
    <w:rsid w:val="00FD0944"/>
    <w:rsid w:val="00FD0A8C"/>
    <w:rsid w:val="00FD0ADD"/>
    <w:rsid w:val="00FD116C"/>
    <w:rsid w:val="00FD1470"/>
    <w:rsid w:val="00FD1696"/>
    <w:rsid w:val="00FD1C85"/>
    <w:rsid w:val="00FD1E65"/>
    <w:rsid w:val="00FD2BEB"/>
    <w:rsid w:val="00FD2DCD"/>
    <w:rsid w:val="00FD3BA8"/>
    <w:rsid w:val="00FD3D46"/>
    <w:rsid w:val="00FD3EA0"/>
    <w:rsid w:val="00FD3F15"/>
    <w:rsid w:val="00FD3F2A"/>
    <w:rsid w:val="00FD3F66"/>
    <w:rsid w:val="00FD4108"/>
    <w:rsid w:val="00FD5BCE"/>
    <w:rsid w:val="00FD5C10"/>
    <w:rsid w:val="00FD5D44"/>
    <w:rsid w:val="00FD6825"/>
    <w:rsid w:val="00FD6AB9"/>
    <w:rsid w:val="00FD70C8"/>
    <w:rsid w:val="00FD7261"/>
    <w:rsid w:val="00FE02BB"/>
    <w:rsid w:val="00FE0AB0"/>
    <w:rsid w:val="00FE11B6"/>
    <w:rsid w:val="00FE1216"/>
    <w:rsid w:val="00FE1A27"/>
    <w:rsid w:val="00FE237F"/>
    <w:rsid w:val="00FE322C"/>
    <w:rsid w:val="00FE3265"/>
    <w:rsid w:val="00FE37E6"/>
    <w:rsid w:val="00FE4054"/>
    <w:rsid w:val="00FE4070"/>
    <w:rsid w:val="00FE4225"/>
    <w:rsid w:val="00FE42E7"/>
    <w:rsid w:val="00FE459E"/>
    <w:rsid w:val="00FE46F3"/>
    <w:rsid w:val="00FE48A8"/>
    <w:rsid w:val="00FE4DB8"/>
    <w:rsid w:val="00FE4F34"/>
    <w:rsid w:val="00FE5230"/>
    <w:rsid w:val="00FE5B97"/>
    <w:rsid w:val="00FE699A"/>
    <w:rsid w:val="00FE6FBD"/>
    <w:rsid w:val="00FE737E"/>
    <w:rsid w:val="00FE75B2"/>
    <w:rsid w:val="00FE75FF"/>
    <w:rsid w:val="00FE76A8"/>
    <w:rsid w:val="00FF06C4"/>
    <w:rsid w:val="00FF0795"/>
    <w:rsid w:val="00FF0978"/>
    <w:rsid w:val="00FF10D0"/>
    <w:rsid w:val="00FF1117"/>
    <w:rsid w:val="00FF11EE"/>
    <w:rsid w:val="00FF1A1C"/>
    <w:rsid w:val="00FF1DB2"/>
    <w:rsid w:val="00FF1F16"/>
    <w:rsid w:val="00FF37E2"/>
    <w:rsid w:val="00FF3ED1"/>
    <w:rsid w:val="00FF4083"/>
    <w:rsid w:val="00FF4506"/>
    <w:rsid w:val="00FF4527"/>
    <w:rsid w:val="00FF46B2"/>
    <w:rsid w:val="00FF488E"/>
    <w:rsid w:val="00FF48EC"/>
    <w:rsid w:val="00FF4BE4"/>
    <w:rsid w:val="00FF4BE6"/>
    <w:rsid w:val="00FF6820"/>
    <w:rsid w:val="00FF6B34"/>
    <w:rsid w:val="00FF74B2"/>
    <w:rsid w:val="00FF7693"/>
    <w:rsid w:val="00FF7845"/>
    <w:rsid w:val="00FF7AA9"/>
    <w:rsid w:val="00FF7E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FD7D3"/>
  <w15:docId w15:val="{7A79BA06-0928-4838-B760-E0F0A38D1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D03"/>
    <w:rPr>
      <w:lang w:val="sr-Cyrl-RS"/>
    </w:rPr>
  </w:style>
  <w:style w:type="paragraph" w:styleId="Heading1">
    <w:name w:val="heading 1"/>
    <w:basedOn w:val="Normal"/>
    <w:next w:val="Normal"/>
    <w:link w:val="Heading1Char"/>
    <w:uiPriority w:val="9"/>
    <w:qFormat/>
    <w:rsid w:val="007E09F5"/>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7E09F5"/>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7E09F5"/>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unhideWhenUsed/>
    <w:qFormat/>
    <w:rsid w:val="007E09F5"/>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unhideWhenUsed/>
    <w:qFormat/>
    <w:rsid w:val="007E09F5"/>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7E09F5"/>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7E09F5"/>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7E09F5"/>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E09F5"/>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9F5"/>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qFormat/>
    <w:rsid w:val="007E09F5"/>
    <w:rPr>
      <w:caps/>
      <w:spacing w:val="15"/>
      <w:shd w:val="clear" w:color="auto" w:fill="DEEAF6" w:themeFill="accent1" w:themeFillTint="33"/>
    </w:rPr>
  </w:style>
  <w:style w:type="character" w:customStyle="1" w:styleId="Heading3Char">
    <w:name w:val="Heading 3 Char"/>
    <w:basedOn w:val="DefaultParagraphFont"/>
    <w:link w:val="Heading3"/>
    <w:uiPriority w:val="9"/>
    <w:qFormat/>
    <w:rsid w:val="007E09F5"/>
    <w:rPr>
      <w:caps/>
      <w:color w:val="1F4D78" w:themeColor="accent1" w:themeShade="7F"/>
      <w:spacing w:val="15"/>
    </w:rPr>
  </w:style>
  <w:style w:type="character" w:customStyle="1" w:styleId="Heading4Char">
    <w:name w:val="Heading 4 Char"/>
    <w:basedOn w:val="DefaultParagraphFont"/>
    <w:link w:val="Heading4"/>
    <w:uiPriority w:val="9"/>
    <w:rsid w:val="007E09F5"/>
    <w:rPr>
      <w:caps/>
      <w:color w:val="2E74B5" w:themeColor="accent1" w:themeShade="BF"/>
      <w:spacing w:val="10"/>
    </w:rPr>
  </w:style>
  <w:style w:type="character" w:customStyle="1" w:styleId="Heading5Char">
    <w:name w:val="Heading 5 Char"/>
    <w:basedOn w:val="DefaultParagraphFont"/>
    <w:link w:val="Heading5"/>
    <w:uiPriority w:val="9"/>
    <w:rsid w:val="007E09F5"/>
    <w:rPr>
      <w:caps/>
      <w:color w:val="2E74B5" w:themeColor="accent1" w:themeShade="BF"/>
      <w:spacing w:val="10"/>
    </w:rPr>
  </w:style>
  <w:style w:type="character" w:customStyle="1" w:styleId="Heading6Char">
    <w:name w:val="Heading 6 Char"/>
    <w:basedOn w:val="DefaultParagraphFont"/>
    <w:link w:val="Heading6"/>
    <w:uiPriority w:val="9"/>
    <w:semiHidden/>
    <w:rsid w:val="007E09F5"/>
    <w:rPr>
      <w:caps/>
      <w:color w:val="2E74B5" w:themeColor="accent1" w:themeShade="BF"/>
      <w:spacing w:val="10"/>
    </w:rPr>
  </w:style>
  <w:style w:type="character" w:customStyle="1" w:styleId="Heading7Char">
    <w:name w:val="Heading 7 Char"/>
    <w:basedOn w:val="DefaultParagraphFont"/>
    <w:link w:val="Heading7"/>
    <w:uiPriority w:val="9"/>
    <w:semiHidden/>
    <w:rsid w:val="007E09F5"/>
    <w:rPr>
      <w:caps/>
      <w:color w:val="2E74B5" w:themeColor="accent1" w:themeShade="BF"/>
      <w:spacing w:val="10"/>
    </w:rPr>
  </w:style>
  <w:style w:type="character" w:customStyle="1" w:styleId="Heading8Char">
    <w:name w:val="Heading 8 Char"/>
    <w:basedOn w:val="DefaultParagraphFont"/>
    <w:link w:val="Heading8"/>
    <w:uiPriority w:val="9"/>
    <w:semiHidden/>
    <w:rsid w:val="007E09F5"/>
    <w:rPr>
      <w:caps/>
      <w:spacing w:val="10"/>
      <w:sz w:val="18"/>
      <w:szCs w:val="18"/>
    </w:rPr>
  </w:style>
  <w:style w:type="character" w:customStyle="1" w:styleId="Heading9Char">
    <w:name w:val="Heading 9 Char"/>
    <w:basedOn w:val="DefaultParagraphFont"/>
    <w:link w:val="Heading9"/>
    <w:uiPriority w:val="9"/>
    <w:semiHidden/>
    <w:rsid w:val="007E09F5"/>
    <w:rPr>
      <w:i/>
      <w:iCs/>
      <w:caps/>
      <w:spacing w:val="10"/>
      <w:sz w:val="18"/>
      <w:szCs w:val="18"/>
    </w:rPr>
  </w:style>
  <w:style w:type="paragraph" w:styleId="FootnoteText">
    <w:name w:val="footnote text"/>
    <w:aliases w:val="single space,footnote text,fn,FOOTNOTES,Footnote Text Char Char Char Char,Footnote Text Char Char Char,ADB,Footnote Text Char Char Char Char Char,Footnote Text Char Char1,ft,Texto nota pie Car,ft Car,ft Car Car,Texto nota pie2,ft1,f,A"/>
    <w:basedOn w:val="Normal"/>
    <w:link w:val="FootnoteTextChar"/>
    <w:uiPriority w:val="99"/>
    <w:qFormat/>
    <w:rsid w:val="007D6B29"/>
    <w:pPr>
      <w:spacing w:after="0" w:line="240" w:lineRule="auto"/>
    </w:pPr>
    <w:rPr>
      <w:rFonts w:ascii="Calibri" w:eastAsia="Times New Roman" w:hAnsi="Calibri" w:cs="Times New Roman"/>
    </w:rPr>
  </w:style>
  <w:style w:type="character" w:customStyle="1" w:styleId="FootnoteTextChar">
    <w:name w:val="Footnote Text Char"/>
    <w:aliases w:val="single space Char,footnote text Char,fn Char,FOOTNOTES Char,Footnote Text Char Char Char Char Char1,Footnote Text Char Char Char Char1,ADB Char,Footnote Text Char Char Char Char Char Char,Footnote Text Char Char1 Char,ft Char,ft1 Char"/>
    <w:basedOn w:val="DefaultParagraphFont"/>
    <w:link w:val="FootnoteText"/>
    <w:uiPriority w:val="99"/>
    <w:qFormat/>
    <w:rsid w:val="007D6B29"/>
    <w:rPr>
      <w:rFonts w:ascii="Calibri" w:eastAsia="Times New Roman" w:hAnsi="Calibri" w:cs="Times New Roman"/>
      <w:sz w:val="20"/>
      <w:szCs w:val="20"/>
    </w:rPr>
  </w:style>
  <w:style w:type="character" w:styleId="FootnoteReference">
    <w:name w:val="footnote reference"/>
    <w:aliases w:val="ftref,Normal + Font:9 Point,Superscript 3 Point Times,SUPERS,EN Footnote Reference,number,Char Char,BVI fnr,Footnote symbol,Footnote reference number,note TESI,ftref Char,BVI fnr Char,BVI fnr Car Char,Char Char Car Char,16 Point Char"/>
    <w:link w:val="NumPar1"/>
    <w:uiPriority w:val="99"/>
    <w:qFormat/>
    <w:rsid w:val="007D6B29"/>
    <w:rPr>
      <w:vertAlign w:val="superscript"/>
      <w:lang w:val="sr-Cyrl-RS"/>
    </w:rPr>
  </w:style>
  <w:style w:type="paragraph" w:customStyle="1" w:styleId="NumPar1">
    <w:name w:val="NumPar 1"/>
    <w:basedOn w:val="Normal"/>
    <w:next w:val="Normal"/>
    <w:link w:val="FootnoteReference"/>
    <w:uiPriority w:val="99"/>
    <w:rsid w:val="007D6B29"/>
    <w:pPr>
      <w:numPr>
        <w:numId w:val="1"/>
      </w:numPr>
      <w:spacing w:before="120" w:after="120" w:line="240" w:lineRule="auto"/>
      <w:jc w:val="both"/>
    </w:pPr>
    <w:rPr>
      <w:vertAlign w:val="superscript"/>
    </w:rPr>
  </w:style>
  <w:style w:type="character" w:styleId="Hyperlink">
    <w:name w:val="Hyperlink"/>
    <w:uiPriority w:val="99"/>
    <w:rsid w:val="007D6B29"/>
    <w:rPr>
      <w:color w:val="0000FF"/>
      <w:u w:val="single"/>
    </w:rPr>
  </w:style>
  <w:style w:type="paragraph" w:customStyle="1" w:styleId="NumPar2">
    <w:name w:val="NumPar 2"/>
    <w:basedOn w:val="Normal"/>
    <w:next w:val="Normal"/>
    <w:rsid w:val="007D6B29"/>
    <w:pPr>
      <w:numPr>
        <w:ilvl w:val="1"/>
        <w:numId w:val="1"/>
      </w:numPr>
      <w:spacing w:before="120" w:after="120" w:line="240" w:lineRule="auto"/>
      <w:jc w:val="both"/>
    </w:pPr>
    <w:rPr>
      <w:rFonts w:ascii="Tunga" w:eastAsia="Arial Unicode MS" w:hAnsi="Tunga" w:cs="Tunga"/>
      <w:snapToGrid w:val="0"/>
    </w:rPr>
  </w:style>
  <w:style w:type="paragraph" w:customStyle="1" w:styleId="NumPar3">
    <w:name w:val="NumPar 3"/>
    <w:basedOn w:val="Normal"/>
    <w:next w:val="Normal"/>
    <w:rsid w:val="007D6B29"/>
    <w:pPr>
      <w:numPr>
        <w:ilvl w:val="2"/>
        <w:numId w:val="1"/>
      </w:numPr>
      <w:spacing w:before="120" w:after="120" w:line="240" w:lineRule="auto"/>
      <w:jc w:val="both"/>
    </w:pPr>
    <w:rPr>
      <w:rFonts w:ascii="Tunga" w:eastAsia="Arial Unicode MS" w:hAnsi="Tunga" w:cs="Tunga"/>
      <w:snapToGrid w:val="0"/>
    </w:rPr>
  </w:style>
  <w:style w:type="paragraph" w:customStyle="1" w:styleId="NumPar4">
    <w:name w:val="NumPar 4"/>
    <w:basedOn w:val="Normal"/>
    <w:next w:val="Normal"/>
    <w:rsid w:val="007D6B29"/>
    <w:pPr>
      <w:numPr>
        <w:ilvl w:val="3"/>
        <w:numId w:val="1"/>
      </w:numPr>
      <w:spacing w:before="120" w:after="120" w:line="240" w:lineRule="auto"/>
      <w:jc w:val="both"/>
    </w:pPr>
    <w:rPr>
      <w:rFonts w:ascii="Tunga" w:eastAsia="Arial Unicode MS" w:hAnsi="Tunga" w:cs="Tunga"/>
      <w:snapToGrid w:val="0"/>
    </w:rPr>
  </w:style>
  <w:style w:type="character" w:customStyle="1" w:styleId="UnresolvedMention1">
    <w:name w:val="Unresolved Mention1"/>
    <w:basedOn w:val="DefaultParagraphFont"/>
    <w:uiPriority w:val="99"/>
    <w:semiHidden/>
    <w:unhideWhenUsed/>
    <w:rsid w:val="00715680"/>
    <w:rPr>
      <w:color w:val="605E5C"/>
      <w:shd w:val="clear" w:color="auto" w:fill="E1DFDD"/>
    </w:rPr>
  </w:style>
  <w:style w:type="character" w:styleId="Strong">
    <w:name w:val="Strong"/>
    <w:uiPriority w:val="22"/>
    <w:qFormat/>
    <w:rsid w:val="007E09F5"/>
    <w:rPr>
      <w:b/>
      <w:bCs/>
    </w:rPr>
  </w:style>
  <w:style w:type="paragraph" w:styleId="NormalWeb">
    <w:name w:val="Normal (Web)"/>
    <w:basedOn w:val="Normal"/>
    <w:uiPriority w:val="99"/>
    <w:unhideWhenUsed/>
    <w:qFormat/>
    <w:rsid w:val="003752C7"/>
    <w:pPr>
      <w:spacing w:before="300" w:after="300" w:line="240" w:lineRule="auto"/>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unhideWhenUsed/>
    <w:qFormat/>
    <w:rsid w:val="00FF06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qFormat/>
    <w:rsid w:val="00FF06C4"/>
    <w:rPr>
      <w:rFonts w:ascii="Segoe UI" w:hAnsi="Segoe UI" w:cs="Segoe UI"/>
      <w:sz w:val="18"/>
      <w:szCs w:val="18"/>
    </w:rPr>
  </w:style>
  <w:style w:type="table" w:styleId="TableGrid">
    <w:name w:val="Table Grid"/>
    <w:basedOn w:val="TableNormal"/>
    <w:uiPriority w:val="39"/>
    <w:rsid w:val="00207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
    <w:name w:val="Grid Table 1 Light - Accent 51"/>
    <w:basedOn w:val="TableNormal"/>
    <w:uiPriority w:val="46"/>
    <w:rsid w:val="002076AF"/>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3-Accent51">
    <w:name w:val="Grid Table 3 - Accent 51"/>
    <w:basedOn w:val="TableNormal"/>
    <w:uiPriority w:val="48"/>
    <w:rsid w:val="002076A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GridTable2-Accent11">
    <w:name w:val="Grid Table 2 - Accent 11"/>
    <w:basedOn w:val="TableNormal"/>
    <w:uiPriority w:val="47"/>
    <w:rsid w:val="002076AF"/>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
    <w:name w:val="Grid Table 4 - Accent 11"/>
    <w:basedOn w:val="TableNormal"/>
    <w:uiPriority w:val="49"/>
    <w:rsid w:val="002076A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6Colorful-Accent51">
    <w:name w:val="Grid Table 6 Colorful - Accent 51"/>
    <w:basedOn w:val="TableNormal"/>
    <w:uiPriority w:val="51"/>
    <w:rsid w:val="002076A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Caption">
    <w:name w:val="caption"/>
    <w:basedOn w:val="Normal"/>
    <w:next w:val="Normal"/>
    <w:uiPriority w:val="35"/>
    <w:unhideWhenUsed/>
    <w:qFormat/>
    <w:rsid w:val="007E09F5"/>
    <w:rPr>
      <w:b/>
      <w:bCs/>
      <w:color w:val="2E74B5" w:themeColor="accent1" w:themeShade="BF"/>
      <w:sz w:val="16"/>
      <w:szCs w:val="16"/>
    </w:rPr>
  </w:style>
  <w:style w:type="paragraph" w:styleId="Title">
    <w:name w:val="Title"/>
    <w:basedOn w:val="Normal"/>
    <w:next w:val="Normal"/>
    <w:link w:val="TitleChar"/>
    <w:uiPriority w:val="10"/>
    <w:qFormat/>
    <w:rsid w:val="007E09F5"/>
    <w:pPr>
      <w:spacing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7E09F5"/>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7E09F5"/>
    <w:pPr>
      <w:spacing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E09F5"/>
    <w:rPr>
      <w:caps/>
      <w:color w:val="595959" w:themeColor="text1" w:themeTint="A6"/>
      <w:spacing w:val="10"/>
      <w:sz w:val="21"/>
      <w:szCs w:val="21"/>
    </w:rPr>
  </w:style>
  <w:style w:type="character" w:styleId="Emphasis">
    <w:name w:val="Emphasis"/>
    <w:uiPriority w:val="20"/>
    <w:qFormat/>
    <w:rsid w:val="007E09F5"/>
    <w:rPr>
      <w:caps/>
      <w:color w:val="1F4D78" w:themeColor="accent1" w:themeShade="7F"/>
      <w:spacing w:val="5"/>
    </w:rPr>
  </w:style>
  <w:style w:type="paragraph" w:styleId="NoSpacing">
    <w:name w:val="No Spacing"/>
    <w:link w:val="NoSpacingChar"/>
    <w:uiPriority w:val="1"/>
    <w:qFormat/>
    <w:rsid w:val="007E09F5"/>
    <w:pPr>
      <w:spacing w:after="0" w:line="240" w:lineRule="auto"/>
    </w:pPr>
  </w:style>
  <w:style w:type="paragraph" w:styleId="Quote">
    <w:name w:val="Quote"/>
    <w:basedOn w:val="Normal"/>
    <w:next w:val="Normal"/>
    <w:link w:val="QuoteChar"/>
    <w:uiPriority w:val="29"/>
    <w:qFormat/>
    <w:rsid w:val="007E09F5"/>
    <w:rPr>
      <w:i/>
      <w:iCs/>
      <w:sz w:val="24"/>
      <w:szCs w:val="24"/>
    </w:rPr>
  </w:style>
  <w:style w:type="character" w:customStyle="1" w:styleId="QuoteChar">
    <w:name w:val="Quote Char"/>
    <w:basedOn w:val="DefaultParagraphFont"/>
    <w:link w:val="Quote"/>
    <w:uiPriority w:val="29"/>
    <w:rsid w:val="007E09F5"/>
    <w:rPr>
      <w:i/>
      <w:iCs/>
      <w:sz w:val="24"/>
      <w:szCs w:val="24"/>
    </w:rPr>
  </w:style>
  <w:style w:type="paragraph" w:styleId="IntenseQuote">
    <w:name w:val="Intense Quote"/>
    <w:basedOn w:val="Normal"/>
    <w:next w:val="Normal"/>
    <w:link w:val="IntenseQuoteChar"/>
    <w:uiPriority w:val="30"/>
    <w:qFormat/>
    <w:rsid w:val="007E09F5"/>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7E09F5"/>
    <w:rPr>
      <w:color w:val="5B9BD5" w:themeColor="accent1"/>
      <w:sz w:val="24"/>
      <w:szCs w:val="24"/>
    </w:rPr>
  </w:style>
  <w:style w:type="character" w:styleId="SubtleEmphasis">
    <w:name w:val="Subtle Emphasis"/>
    <w:qFormat/>
    <w:rsid w:val="007E09F5"/>
    <w:rPr>
      <w:i/>
      <w:iCs/>
      <w:color w:val="1F4D78" w:themeColor="accent1" w:themeShade="7F"/>
    </w:rPr>
  </w:style>
  <w:style w:type="character" w:styleId="IntenseEmphasis">
    <w:name w:val="Intense Emphasis"/>
    <w:uiPriority w:val="21"/>
    <w:qFormat/>
    <w:rsid w:val="007E09F5"/>
    <w:rPr>
      <w:b/>
      <w:bCs/>
      <w:caps/>
      <w:color w:val="1F4D78" w:themeColor="accent1" w:themeShade="7F"/>
      <w:spacing w:val="10"/>
    </w:rPr>
  </w:style>
  <w:style w:type="character" w:styleId="SubtleReference">
    <w:name w:val="Subtle Reference"/>
    <w:uiPriority w:val="31"/>
    <w:qFormat/>
    <w:rsid w:val="007E09F5"/>
    <w:rPr>
      <w:b/>
      <w:bCs/>
      <w:color w:val="5B9BD5" w:themeColor="accent1"/>
    </w:rPr>
  </w:style>
  <w:style w:type="character" w:styleId="IntenseReference">
    <w:name w:val="Intense Reference"/>
    <w:uiPriority w:val="32"/>
    <w:qFormat/>
    <w:rsid w:val="007E09F5"/>
    <w:rPr>
      <w:b/>
      <w:bCs/>
      <w:i/>
      <w:iCs/>
      <w:caps/>
      <w:color w:val="5B9BD5" w:themeColor="accent1"/>
    </w:rPr>
  </w:style>
  <w:style w:type="character" w:styleId="BookTitle">
    <w:name w:val="Book Title"/>
    <w:uiPriority w:val="33"/>
    <w:qFormat/>
    <w:rsid w:val="007E09F5"/>
    <w:rPr>
      <w:b/>
      <w:bCs/>
      <w:i/>
      <w:iCs/>
      <w:spacing w:val="0"/>
    </w:rPr>
  </w:style>
  <w:style w:type="paragraph" w:styleId="TOCHeading">
    <w:name w:val="TOC Heading"/>
    <w:basedOn w:val="Heading1"/>
    <w:next w:val="Normal"/>
    <w:uiPriority w:val="39"/>
    <w:unhideWhenUsed/>
    <w:qFormat/>
    <w:rsid w:val="007E09F5"/>
    <w:pPr>
      <w:outlineLvl w:val="9"/>
    </w:pPr>
  </w:style>
  <w:style w:type="paragraph" w:styleId="ListParagraph">
    <w:name w:val="List Paragraph"/>
    <w:aliases w:val="Citation List,List_Paragraph,Multilevel para_II,List Paragraph1,본문(내용),List Paragraph (numbered (a)),Akapit z listą BS,List Paragraph 1,Bullets,NUMBERED PARAGRAPH,Bullet1,Main numbered paragraph,Numbered Paragraph,References,Liste 1,ANNEX"/>
    <w:basedOn w:val="Normal"/>
    <w:link w:val="ListParagraphChar"/>
    <w:uiPriority w:val="34"/>
    <w:qFormat/>
    <w:rsid w:val="005F54D0"/>
    <w:pPr>
      <w:ind w:left="720"/>
      <w:contextualSpacing/>
    </w:pPr>
    <w:rPr>
      <w:rFonts w:eastAsiaTheme="minorHAnsi"/>
      <w:sz w:val="22"/>
      <w:szCs w:val="22"/>
    </w:rPr>
  </w:style>
  <w:style w:type="character" w:customStyle="1" w:styleId="ListParagraphChar">
    <w:name w:val="List Paragraph Char"/>
    <w:aliases w:val="Citation List Char,List_Paragraph Char,Multilevel para_II Char,List Paragraph1 Char,본문(내용) Char,List Paragraph (numbered (a)) Char,Akapit z listą BS Char,List Paragraph 1 Char,Bullets Char,NUMBERED PARAGRAPH Char,Bullet1 Char"/>
    <w:basedOn w:val="DefaultParagraphFont"/>
    <w:link w:val="ListParagraph"/>
    <w:uiPriority w:val="34"/>
    <w:qFormat/>
    <w:locked/>
    <w:rsid w:val="00BF4E78"/>
    <w:rPr>
      <w:rFonts w:eastAsiaTheme="minorHAnsi"/>
      <w:sz w:val="22"/>
      <w:szCs w:val="22"/>
    </w:rPr>
  </w:style>
  <w:style w:type="paragraph" w:styleId="Header">
    <w:name w:val="header"/>
    <w:basedOn w:val="Normal"/>
    <w:link w:val="HeaderChar"/>
    <w:uiPriority w:val="99"/>
    <w:unhideWhenUsed/>
    <w:rsid w:val="001676D5"/>
    <w:pPr>
      <w:tabs>
        <w:tab w:val="center" w:pos="4513"/>
        <w:tab w:val="right" w:pos="9026"/>
      </w:tabs>
      <w:spacing w:after="0" w:line="240" w:lineRule="auto"/>
    </w:pPr>
  </w:style>
  <w:style w:type="character" w:customStyle="1" w:styleId="HeaderChar">
    <w:name w:val="Header Char"/>
    <w:basedOn w:val="DefaultParagraphFont"/>
    <w:link w:val="Header"/>
    <w:uiPriority w:val="99"/>
    <w:qFormat/>
    <w:rsid w:val="001676D5"/>
  </w:style>
  <w:style w:type="paragraph" w:styleId="Footer">
    <w:name w:val="footer"/>
    <w:basedOn w:val="Normal"/>
    <w:link w:val="FooterChar"/>
    <w:uiPriority w:val="99"/>
    <w:unhideWhenUsed/>
    <w:rsid w:val="001676D5"/>
    <w:pPr>
      <w:tabs>
        <w:tab w:val="center" w:pos="4513"/>
        <w:tab w:val="right" w:pos="9026"/>
      </w:tabs>
      <w:spacing w:after="0" w:line="240" w:lineRule="auto"/>
    </w:pPr>
  </w:style>
  <w:style w:type="character" w:customStyle="1" w:styleId="FooterChar">
    <w:name w:val="Footer Char"/>
    <w:basedOn w:val="DefaultParagraphFont"/>
    <w:link w:val="Footer"/>
    <w:uiPriority w:val="99"/>
    <w:qFormat/>
    <w:rsid w:val="001676D5"/>
  </w:style>
  <w:style w:type="character" w:styleId="CommentReference">
    <w:name w:val="annotation reference"/>
    <w:basedOn w:val="DefaultParagraphFont"/>
    <w:uiPriority w:val="99"/>
    <w:semiHidden/>
    <w:unhideWhenUsed/>
    <w:qFormat/>
    <w:rsid w:val="00A86A3A"/>
    <w:rPr>
      <w:sz w:val="16"/>
      <w:szCs w:val="16"/>
    </w:rPr>
  </w:style>
  <w:style w:type="paragraph" w:styleId="CommentText">
    <w:name w:val="annotation text"/>
    <w:aliases w:val="Char2"/>
    <w:basedOn w:val="Normal"/>
    <w:link w:val="CommentTextChar"/>
    <w:uiPriority w:val="99"/>
    <w:unhideWhenUsed/>
    <w:qFormat/>
    <w:rsid w:val="00A86A3A"/>
    <w:pPr>
      <w:spacing w:line="240" w:lineRule="auto"/>
    </w:pPr>
  </w:style>
  <w:style w:type="character" w:customStyle="1" w:styleId="CommentTextChar">
    <w:name w:val="Comment Text Char"/>
    <w:aliases w:val="Char2 Char"/>
    <w:basedOn w:val="DefaultParagraphFont"/>
    <w:link w:val="CommentText"/>
    <w:uiPriority w:val="99"/>
    <w:qFormat/>
    <w:rsid w:val="00A86A3A"/>
  </w:style>
  <w:style w:type="paragraph" w:styleId="CommentSubject">
    <w:name w:val="annotation subject"/>
    <w:basedOn w:val="CommentText"/>
    <w:next w:val="CommentText"/>
    <w:link w:val="CommentSubjectChar"/>
    <w:uiPriority w:val="99"/>
    <w:semiHidden/>
    <w:unhideWhenUsed/>
    <w:rsid w:val="00A86A3A"/>
    <w:rPr>
      <w:b/>
      <w:bCs/>
    </w:rPr>
  </w:style>
  <w:style w:type="character" w:customStyle="1" w:styleId="CommentSubjectChar">
    <w:name w:val="Comment Subject Char"/>
    <w:basedOn w:val="CommentTextChar"/>
    <w:link w:val="CommentSubject"/>
    <w:uiPriority w:val="99"/>
    <w:semiHidden/>
    <w:rsid w:val="00A86A3A"/>
    <w:rPr>
      <w:b/>
      <w:bCs/>
    </w:rPr>
  </w:style>
  <w:style w:type="paragraph" w:customStyle="1" w:styleId="bold">
    <w:name w:val="bold"/>
    <w:basedOn w:val="Normal"/>
    <w:rsid w:val="00A86A3A"/>
    <w:pPr>
      <w:spacing w:beforeAutospacing="1" w:after="100" w:afterAutospacing="1" w:line="240" w:lineRule="auto"/>
    </w:pPr>
    <w:rPr>
      <w:rFonts w:ascii="Times New Roman" w:eastAsia="Times New Roman" w:hAnsi="Times New Roman" w:cs="Times New Roman"/>
      <w:sz w:val="24"/>
      <w:szCs w:val="24"/>
    </w:rPr>
  </w:style>
  <w:style w:type="paragraph" w:customStyle="1" w:styleId="clan">
    <w:name w:val="clan"/>
    <w:basedOn w:val="Normal"/>
    <w:rsid w:val="00A86A3A"/>
    <w:pPr>
      <w:spacing w:beforeAutospacing="1" w:after="100" w:afterAutospacing="1" w:line="240" w:lineRule="auto"/>
    </w:pPr>
    <w:rPr>
      <w:rFonts w:ascii="Times New Roman" w:eastAsia="Times New Roman" w:hAnsi="Times New Roman" w:cs="Times New Roman"/>
      <w:sz w:val="24"/>
      <w:szCs w:val="24"/>
    </w:rPr>
  </w:style>
  <w:style w:type="paragraph" w:customStyle="1" w:styleId="basic-paragraph">
    <w:name w:val="basic-paragraph"/>
    <w:basedOn w:val="Normal"/>
    <w:qFormat/>
    <w:rsid w:val="00A86A3A"/>
    <w:pPr>
      <w:spacing w:beforeAutospacing="1" w:after="100" w:afterAutospacing="1" w:line="240" w:lineRule="auto"/>
    </w:pPr>
    <w:rPr>
      <w:rFonts w:ascii="Times New Roman" w:eastAsia="Times New Roman" w:hAnsi="Times New Roman" w:cs="Times New Roman"/>
      <w:sz w:val="24"/>
      <w:szCs w:val="24"/>
    </w:rPr>
  </w:style>
  <w:style w:type="character" w:customStyle="1" w:styleId="italik">
    <w:name w:val="italik"/>
    <w:basedOn w:val="DefaultParagraphFont"/>
    <w:rsid w:val="00A86A3A"/>
  </w:style>
  <w:style w:type="paragraph" w:styleId="Revision">
    <w:name w:val="Revision"/>
    <w:hidden/>
    <w:uiPriority w:val="99"/>
    <w:semiHidden/>
    <w:rsid w:val="0013549C"/>
    <w:pPr>
      <w:spacing w:after="0" w:line="240" w:lineRule="auto"/>
    </w:pPr>
  </w:style>
  <w:style w:type="paragraph" w:customStyle="1" w:styleId="p1">
    <w:name w:val="p1"/>
    <w:basedOn w:val="Normal"/>
    <w:rsid w:val="00BF4E78"/>
    <w:pPr>
      <w:spacing w:beforeAutospacing="1" w:after="100" w:afterAutospacing="1" w:line="240" w:lineRule="auto"/>
    </w:pPr>
    <w:rPr>
      <w:rFonts w:ascii="Calibri" w:eastAsiaTheme="minorHAnsi" w:hAnsi="Calibri" w:cs="Calibri"/>
      <w:sz w:val="22"/>
      <w:szCs w:val="22"/>
    </w:rPr>
  </w:style>
  <w:style w:type="character" w:customStyle="1" w:styleId="s1">
    <w:name w:val="s1"/>
    <w:basedOn w:val="DefaultParagraphFont"/>
    <w:rsid w:val="00BF4E78"/>
  </w:style>
  <w:style w:type="paragraph" w:customStyle="1" w:styleId="f1">
    <w:name w:val="f1"/>
    <w:basedOn w:val="Normal"/>
    <w:next w:val="FootnoteText"/>
    <w:uiPriority w:val="99"/>
    <w:unhideWhenUsed/>
    <w:qFormat/>
    <w:rsid w:val="00721398"/>
    <w:pPr>
      <w:spacing w:after="0" w:line="240" w:lineRule="auto"/>
    </w:pPr>
    <w:rPr>
      <w:rFonts w:eastAsiaTheme="minorHAnsi"/>
      <w:lang w:val="en-GB"/>
    </w:rPr>
  </w:style>
  <w:style w:type="character" w:customStyle="1" w:styleId="Hyperlink1">
    <w:name w:val="Hyperlink1"/>
    <w:basedOn w:val="DefaultParagraphFont"/>
    <w:uiPriority w:val="99"/>
    <w:unhideWhenUsed/>
    <w:rsid w:val="00721398"/>
    <w:rPr>
      <w:color w:val="0000FF"/>
      <w:u w:val="single"/>
    </w:rPr>
  </w:style>
  <w:style w:type="paragraph" w:customStyle="1" w:styleId="Ref">
    <w:name w:val="Ref"/>
    <w:aliases w:val="Footnotes refs"/>
    <w:basedOn w:val="Normal"/>
    <w:uiPriority w:val="99"/>
    <w:qFormat/>
    <w:rsid w:val="00721398"/>
    <w:pPr>
      <w:spacing w:after="120" w:line="240" w:lineRule="exact"/>
    </w:pPr>
    <w:rPr>
      <w:vertAlign w:val="superscript"/>
      <w:lang w:val="en-GB"/>
    </w:rPr>
  </w:style>
  <w:style w:type="table" w:customStyle="1" w:styleId="GridTable5Dark-Accent11">
    <w:name w:val="Grid Table 5 Dark - Accent 11"/>
    <w:basedOn w:val="TableNormal"/>
    <w:uiPriority w:val="50"/>
    <w:rsid w:val="0022597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FollowedHyperlink">
    <w:name w:val="FollowedHyperlink"/>
    <w:basedOn w:val="DefaultParagraphFont"/>
    <w:uiPriority w:val="99"/>
    <w:semiHidden/>
    <w:unhideWhenUsed/>
    <w:rsid w:val="00C90243"/>
    <w:rPr>
      <w:color w:val="954F72" w:themeColor="followedHyperlink"/>
      <w:u w:val="single"/>
    </w:rPr>
  </w:style>
  <w:style w:type="paragraph" w:customStyle="1" w:styleId="LightGrid-Accent31">
    <w:name w:val="Light Grid - Accent 31"/>
    <w:basedOn w:val="Normal"/>
    <w:uiPriority w:val="99"/>
    <w:rsid w:val="00C90243"/>
    <w:pPr>
      <w:ind w:left="720"/>
      <w:jc w:val="both"/>
    </w:pPr>
    <w:rPr>
      <w:rFonts w:ascii="Calibri" w:eastAsia="MS PGothic" w:hAnsi="Calibri" w:cs="Calibri"/>
      <w:sz w:val="22"/>
      <w:szCs w:val="22"/>
      <w:lang w:val="en-GB" w:eastAsia="zh-CN"/>
    </w:rPr>
  </w:style>
  <w:style w:type="paragraph" w:customStyle="1" w:styleId="Default">
    <w:name w:val="Default"/>
    <w:qFormat/>
    <w:rsid w:val="00C90243"/>
    <w:pPr>
      <w:autoSpaceDE w:val="0"/>
      <w:autoSpaceDN w:val="0"/>
      <w:adjustRightInd w:val="0"/>
      <w:spacing w:after="0" w:line="240" w:lineRule="auto"/>
    </w:pPr>
    <w:rPr>
      <w:rFonts w:ascii="Calibri" w:eastAsia="Times New Roman" w:hAnsi="Calibri" w:cs="Calibri"/>
      <w:color w:val="000000"/>
      <w:sz w:val="24"/>
      <w:szCs w:val="24"/>
      <w:lang w:val="en-GB" w:eastAsia="en-GB"/>
    </w:rPr>
  </w:style>
  <w:style w:type="paragraph" w:styleId="TOC1">
    <w:name w:val="toc 1"/>
    <w:basedOn w:val="Normal"/>
    <w:next w:val="Normal"/>
    <w:autoRedefine/>
    <w:uiPriority w:val="39"/>
    <w:qFormat/>
    <w:rsid w:val="00C90243"/>
    <w:pPr>
      <w:tabs>
        <w:tab w:val="left" w:pos="440"/>
        <w:tab w:val="right" w:pos="9016"/>
      </w:tabs>
      <w:spacing w:after="0" w:line="240" w:lineRule="auto"/>
    </w:pPr>
    <w:rPr>
      <w:rFonts w:ascii="Times New Roman" w:eastAsia="Times New Roman" w:hAnsi="Times New Roman" w:cs="Times New Roman"/>
      <w:noProof/>
      <w:sz w:val="22"/>
      <w:szCs w:val="22"/>
      <w:lang w:eastAsia="en-GB"/>
    </w:rPr>
  </w:style>
  <w:style w:type="paragraph" w:styleId="TOC2">
    <w:name w:val="toc 2"/>
    <w:basedOn w:val="Normal"/>
    <w:next w:val="Normal"/>
    <w:autoRedefine/>
    <w:uiPriority w:val="39"/>
    <w:qFormat/>
    <w:rsid w:val="007738AE"/>
    <w:pPr>
      <w:tabs>
        <w:tab w:val="right" w:pos="9016"/>
      </w:tabs>
      <w:spacing w:after="0" w:line="240" w:lineRule="auto"/>
      <w:ind w:left="216"/>
    </w:pPr>
    <w:rPr>
      <w:rFonts w:ascii="Calibri" w:eastAsia="Times New Roman" w:hAnsi="Calibri" w:cs="Calibri"/>
      <w:sz w:val="22"/>
      <w:szCs w:val="22"/>
      <w:lang w:val="en-GB" w:eastAsia="en-GB"/>
    </w:rPr>
  </w:style>
  <w:style w:type="paragraph" w:customStyle="1" w:styleId="IFS2012naslov3">
    <w:name w:val="IFS 2012 naslov 3"/>
    <w:basedOn w:val="Heading3"/>
    <w:autoRedefine/>
    <w:qFormat/>
    <w:rsid w:val="00C90243"/>
    <w:pPr>
      <w:keepNext/>
      <w:keepLines/>
      <w:pBdr>
        <w:top w:val="none" w:sz="0" w:space="0" w:color="auto"/>
      </w:pBdr>
      <w:spacing w:before="0" w:after="120" w:line="240" w:lineRule="auto"/>
      <w:jc w:val="both"/>
      <w:outlineLvl w:val="9"/>
    </w:pPr>
    <w:rPr>
      <w:rFonts w:ascii="Cambria" w:eastAsia="Times New Roman" w:hAnsi="Cambria" w:cs="Times New Roman"/>
      <w:bCs/>
      <w:caps w:val="0"/>
      <w:noProof/>
      <w:color w:val="7F7F7F"/>
      <w:spacing w:val="0"/>
      <w:sz w:val="24"/>
      <w:szCs w:val="24"/>
      <w:lang w:bidi="en-US"/>
    </w:rPr>
  </w:style>
  <w:style w:type="numbering" w:customStyle="1" w:styleId="NoList1">
    <w:name w:val="No List1"/>
    <w:next w:val="NoList"/>
    <w:uiPriority w:val="99"/>
    <w:semiHidden/>
    <w:unhideWhenUsed/>
    <w:rsid w:val="00C90243"/>
  </w:style>
  <w:style w:type="table" w:customStyle="1" w:styleId="TableGrid1">
    <w:name w:val="Table Grid1"/>
    <w:basedOn w:val="TableNormal"/>
    <w:next w:val="TableGrid"/>
    <w:uiPriority w:val="59"/>
    <w:rsid w:val="00C9024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Numbering">
    <w:name w:val="Paragraph Numbering"/>
    <w:basedOn w:val="Normal"/>
    <w:link w:val="ParagraphNumberingChar"/>
    <w:uiPriority w:val="1"/>
    <w:qFormat/>
    <w:rsid w:val="00C90243"/>
    <w:pPr>
      <w:numPr>
        <w:numId w:val="2"/>
      </w:numPr>
      <w:tabs>
        <w:tab w:val="clear" w:pos="1260"/>
        <w:tab w:val="num" w:pos="720"/>
      </w:tabs>
      <w:spacing w:after="240" w:line="264" w:lineRule="auto"/>
      <w:ind w:left="0"/>
    </w:pPr>
    <w:rPr>
      <w:rFonts w:ascii="Times New Roman" w:eastAsia="SimSun" w:hAnsi="Times New Roman" w:cs="Times New Roman"/>
      <w:sz w:val="24"/>
      <w:szCs w:val="24"/>
    </w:rPr>
  </w:style>
  <w:style w:type="character" w:customStyle="1" w:styleId="ParagraphNumberingChar">
    <w:name w:val="Paragraph Numbering Char"/>
    <w:link w:val="ParagraphNumbering"/>
    <w:uiPriority w:val="1"/>
    <w:rsid w:val="00C90243"/>
    <w:rPr>
      <w:rFonts w:ascii="Times New Roman" w:eastAsia="SimSun" w:hAnsi="Times New Roman" w:cs="Times New Roman"/>
      <w:sz w:val="24"/>
      <w:szCs w:val="24"/>
      <w:lang w:val="sr-Cyrl-RS"/>
    </w:rPr>
  </w:style>
  <w:style w:type="paragraph" w:styleId="ListBullet">
    <w:name w:val="List Bullet"/>
    <w:aliases w:val="List Bullet Char Char, Char Char Char, Char,List Bullet Char2 Char Char,List Bullet Char1 Char Char Char,List Bullet Char Char Char Char Char,List Bullet Char Char1 Char Char,List Bullet Char2 Char1"/>
    <w:basedOn w:val="Normal"/>
    <w:link w:val="ListBulletChar"/>
    <w:uiPriority w:val="99"/>
    <w:qFormat/>
    <w:rsid w:val="00C90243"/>
    <w:pPr>
      <w:numPr>
        <w:numId w:val="3"/>
      </w:numPr>
      <w:spacing w:after="240" w:line="264" w:lineRule="auto"/>
    </w:pPr>
    <w:rPr>
      <w:rFonts w:ascii="Times New Roman" w:eastAsia="SimSun" w:hAnsi="Times New Roman" w:cs="Times New Roman"/>
      <w:sz w:val="24"/>
    </w:rPr>
  </w:style>
  <w:style w:type="character" w:customStyle="1" w:styleId="ListBulletChar">
    <w:name w:val="List Bullet Char"/>
    <w:aliases w:val="List Bullet Char Char Char, Char Char Char Char, Char Char,List Bullet Char2 Char Char Char,List Bullet Char1 Char Char Char Char,List Bullet Char Char Char Char Char Char,List Bullet Char Char1 Char Char Char"/>
    <w:link w:val="ListBullet"/>
    <w:uiPriority w:val="99"/>
    <w:rsid w:val="00C90243"/>
    <w:rPr>
      <w:rFonts w:ascii="Times New Roman" w:eastAsia="SimSun" w:hAnsi="Times New Roman" w:cs="Times New Roman"/>
      <w:sz w:val="24"/>
      <w:lang w:val="sr-Cyrl-RS"/>
    </w:rPr>
  </w:style>
  <w:style w:type="character" w:styleId="PageNumber">
    <w:name w:val="page number"/>
    <w:uiPriority w:val="99"/>
    <w:qFormat/>
    <w:rsid w:val="00C90243"/>
  </w:style>
  <w:style w:type="paragraph" w:styleId="TOC3">
    <w:name w:val="toc 3"/>
    <w:basedOn w:val="Normal"/>
    <w:next w:val="Normal"/>
    <w:autoRedefine/>
    <w:uiPriority w:val="39"/>
    <w:unhideWhenUsed/>
    <w:qFormat/>
    <w:rsid w:val="00C90243"/>
    <w:pPr>
      <w:spacing w:after="100" w:line="259" w:lineRule="auto"/>
      <w:ind w:left="440"/>
    </w:pPr>
    <w:rPr>
      <w:rFonts w:ascii="Calibri" w:eastAsia="Calibri" w:hAnsi="Calibri" w:cs="Times New Roman"/>
      <w:sz w:val="22"/>
      <w:szCs w:val="22"/>
    </w:rPr>
  </w:style>
  <w:style w:type="paragraph" w:customStyle="1" w:styleId="TOC41">
    <w:name w:val="TOC 41"/>
    <w:basedOn w:val="Normal"/>
    <w:next w:val="Normal"/>
    <w:autoRedefine/>
    <w:uiPriority w:val="39"/>
    <w:unhideWhenUsed/>
    <w:rsid w:val="00C90243"/>
    <w:pPr>
      <w:spacing w:after="100" w:line="259" w:lineRule="auto"/>
      <w:ind w:left="660"/>
    </w:pPr>
    <w:rPr>
      <w:rFonts w:ascii="Calibri" w:eastAsia="Times New Roman" w:hAnsi="Calibri" w:cs="Times New Roman"/>
      <w:sz w:val="22"/>
      <w:szCs w:val="22"/>
    </w:rPr>
  </w:style>
  <w:style w:type="paragraph" w:customStyle="1" w:styleId="TOC51">
    <w:name w:val="TOC 51"/>
    <w:basedOn w:val="Normal"/>
    <w:next w:val="Normal"/>
    <w:autoRedefine/>
    <w:uiPriority w:val="39"/>
    <w:unhideWhenUsed/>
    <w:rsid w:val="00C90243"/>
    <w:pPr>
      <w:spacing w:after="100" w:line="259" w:lineRule="auto"/>
      <w:ind w:left="880"/>
    </w:pPr>
    <w:rPr>
      <w:rFonts w:ascii="Calibri" w:eastAsia="Times New Roman" w:hAnsi="Calibri" w:cs="Times New Roman"/>
      <w:sz w:val="22"/>
      <w:szCs w:val="22"/>
    </w:rPr>
  </w:style>
  <w:style w:type="paragraph" w:customStyle="1" w:styleId="TOC61">
    <w:name w:val="TOC 61"/>
    <w:basedOn w:val="Normal"/>
    <w:next w:val="Normal"/>
    <w:autoRedefine/>
    <w:uiPriority w:val="39"/>
    <w:unhideWhenUsed/>
    <w:rsid w:val="00C90243"/>
    <w:pPr>
      <w:spacing w:after="100" w:line="259" w:lineRule="auto"/>
      <w:ind w:left="1100"/>
    </w:pPr>
    <w:rPr>
      <w:rFonts w:ascii="Calibri" w:eastAsia="Times New Roman" w:hAnsi="Calibri" w:cs="Times New Roman"/>
      <w:sz w:val="22"/>
      <w:szCs w:val="22"/>
    </w:rPr>
  </w:style>
  <w:style w:type="paragraph" w:customStyle="1" w:styleId="TOC71">
    <w:name w:val="TOC 71"/>
    <w:basedOn w:val="Normal"/>
    <w:next w:val="Normal"/>
    <w:autoRedefine/>
    <w:uiPriority w:val="39"/>
    <w:unhideWhenUsed/>
    <w:rsid w:val="00C90243"/>
    <w:pPr>
      <w:spacing w:after="100" w:line="259" w:lineRule="auto"/>
      <w:ind w:left="1320"/>
    </w:pPr>
    <w:rPr>
      <w:rFonts w:ascii="Calibri" w:eastAsia="Times New Roman" w:hAnsi="Calibri" w:cs="Times New Roman"/>
      <w:sz w:val="22"/>
      <w:szCs w:val="22"/>
    </w:rPr>
  </w:style>
  <w:style w:type="paragraph" w:customStyle="1" w:styleId="TOC81">
    <w:name w:val="TOC 81"/>
    <w:basedOn w:val="Normal"/>
    <w:next w:val="Normal"/>
    <w:autoRedefine/>
    <w:uiPriority w:val="39"/>
    <w:unhideWhenUsed/>
    <w:rsid w:val="00C90243"/>
    <w:pPr>
      <w:spacing w:after="100" w:line="259" w:lineRule="auto"/>
      <w:ind w:left="1540"/>
    </w:pPr>
    <w:rPr>
      <w:rFonts w:ascii="Calibri" w:eastAsia="Times New Roman" w:hAnsi="Calibri" w:cs="Times New Roman"/>
      <w:sz w:val="22"/>
      <w:szCs w:val="22"/>
    </w:rPr>
  </w:style>
  <w:style w:type="paragraph" w:customStyle="1" w:styleId="TOC91">
    <w:name w:val="TOC 91"/>
    <w:basedOn w:val="Normal"/>
    <w:next w:val="Normal"/>
    <w:autoRedefine/>
    <w:uiPriority w:val="39"/>
    <w:unhideWhenUsed/>
    <w:rsid w:val="00C90243"/>
    <w:pPr>
      <w:spacing w:after="100" w:line="259" w:lineRule="auto"/>
      <w:ind w:left="1760"/>
    </w:pPr>
    <w:rPr>
      <w:rFonts w:ascii="Calibri" w:eastAsia="Times New Roman" w:hAnsi="Calibri" w:cs="Times New Roman"/>
      <w:sz w:val="22"/>
      <w:szCs w:val="22"/>
    </w:rPr>
  </w:style>
  <w:style w:type="paragraph" w:styleId="TOC5">
    <w:name w:val="toc 5"/>
    <w:basedOn w:val="Normal"/>
    <w:next w:val="Normal"/>
    <w:autoRedefine/>
    <w:uiPriority w:val="39"/>
    <w:rsid w:val="00C90243"/>
    <w:pPr>
      <w:spacing w:after="100"/>
      <w:ind w:left="880"/>
    </w:pPr>
    <w:rPr>
      <w:rFonts w:ascii="Calibri" w:eastAsia="Times New Roman" w:hAnsi="Calibri" w:cs="Calibri"/>
      <w:sz w:val="22"/>
      <w:szCs w:val="22"/>
      <w:lang w:val="en-GB" w:eastAsia="en-GB"/>
    </w:rPr>
  </w:style>
  <w:style w:type="character" w:customStyle="1" w:styleId="apple-converted-space">
    <w:name w:val="apple-converted-space"/>
    <w:basedOn w:val="DefaultParagraphFont"/>
    <w:rsid w:val="00C90243"/>
  </w:style>
  <w:style w:type="numbering" w:customStyle="1" w:styleId="NoList2">
    <w:name w:val="No List2"/>
    <w:next w:val="NoList"/>
    <w:uiPriority w:val="99"/>
    <w:semiHidden/>
    <w:unhideWhenUsed/>
    <w:rsid w:val="00C90243"/>
  </w:style>
  <w:style w:type="numbering" w:customStyle="1" w:styleId="NoList3">
    <w:name w:val="No List3"/>
    <w:next w:val="NoList"/>
    <w:uiPriority w:val="99"/>
    <w:semiHidden/>
    <w:unhideWhenUsed/>
    <w:rsid w:val="00C90243"/>
  </w:style>
  <w:style w:type="numbering" w:customStyle="1" w:styleId="NoList4">
    <w:name w:val="No List4"/>
    <w:next w:val="NoList"/>
    <w:uiPriority w:val="99"/>
    <w:semiHidden/>
    <w:unhideWhenUsed/>
    <w:rsid w:val="00C90243"/>
  </w:style>
  <w:style w:type="numbering" w:customStyle="1" w:styleId="NoList11">
    <w:name w:val="No List11"/>
    <w:next w:val="NoList"/>
    <w:uiPriority w:val="99"/>
    <w:semiHidden/>
    <w:unhideWhenUsed/>
    <w:rsid w:val="00C90243"/>
  </w:style>
  <w:style w:type="table" w:customStyle="1" w:styleId="TableGrid2">
    <w:name w:val="Table Grid2"/>
    <w:basedOn w:val="TableNormal"/>
    <w:next w:val="TableGrid"/>
    <w:uiPriority w:val="59"/>
    <w:rsid w:val="00C90243"/>
    <w:pPr>
      <w:spacing w:after="0" w:line="240" w:lineRule="auto"/>
    </w:pPr>
    <w:rPr>
      <w:rFonts w:ascii="Calibri" w:eastAsia="Times New Roman" w:hAnsi="Calibri" w:cs="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C90243"/>
  </w:style>
  <w:style w:type="table" w:customStyle="1" w:styleId="TableGrid11">
    <w:name w:val="Table Grid11"/>
    <w:basedOn w:val="TableNormal"/>
    <w:next w:val="TableGrid"/>
    <w:uiPriority w:val="39"/>
    <w:rsid w:val="00C90243"/>
    <w:pPr>
      <w:spacing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C90243"/>
  </w:style>
  <w:style w:type="paragraph" w:customStyle="1" w:styleId="xl65">
    <w:name w:val="xl65"/>
    <w:basedOn w:val="Normal"/>
    <w:rsid w:val="00C90243"/>
    <w:pPr>
      <w:pBdr>
        <w:top w:val="single" w:sz="4" w:space="0" w:color="auto"/>
        <w:left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66">
    <w:name w:val="xl66"/>
    <w:basedOn w:val="Normal"/>
    <w:rsid w:val="00C90243"/>
    <w:pPr>
      <w:pBdr>
        <w:top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67">
    <w:name w:val="xl67"/>
    <w:basedOn w:val="Normal"/>
    <w:rsid w:val="00C90243"/>
    <w:pPr>
      <w:spacing w:beforeAutospacing="1" w:after="100" w:afterAutospacing="1" w:line="240" w:lineRule="auto"/>
    </w:pPr>
    <w:rPr>
      <w:rFonts w:ascii="Cambria" w:eastAsia="Times New Roman" w:hAnsi="Cambria" w:cs="Times New Roman"/>
      <w:lang w:val="en-GB" w:eastAsia="en-GB"/>
    </w:rPr>
  </w:style>
  <w:style w:type="paragraph" w:customStyle="1" w:styleId="xl68">
    <w:name w:val="xl68"/>
    <w:basedOn w:val="Normal"/>
    <w:rsid w:val="00C90243"/>
    <w:pPr>
      <w:pBdr>
        <w:top w:val="single" w:sz="4" w:space="0" w:color="auto"/>
        <w:left w:val="single" w:sz="4" w:space="0" w:color="auto"/>
        <w:bottom w:val="single" w:sz="4" w:space="0" w:color="auto"/>
        <w:right w:val="single" w:sz="4" w:space="0" w:color="auto"/>
      </w:pBdr>
      <w:spacing w:beforeAutospacing="1" w:after="100" w:afterAutospacing="1" w:line="240" w:lineRule="auto"/>
      <w:textAlignment w:val="center"/>
    </w:pPr>
    <w:rPr>
      <w:rFonts w:ascii="Cambria" w:eastAsia="Times New Roman" w:hAnsi="Cambria" w:cs="Times New Roman"/>
      <w:i/>
      <w:iCs/>
      <w:lang w:val="en-GB" w:eastAsia="en-GB"/>
    </w:rPr>
  </w:style>
  <w:style w:type="paragraph" w:customStyle="1" w:styleId="xl69">
    <w:name w:val="xl69"/>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textAlignment w:val="center"/>
    </w:pPr>
    <w:rPr>
      <w:rFonts w:ascii="Cambria" w:eastAsia="Times New Roman" w:hAnsi="Cambria" w:cs="Times New Roman"/>
      <w:lang w:val="en-GB" w:eastAsia="en-GB"/>
    </w:rPr>
  </w:style>
  <w:style w:type="paragraph" w:customStyle="1" w:styleId="xl70">
    <w:name w:val="xl70"/>
    <w:basedOn w:val="Normal"/>
    <w:rsid w:val="00C90243"/>
    <w:pPr>
      <w:pBdr>
        <w:top w:val="single" w:sz="4" w:space="0" w:color="auto"/>
        <w:left w:val="single" w:sz="4" w:space="0" w:color="auto"/>
        <w:bottom w:val="single" w:sz="4" w:space="0" w:color="auto"/>
        <w:right w:val="single" w:sz="4" w:space="0" w:color="auto"/>
      </w:pBdr>
      <w:shd w:val="clear" w:color="000000" w:fill="F2F2F2"/>
      <w:spacing w:beforeAutospacing="1" w:after="100" w:afterAutospacing="1" w:line="240" w:lineRule="auto"/>
      <w:jc w:val="center"/>
      <w:textAlignment w:val="center"/>
    </w:pPr>
    <w:rPr>
      <w:rFonts w:ascii="Times New Roman" w:eastAsia="Times New Roman" w:hAnsi="Times New Roman" w:cs="Times New Roman"/>
      <w:b/>
      <w:bCs/>
      <w:sz w:val="24"/>
      <w:szCs w:val="24"/>
      <w:lang w:val="en-GB" w:eastAsia="en-GB"/>
    </w:rPr>
  </w:style>
  <w:style w:type="paragraph" w:customStyle="1" w:styleId="xl71">
    <w:name w:val="xl71"/>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72">
    <w:name w:val="xl72"/>
    <w:basedOn w:val="Normal"/>
    <w:rsid w:val="00C90243"/>
    <w:pPr>
      <w:pBdr>
        <w:top w:val="single" w:sz="4" w:space="0" w:color="auto"/>
        <w:left w:val="single" w:sz="4" w:space="0" w:color="auto"/>
        <w:bottom w:val="single" w:sz="4" w:space="0" w:color="auto"/>
        <w:right w:val="single" w:sz="4" w:space="0" w:color="auto"/>
      </w:pBdr>
      <w:shd w:val="clear" w:color="000000" w:fill="FFFFFF"/>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73">
    <w:name w:val="xl73"/>
    <w:basedOn w:val="Normal"/>
    <w:rsid w:val="00C90243"/>
    <w:pPr>
      <w:pBdr>
        <w:top w:val="single" w:sz="4" w:space="0" w:color="auto"/>
        <w:left w:val="single" w:sz="4" w:space="0" w:color="auto"/>
        <w:bottom w:val="single" w:sz="4" w:space="0" w:color="auto"/>
        <w:right w:val="single" w:sz="4" w:space="0" w:color="auto"/>
      </w:pBdr>
      <w:shd w:val="clear" w:color="000000" w:fill="A6A6A6"/>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74">
    <w:name w:val="xl74"/>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pPr>
    <w:rPr>
      <w:rFonts w:ascii="Cambria" w:eastAsia="Times New Roman" w:hAnsi="Cambria" w:cs="Times New Roman"/>
      <w:i/>
      <w:iCs/>
      <w:lang w:val="en-GB" w:eastAsia="en-GB"/>
    </w:rPr>
  </w:style>
  <w:style w:type="paragraph" w:customStyle="1" w:styleId="xl75">
    <w:name w:val="xl75"/>
    <w:basedOn w:val="Normal"/>
    <w:rsid w:val="00C90243"/>
    <w:pPr>
      <w:pBdr>
        <w:top w:val="single" w:sz="4" w:space="0" w:color="auto"/>
        <w:left w:val="single" w:sz="4" w:space="0" w:color="auto"/>
        <w:bottom w:val="single" w:sz="4" w:space="0" w:color="auto"/>
        <w:right w:val="single" w:sz="4" w:space="0" w:color="auto"/>
      </w:pBdr>
      <w:shd w:val="clear" w:color="000000" w:fill="A6A6A6"/>
      <w:spacing w:beforeAutospacing="1" w:after="100" w:afterAutospacing="1" w:line="240" w:lineRule="auto"/>
    </w:pPr>
    <w:rPr>
      <w:rFonts w:ascii="Cambria" w:eastAsia="Times New Roman" w:hAnsi="Cambria" w:cs="Times New Roman"/>
      <w:b/>
      <w:bCs/>
      <w:i/>
      <w:iCs/>
      <w:lang w:val="en-GB" w:eastAsia="en-GB"/>
    </w:rPr>
  </w:style>
  <w:style w:type="paragraph" w:customStyle="1" w:styleId="xl76">
    <w:name w:val="xl76"/>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textAlignment w:val="center"/>
    </w:pPr>
    <w:rPr>
      <w:rFonts w:ascii="Cambria" w:eastAsia="Times New Roman" w:hAnsi="Cambria" w:cs="Times New Roman"/>
      <w:i/>
      <w:iCs/>
      <w:lang w:val="en-GB" w:eastAsia="en-GB"/>
    </w:rPr>
  </w:style>
  <w:style w:type="paragraph" w:customStyle="1" w:styleId="xl77">
    <w:name w:val="xl77"/>
    <w:basedOn w:val="Normal"/>
    <w:rsid w:val="00C90243"/>
    <w:pPr>
      <w:pBdr>
        <w:top w:val="single" w:sz="4" w:space="0" w:color="auto"/>
        <w:bottom w:val="single" w:sz="4" w:space="0" w:color="auto"/>
        <w:right w:val="single" w:sz="4" w:space="0" w:color="auto"/>
      </w:pBdr>
      <w:shd w:val="clear" w:color="000000" w:fill="D9D9D9"/>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78">
    <w:name w:val="xl78"/>
    <w:basedOn w:val="Normal"/>
    <w:rsid w:val="00C90243"/>
    <w:pPr>
      <w:pBdr>
        <w:top w:val="single" w:sz="4" w:space="0" w:color="auto"/>
        <w:left w:val="single" w:sz="4" w:space="0" w:color="auto"/>
        <w:bottom w:val="single" w:sz="4" w:space="0" w:color="auto"/>
        <w:right w:val="single" w:sz="4" w:space="0" w:color="auto"/>
      </w:pBdr>
      <w:shd w:val="clear" w:color="000000" w:fill="A6A6A6"/>
      <w:spacing w:beforeAutospacing="1" w:after="100" w:afterAutospacing="1" w:line="240" w:lineRule="auto"/>
      <w:textAlignment w:val="center"/>
    </w:pPr>
    <w:rPr>
      <w:rFonts w:ascii="Cambria" w:eastAsia="Times New Roman" w:hAnsi="Cambria" w:cs="Times New Roman"/>
      <w:b/>
      <w:bCs/>
      <w:i/>
      <w:iCs/>
      <w:lang w:val="en-GB" w:eastAsia="en-GB"/>
    </w:rPr>
  </w:style>
  <w:style w:type="paragraph" w:customStyle="1" w:styleId="xl79">
    <w:name w:val="xl79"/>
    <w:basedOn w:val="Normal"/>
    <w:rsid w:val="00C90243"/>
    <w:pPr>
      <w:shd w:val="clear" w:color="000000" w:fill="A6A6A6"/>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80">
    <w:name w:val="xl80"/>
    <w:basedOn w:val="Normal"/>
    <w:rsid w:val="00C90243"/>
    <w:pPr>
      <w:pBdr>
        <w:top w:val="single" w:sz="4" w:space="0" w:color="auto"/>
        <w:right w:val="single" w:sz="4" w:space="0" w:color="auto"/>
      </w:pBdr>
      <w:shd w:val="clear" w:color="000000" w:fill="D9D9D9"/>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81">
    <w:name w:val="xl81"/>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jc w:val="center"/>
      <w:textAlignment w:val="center"/>
    </w:pPr>
    <w:rPr>
      <w:rFonts w:ascii="Cambria" w:eastAsia="Times New Roman" w:hAnsi="Cambria" w:cs="Times New Roman"/>
      <w:sz w:val="24"/>
      <w:szCs w:val="24"/>
      <w:lang w:val="en-GB" w:eastAsia="en-GB"/>
    </w:rPr>
  </w:style>
  <w:style w:type="paragraph" w:customStyle="1" w:styleId="xl82">
    <w:name w:val="xl82"/>
    <w:basedOn w:val="Normal"/>
    <w:rsid w:val="00C90243"/>
    <w:pPr>
      <w:pBdr>
        <w:top w:val="single" w:sz="4" w:space="0" w:color="auto"/>
        <w:left w:val="single" w:sz="4" w:space="0" w:color="auto"/>
        <w:bottom w:val="single" w:sz="4" w:space="0" w:color="auto"/>
        <w:right w:val="single" w:sz="4" w:space="0" w:color="auto"/>
      </w:pBdr>
      <w:shd w:val="clear" w:color="000000" w:fill="808080"/>
      <w:spacing w:beforeAutospacing="1" w:after="100" w:afterAutospacing="1" w:line="240" w:lineRule="auto"/>
      <w:textAlignment w:val="center"/>
    </w:pPr>
    <w:rPr>
      <w:rFonts w:ascii="Cambria" w:eastAsia="Times New Roman" w:hAnsi="Cambria" w:cs="Times New Roman"/>
      <w:b/>
      <w:bCs/>
      <w:lang w:val="en-GB" w:eastAsia="en-GB"/>
    </w:rPr>
  </w:style>
  <w:style w:type="paragraph" w:customStyle="1" w:styleId="xl83">
    <w:name w:val="xl83"/>
    <w:basedOn w:val="Normal"/>
    <w:rsid w:val="00C90243"/>
    <w:pPr>
      <w:pBdr>
        <w:top w:val="single" w:sz="4" w:space="0" w:color="auto"/>
        <w:left w:val="single" w:sz="4" w:space="0" w:color="auto"/>
        <w:bottom w:val="single" w:sz="4" w:space="0" w:color="auto"/>
        <w:right w:val="single" w:sz="4" w:space="0" w:color="auto"/>
      </w:pBdr>
      <w:shd w:val="clear" w:color="000000" w:fill="808080"/>
      <w:spacing w:beforeAutospacing="1" w:after="100" w:afterAutospacing="1" w:line="240" w:lineRule="auto"/>
      <w:jc w:val="center"/>
      <w:textAlignment w:val="center"/>
    </w:pPr>
    <w:rPr>
      <w:rFonts w:ascii="Cambria" w:eastAsia="Times New Roman" w:hAnsi="Cambria" w:cs="Times New Roman"/>
      <w:sz w:val="24"/>
      <w:szCs w:val="24"/>
      <w:lang w:val="en-GB" w:eastAsia="en-GB"/>
    </w:rPr>
  </w:style>
  <w:style w:type="paragraph" w:customStyle="1" w:styleId="xl84">
    <w:name w:val="xl84"/>
    <w:basedOn w:val="Normal"/>
    <w:rsid w:val="00C90243"/>
    <w:pPr>
      <w:pBdr>
        <w:top w:val="single" w:sz="4" w:space="0" w:color="auto"/>
        <w:bottom w:val="single" w:sz="4" w:space="0" w:color="auto"/>
        <w:right w:val="single" w:sz="4" w:space="0" w:color="auto"/>
      </w:pBdr>
      <w:shd w:val="clear" w:color="000000" w:fill="808080"/>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85">
    <w:name w:val="xl85"/>
    <w:basedOn w:val="Normal"/>
    <w:rsid w:val="00C90243"/>
    <w:pPr>
      <w:pBdr>
        <w:top w:val="single" w:sz="4" w:space="0" w:color="auto"/>
        <w:left w:val="single" w:sz="4" w:space="0" w:color="auto"/>
        <w:bottom w:val="single" w:sz="4" w:space="0" w:color="auto"/>
        <w:right w:val="single" w:sz="4" w:space="0" w:color="auto"/>
      </w:pBdr>
      <w:shd w:val="clear" w:color="000000" w:fill="808080"/>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86">
    <w:name w:val="xl86"/>
    <w:basedOn w:val="Normal"/>
    <w:rsid w:val="00C90243"/>
    <w:pPr>
      <w:pBdr>
        <w:top w:val="single" w:sz="4" w:space="0" w:color="auto"/>
        <w:bottom w:val="single" w:sz="4" w:space="0" w:color="auto"/>
        <w:right w:val="single" w:sz="4" w:space="0" w:color="auto"/>
      </w:pBdr>
      <w:shd w:val="clear" w:color="000000" w:fill="D9D9D9"/>
      <w:spacing w:beforeAutospacing="1" w:after="100" w:afterAutospacing="1" w:line="240" w:lineRule="auto"/>
      <w:jc w:val="center"/>
      <w:textAlignment w:val="center"/>
    </w:pPr>
    <w:rPr>
      <w:rFonts w:ascii="Cambria" w:eastAsia="Times New Roman" w:hAnsi="Cambria" w:cs="Times New Roman"/>
      <w:sz w:val="24"/>
      <w:szCs w:val="24"/>
      <w:lang w:val="en-GB" w:eastAsia="en-GB"/>
    </w:rPr>
  </w:style>
  <w:style w:type="paragraph" w:customStyle="1" w:styleId="xl87">
    <w:name w:val="xl87"/>
    <w:basedOn w:val="Normal"/>
    <w:rsid w:val="00C90243"/>
    <w:pPr>
      <w:pBdr>
        <w:top w:val="single" w:sz="4" w:space="0" w:color="auto"/>
        <w:bottom w:val="single" w:sz="4" w:space="0" w:color="auto"/>
        <w:right w:val="single" w:sz="4" w:space="0" w:color="auto"/>
      </w:pBdr>
      <w:shd w:val="clear" w:color="000000" w:fill="A6A6A6"/>
      <w:spacing w:beforeAutospacing="1" w:after="100" w:afterAutospacing="1" w:line="240" w:lineRule="auto"/>
      <w:jc w:val="center"/>
      <w:textAlignment w:val="center"/>
    </w:pPr>
    <w:rPr>
      <w:rFonts w:ascii="Cambria" w:eastAsia="Times New Roman" w:hAnsi="Cambria" w:cs="Times New Roman"/>
      <w:sz w:val="24"/>
      <w:szCs w:val="24"/>
      <w:lang w:val="en-GB" w:eastAsia="en-GB"/>
    </w:rPr>
  </w:style>
  <w:style w:type="paragraph" w:customStyle="1" w:styleId="xl88">
    <w:name w:val="xl88"/>
    <w:basedOn w:val="Normal"/>
    <w:rsid w:val="00C90243"/>
    <w:pPr>
      <w:pBdr>
        <w:top w:val="single" w:sz="4" w:space="0" w:color="auto"/>
        <w:bottom w:val="single" w:sz="4" w:space="0" w:color="auto"/>
        <w:right w:val="single" w:sz="4" w:space="0" w:color="auto"/>
      </w:pBdr>
      <w:shd w:val="clear" w:color="000000" w:fill="808080"/>
      <w:spacing w:beforeAutospacing="1" w:after="100" w:afterAutospacing="1" w:line="240" w:lineRule="auto"/>
      <w:jc w:val="center"/>
      <w:textAlignment w:val="center"/>
    </w:pPr>
    <w:rPr>
      <w:rFonts w:ascii="Cambria" w:eastAsia="Times New Roman" w:hAnsi="Cambria" w:cs="Times New Roman"/>
      <w:sz w:val="24"/>
      <w:szCs w:val="24"/>
      <w:lang w:val="en-GB" w:eastAsia="en-GB"/>
    </w:rPr>
  </w:style>
  <w:style w:type="paragraph" w:customStyle="1" w:styleId="xl89">
    <w:name w:val="xl89"/>
    <w:basedOn w:val="Normal"/>
    <w:rsid w:val="00C90243"/>
    <w:pPr>
      <w:pBdr>
        <w:top w:val="single" w:sz="4" w:space="0" w:color="auto"/>
        <w:left w:val="single" w:sz="4" w:space="0" w:color="auto"/>
        <w:bottom w:val="single" w:sz="4" w:space="0" w:color="auto"/>
        <w:right w:val="single" w:sz="4" w:space="0" w:color="auto"/>
      </w:pBdr>
      <w:shd w:val="clear" w:color="000000" w:fill="A6A6A6"/>
      <w:spacing w:beforeAutospacing="1" w:after="100" w:afterAutospacing="1" w:line="240" w:lineRule="auto"/>
      <w:jc w:val="center"/>
      <w:textAlignment w:val="center"/>
    </w:pPr>
    <w:rPr>
      <w:rFonts w:ascii="Cambria" w:eastAsia="Times New Roman" w:hAnsi="Cambria" w:cs="Times New Roman"/>
      <w:sz w:val="24"/>
      <w:szCs w:val="24"/>
      <w:lang w:val="en-GB" w:eastAsia="en-GB"/>
    </w:rPr>
  </w:style>
  <w:style w:type="paragraph" w:customStyle="1" w:styleId="xl90">
    <w:name w:val="xl90"/>
    <w:basedOn w:val="Normal"/>
    <w:rsid w:val="00C90243"/>
    <w:pPr>
      <w:pBdr>
        <w:top w:val="single" w:sz="4" w:space="0" w:color="auto"/>
        <w:bottom w:val="single" w:sz="4" w:space="0" w:color="auto"/>
        <w:right w:val="single" w:sz="4" w:space="0" w:color="auto"/>
      </w:pBdr>
      <w:shd w:val="clear" w:color="000000" w:fill="A6A6A6"/>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91">
    <w:name w:val="xl91"/>
    <w:basedOn w:val="Normal"/>
    <w:rsid w:val="00C90243"/>
    <w:pPr>
      <w:pBdr>
        <w:top w:val="single" w:sz="4" w:space="0" w:color="auto"/>
        <w:left w:val="single" w:sz="4" w:space="0" w:color="auto"/>
        <w:right w:val="single" w:sz="4" w:space="0" w:color="auto"/>
      </w:pBdr>
      <w:shd w:val="clear" w:color="000000" w:fill="808080"/>
      <w:spacing w:beforeAutospacing="1" w:after="100" w:afterAutospacing="1" w:line="240" w:lineRule="auto"/>
      <w:textAlignment w:val="center"/>
    </w:pPr>
    <w:rPr>
      <w:rFonts w:ascii="Cambria" w:eastAsia="Times New Roman" w:hAnsi="Cambria" w:cs="Times New Roman"/>
      <w:b/>
      <w:bCs/>
      <w:lang w:val="en-GB" w:eastAsia="en-GB"/>
    </w:rPr>
  </w:style>
  <w:style w:type="paragraph" w:customStyle="1" w:styleId="xl92">
    <w:name w:val="xl92"/>
    <w:basedOn w:val="Normal"/>
    <w:rsid w:val="00C90243"/>
    <w:pPr>
      <w:pBdr>
        <w:top w:val="single" w:sz="4" w:space="0" w:color="auto"/>
        <w:left w:val="single" w:sz="4" w:space="0" w:color="auto"/>
        <w:bottom w:val="single" w:sz="4" w:space="0" w:color="auto"/>
        <w:right w:val="single" w:sz="4" w:space="0" w:color="auto"/>
      </w:pBdr>
      <w:shd w:val="clear" w:color="000000" w:fill="A6A6A6"/>
      <w:spacing w:beforeAutospacing="1" w:after="100" w:afterAutospacing="1" w:line="240" w:lineRule="auto"/>
      <w:textAlignment w:val="center"/>
    </w:pPr>
    <w:rPr>
      <w:rFonts w:ascii="Cambria" w:eastAsia="Times New Roman" w:hAnsi="Cambria" w:cs="Times New Roman"/>
      <w:b/>
      <w:bCs/>
      <w:i/>
      <w:iCs/>
      <w:lang w:val="en-GB" w:eastAsia="en-GB"/>
    </w:rPr>
  </w:style>
  <w:style w:type="paragraph" w:customStyle="1" w:styleId="xl93">
    <w:name w:val="xl93"/>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textAlignment w:val="center"/>
    </w:pPr>
    <w:rPr>
      <w:rFonts w:ascii="Cambria" w:eastAsia="Times New Roman" w:hAnsi="Cambria" w:cs="Times New Roman"/>
      <w:i/>
      <w:iCs/>
      <w:lang w:val="en-GB" w:eastAsia="en-GB"/>
    </w:rPr>
  </w:style>
  <w:style w:type="paragraph" w:customStyle="1" w:styleId="xl94">
    <w:name w:val="xl94"/>
    <w:basedOn w:val="Normal"/>
    <w:rsid w:val="00C90243"/>
    <w:pPr>
      <w:pBdr>
        <w:left w:val="single" w:sz="4" w:space="0" w:color="auto"/>
        <w:bottom w:val="single" w:sz="4" w:space="0" w:color="auto"/>
        <w:right w:val="single" w:sz="4" w:space="0" w:color="auto"/>
      </w:pBdr>
      <w:shd w:val="clear" w:color="000000" w:fill="A6A6A6"/>
      <w:spacing w:beforeAutospacing="1" w:after="100" w:afterAutospacing="1" w:line="240" w:lineRule="auto"/>
      <w:textAlignment w:val="center"/>
    </w:pPr>
    <w:rPr>
      <w:rFonts w:ascii="Cambria" w:eastAsia="Times New Roman" w:hAnsi="Cambria" w:cs="Times New Roman"/>
      <w:b/>
      <w:bCs/>
      <w:i/>
      <w:iCs/>
      <w:lang w:val="en-GB" w:eastAsia="en-GB"/>
    </w:rPr>
  </w:style>
  <w:style w:type="paragraph" w:customStyle="1" w:styleId="xl95">
    <w:name w:val="xl95"/>
    <w:basedOn w:val="Normal"/>
    <w:rsid w:val="00C90243"/>
    <w:pPr>
      <w:pBdr>
        <w:left w:val="single" w:sz="4" w:space="0" w:color="auto"/>
        <w:bottom w:val="single" w:sz="4" w:space="0" w:color="auto"/>
        <w:right w:val="single" w:sz="4" w:space="0" w:color="auto"/>
      </w:pBdr>
      <w:shd w:val="clear" w:color="000000" w:fill="D9D9D9"/>
      <w:spacing w:beforeAutospacing="1" w:after="100" w:afterAutospacing="1" w:line="240" w:lineRule="auto"/>
      <w:textAlignment w:val="center"/>
    </w:pPr>
    <w:rPr>
      <w:rFonts w:ascii="Cambria" w:eastAsia="Times New Roman" w:hAnsi="Cambria" w:cs="Times New Roman"/>
      <w:lang w:val="en-GB" w:eastAsia="en-GB"/>
    </w:rPr>
  </w:style>
  <w:style w:type="paragraph" w:customStyle="1" w:styleId="xl96">
    <w:name w:val="xl96"/>
    <w:basedOn w:val="Normal"/>
    <w:rsid w:val="00C90243"/>
    <w:pPr>
      <w:pBdr>
        <w:left w:val="single" w:sz="4" w:space="0" w:color="auto"/>
        <w:bottom w:val="single" w:sz="4" w:space="0" w:color="auto"/>
        <w:right w:val="single" w:sz="4" w:space="0" w:color="auto"/>
      </w:pBdr>
      <w:shd w:val="clear" w:color="000000" w:fill="D9D9D9"/>
      <w:spacing w:beforeAutospacing="1" w:after="100" w:afterAutospacing="1" w:line="240" w:lineRule="auto"/>
      <w:textAlignment w:val="center"/>
    </w:pPr>
    <w:rPr>
      <w:rFonts w:ascii="Cambria" w:eastAsia="Times New Roman" w:hAnsi="Cambria" w:cs="Times New Roman"/>
      <w:i/>
      <w:iCs/>
      <w:lang w:val="en-GB" w:eastAsia="en-GB"/>
    </w:rPr>
  </w:style>
  <w:style w:type="paragraph" w:customStyle="1" w:styleId="xl97">
    <w:name w:val="xl97"/>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textAlignment w:val="center"/>
    </w:pPr>
    <w:rPr>
      <w:rFonts w:ascii="Cambria" w:eastAsia="Times New Roman" w:hAnsi="Cambria" w:cs="Times New Roman"/>
      <w:i/>
      <w:iCs/>
      <w:lang w:val="en-GB" w:eastAsia="en-GB"/>
    </w:rPr>
  </w:style>
  <w:style w:type="paragraph" w:customStyle="1" w:styleId="xl98">
    <w:name w:val="xl98"/>
    <w:basedOn w:val="Normal"/>
    <w:rsid w:val="00C90243"/>
    <w:pPr>
      <w:pBdr>
        <w:left w:val="single" w:sz="4" w:space="0" w:color="auto"/>
        <w:bottom w:val="single" w:sz="4" w:space="0" w:color="auto"/>
        <w:right w:val="single" w:sz="4" w:space="0" w:color="auto"/>
      </w:pBdr>
      <w:shd w:val="clear" w:color="000000" w:fill="808080"/>
      <w:spacing w:beforeAutospacing="1" w:after="100" w:afterAutospacing="1" w:line="240" w:lineRule="auto"/>
      <w:textAlignment w:val="center"/>
    </w:pPr>
    <w:rPr>
      <w:rFonts w:ascii="Cambria" w:eastAsia="Times New Roman" w:hAnsi="Cambria" w:cs="Times New Roman"/>
      <w:b/>
      <w:bCs/>
      <w:lang w:val="en-GB" w:eastAsia="en-GB"/>
    </w:rPr>
  </w:style>
  <w:style w:type="paragraph" w:customStyle="1" w:styleId="xl99">
    <w:name w:val="xl99"/>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textAlignment w:val="center"/>
    </w:pPr>
    <w:rPr>
      <w:rFonts w:ascii="Cambria" w:eastAsia="Times New Roman" w:hAnsi="Cambria" w:cs="Times New Roman"/>
      <w:i/>
      <w:iCs/>
      <w:lang w:val="en-GB" w:eastAsia="en-GB"/>
    </w:rPr>
  </w:style>
  <w:style w:type="paragraph" w:customStyle="1" w:styleId="xl100">
    <w:name w:val="xl100"/>
    <w:basedOn w:val="Normal"/>
    <w:rsid w:val="00C90243"/>
    <w:pPr>
      <w:pBdr>
        <w:top w:val="single" w:sz="4" w:space="0" w:color="auto"/>
        <w:left w:val="single" w:sz="4" w:space="0" w:color="auto"/>
        <w:bottom w:val="single" w:sz="4" w:space="0" w:color="auto"/>
        <w:right w:val="single" w:sz="4" w:space="0" w:color="auto"/>
      </w:pBdr>
      <w:shd w:val="clear" w:color="000000" w:fill="808080"/>
      <w:spacing w:beforeAutospacing="1" w:after="100" w:afterAutospacing="1" w:line="240" w:lineRule="auto"/>
      <w:textAlignment w:val="center"/>
    </w:pPr>
    <w:rPr>
      <w:rFonts w:ascii="Cambria" w:eastAsia="Times New Roman" w:hAnsi="Cambria" w:cs="Times New Roman"/>
      <w:b/>
      <w:bCs/>
      <w:lang w:val="en-GB" w:eastAsia="en-GB"/>
    </w:rPr>
  </w:style>
  <w:style w:type="paragraph" w:customStyle="1" w:styleId="xl101">
    <w:name w:val="xl101"/>
    <w:basedOn w:val="Normal"/>
    <w:rsid w:val="00C90243"/>
    <w:pPr>
      <w:pBdr>
        <w:top w:val="single" w:sz="4" w:space="0" w:color="auto"/>
        <w:left w:val="single" w:sz="4" w:space="0" w:color="auto"/>
        <w:bottom w:val="single" w:sz="4" w:space="0" w:color="auto"/>
        <w:right w:val="single" w:sz="4" w:space="0" w:color="auto"/>
      </w:pBdr>
      <w:shd w:val="clear" w:color="000000" w:fill="A6A6A6"/>
      <w:spacing w:beforeAutospacing="1" w:after="100" w:afterAutospacing="1" w:line="240" w:lineRule="auto"/>
      <w:textAlignment w:val="center"/>
    </w:pPr>
    <w:rPr>
      <w:rFonts w:ascii="Cambria" w:eastAsia="Times New Roman" w:hAnsi="Cambria" w:cs="Times New Roman"/>
      <w:b/>
      <w:bCs/>
      <w:i/>
      <w:iCs/>
      <w:lang w:val="en-GB" w:eastAsia="en-GB"/>
    </w:rPr>
  </w:style>
  <w:style w:type="paragraph" w:customStyle="1" w:styleId="xl102">
    <w:name w:val="xl102"/>
    <w:basedOn w:val="Normal"/>
    <w:rsid w:val="00C90243"/>
    <w:pPr>
      <w:pBdr>
        <w:left w:val="single" w:sz="4" w:space="0" w:color="auto"/>
        <w:bottom w:val="single" w:sz="4" w:space="0" w:color="auto"/>
        <w:right w:val="single" w:sz="4" w:space="0" w:color="auto"/>
      </w:pBdr>
      <w:shd w:val="clear" w:color="000000" w:fill="A6A6A6"/>
      <w:spacing w:beforeAutospacing="1" w:after="100" w:afterAutospacing="1" w:line="240" w:lineRule="auto"/>
      <w:textAlignment w:val="center"/>
    </w:pPr>
    <w:rPr>
      <w:rFonts w:ascii="Cambria" w:eastAsia="Times New Roman" w:hAnsi="Cambria" w:cs="Times New Roman"/>
      <w:b/>
      <w:bCs/>
      <w:i/>
      <w:iCs/>
      <w:lang w:val="en-GB" w:eastAsia="en-GB"/>
    </w:rPr>
  </w:style>
  <w:style w:type="paragraph" w:customStyle="1" w:styleId="xl103">
    <w:name w:val="xl103"/>
    <w:basedOn w:val="Normal"/>
    <w:rsid w:val="00C90243"/>
    <w:pPr>
      <w:pBdr>
        <w:top w:val="single" w:sz="4" w:space="0" w:color="auto"/>
        <w:left w:val="single" w:sz="4" w:space="0" w:color="auto"/>
        <w:bottom w:val="single" w:sz="4" w:space="0" w:color="auto"/>
        <w:right w:val="single" w:sz="4" w:space="0" w:color="auto"/>
      </w:pBdr>
      <w:shd w:val="clear" w:color="000000" w:fill="A6A6A6"/>
      <w:spacing w:beforeAutospacing="1" w:after="100" w:afterAutospacing="1" w:line="240" w:lineRule="auto"/>
      <w:textAlignment w:val="center"/>
    </w:pPr>
    <w:rPr>
      <w:rFonts w:ascii="Cambria" w:eastAsia="Times New Roman" w:hAnsi="Cambria" w:cs="Times New Roman"/>
      <w:b/>
      <w:bCs/>
      <w:i/>
      <w:iCs/>
      <w:lang w:val="en-GB" w:eastAsia="en-GB"/>
    </w:rPr>
  </w:style>
  <w:style w:type="paragraph" w:customStyle="1" w:styleId="xl104">
    <w:name w:val="xl104"/>
    <w:basedOn w:val="Normal"/>
    <w:rsid w:val="00C90243"/>
    <w:pPr>
      <w:pBdr>
        <w:top w:val="single" w:sz="4" w:space="0" w:color="auto"/>
        <w:left w:val="single" w:sz="4" w:space="0" w:color="auto"/>
        <w:bottom w:val="single" w:sz="4" w:space="0" w:color="auto"/>
        <w:right w:val="single" w:sz="4" w:space="0" w:color="auto"/>
      </w:pBdr>
      <w:shd w:val="clear" w:color="000000" w:fill="808080"/>
      <w:spacing w:beforeAutospacing="1" w:after="100" w:afterAutospacing="1" w:line="240" w:lineRule="auto"/>
    </w:pPr>
    <w:rPr>
      <w:rFonts w:ascii="Cambria" w:eastAsia="Times New Roman" w:hAnsi="Cambria" w:cs="Times New Roman"/>
      <w:b/>
      <w:bCs/>
      <w:lang w:val="en-GB" w:eastAsia="en-GB"/>
    </w:rPr>
  </w:style>
  <w:style w:type="paragraph" w:customStyle="1" w:styleId="xl105">
    <w:name w:val="xl105"/>
    <w:basedOn w:val="Normal"/>
    <w:rsid w:val="00C90243"/>
    <w:pPr>
      <w:pBdr>
        <w:top w:val="single" w:sz="4" w:space="0" w:color="auto"/>
        <w:left w:val="single" w:sz="4" w:space="0" w:color="auto"/>
        <w:bottom w:val="single" w:sz="4" w:space="0" w:color="auto"/>
        <w:right w:val="single" w:sz="4" w:space="0" w:color="auto"/>
      </w:pBdr>
      <w:shd w:val="clear" w:color="000000" w:fill="A6A6A6"/>
      <w:spacing w:beforeAutospacing="1" w:after="100" w:afterAutospacing="1" w:line="240" w:lineRule="auto"/>
    </w:pPr>
    <w:rPr>
      <w:rFonts w:ascii="Cambria" w:eastAsia="Times New Roman" w:hAnsi="Cambria" w:cs="Times New Roman"/>
      <w:b/>
      <w:bCs/>
      <w:i/>
      <w:iCs/>
      <w:lang w:val="en-GB" w:eastAsia="en-GB"/>
    </w:rPr>
  </w:style>
  <w:style w:type="paragraph" w:customStyle="1" w:styleId="xl106">
    <w:name w:val="xl106"/>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pPr>
    <w:rPr>
      <w:rFonts w:ascii="Cambria" w:eastAsia="Times New Roman" w:hAnsi="Cambria" w:cs="Times New Roman"/>
      <w:i/>
      <w:iCs/>
      <w:lang w:val="en-GB" w:eastAsia="en-GB"/>
    </w:rPr>
  </w:style>
  <w:style w:type="paragraph" w:customStyle="1" w:styleId="xl107">
    <w:name w:val="xl107"/>
    <w:basedOn w:val="Normal"/>
    <w:rsid w:val="00C90243"/>
    <w:pPr>
      <w:pBdr>
        <w:top w:val="single" w:sz="4" w:space="0" w:color="auto"/>
        <w:left w:val="single" w:sz="4" w:space="0" w:color="auto"/>
        <w:bottom w:val="single" w:sz="4" w:space="0" w:color="auto"/>
        <w:right w:val="single" w:sz="4" w:space="0" w:color="auto"/>
      </w:pBdr>
      <w:shd w:val="clear" w:color="000000" w:fill="808080"/>
      <w:spacing w:beforeAutospacing="1" w:after="100" w:afterAutospacing="1" w:line="240" w:lineRule="auto"/>
    </w:pPr>
    <w:rPr>
      <w:rFonts w:ascii="Cambria" w:eastAsia="Times New Roman" w:hAnsi="Cambria" w:cs="Times New Roman"/>
      <w:b/>
      <w:bCs/>
      <w:lang w:val="en-GB" w:eastAsia="en-GB"/>
    </w:rPr>
  </w:style>
  <w:style w:type="paragraph" w:customStyle="1" w:styleId="xl108">
    <w:name w:val="xl108"/>
    <w:basedOn w:val="Normal"/>
    <w:rsid w:val="00C90243"/>
    <w:pPr>
      <w:pBdr>
        <w:top w:val="single" w:sz="4" w:space="0" w:color="auto"/>
        <w:left w:val="single" w:sz="4" w:space="0" w:color="auto"/>
        <w:right w:val="single" w:sz="4" w:space="0" w:color="auto"/>
      </w:pBdr>
      <w:shd w:val="clear" w:color="000000" w:fill="808080"/>
      <w:spacing w:beforeAutospacing="1" w:after="100" w:afterAutospacing="1" w:line="240" w:lineRule="auto"/>
    </w:pPr>
    <w:rPr>
      <w:rFonts w:ascii="Cambria" w:eastAsia="Times New Roman" w:hAnsi="Cambria" w:cs="Times New Roman"/>
      <w:b/>
      <w:bCs/>
      <w:lang w:val="en-GB" w:eastAsia="en-GB"/>
    </w:rPr>
  </w:style>
  <w:style w:type="paragraph" w:customStyle="1" w:styleId="xl109">
    <w:name w:val="xl109"/>
    <w:basedOn w:val="Normal"/>
    <w:rsid w:val="00C90243"/>
    <w:pPr>
      <w:pBdr>
        <w:bottom w:val="single" w:sz="4" w:space="0" w:color="auto"/>
      </w:pBdr>
      <w:spacing w:beforeAutospacing="1" w:after="100" w:afterAutospacing="1" w:line="240" w:lineRule="auto"/>
      <w:jc w:val="center"/>
      <w:textAlignment w:val="center"/>
    </w:pPr>
    <w:rPr>
      <w:rFonts w:ascii="Cambria" w:eastAsia="Times New Roman" w:hAnsi="Cambria" w:cs="Times New Roman"/>
      <w:b/>
      <w:bCs/>
      <w:sz w:val="28"/>
      <w:szCs w:val="28"/>
      <w:lang w:val="en-GB" w:eastAsia="en-GB"/>
    </w:rPr>
  </w:style>
  <w:style w:type="paragraph" w:customStyle="1" w:styleId="xl110">
    <w:name w:val="xl110"/>
    <w:basedOn w:val="Normal"/>
    <w:rsid w:val="00C90243"/>
    <w:pPr>
      <w:pBdr>
        <w:bottom w:val="single" w:sz="4" w:space="0" w:color="auto"/>
      </w:pBdr>
      <w:spacing w:beforeAutospacing="1" w:after="100" w:afterAutospacing="1" w:line="240" w:lineRule="auto"/>
      <w:jc w:val="center"/>
      <w:textAlignment w:val="center"/>
    </w:pPr>
    <w:rPr>
      <w:rFonts w:ascii="Cambria" w:eastAsia="Times New Roman" w:hAnsi="Cambria" w:cs="Times New Roman"/>
      <w:sz w:val="24"/>
      <w:szCs w:val="24"/>
      <w:lang w:val="en-GB" w:eastAsia="en-GB"/>
    </w:rPr>
  </w:style>
  <w:style w:type="paragraph" w:customStyle="1" w:styleId="xl111">
    <w:name w:val="xl111"/>
    <w:basedOn w:val="Normal"/>
    <w:rsid w:val="00C90243"/>
    <w:pPr>
      <w:pBdr>
        <w:top w:val="single" w:sz="4" w:space="0" w:color="auto"/>
        <w:left w:val="single" w:sz="4" w:space="0" w:color="auto"/>
        <w:right w:val="single" w:sz="4" w:space="0" w:color="auto"/>
      </w:pBdr>
      <w:shd w:val="clear" w:color="000000" w:fill="F2F2F2"/>
      <w:spacing w:beforeAutospacing="1" w:after="100" w:afterAutospacing="1" w:line="240" w:lineRule="auto"/>
      <w:jc w:val="center"/>
    </w:pPr>
    <w:rPr>
      <w:rFonts w:ascii="Cambria" w:eastAsia="Times New Roman" w:hAnsi="Cambria" w:cs="Times New Roman"/>
      <w:b/>
      <w:bCs/>
      <w:sz w:val="24"/>
      <w:szCs w:val="24"/>
      <w:lang w:val="en-GB" w:eastAsia="en-GB"/>
    </w:rPr>
  </w:style>
  <w:style w:type="paragraph" w:customStyle="1" w:styleId="xl112">
    <w:name w:val="xl112"/>
    <w:basedOn w:val="Normal"/>
    <w:rsid w:val="00C90243"/>
    <w:pPr>
      <w:pBdr>
        <w:left w:val="single" w:sz="4" w:space="0" w:color="auto"/>
        <w:bottom w:val="single" w:sz="4" w:space="0" w:color="auto"/>
        <w:right w:val="single" w:sz="4" w:space="0" w:color="auto"/>
      </w:pBdr>
      <w:shd w:val="clear" w:color="000000" w:fill="F2F2F2"/>
      <w:spacing w:beforeAutospacing="1" w:after="100" w:afterAutospacing="1" w:line="240" w:lineRule="auto"/>
      <w:jc w:val="center"/>
    </w:pPr>
    <w:rPr>
      <w:rFonts w:ascii="Cambria" w:eastAsia="Times New Roman" w:hAnsi="Cambria" w:cs="Times New Roman"/>
      <w:b/>
      <w:bCs/>
      <w:sz w:val="24"/>
      <w:szCs w:val="24"/>
      <w:lang w:val="en-GB" w:eastAsia="en-GB"/>
    </w:rPr>
  </w:style>
  <w:style w:type="table" w:styleId="MediumGrid1-Accent4">
    <w:name w:val="Medium Grid 1 Accent 4"/>
    <w:basedOn w:val="TableNormal"/>
    <w:uiPriority w:val="67"/>
    <w:rsid w:val="00C90243"/>
    <w:pPr>
      <w:spacing w:after="0" w:line="240" w:lineRule="auto"/>
    </w:pPr>
    <w:rPr>
      <w:rFonts w:ascii="Calibri" w:eastAsia="Calibri" w:hAnsi="Calibri" w:cs="Times New Roman"/>
      <w:sz w:val="22"/>
      <w:szCs w:val="22"/>
      <w:lang w:val="en-GB" w:eastAsia="en-GB"/>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MediumGrid1-Accent41">
    <w:name w:val="Medium Grid 1 - Accent 41"/>
    <w:basedOn w:val="TableNormal"/>
    <w:next w:val="MediumGrid1-Accent4"/>
    <w:uiPriority w:val="67"/>
    <w:rsid w:val="00C90243"/>
    <w:pPr>
      <w:spacing w:after="0" w:line="240" w:lineRule="auto"/>
    </w:pPr>
    <w:rPr>
      <w:rFonts w:ascii="Calibri" w:eastAsia="Calibri" w:hAnsi="Calibri" w:cs="Times New Roman"/>
      <w:sz w:val="22"/>
      <w:szCs w:val="22"/>
      <w:lang w:val="en-GB" w:eastAsia="en-GB"/>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styleId="EndnoteText">
    <w:name w:val="endnote text"/>
    <w:basedOn w:val="Normal"/>
    <w:link w:val="EndnoteTextChar"/>
    <w:uiPriority w:val="99"/>
    <w:semiHidden/>
    <w:unhideWhenUsed/>
    <w:rsid w:val="00C90243"/>
    <w:rPr>
      <w:rFonts w:ascii="Calibri" w:eastAsia="Times New Roman" w:hAnsi="Calibri" w:cs="Calibri"/>
      <w:lang w:val="en-GB" w:eastAsia="en-GB"/>
    </w:rPr>
  </w:style>
  <w:style w:type="character" w:customStyle="1" w:styleId="EndnoteTextChar">
    <w:name w:val="Endnote Text Char"/>
    <w:basedOn w:val="DefaultParagraphFont"/>
    <w:link w:val="EndnoteText"/>
    <w:uiPriority w:val="99"/>
    <w:semiHidden/>
    <w:rsid w:val="00C90243"/>
    <w:rPr>
      <w:rFonts w:ascii="Calibri" w:eastAsia="Times New Roman" w:hAnsi="Calibri" w:cs="Calibri"/>
      <w:lang w:val="en-GB" w:eastAsia="en-GB"/>
    </w:rPr>
  </w:style>
  <w:style w:type="character" w:styleId="EndnoteReference">
    <w:name w:val="endnote reference"/>
    <w:uiPriority w:val="99"/>
    <w:semiHidden/>
    <w:unhideWhenUsed/>
    <w:rsid w:val="00C90243"/>
    <w:rPr>
      <w:vertAlign w:val="superscript"/>
    </w:rPr>
  </w:style>
  <w:style w:type="character" w:styleId="LineNumber">
    <w:name w:val="line number"/>
    <w:uiPriority w:val="99"/>
    <w:semiHidden/>
    <w:unhideWhenUsed/>
    <w:rsid w:val="00C90243"/>
  </w:style>
  <w:style w:type="numbering" w:customStyle="1" w:styleId="NoList5">
    <w:name w:val="No List5"/>
    <w:next w:val="NoList"/>
    <w:uiPriority w:val="99"/>
    <w:semiHidden/>
    <w:unhideWhenUsed/>
    <w:rsid w:val="00C90243"/>
  </w:style>
  <w:style w:type="numbering" w:customStyle="1" w:styleId="NoList12">
    <w:name w:val="No List12"/>
    <w:next w:val="NoList"/>
    <w:uiPriority w:val="99"/>
    <w:semiHidden/>
    <w:unhideWhenUsed/>
    <w:rsid w:val="00C90243"/>
  </w:style>
  <w:style w:type="numbering" w:customStyle="1" w:styleId="NoList112">
    <w:name w:val="No List112"/>
    <w:next w:val="NoList"/>
    <w:uiPriority w:val="99"/>
    <w:semiHidden/>
    <w:unhideWhenUsed/>
    <w:rsid w:val="00C90243"/>
  </w:style>
  <w:style w:type="numbering" w:customStyle="1" w:styleId="NoList1111">
    <w:name w:val="No List1111"/>
    <w:next w:val="NoList"/>
    <w:uiPriority w:val="99"/>
    <w:semiHidden/>
    <w:unhideWhenUsed/>
    <w:rsid w:val="00C90243"/>
  </w:style>
  <w:style w:type="numbering" w:customStyle="1" w:styleId="NoList22">
    <w:name w:val="No List22"/>
    <w:next w:val="NoList"/>
    <w:uiPriority w:val="99"/>
    <w:semiHidden/>
    <w:unhideWhenUsed/>
    <w:rsid w:val="00C90243"/>
  </w:style>
  <w:style w:type="character" w:customStyle="1" w:styleId="NoSpacingChar">
    <w:name w:val="No Spacing Char"/>
    <w:basedOn w:val="DefaultParagraphFont"/>
    <w:link w:val="NoSpacing"/>
    <w:uiPriority w:val="1"/>
    <w:rsid w:val="007001D9"/>
  </w:style>
  <w:style w:type="character" w:customStyle="1" w:styleId="acopre1">
    <w:name w:val="acopre1"/>
    <w:basedOn w:val="DefaultParagraphFont"/>
    <w:rsid w:val="00152E82"/>
  </w:style>
  <w:style w:type="paragraph" w:styleId="BodyText">
    <w:name w:val="Body Text"/>
    <w:basedOn w:val="Normal"/>
    <w:link w:val="BodyTextChar"/>
    <w:uiPriority w:val="1"/>
    <w:qFormat/>
    <w:rsid w:val="00A971BC"/>
    <w:pPr>
      <w:spacing w:after="0" w:line="240" w:lineRule="auto"/>
      <w:jc w:val="both"/>
    </w:pPr>
    <w:rPr>
      <w:rFonts w:ascii="YU C Times" w:eastAsia="Times New Roman" w:hAnsi="YU C Times" w:cs="Times New Roman"/>
      <w:sz w:val="24"/>
    </w:rPr>
  </w:style>
  <w:style w:type="character" w:customStyle="1" w:styleId="BodyTextChar">
    <w:name w:val="Body Text Char"/>
    <w:basedOn w:val="DefaultParagraphFont"/>
    <w:link w:val="BodyText"/>
    <w:uiPriority w:val="1"/>
    <w:qFormat/>
    <w:rsid w:val="00A971BC"/>
    <w:rPr>
      <w:rFonts w:ascii="YU C Times" w:eastAsia="Times New Roman" w:hAnsi="YU C Times" w:cs="Times New Roman"/>
      <w:sz w:val="24"/>
    </w:rPr>
  </w:style>
  <w:style w:type="character" w:customStyle="1" w:styleId="st1">
    <w:name w:val="st1"/>
    <w:rsid w:val="00A971BC"/>
  </w:style>
  <w:style w:type="paragraph" w:styleId="HTMLPreformatted">
    <w:name w:val="HTML Preformatted"/>
    <w:basedOn w:val="Normal"/>
    <w:link w:val="HTMLPreformattedChar"/>
    <w:uiPriority w:val="99"/>
    <w:unhideWhenUsed/>
    <w:rsid w:val="00BC5C5F"/>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rsid w:val="00BC5C5F"/>
    <w:rPr>
      <w:rFonts w:ascii="Consolas" w:hAnsi="Consolas"/>
    </w:rPr>
  </w:style>
  <w:style w:type="character" w:customStyle="1" w:styleId="expand">
    <w:name w:val="expand"/>
    <w:basedOn w:val="DefaultParagraphFont"/>
    <w:rsid w:val="003B1E1D"/>
  </w:style>
  <w:style w:type="paragraph" w:customStyle="1" w:styleId="msonormal0">
    <w:name w:val="msonormal"/>
    <w:basedOn w:val="Normal"/>
    <w:rsid w:val="00AE3C4E"/>
    <w:pPr>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font5">
    <w:name w:val="font5"/>
    <w:basedOn w:val="Normal"/>
    <w:rsid w:val="00AE3C4E"/>
    <w:pPr>
      <w:spacing w:beforeAutospacing="1" w:after="100" w:afterAutospacing="1" w:line="240" w:lineRule="auto"/>
    </w:pPr>
    <w:rPr>
      <w:rFonts w:ascii="Times New Roman" w:eastAsia="Times New Roman" w:hAnsi="Times New Roman" w:cs="Times New Roman"/>
      <w:color w:val="FF0000"/>
      <w:lang w:val="en-GB" w:eastAsia="en-GB"/>
    </w:rPr>
  </w:style>
  <w:style w:type="paragraph" w:customStyle="1" w:styleId="font6">
    <w:name w:val="font6"/>
    <w:basedOn w:val="Normal"/>
    <w:rsid w:val="00AE3C4E"/>
    <w:pPr>
      <w:spacing w:beforeAutospacing="1" w:after="100" w:afterAutospacing="1" w:line="240" w:lineRule="auto"/>
    </w:pPr>
    <w:rPr>
      <w:rFonts w:ascii="Calibri" w:eastAsia="Times New Roman" w:hAnsi="Calibri" w:cs="Calibri"/>
      <w:color w:val="000000"/>
      <w:sz w:val="16"/>
      <w:szCs w:val="16"/>
      <w:lang w:val="en-GB" w:eastAsia="en-GB"/>
    </w:rPr>
  </w:style>
  <w:style w:type="paragraph" w:customStyle="1" w:styleId="xl113">
    <w:name w:val="xl113"/>
    <w:basedOn w:val="Normal"/>
    <w:rsid w:val="00AE3C4E"/>
    <w:pPr>
      <w:pBdr>
        <w:top w:val="single" w:sz="4" w:space="0" w:color="auto"/>
        <w:left w:val="single" w:sz="4" w:space="0" w:color="auto"/>
        <w:bottom w:val="single" w:sz="4" w:space="0" w:color="auto"/>
        <w:right w:val="single" w:sz="4" w:space="0" w:color="auto"/>
      </w:pBdr>
      <w:spacing w:beforeAutospacing="1" w:after="100" w:afterAutospacing="1" w:line="240" w:lineRule="auto"/>
      <w:textAlignment w:val="center"/>
    </w:pPr>
    <w:rPr>
      <w:rFonts w:ascii="Arial" w:eastAsia="Times New Roman" w:hAnsi="Arial" w:cs="Arial"/>
      <w:color w:val="000000"/>
      <w:sz w:val="16"/>
      <w:szCs w:val="16"/>
      <w:lang w:val="en-GB" w:eastAsia="en-GB"/>
    </w:rPr>
  </w:style>
  <w:style w:type="paragraph" w:customStyle="1" w:styleId="xl114">
    <w:name w:val="xl114"/>
    <w:basedOn w:val="Normal"/>
    <w:rsid w:val="00AE3C4E"/>
    <w:pPr>
      <w:pBdr>
        <w:top w:val="single" w:sz="4" w:space="0" w:color="auto"/>
        <w:left w:val="single" w:sz="4" w:space="0" w:color="auto"/>
        <w:bottom w:val="single" w:sz="4" w:space="0" w:color="auto"/>
        <w:right w:val="single" w:sz="4" w:space="0" w:color="auto"/>
      </w:pBdr>
      <w:spacing w:beforeAutospacing="1" w:after="100" w:afterAutospacing="1" w:line="240" w:lineRule="auto"/>
      <w:textAlignment w:val="center"/>
    </w:pPr>
    <w:rPr>
      <w:rFonts w:ascii="Arial" w:eastAsia="Times New Roman" w:hAnsi="Arial" w:cs="Arial"/>
      <w:sz w:val="16"/>
      <w:szCs w:val="16"/>
      <w:lang w:val="en-GB" w:eastAsia="en-GB"/>
    </w:rPr>
  </w:style>
  <w:style w:type="paragraph" w:customStyle="1" w:styleId="xl115">
    <w:name w:val="xl115"/>
    <w:basedOn w:val="Normal"/>
    <w:rsid w:val="00AE3C4E"/>
    <w:pPr>
      <w:pBdr>
        <w:top w:val="single" w:sz="4" w:space="0" w:color="9FC8E9"/>
        <w:left w:val="single" w:sz="4" w:space="0" w:color="9FC8E9"/>
        <w:bottom w:val="single" w:sz="4" w:space="0" w:color="9FC8E9"/>
        <w:right w:val="single" w:sz="4" w:space="0" w:color="9FC8E9"/>
      </w:pBdr>
      <w:shd w:val="clear" w:color="D7E3EE" w:fill="DDEBF7"/>
      <w:spacing w:beforeAutospacing="1" w:after="100" w:afterAutospacing="1" w:line="240" w:lineRule="auto"/>
      <w:textAlignment w:val="center"/>
    </w:pPr>
    <w:rPr>
      <w:rFonts w:ascii="Arial" w:eastAsia="Times New Roman" w:hAnsi="Arial" w:cs="Arial"/>
      <w:b/>
      <w:bCs/>
      <w:color w:val="000000"/>
      <w:sz w:val="24"/>
      <w:szCs w:val="24"/>
      <w:lang w:val="en-GB" w:eastAsia="en-GB"/>
    </w:rPr>
  </w:style>
  <w:style w:type="paragraph" w:customStyle="1" w:styleId="xl116">
    <w:name w:val="xl116"/>
    <w:basedOn w:val="Normal"/>
    <w:rsid w:val="00AE3C4E"/>
    <w:pPr>
      <w:pBdr>
        <w:top w:val="single" w:sz="4" w:space="0" w:color="9FC8E9"/>
        <w:left w:val="single" w:sz="4" w:space="0" w:color="9FC8E9"/>
        <w:bottom w:val="single" w:sz="4" w:space="0" w:color="9FC8E9"/>
        <w:right w:val="single" w:sz="4" w:space="0" w:color="9FC8E9"/>
      </w:pBdr>
      <w:shd w:val="clear" w:color="D7E3EE" w:fill="DDEBF7"/>
      <w:spacing w:beforeAutospacing="1" w:after="100" w:afterAutospacing="1" w:line="240" w:lineRule="auto"/>
      <w:textAlignment w:val="center"/>
    </w:pPr>
    <w:rPr>
      <w:rFonts w:ascii="Arial" w:eastAsia="Times New Roman" w:hAnsi="Arial" w:cs="Arial"/>
      <w:b/>
      <w:bCs/>
      <w:lang w:val="en-GB" w:eastAsia="en-GB"/>
    </w:rPr>
  </w:style>
  <w:style w:type="paragraph" w:customStyle="1" w:styleId="xl117">
    <w:name w:val="xl117"/>
    <w:basedOn w:val="Normal"/>
    <w:rsid w:val="00AE3C4E"/>
    <w:pPr>
      <w:pBdr>
        <w:top w:val="single" w:sz="4" w:space="0" w:color="9FC8E9"/>
        <w:left w:val="single" w:sz="4" w:space="0" w:color="9FC8E9"/>
        <w:bottom w:val="single" w:sz="4" w:space="0" w:color="9FC8E9"/>
        <w:right w:val="single" w:sz="4" w:space="0" w:color="9FC8E9"/>
      </w:pBdr>
      <w:shd w:val="clear" w:color="000000" w:fill="DDEBF7"/>
      <w:spacing w:beforeAutospacing="1" w:after="100" w:afterAutospacing="1" w:line="240" w:lineRule="auto"/>
      <w:textAlignment w:val="center"/>
    </w:pPr>
    <w:rPr>
      <w:rFonts w:ascii="Times New Roman" w:eastAsia="Times New Roman" w:hAnsi="Times New Roman" w:cs="Times New Roman"/>
      <w:lang w:val="en-GB" w:eastAsia="en-GB"/>
    </w:rPr>
  </w:style>
  <w:style w:type="paragraph" w:customStyle="1" w:styleId="xl118">
    <w:name w:val="xl118"/>
    <w:basedOn w:val="Normal"/>
    <w:rsid w:val="00AE3C4E"/>
    <w:pPr>
      <w:pBdr>
        <w:left w:val="single" w:sz="4" w:space="0" w:color="auto"/>
        <w:bottom w:val="single" w:sz="4" w:space="0" w:color="auto"/>
        <w:right w:val="single" w:sz="4" w:space="0" w:color="auto"/>
      </w:pBdr>
      <w:shd w:val="clear" w:color="98CBEF" w:fill="9FC8E9"/>
      <w:spacing w:beforeAutospacing="1" w:after="100" w:afterAutospacing="1" w:line="240" w:lineRule="auto"/>
      <w:textAlignment w:val="center"/>
    </w:pPr>
    <w:rPr>
      <w:rFonts w:ascii="Arial" w:eastAsia="Times New Roman" w:hAnsi="Arial" w:cs="Arial"/>
      <w:b/>
      <w:bCs/>
      <w:sz w:val="18"/>
      <w:szCs w:val="18"/>
      <w:lang w:val="en-GB" w:eastAsia="en-GB"/>
    </w:rPr>
  </w:style>
  <w:style w:type="paragraph" w:customStyle="1" w:styleId="xl119">
    <w:name w:val="xl119"/>
    <w:basedOn w:val="Normal"/>
    <w:rsid w:val="00AE3C4E"/>
    <w:pPr>
      <w:pBdr>
        <w:top w:val="dashed" w:sz="4" w:space="0" w:color="auto"/>
        <w:left w:val="dashed" w:sz="4" w:space="0" w:color="auto"/>
        <w:bottom w:val="single" w:sz="8" w:space="0" w:color="auto"/>
        <w:right w:val="dashed" w:sz="4" w:space="0" w:color="auto"/>
      </w:pBdr>
      <w:spacing w:beforeAutospacing="1" w:after="100" w:afterAutospacing="1" w:line="240" w:lineRule="auto"/>
      <w:jc w:val="center"/>
      <w:textAlignment w:val="center"/>
    </w:pPr>
    <w:rPr>
      <w:rFonts w:ascii="Arial" w:eastAsia="Times New Roman" w:hAnsi="Arial" w:cs="Arial"/>
      <w:sz w:val="16"/>
      <w:szCs w:val="16"/>
      <w:lang w:val="en-GB" w:eastAsia="en-GB"/>
    </w:rPr>
  </w:style>
  <w:style w:type="paragraph" w:customStyle="1" w:styleId="xl120">
    <w:name w:val="xl120"/>
    <w:basedOn w:val="Normal"/>
    <w:rsid w:val="00AE3C4E"/>
    <w:pPr>
      <w:pBdr>
        <w:top w:val="dashed" w:sz="4" w:space="0" w:color="auto"/>
        <w:left w:val="dashed" w:sz="4" w:space="0" w:color="auto"/>
        <w:bottom w:val="single" w:sz="8" w:space="0" w:color="auto"/>
        <w:right w:val="single" w:sz="4" w:space="0" w:color="auto"/>
      </w:pBdr>
      <w:spacing w:beforeAutospacing="1" w:after="100" w:afterAutospacing="1" w:line="240" w:lineRule="auto"/>
      <w:jc w:val="center"/>
      <w:textAlignment w:val="center"/>
    </w:pPr>
    <w:rPr>
      <w:rFonts w:ascii="Arial" w:eastAsia="Times New Roman" w:hAnsi="Arial" w:cs="Arial"/>
      <w:sz w:val="16"/>
      <w:szCs w:val="16"/>
      <w:lang w:val="en-GB" w:eastAsia="en-GB"/>
    </w:rPr>
  </w:style>
  <w:style w:type="paragraph" w:customStyle="1" w:styleId="xl121">
    <w:name w:val="xl121"/>
    <w:basedOn w:val="Normal"/>
    <w:rsid w:val="00AE3C4E"/>
    <w:pPr>
      <w:pBdr>
        <w:top w:val="single" w:sz="4" w:space="0" w:color="auto"/>
        <w:left w:val="single" w:sz="4" w:space="0" w:color="auto"/>
        <w:bottom w:val="single" w:sz="4" w:space="0" w:color="auto"/>
        <w:right w:val="single" w:sz="4" w:space="0" w:color="auto"/>
      </w:pBdr>
      <w:shd w:val="clear" w:color="95DBB8" w:fill="FFFFFF"/>
      <w:spacing w:beforeAutospacing="1" w:after="100" w:afterAutospacing="1" w:line="240" w:lineRule="auto"/>
      <w:textAlignment w:val="top"/>
    </w:pPr>
    <w:rPr>
      <w:rFonts w:ascii="Arial" w:eastAsia="Times New Roman" w:hAnsi="Arial" w:cs="Arial"/>
      <w:b/>
      <w:bCs/>
      <w:color w:val="60A3DA"/>
      <w:sz w:val="18"/>
      <w:szCs w:val="18"/>
      <w:lang w:val="en-GB" w:eastAsia="en-GB"/>
    </w:rPr>
  </w:style>
  <w:style w:type="paragraph" w:customStyle="1" w:styleId="xl122">
    <w:name w:val="xl122"/>
    <w:basedOn w:val="Normal"/>
    <w:rsid w:val="00AE3C4E"/>
    <w:pPr>
      <w:pBdr>
        <w:top w:val="single" w:sz="4" w:space="0" w:color="auto"/>
        <w:left w:val="single" w:sz="4" w:space="0" w:color="auto"/>
        <w:bottom w:val="single" w:sz="4" w:space="0" w:color="auto"/>
        <w:right w:val="single" w:sz="4" w:space="0" w:color="auto"/>
      </w:pBdr>
      <w:shd w:val="clear" w:color="000000" w:fill="F2F2F2"/>
      <w:spacing w:beforeAutospacing="1" w:after="100" w:afterAutospacing="1" w:line="240" w:lineRule="auto"/>
      <w:textAlignment w:val="center"/>
    </w:pPr>
    <w:rPr>
      <w:rFonts w:ascii="Times New Roman" w:eastAsia="Times New Roman" w:hAnsi="Times New Roman" w:cs="Times New Roman"/>
      <w:sz w:val="24"/>
      <w:szCs w:val="24"/>
      <w:lang w:val="en-GB" w:eastAsia="en-GB"/>
    </w:rPr>
  </w:style>
  <w:style w:type="paragraph" w:customStyle="1" w:styleId="font7">
    <w:name w:val="font7"/>
    <w:basedOn w:val="Normal"/>
    <w:rsid w:val="00AE3C4E"/>
    <w:pPr>
      <w:spacing w:beforeAutospacing="1" w:after="100" w:afterAutospacing="1" w:line="240" w:lineRule="auto"/>
    </w:pPr>
    <w:rPr>
      <w:rFonts w:ascii="Arial" w:eastAsia="Times New Roman" w:hAnsi="Arial" w:cs="Arial"/>
      <w:color w:val="FF0000"/>
      <w:sz w:val="16"/>
      <w:szCs w:val="16"/>
      <w:lang w:val="en-GB" w:eastAsia="en-GB"/>
    </w:rPr>
  </w:style>
  <w:style w:type="paragraph" w:customStyle="1" w:styleId="font8">
    <w:name w:val="font8"/>
    <w:basedOn w:val="Normal"/>
    <w:rsid w:val="00AE3C4E"/>
    <w:pPr>
      <w:spacing w:beforeAutospacing="1" w:after="100" w:afterAutospacing="1" w:line="240" w:lineRule="auto"/>
    </w:pPr>
    <w:rPr>
      <w:rFonts w:ascii="Arial" w:eastAsia="Times New Roman" w:hAnsi="Arial" w:cs="Arial"/>
      <w:b/>
      <w:bCs/>
      <w:sz w:val="16"/>
      <w:szCs w:val="16"/>
      <w:lang w:val="en-GB" w:eastAsia="en-GB"/>
    </w:rPr>
  </w:style>
  <w:style w:type="paragraph" w:customStyle="1" w:styleId="font9">
    <w:name w:val="font9"/>
    <w:basedOn w:val="Normal"/>
    <w:rsid w:val="00AE3C4E"/>
    <w:pPr>
      <w:spacing w:beforeAutospacing="1" w:after="100" w:afterAutospacing="1" w:line="240" w:lineRule="auto"/>
    </w:pPr>
    <w:rPr>
      <w:rFonts w:ascii="Calibri" w:eastAsia="Times New Roman" w:hAnsi="Calibri" w:cs="Calibri"/>
      <w:color w:val="000000"/>
      <w:sz w:val="16"/>
      <w:szCs w:val="16"/>
      <w:lang w:val="en-GB" w:eastAsia="en-GB"/>
    </w:rPr>
  </w:style>
  <w:style w:type="paragraph" w:customStyle="1" w:styleId="xl123">
    <w:name w:val="xl123"/>
    <w:basedOn w:val="Normal"/>
    <w:rsid w:val="00AE3C4E"/>
    <w:pPr>
      <w:pBdr>
        <w:top w:val="single" w:sz="4" w:space="0" w:color="BFBFBF"/>
        <w:left w:val="single" w:sz="4" w:space="0" w:color="BFBFBF"/>
        <w:bottom w:val="single" w:sz="4" w:space="0" w:color="BFBFBF"/>
        <w:right w:val="single" w:sz="4" w:space="0" w:color="BFBFBF"/>
      </w:pBdr>
      <w:shd w:val="clear" w:color="000000" w:fill="FFFFFF"/>
      <w:spacing w:beforeAutospacing="1" w:after="100" w:afterAutospacing="1" w:line="240" w:lineRule="auto"/>
      <w:jc w:val="center"/>
    </w:pPr>
    <w:rPr>
      <w:rFonts w:ascii="Times New Roman" w:eastAsia="Times New Roman" w:hAnsi="Times New Roman" w:cs="Times New Roman"/>
      <w:sz w:val="24"/>
      <w:szCs w:val="24"/>
      <w:lang w:val="en-GB" w:eastAsia="en-GB"/>
    </w:rPr>
  </w:style>
  <w:style w:type="paragraph" w:customStyle="1" w:styleId="xl124">
    <w:name w:val="xl124"/>
    <w:basedOn w:val="Normal"/>
    <w:rsid w:val="00AE3C4E"/>
    <w:pPr>
      <w:pBdr>
        <w:top w:val="single" w:sz="4" w:space="0" w:color="BFBFBF"/>
        <w:left w:val="single" w:sz="4" w:space="0" w:color="BFBFBF"/>
        <w:bottom w:val="single" w:sz="4" w:space="0" w:color="BFBFBF"/>
        <w:right w:val="single" w:sz="4" w:space="0" w:color="BFBFBF"/>
      </w:pBdr>
      <w:shd w:val="clear" w:color="FFFFCC" w:fill="FFFFFF"/>
      <w:spacing w:beforeAutospacing="1" w:after="100" w:afterAutospacing="1" w:line="240" w:lineRule="auto"/>
      <w:jc w:val="center"/>
      <w:textAlignment w:val="center"/>
    </w:pPr>
    <w:rPr>
      <w:rFonts w:ascii="Arial" w:eastAsia="Times New Roman" w:hAnsi="Arial" w:cs="Arial"/>
      <w:b/>
      <w:bCs/>
      <w:color w:val="000000"/>
      <w:sz w:val="16"/>
      <w:szCs w:val="16"/>
      <w:lang w:val="en-GB" w:eastAsia="en-GB"/>
    </w:rPr>
  </w:style>
  <w:style w:type="character" w:customStyle="1" w:styleId="SidebarChar">
    <w:name w:val="Sidebar Char"/>
    <w:link w:val="Sidebar"/>
    <w:uiPriority w:val="8"/>
    <w:locked/>
    <w:rsid w:val="00AE3C4E"/>
    <w:rPr>
      <w:i/>
      <w:color w:val="365F91"/>
      <w:sz w:val="24"/>
    </w:rPr>
  </w:style>
  <w:style w:type="paragraph" w:customStyle="1" w:styleId="Sidebar">
    <w:name w:val="Sidebar"/>
    <w:basedOn w:val="Normal"/>
    <w:link w:val="SidebarChar"/>
    <w:uiPriority w:val="8"/>
    <w:qFormat/>
    <w:rsid w:val="00AE3C4E"/>
    <w:pPr>
      <w:suppressAutoHyphens/>
      <w:autoSpaceDN w:val="0"/>
      <w:spacing w:before="240" w:after="240" w:line="288" w:lineRule="auto"/>
      <w:ind w:firstLine="357"/>
      <w:jc w:val="both"/>
      <w:textAlignment w:val="baseline"/>
    </w:pPr>
    <w:rPr>
      <w:i/>
      <w:color w:val="365F91"/>
      <w:sz w:val="24"/>
    </w:rPr>
  </w:style>
  <w:style w:type="paragraph" w:customStyle="1" w:styleId="Normal1">
    <w:name w:val="Normal1"/>
    <w:basedOn w:val="Normal"/>
    <w:rsid w:val="00AE3C4E"/>
    <w:pPr>
      <w:suppressAutoHyphens/>
      <w:autoSpaceDN w:val="0"/>
      <w:spacing w:beforeAutospacing="1" w:after="100" w:afterAutospacing="1" w:line="240" w:lineRule="auto"/>
      <w:ind w:firstLine="357"/>
      <w:jc w:val="both"/>
      <w:textAlignment w:val="baseline"/>
    </w:pPr>
    <w:rPr>
      <w:rFonts w:ascii="Times New Roman" w:eastAsia="Times New Roman" w:hAnsi="Times New Roman" w:cs="Times New Roman"/>
      <w:kern w:val="3"/>
      <w:sz w:val="24"/>
      <w:szCs w:val="24"/>
      <w:lang w:val="de-DE" w:eastAsia="de-DE" w:bidi="hi-IN"/>
    </w:rPr>
  </w:style>
  <w:style w:type="character" w:customStyle="1" w:styleId="fontstyle01">
    <w:name w:val="fontstyle01"/>
    <w:rsid w:val="00AE3C4E"/>
    <w:rPr>
      <w:rFonts w:ascii="Roboto-Regular" w:hAnsi="Roboto-Regular" w:hint="default"/>
      <w:b w:val="0"/>
      <w:bCs w:val="0"/>
      <w:i w:val="0"/>
      <w:iCs w:val="0"/>
      <w:color w:val="1A171C"/>
      <w:sz w:val="16"/>
      <w:szCs w:val="16"/>
    </w:rPr>
  </w:style>
  <w:style w:type="table" w:customStyle="1" w:styleId="PlainTable31">
    <w:name w:val="Plain Table 31"/>
    <w:basedOn w:val="TableNormal"/>
    <w:uiPriority w:val="99"/>
    <w:rsid w:val="00AE3C4E"/>
    <w:pPr>
      <w:spacing w:after="0" w:line="240" w:lineRule="auto"/>
    </w:pPr>
    <w:rPr>
      <w:rFonts w:ascii="Calibri" w:eastAsia="Calibri" w:hAnsi="Calibri" w:cs="Times New Roman"/>
      <w:lang w:val="uz-Cyrl-UZ"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auto-style1">
    <w:name w:val="auto-style1"/>
    <w:basedOn w:val="Normal"/>
    <w:rsid w:val="00AE3C4E"/>
    <w:pPr>
      <w:suppressAutoHyphens/>
      <w:autoSpaceDN w:val="0"/>
      <w:spacing w:beforeAutospacing="1" w:after="100" w:afterAutospacing="1" w:line="240" w:lineRule="auto"/>
      <w:ind w:firstLine="357"/>
      <w:jc w:val="both"/>
      <w:textAlignment w:val="baseline"/>
    </w:pPr>
    <w:rPr>
      <w:rFonts w:ascii="Times New Roman" w:eastAsia="Times New Roman" w:hAnsi="Times New Roman" w:cs="Times New Roman"/>
      <w:kern w:val="3"/>
      <w:sz w:val="24"/>
      <w:szCs w:val="24"/>
      <w:lang w:val="en-GB" w:eastAsia="en-GB" w:bidi="hi-IN"/>
    </w:rPr>
  </w:style>
  <w:style w:type="paragraph" w:customStyle="1" w:styleId="odluka-zakon">
    <w:name w:val="odluka-zakon"/>
    <w:basedOn w:val="Normal"/>
    <w:rsid w:val="00AE3C4E"/>
    <w:pPr>
      <w:suppressAutoHyphens/>
      <w:autoSpaceDN w:val="0"/>
      <w:spacing w:beforeAutospacing="1" w:after="100" w:afterAutospacing="1" w:line="240" w:lineRule="auto"/>
      <w:ind w:firstLine="357"/>
      <w:jc w:val="both"/>
      <w:textAlignment w:val="baseline"/>
    </w:pPr>
    <w:rPr>
      <w:rFonts w:ascii="Times New Roman" w:eastAsia="Times New Roman" w:hAnsi="Times New Roman" w:cs="Times New Roman"/>
      <w:kern w:val="3"/>
      <w:sz w:val="24"/>
      <w:szCs w:val="24"/>
      <w:lang w:eastAsia="zh-CN" w:bidi="hi-IN"/>
    </w:rPr>
  </w:style>
  <w:style w:type="paragraph" w:customStyle="1" w:styleId="kmnaslov1">
    <w:name w:val="kmnaslov1"/>
    <w:basedOn w:val="Normal"/>
    <w:uiPriority w:val="99"/>
    <w:rsid w:val="00AE3C4E"/>
    <w:pPr>
      <w:suppressAutoHyphens/>
      <w:autoSpaceDN w:val="0"/>
      <w:spacing w:beforeAutospacing="1" w:after="100" w:afterAutospacing="1" w:line="240" w:lineRule="auto"/>
      <w:ind w:firstLine="357"/>
      <w:jc w:val="both"/>
      <w:textAlignment w:val="baseline"/>
    </w:pPr>
    <w:rPr>
      <w:rFonts w:ascii="Calibri" w:eastAsia="Times New Roman" w:hAnsi="Calibri" w:cs="Calibri"/>
      <w:kern w:val="3"/>
      <w:sz w:val="24"/>
      <w:szCs w:val="24"/>
      <w:lang w:eastAsia="zh-CN" w:bidi="hi-IN"/>
    </w:rPr>
  </w:style>
  <w:style w:type="character" w:customStyle="1" w:styleId="UnresolvedMention11">
    <w:name w:val="Unresolved Mention11"/>
    <w:uiPriority w:val="99"/>
    <w:semiHidden/>
    <w:unhideWhenUsed/>
    <w:rsid w:val="00AE3C4E"/>
    <w:rPr>
      <w:color w:val="605E5C"/>
      <w:shd w:val="clear" w:color="auto" w:fill="E1DFDD"/>
    </w:rPr>
  </w:style>
  <w:style w:type="character" w:customStyle="1" w:styleId="UnresolvedMention2">
    <w:name w:val="Unresolved Mention2"/>
    <w:uiPriority w:val="99"/>
    <w:semiHidden/>
    <w:unhideWhenUsed/>
    <w:rsid w:val="00AE3C4E"/>
    <w:rPr>
      <w:color w:val="605E5C"/>
      <w:shd w:val="clear" w:color="auto" w:fill="E1DFDD"/>
    </w:rPr>
  </w:style>
  <w:style w:type="paragraph" w:styleId="TableofFigures">
    <w:name w:val="table of figures"/>
    <w:basedOn w:val="Normal"/>
    <w:next w:val="Normal"/>
    <w:uiPriority w:val="99"/>
    <w:unhideWhenUsed/>
    <w:rsid w:val="00AE3C4E"/>
    <w:pPr>
      <w:suppressAutoHyphens/>
      <w:autoSpaceDN w:val="0"/>
      <w:spacing w:before="120" w:after="0" w:line="240" w:lineRule="auto"/>
      <w:ind w:firstLine="357"/>
      <w:jc w:val="both"/>
      <w:textAlignment w:val="baseline"/>
    </w:pPr>
    <w:rPr>
      <w:rFonts w:ascii="Times New Roman" w:eastAsia="DejaVu Sans Mono" w:hAnsi="Times New Roman" w:cs="Calibri"/>
      <w:i/>
      <w:iCs/>
      <w:kern w:val="3"/>
      <w:lang w:val="de-DE" w:eastAsia="zh-CN" w:bidi="hi-IN"/>
    </w:rPr>
  </w:style>
  <w:style w:type="paragraph" w:customStyle="1" w:styleId="CharCharCharCharCarCarCharCharCarCar">
    <w:name w:val="Char Char Char Char Car Car Char Char Car Car"/>
    <w:basedOn w:val="Normal"/>
    <w:next w:val="Normal"/>
    <w:uiPriority w:val="99"/>
    <w:rsid w:val="00AE3C4E"/>
    <w:pPr>
      <w:suppressAutoHyphens/>
      <w:autoSpaceDN w:val="0"/>
      <w:spacing w:before="120" w:after="60" w:line="240" w:lineRule="exact"/>
      <w:ind w:firstLine="357"/>
      <w:jc w:val="both"/>
      <w:textAlignment w:val="baseline"/>
    </w:pPr>
    <w:rPr>
      <w:rFonts w:ascii="Times New Roman" w:eastAsia="DejaVu Sans Mono" w:hAnsi="Times New Roman" w:cs="Times New Roman"/>
      <w:kern w:val="3"/>
      <w:sz w:val="24"/>
      <w:szCs w:val="24"/>
      <w:vertAlign w:val="superscript"/>
      <w:lang w:eastAsia="zh-CN" w:bidi="hi-IN"/>
    </w:rPr>
  </w:style>
  <w:style w:type="paragraph" w:customStyle="1" w:styleId="CharCharCharCharCarChar">
    <w:name w:val="Char Char Char Char Car Char"/>
    <w:aliases w:val="Char Char Char Char Car Char Char1,Char Char Char1,16 Point Char1,Superscript 6 Point Char1,ftref Char1,Char Char Char1 Char Char Char"/>
    <w:basedOn w:val="Normal"/>
    <w:next w:val="Normal"/>
    <w:uiPriority w:val="99"/>
    <w:rsid w:val="00AE3C4E"/>
    <w:pPr>
      <w:suppressAutoHyphens/>
      <w:autoSpaceDN w:val="0"/>
      <w:spacing w:before="120" w:after="0" w:line="120" w:lineRule="exact"/>
      <w:ind w:firstLine="357"/>
      <w:jc w:val="both"/>
      <w:textAlignment w:val="baseline"/>
    </w:pPr>
    <w:rPr>
      <w:rFonts w:ascii="Calibri" w:eastAsia="DejaVu Sans Mono" w:hAnsi="Calibri" w:cs="Times New Roman"/>
      <w:color w:val="000000"/>
      <w:kern w:val="3"/>
      <w:sz w:val="24"/>
      <w:szCs w:val="24"/>
      <w:vertAlign w:val="superscript"/>
      <w:lang w:eastAsia="zh-CN" w:bidi="hi-IN"/>
    </w:rPr>
  </w:style>
  <w:style w:type="character" w:customStyle="1" w:styleId="UnresolvedMention3">
    <w:name w:val="Unresolved Mention3"/>
    <w:uiPriority w:val="99"/>
    <w:semiHidden/>
    <w:unhideWhenUsed/>
    <w:rsid w:val="00AE3C4E"/>
    <w:rPr>
      <w:color w:val="605E5C"/>
      <w:shd w:val="clear" w:color="auto" w:fill="E1DFDD"/>
    </w:rPr>
  </w:style>
  <w:style w:type="character" w:customStyle="1" w:styleId="FootnoteCharacters">
    <w:name w:val="Footnote Characters"/>
    <w:uiPriority w:val="99"/>
    <w:qFormat/>
    <w:rsid w:val="00AE3C4E"/>
    <w:rPr>
      <w:vertAlign w:val="superscript"/>
    </w:rPr>
  </w:style>
  <w:style w:type="character" w:customStyle="1" w:styleId="FootnoteAnchor">
    <w:name w:val="Footnote Anchor"/>
    <w:rsid w:val="00AE3C4E"/>
    <w:rPr>
      <w:vertAlign w:val="superscript"/>
    </w:rPr>
  </w:style>
  <w:style w:type="paragraph" w:customStyle="1" w:styleId="commentcontentpara">
    <w:name w:val="commentcontentpara"/>
    <w:basedOn w:val="Normal"/>
    <w:rsid w:val="00AE3C4E"/>
    <w:pPr>
      <w:suppressAutoHyphens/>
      <w:autoSpaceDN w:val="0"/>
      <w:spacing w:beforeAutospacing="1" w:after="100" w:afterAutospacing="1" w:line="240" w:lineRule="auto"/>
      <w:ind w:firstLine="357"/>
      <w:jc w:val="both"/>
      <w:textAlignment w:val="baseline"/>
    </w:pPr>
    <w:rPr>
      <w:rFonts w:ascii="Times New Roman" w:eastAsia="Times New Roman" w:hAnsi="Times New Roman" w:cs="Times New Roman"/>
      <w:kern w:val="3"/>
      <w:sz w:val="24"/>
      <w:szCs w:val="24"/>
      <w:lang w:eastAsia="sr-Latn-RS" w:bidi="hi-IN"/>
    </w:rPr>
  </w:style>
  <w:style w:type="character" w:customStyle="1" w:styleId="xmsofootnotereference">
    <w:name w:val="x_msofootnotereference"/>
    <w:basedOn w:val="DefaultParagraphFont"/>
    <w:rsid w:val="00AE3C4E"/>
  </w:style>
  <w:style w:type="character" w:customStyle="1" w:styleId="UnresolvedMention4">
    <w:name w:val="Unresolved Mention4"/>
    <w:uiPriority w:val="99"/>
    <w:semiHidden/>
    <w:unhideWhenUsed/>
    <w:rsid w:val="00AE3C4E"/>
    <w:rPr>
      <w:color w:val="605E5C"/>
      <w:shd w:val="clear" w:color="auto" w:fill="E1DFDD"/>
    </w:rPr>
  </w:style>
  <w:style w:type="character" w:customStyle="1" w:styleId="UnresolvedMention5">
    <w:name w:val="Unresolved Mention5"/>
    <w:uiPriority w:val="99"/>
    <w:semiHidden/>
    <w:unhideWhenUsed/>
    <w:rsid w:val="00AE3C4E"/>
    <w:rPr>
      <w:color w:val="605E5C"/>
      <w:shd w:val="clear" w:color="auto" w:fill="E1DFDD"/>
    </w:rPr>
  </w:style>
  <w:style w:type="character" w:customStyle="1" w:styleId="UnresolvedMention6">
    <w:name w:val="Unresolved Mention6"/>
    <w:uiPriority w:val="99"/>
    <w:semiHidden/>
    <w:unhideWhenUsed/>
    <w:rsid w:val="00AE3C4E"/>
    <w:rPr>
      <w:color w:val="605E5C"/>
      <w:shd w:val="clear" w:color="auto" w:fill="E1DFDD"/>
    </w:rPr>
  </w:style>
  <w:style w:type="character" w:customStyle="1" w:styleId="UnresolvedMention7">
    <w:name w:val="Unresolved Mention7"/>
    <w:uiPriority w:val="99"/>
    <w:semiHidden/>
    <w:unhideWhenUsed/>
    <w:rsid w:val="00AE3C4E"/>
    <w:rPr>
      <w:color w:val="605E5C"/>
      <w:shd w:val="clear" w:color="auto" w:fill="E1DFDD"/>
    </w:rPr>
  </w:style>
  <w:style w:type="character" w:customStyle="1" w:styleId="UnresolvedMention21">
    <w:name w:val="Unresolved Mention21"/>
    <w:uiPriority w:val="99"/>
    <w:semiHidden/>
    <w:unhideWhenUsed/>
    <w:rsid w:val="00AE3C4E"/>
    <w:rPr>
      <w:color w:val="605E5C"/>
      <w:shd w:val="clear" w:color="auto" w:fill="E1DFDD"/>
    </w:rPr>
  </w:style>
  <w:style w:type="character" w:customStyle="1" w:styleId="fontstyle21">
    <w:name w:val="fontstyle21"/>
    <w:rsid w:val="00AE3C4E"/>
    <w:rPr>
      <w:rFonts w:ascii="Cambria" w:hAnsi="Cambria" w:hint="default"/>
      <w:b w:val="0"/>
      <w:bCs w:val="0"/>
      <w:i w:val="0"/>
      <w:iCs w:val="0"/>
      <w:color w:val="000000"/>
      <w:sz w:val="22"/>
      <w:szCs w:val="22"/>
    </w:rPr>
  </w:style>
  <w:style w:type="character" w:customStyle="1" w:styleId="gmail-msoins">
    <w:name w:val="gmail-msoins"/>
    <w:basedOn w:val="DefaultParagraphFont"/>
    <w:rsid w:val="00AE3C4E"/>
  </w:style>
  <w:style w:type="paragraph" w:customStyle="1" w:styleId="Footnote">
    <w:name w:val="Footnote"/>
    <w:basedOn w:val="Normal"/>
    <w:rsid w:val="00AE3C4E"/>
    <w:pPr>
      <w:suppressAutoHyphens/>
      <w:autoSpaceDN w:val="0"/>
      <w:spacing w:before="120" w:after="0" w:line="240" w:lineRule="auto"/>
      <w:ind w:firstLine="357"/>
      <w:jc w:val="both"/>
      <w:textAlignment w:val="baseline"/>
    </w:pPr>
    <w:rPr>
      <w:rFonts w:ascii="Times New Roman" w:eastAsia="Times New Roman" w:hAnsi="Times New Roman" w:cs="Lohit Devanagari"/>
      <w:kern w:val="3"/>
      <w:lang w:val="sl-SI" w:eastAsia="zh-CN" w:bidi="hi-IN"/>
    </w:rPr>
  </w:style>
  <w:style w:type="character" w:customStyle="1" w:styleId="pronadjen">
    <w:name w:val="pronadjen"/>
    <w:basedOn w:val="DefaultParagraphFont"/>
    <w:qFormat/>
    <w:rsid w:val="00AE3C4E"/>
  </w:style>
  <w:style w:type="character" w:customStyle="1" w:styleId="BodyTextChar1">
    <w:name w:val="Body Text Char1"/>
    <w:uiPriority w:val="1"/>
    <w:semiHidden/>
    <w:rsid w:val="00AE3C4E"/>
    <w:rPr>
      <w:lang w:val="sr-Cyrl-RS"/>
    </w:rPr>
  </w:style>
  <w:style w:type="table" w:customStyle="1" w:styleId="ListTable1Light-Accent11">
    <w:name w:val="List Table 1 Light - Accent 11"/>
    <w:basedOn w:val="TableNormal"/>
    <w:uiPriority w:val="46"/>
    <w:rsid w:val="00AE3C4E"/>
    <w:pPr>
      <w:spacing w:after="0" w:line="240" w:lineRule="auto"/>
    </w:pPr>
    <w:rPr>
      <w:rFonts w:ascii="Calibri" w:eastAsia="Calibri" w:hAnsi="Calibri" w:cs="Times New Roman"/>
      <w:lang w:eastAsia="en-GB"/>
    </w:rPr>
    <w:tblPr>
      <w:tblStyleRowBandSize w:val="1"/>
      <w:tblStyleColBandSize w:val="1"/>
    </w:tblPr>
    <w:tblStylePr w:type="firstRow">
      <w:rPr>
        <w:b/>
        <w:bCs/>
      </w:rPr>
      <w:tblPr/>
      <w:tcPr>
        <w:tcBorders>
          <w:bottom w:val="single" w:sz="4" w:space="0" w:color="95B3D7"/>
        </w:tcBorders>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3">
    <w:name w:val="Table Grid3"/>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Text">
    <w:name w:val="Preformatted Text"/>
    <w:basedOn w:val="Normal"/>
    <w:qFormat/>
    <w:rsid w:val="00AE3C4E"/>
    <w:pPr>
      <w:suppressAutoHyphens/>
      <w:autoSpaceDN w:val="0"/>
      <w:spacing w:before="120" w:after="0" w:line="240" w:lineRule="auto"/>
      <w:ind w:firstLine="357"/>
      <w:jc w:val="both"/>
      <w:textAlignment w:val="baseline"/>
    </w:pPr>
    <w:rPr>
      <w:rFonts w:ascii="Liberation Mono" w:eastAsia="DejaVu Sans Mono" w:hAnsi="Liberation Mono" w:cs="Liberation Mono"/>
      <w:kern w:val="2"/>
      <w:lang w:eastAsia="zh-CN" w:bidi="hi-IN"/>
    </w:rPr>
  </w:style>
  <w:style w:type="paragraph" w:customStyle="1" w:styleId="Bullet1">
    <w:name w:val="Bullet 1"/>
    <w:basedOn w:val="ListBullet"/>
    <w:qFormat/>
    <w:rsid w:val="00AE3C4E"/>
    <w:pPr>
      <w:numPr>
        <w:numId w:val="0"/>
      </w:numPr>
      <w:suppressAutoHyphens/>
      <w:autoSpaceDN w:val="0"/>
      <w:spacing w:before="20" w:after="20" w:line="240" w:lineRule="exact"/>
      <w:ind w:left="142" w:hanging="142"/>
      <w:textAlignment w:val="baseline"/>
    </w:pPr>
    <w:rPr>
      <w:rFonts w:ascii="DejaVu Sans" w:eastAsia="DejaVu Sans Mono" w:hAnsi="DejaVu Sans" w:cs="DejaVu Sans"/>
      <w:kern w:val="3"/>
      <w:sz w:val="18"/>
      <w:szCs w:val="18"/>
      <w:lang w:eastAsia="zh-CN" w:bidi="hi-IN"/>
    </w:rPr>
  </w:style>
  <w:style w:type="character" w:customStyle="1" w:styleId="hps">
    <w:name w:val="hps"/>
    <w:uiPriority w:val="99"/>
    <w:rsid w:val="00AE3C4E"/>
    <w:rPr>
      <w:rFonts w:cs="Times New Roman"/>
    </w:rPr>
  </w:style>
  <w:style w:type="character" w:customStyle="1" w:styleId="InternetLink">
    <w:name w:val="Internet Link"/>
    <w:uiPriority w:val="99"/>
    <w:unhideWhenUsed/>
    <w:rsid w:val="00AE3C4E"/>
    <w:rPr>
      <w:color w:val="0000FF"/>
      <w:u w:val="single"/>
    </w:rPr>
  </w:style>
  <w:style w:type="character" w:customStyle="1" w:styleId="ListLabel10">
    <w:name w:val="ListLabel 10"/>
    <w:qFormat/>
    <w:rsid w:val="00AE3C4E"/>
    <w:rPr>
      <w:rFonts w:cs="Courier New"/>
    </w:rPr>
  </w:style>
  <w:style w:type="character" w:customStyle="1" w:styleId="EndnoteAnchor">
    <w:name w:val="Endnote Anchor"/>
    <w:rsid w:val="00AE3C4E"/>
    <w:rPr>
      <w:vertAlign w:val="superscript"/>
    </w:rPr>
  </w:style>
  <w:style w:type="character" w:customStyle="1" w:styleId="EndnoteCharacters">
    <w:name w:val="Endnote Characters"/>
    <w:qFormat/>
    <w:rsid w:val="00AE3C4E"/>
  </w:style>
  <w:style w:type="paragraph" w:customStyle="1" w:styleId="Heading">
    <w:name w:val="Heading"/>
    <w:basedOn w:val="Normal"/>
    <w:next w:val="BodyText"/>
    <w:qFormat/>
    <w:rsid w:val="00AE3C4E"/>
    <w:pPr>
      <w:keepNext/>
      <w:suppressAutoHyphens/>
      <w:autoSpaceDN w:val="0"/>
      <w:spacing w:before="240" w:after="120" w:line="240" w:lineRule="auto"/>
      <w:ind w:firstLine="357"/>
      <w:jc w:val="both"/>
      <w:textAlignment w:val="baseline"/>
    </w:pPr>
    <w:rPr>
      <w:rFonts w:ascii="Liberation Sans" w:eastAsia="Noto Sans CJK SC" w:hAnsi="Liberation Sans" w:cs="Lohit Devanagari"/>
      <w:kern w:val="3"/>
      <w:sz w:val="28"/>
      <w:szCs w:val="28"/>
      <w:lang w:val="de-DE" w:eastAsia="zh-CN" w:bidi="hi-IN"/>
    </w:rPr>
  </w:style>
  <w:style w:type="paragraph" w:styleId="List">
    <w:name w:val="List"/>
    <w:basedOn w:val="BodyText"/>
    <w:rsid w:val="00AE3C4E"/>
    <w:pPr>
      <w:widowControl w:val="0"/>
      <w:suppressAutoHyphens/>
      <w:autoSpaceDN w:val="0"/>
      <w:spacing w:before="120"/>
      <w:ind w:firstLine="357"/>
      <w:textAlignment w:val="baseline"/>
    </w:pPr>
    <w:rPr>
      <w:rFonts w:ascii="Calibri" w:eastAsia="Calibri" w:hAnsi="Calibri" w:cs="Lohit Devanagari"/>
      <w:sz w:val="22"/>
      <w:szCs w:val="22"/>
      <w:lang w:val="en-GB" w:eastAsia="en-GB" w:bidi="en-GB"/>
    </w:rPr>
  </w:style>
  <w:style w:type="paragraph" w:customStyle="1" w:styleId="Index">
    <w:name w:val="Index"/>
    <w:basedOn w:val="Normal"/>
    <w:qFormat/>
    <w:rsid w:val="00AE3C4E"/>
    <w:pPr>
      <w:suppressLineNumbers/>
      <w:suppressAutoHyphens/>
      <w:autoSpaceDN w:val="0"/>
      <w:spacing w:before="120" w:after="120" w:line="240" w:lineRule="auto"/>
      <w:ind w:firstLine="357"/>
      <w:jc w:val="both"/>
      <w:textAlignment w:val="baseline"/>
    </w:pPr>
    <w:rPr>
      <w:rFonts w:ascii="Times New Roman" w:eastAsia="DejaVu Sans Mono" w:hAnsi="Times New Roman" w:cs="Lohit Devanagari"/>
      <w:kern w:val="3"/>
      <w:sz w:val="24"/>
      <w:szCs w:val="24"/>
      <w:lang w:val="de-DE" w:eastAsia="zh-CN" w:bidi="hi-IN"/>
    </w:rPr>
  </w:style>
  <w:style w:type="character" w:customStyle="1" w:styleId="FooterChar1">
    <w:name w:val="Footer Char1"/>
    <w:uiPriority w:val="99"/>
    <w:semiHidden/>
    <w:rsid w:val="00AE3C4E"/>
    <w:rPr>
      <w:lang w:val="de-DE"/>
    </w:rPr>
  </w:style>
  <w:style w:type="paragraph" w:customStyle="1" w:styleId="Standard">
    <w:name w:val="Standard"/>
    <w:qFormat/>
    <w:rsid w:val="00AE3C4E"/>
    <w:pPr>
      <w:suppressAutoHyphens/>
      <w:spacing w:after="0" w:line="240" w:lineRule="auto"/>
      <w:textAlignment w:val="baseline"/>
    </w:pPr>
    <w:rPr>
      <w:rFonts w:ascii="Liberation Serif" w:eastAsia="Times New Roman" w:hAnsi="Liberation Serif" w:cs="FreeSans"/>
      <w:kern w:val="2"/>
      <w:sz w:val="24"/>
      <w:szCs w:val="24"/>
      <w:lang w:eastAsia="zh-CN" w:bidi="hi-IN"/>
    </w:rPr>
  </w:style>
  <w:style w:type="paragraph" w:customStyle="1" w:styleId="FrameContents">
    <w:name w:val="Frame Contents"/>
    <w:basedOn w:val="Normal"/>
    <w:qFormat/>
    <w:rsid w:val="00AE3C4E"/>
    <w:pPr>
      <w:suppressAutoHyphens/>
      <w:autoSpaceDN w:val="0"/>
      <w:spacing w:before="120" w:after="120" w:line="240" w:lineRule="auto"/>
      <w:ind w:firstLine="357"/>
      <w:jc w:val="both"/>
      <w:textAlignment w:val="baseline"/>
    </w:pPr>
    <w:rPr>
      <w:rFonts w:ascii="Times New Roman" w:eastAsia="DejaVu Sans Mono" w:hAnsi="Times New Roman" w:cs="Times New Roman"/>
      <w:kern w:val="3"/>
      <w:sz w:val="24"/>
      <w:szCs w:val="24"/>
      <w:lang w:val="de-DE" w:eastAsia="zh-CN" w:bidi="hi-IN"/>
    </w:rPr>
  </w:style>
  <w:style w:type="paragraph" w:customStyle="1" w:styleId="Quotations">
    <w:name w:val="Quotations"/>
    <w:basedOn w:val="Normal"/>
    <w:qFormat/>
    <w:rsid w:val="00AE3C4E"/>
    <w:pPr>
      <w:suppressAutoHyphens/>
      <w:autoSpaceDN w:val="0"/>
      <w:spacing w:before="120" w:after="283" w:line="240" w:lineRule="auto"/>
      <w:ind w:left="567" w:right="567" w:firstLine="357"/>
      <w:jc w:val="both"/>
      <w:textAlignment w:val="baseline"/>
    </w:pPr>
    <w:rPr>
      <w:rFonts w:ascii="Times New Roman" w:eastAsia="DejaVu Sans Mono" w:hAnsi="Times New Roman" w:cs="Times New Roman"/>
      <w:kern w:val="3"/>
      <w:sz w:val="24"/>
      <w:szCs w:val="24"/>
      <w:lang w:val="de-DE" w:eastAsia="zh-CN" w:bidi="hi-IN"/>
    </w:rPr>
  </w:style>
  <w:style w:type="character" w:customStyle="1" w:styleId="CommentTextChar1">
    <w:name w:val="Comment Text Char1"/>
    <w:uiPriority w:val="99"/>
    <w:semiHidden/>
    <w:rsid w:val="00AE3C4E"/>
    <w:rPr>
      <w:sz w:val="20"/>
      <w:szCs w:val="20"/>
      <w:lang w:val="de-DE"/>
    </w:rPr>
  </w:style>
  <w:style w:type="paragraph" w:customStyle="1" w:styleId="Textbody">
    <w:name w:val="Text body"/>
    <w:basedOn w:val="Standard"/>
    <w:rsid w:val="00AE3C4E"/>
    <w:pPr>
      <w:autoSpaceDN w:val="0"/>
      <w:spacing w:after="140" w:line="276" w:lineRule="auto"/>
    </w:pPr>
    <w:rPr>
      <w:rFonts w:eastAsia="Noto Sans CJK SC" w:cs="Lohit Devanagari"/>
      <w:kern w:val="3"/>
    </w:rPr>
  </w:style>
  <w:style w:type="paragraph" w:customStyle="1" w:styleId="BodyText0">
    <w:name w:val="BodyText"/>
    <w:basedOn w:val="Normal"/>
    <w:qFormat/>
    <w:rsid w:val="00AE3C4E"/>
    <w:pPr>
      <w:suppressAutoHyphens/>
      <w:autoSpaceDN w:val="0"/>
      <w:spacing w:before="60" w:after="0" w:line="240" w:lineRule="exact"/>
      <w:ind w:firstLine="357"/>
      <w:jc w:val="both"/>
      <w:textAlignment w:val="baseline"/>
    </w:pPr>
    <w:rPr>
      <w:rFonts w:ascii="DejaVu Sans" w:eastAsia="DejaVu Sans Mono" w:hAnsi="DejaVu Sans" w:cs="DejaVu Sans"/>
      <w:kern w:val="3"/>
      <w:sz w:val="18"/>
      <w:szCs w:val="18"/>
      <w:lang w:eastAsia="zh-CN" w:bidi="hi-IN"/>
    </w:rPr>
  </w:style>
  <w:style w:type="character" w:customStyle="1" w:styleId="trs">
    <w:name w:val="trs"/>
    <w:basedOn w:val="DefaultParagraphFont"/>
    <w:rsid w:val="00AE3C4E"/>
  </w:style>
  <w:style w:type="table" w:customStyle="1" w:styleId="TableGrid8">
    <w:name w:val="Table Grid8"/>
    <w:basedOn w:val="TableNormal"/>
    <w:next w:val="TableGrid"/>
    <w:uiPriority w:val="3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AE3C4E"/>
    <w:pPr>
      <w:spacing w:after="0" w:line="240" w:lineRule="auto"/>
    </w:pPr>
    <w:rPr>
      <w:rFonts w:ascii="Calibri" w:eastAsia="Calibri" w:hAnsi="Calibri" w:cs="Times New Roman"/>
      <w:lang w:val="sr-Latn-RS"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2-Accent31">
    <w:name w:val="List Table 2 - Accent 31"/>
    <w:basedOn w:val="TableNormal"/>
    <w:uiPriority w:val="47"/>
    <w:rsid w:val="00AE3C4E"/>
    <w:pPr>
      <w:spacing w:after="0" w:line="240" w:lineRule="auto"/>
    </w:pPr>
    <w:rPr>
      <w:rFonts w:ascii="Calibri" w:eastAsia="Calibri" w:hAnsi="Calibri" w:cs="Times New Roman"/>
      <w:lang w:val="sr-Latn-RS" w:eastAsia="en-GB"/>
    </w:rPr>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1Light-Accent31">
    <w:name w:val="Grid Table 1 Light - Accent 31"/>
    <w:basedOn w:val="TableNormal"/>
    <w:uiPriority w:val="46"/>
    <w:rsid w:val="00AE3C4E"/>
    <w:pPr>
      <w:spacing w:after="0" w:line="240" w:lineRule="auto"/>
    </w:pPr>
    <w:rPr>
      <w:rFonts w:ascii="Calibri" w:eastAsia="Calibri" w:hAnsi="Calibri" w:cs="Times New Roman"/>
      <w:lang w:val="sr-Latn-RS" w:eastAsia="en-GB"/>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eGrid9">
    <w:name w:val="Table Grid9"/>
    <w:basedOn w:val="TableNormal"/>
    <w:next w:val="TableGrid"/>
    <w:rsid w:val="00AE3C4E"/>
    <w:pPr>
      <w:spacing w:after="0" w:line="240" w:lineRule="auto"/>
    </w:pPr>
    <w:rPr>
      <w:rFonts w:ascii="Georgia" w:eastAsia="Calibri" w:hAnsi="Georgia"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Table6Colorful-Accent31">
    <w:name w:val="List Table 6 Colorful - Accent 31"/>
    <w:basedOn w:val="TableNormal"/>
    <w:uiPriority w:val="51"/>
    <w:rsid w:val="00AE3C4E"/>
    <w:pPr>
      <w:spacing w:after="0" w:line="240" w:lineRule="auto"/>
    </w:pPr>
    <w:rPr>
      <w:rFonts w:ascii="Calibri" w:eastAsia="Calibri" w:hAnsi="Calibri" w:cs="Times New Roman"/>
      <w:color w:val="76923C"/>
      <w:lang w:val="sr-Latn-RS" w:eastAsia="en-GB"/>
    </w:rPr>
    <w:tblPr>
      <w:tblStyleRowBandSize w:val="1"/>
      <w:tblStyleColBandSize w:val="1"/>
      <w:tblBorders>
        <w:top w:val="single" w:sz="4" w:space="0" w:color="9BBB59"/>
        <w:bottom w:val="single" w:sz="4" w:space="0" w:color="9BBB59"/>
      </w:tblBorders>
    </w:tblPr>
    <w:tblStylePr w:type="firstRow">
      <w:rPr>
        <w:b/>
        <w:bCs/>
      </w:rPr>
      <w:tblPr/>
      <w:tcPr>
        <w:tcBorders>
          <w:bottom w:val="single" w:sz="4" w:space="0" w:color="9BBB59"/>
        </w:tcBorders>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10">
    <w:name w:val="Table Grid10"/>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1">
    <w:name w:val="Plain Table 311"/>
    <w:basedOn w:val="TableNormal"/>
    <w:uiPriority w:val="99"/>
    <w:rsid w:val="00AE3C4E"/>
    <w:pPr>
      <w:spacing w:after="0" w:line="240" w:lineRule="auto"/>
    </w:pPr>
    <w:rPr>
      <w:rFonts w:ascii="Calibri" w:eastAsia="Calibri" w:hAnsi="Calibri" w:cs="Times New Roman"/>
      <w:lang w:val="uz-Cyrl-UZ"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21">
    <w:name w:val="Table Grid21"/>
    <w:basedOn w:val="TableNormal"/>
    <w:next w:val="TableGrid"/>
    <w:uiPriority w:val="5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1Light-Accent111">
    <w:name w:val="List Table 1 Light - Accent 111"/>
    <w:basedOn w:val="TableNormal"/>
    <w:uiPriority w:val="46"/>
    <w:rsid w:val="00AE3C4E"/>
    <w:pPr>
      <w:spacing w:after="0" w:line="240" w:lineRule="auto"/>
    </w:pPr>
    <w:rPr>
      <w:rFonts w:ascii="Calibri" w:eastAsia="Calibri" w:hAnsi="Calibri" w:cs="Times New Roman"/>
      <w:lang w:eastAsia="en-GB"/>
    </w:rPr>
    <w:tblPr>
      <w:tblStyleRowBandSize w:val="1"/>
      <w:tblStyleColBandSize w:val="1"/>
    </w:tblPr>
    <w:tblStylePr w:type="firstRow">
      <w:rPr>
        <w:b/>
        <w:bCs/>
      </w:rPr>
      <w:tblPr/>
      <w:tcPr>
        <w:tcBorders>
          <w:bottom w:val="single" w:sz="4" w:space="0" w:color="95B3D7"/>
        </w:tcBorders>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31">
    <w:name w:val="Table Grid31"/>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3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AE3C4E"/>
    <w:pPr>
      <w:spacing w:after="100" w:line="259" w:lineRule="auto"/>
      <w:ind w:left="660"/>
    </w:pPr>
    <w:rPr>
      <w:rFonts w:ascii="Calibri" w:eastAsia="Times New Roman" w:hAnsi="Calibri" w:cs="Times New Roman"/>
      <w:sz w:val="22"/>
      <w:szCs w:val="22"/>
      <w:lang w:eastAsia="sr-Cyrl-RS"/>
    </w:rPr>
  </w:style>
  <w:style w:type="paragraph" w:styleId="TOC6">
    <w:name w:val="toc 6"/>
    <w:basedOn w:val="Normal"/>
    <w:next w:val="Normal"/>
    <w:autoRedefine/>
    <w:uiPriority w:val="39"/>
    <w:unhideWhenUsed/>
    <w:rsid w:val="00AE3C4E"/>
    <w:pPr>
      <w:spacing w:after="100" w:line="259" w:lineRule="auto"/>
      <w:ind w:left="1100"/>
    </w:pPr>
    <w:rPr>
      <w:rFonts w:ascii="Calibri" w:eastAsia="Times New Roman" w:hAnsi="Calibri" w:cs="Times New Roman"/>
      <w:sz w:val="22"/>
      <w:szCs w:val="22"/>
      <w:lang w:eastAsia="sr-Cyrl-RS"/>
    </w:rPr>
  </w:style>
  <w:style w:type="paragraph" w:styleId="TOC7">
    <w:name w:val="toc 7"/>
    <w:basedOn w:val="Normal"/>
    <w:next w:val="Normal"/>
    <w:autoRedefine/>
    <w:uiPriority w:val="39"/>
    <w:unhideWhenUsed/>
    <w:rsid w:val="00AE3C4E"/>
    <w:pPr>
      <w:spacing w:after="100" w:line="259" w:lineRule="auto"/>
      <w:ind w:left="1320"/>
    </w:pPr>
    <w:rPr>
      <w:rFonts w:ascii="Calibri" w:eastAsia="Times New Roman" w:hAnsi="Calibri" w:cs="Times New Roman"/>
      <w:sz w:val="22"/>
      <w:szCs w:val="22"/>
      <w:lang w:eastAsia="sr-Cyrl-RS"/>
    </w:rPr>
  </w:style>
  <w:style w:type="paragraph" w:styleId="TOC8">
    <w:name w:val="toc 8"/>
    <w:basedOn w:val="Normal"/>
    <w:next w:val="Normal"/>
    <w:autoRedefine/>
    <w:uiPriority w:val="39"/>
    <w:unhideWhenUsed/>
    <w:rsid w:val="00AE3C4E"/>
    <w:pPr>
      <w:spacing w:after="100" w:line="259" w:lineRule="auto"/>
      <w:ind w:left="1540"/>
    </w:pPr>
    <w:rPr>
      <w:rFonts w:ascii="Calibri" w:eastAsia="Times New Roman" w:hAnsi="Calibri" w:cs="Times New Roman"/>
      <w:sz w:val="22"/>
      <w:szCs w:val="22"/>
      <w:lang w:eastAsia="sr-Cyrl-RS"/>
    </w:rPr>
  </w:style>
  <w:style w:type="paragraph" w:styleId="TOC9">
    <w:name w:val="toc 9"/>
    <w:basedOn w:val="Normal"/>
    <w:next w:val="Normal"/>
    <w:autoRedefine/>
    <w:uiPriority w:val="39"/>
    <w:unhideWhenUsed/>
    <w:rsid w:val="00AE3C4E"/>
    <w:pPr>
      <w:spacing w:after="100" w:line="259" w:lineRule="auto"/>
      <w:ind w:left="1760"/>
    </w:pPr>
    <w:rPr>
      <w:rFonts w:ascii="Calibri" w:eastAsia="Times New Roman" w:hAnsi="Calibri" w:cs="Times New Roman"/>
      <w:sz w:val="22"/>
      <w:szCs w:val="22"/>
      <w:lang w:eastAsia="sr-Cyrl-RS"/>
    </w:rPr>
  </w:style>
  <w:style w:type="character" w:customStyle="1" w:styleId="UnresolvedMention8">
    <w:name w:val="Unresolved Mention8"/>
    <w:uiPriority w:val="99"/>
    <w:semiHidden/>
    <w:unhideWhenUsed/>
    <w:rsid w:val="00AE3C4E"/>
    <w:rPr>
      <w:color w:val="605E5C"/>
      <w:shd w:val="clear" w:color="auto" w:fill="E1DFDD"/>
    </w:rPr>
  </w:style>
  <w:style w:type="table" w:customStyle="1" w:styleId="PlainTable32">
    <w:name w:val="Plain Table 32"/>
    <w:basedOn w:val="TableNormal"/>
    <w:uiPriority w:val="43"/>
    <w:rsid w:val="00AE3C4E"/>
    <w:pPr>
      <w:spacing w:after="0" w:line="240" w:lineRule="auto"/>
    </w:pPr>
    <w:rPr>
      <w:rFonts w:ascii="Calibri" w:eastAsia="Calibri" w:hAnsi="Calibri" w:cs="Times New Roman"/>
      <w:lang w:val="sr-Latn-RS"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1Light-Accent310">
    <w:name w:val="Grid Table 1 Light - Accent 31"/>
    <w:basedOn w:val="TableNormal"/>
    <w:next w:val="GridTable1Light-Accent31"/>
    <w:uiPriority w:val="46"/>
    <w:rsid w:val="00AE3C4E"/>
    <w:pPr>
      <w:spacing w:after="0" w:line="240" w:lineRule="auto"/>
    </w:pPr>
    <w:rPr>
      <w:rFonts w:ascii="Calibri" w:eastAsia="Calibri" w:hAnsi="Calibri" w:cs="Times New Roman"/>
      <w:lang w:val="sr-Latn-RS" w:eastAsia="en-GB"/>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character" w:customStyle="1" w:styleId="UnresolvedMention9">
    <w:name w:val="Unresolved Mention9"/>
    <w:uiPriority w:val="99"/>
    <w:semiHidden/>
    <w:unhideWhenUsed/>
    <w:rsid w:val="00AE3C4E"/>
    <w:rPr>
      <w:color w:val="605E5C"/>
      <w:shd w:val="clear" w:color="auto" w:fill="E1DFDD"/>
    </w:rPr>
  </w:style>
  <w:style w:type="table" w:customStyle="1" w:styleId="TableGrid16">
    <w:name w:val="Table Grid16"/>
    <w:basedOn w:val="TableNormal"/>
    <w:next w:val="TableGrid"/>
    <w:uiPriority w:val="39"/>
    <w:rsid w:val="00AE3C4E"/>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0">
    <w:name w:val="Unresolved Mention10"/>
    <w:uiPriority w:val="99"/>
    <w:semiHidden/>
    <w:unhideWhenUsed/>
    <w:rsid w:val="00AE3C4E"/>
    <w:rPr>
      <w:color w:val="605E5C"/>
      <w:shd w:val="clear" w:color="auto" w:fill="E1DFDD"/>
    </w:rPr>
  </w:style>
  <w:style w:type="table" w:customStyle="1" w:styleId="ListTable2-Accent310">
    <w:name w:val="List Table 2 - Accent 31"/>
    <w:basedOn w:val="TableNormal"/>
    <w:uiPriority w:val="47"/>
    <w:rsid w:val="00AE3C4E"/>
    <w:pPr>
      <w:spacing w:after="0" w:line="240" w:lineRule="auto"/>
    </w:pPr>
    <w:rPr>
      <w:rFonts w:ascii="Calibri" w:eastAsia="Calibri" w:hAnsi="Calibri" w:cs="Times New Roman"/>
      <w:lang w:val="sr-Latn-RS" w:eastAsia="en-GB"/>
    </w:rPr>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Light10">
    <w:name w:val="Table Grid Light1"/>
    <w:basedOn w:val="TableNormal"/>
    <w:uiPriority w:val="40"/>
    <w:rsid w:val="00AE3C4E"/>
    <w:pPr>
      <w:spacing w:after="0" w:line="240" w:lineRule="auto"/>
    </w:pPr>
    <w:rPr>
      <w:rFonts w:ascii="Calibri" w:eastAsia="Calibri" w:hAnsi="Calibri" w:cs="Times New Roman"/>
      <w:lang w:val="sr-Latn-RS"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nresolvedMention12">
    <w:name w:val="Unresolved Mention12"/>
    <w:uiPriority w:val="99"/>
    <w:semiHidden/>
    <w:unhideWhenUsed/>
    <w:rsid w:val="00AE3C4E"/>
    <w:rPr>
      <w:color w:val="605E5C"/>
      <w:shd w:val="clear" w:color="auto" w:fill="E1DFDD"/>
    </w:rPr>
  </w:style>
  <w:style w:type="paragraph" w:customStyle="1" w:styleId="Style1">
    <w:name w:val="Style1"/>
    <w:basedOn w:val="Heading4"/>
    <w:link w:val="Style1Char"/>
    <w:qFormat/>
    <w:rsid w:val="00AE3C4E"/>
    <w:pPr>
      <w:keepNext/>
      <w:keepLines/>
      <w:pBdr>
        <w:top w:val="none" w:sz="0" w:space="0" w:color="auto"/>
      </w:pBdr>
      <w:suppressAutoHyphens/>
      <w:autoSpaceDN w:val="0"/>
      <w:spacing w:before="240" w:after="60" w:line="240" w:lineRule="auto"/>
      <w:jc w:val="both"/>
      <w:textAlignment w:val="baseline"/>
    </w:pPr>
    <w:rPr>
      <w:rFonts w:ascii="Times New Roman" w:eastAsia="Calibri" w:hAnsi="Times New Roman" w:cs="Times New Roman"/>
      <w:i/>
      <w:iCs/>
      <w:caps w:val="0"/>
      <w:color w:val="365F91"/>
      <w:spacing w:val="0"/>
      <w:kern w:val="3"/>
      <w:sz w:val="24"/>
      <w:szCs w:val="24"/>
      <w:lang w:val="de-DE"/>
    </w:rPr>
  </w:style>
  <w:style w:type="character" w:customStyle="1" w:styleId="UnresolvedMention13">
    <w:name w:val="Unresolved Mention13"/>
    <w:uiPriority w:val="99"/>
    <w:semiHidden/>
    <w:unhideWhenUsed/>
    <w:rsid w:val="00AE3C4E"/>
    <w:rPr>
      <w:color w:val="605E5C"/>
      <w:shd w:val="clear" w:color="auto" w:fill="E1DFDD"/>
    </w:rPr>
  </w:style>
  <w:style w:type="character" w:customStyle="1" w:styleId="Style1Char">
    <w:name w:val="Style1 Char"/>
    <w:link w:val="Style1"/>
    <w:rsid w:val="00AE3C4E"/>
    <w:rPr>
      <w:rFonts w:ascii="Times New Roman" w:eastAsia="Calibri" w:hAnsi="Times New Roman" w:cs="Times New Roman"/>
      <w:i/>
      <w:iCs/>
      <w:color w:val="365F91"/>
      <w:kern w:val="3"/>
      <w:sz w:val="24"/>
      <w:szCs w:val="24"/>
      <w:lang w:val="de-DE"/>
    </w:rPr>
  </w:style>
  <w:style w:type="character" w:customStyle="1" w:styleId="UnresolvedMention14">
    <w:name w:val="Unresolved Mention14"/>
    <w:uiPriority w:val="99"/>
    <w:semiHidden/>
    <w:unhideWhenUsed/>
    <w:rsid w:val="00AE3C4E"/>
    <w:rPr>
      <w:color w:val="605E5C"/>
      <w:shd w:val="clear" w:color="auto" w:fill="E1DFDD"/>
    </w:rPr>
  </w:style>
  <w:style w:type="table" w:customStyle="1" w:styleId="ListTable1Light-Accent31">
    <w:name w:val="List Table 1 Light - Accent 31"/>
    <w:basedOn w:val="TableNormal"/>
    <w:uiPriority w:val="46"/>
    <w:rsid w:val="00AE3C4E"/>
    <w:pPr>
      <w:spacing w:after="0" w:line="240" w:lineRule="auto"/>
    </w:pPr>
    <w:rPr>
      <w:rFonts w:ascii="Calibri" w:eastAsia="Calibri" w:hAnsi="Calibri" w:cs="Times New Roman"/>
      <w:lang w:val="en-GB" w:eastAsia="en-GB"/>
    </w:rPr>
    <w:tblPr>
      <w:tblStyleRowBandSize w:val="1"/>
      <w:tblStyleColBandSize w:val="1"/>
    </w:tblPr>
    <w:tblStylePr w:type="firstRow">
      <w:rPr>
        <w:b/>
        <w:bCs/>
      </w:rPr>
      <w:tblPr/>
      <w:tcPr>
        <w:tcBorders>
          <w:bottom w:val="single" w:sz="4" w:space="0" w:color="C2D69B"/>
        </w:tcBorders>
      </w:tcPr>
    </w:tblStylePr>
    <w:tblStylePr w:type="lastRow">
      <w:rPr>
        <w:b/>
        <w:bCs/>
      </w:rPr>
      <w:tblPr/>
      <w:tcPr>
        <w:tcBorders>
          <w:top w:val="sing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17">
    <w:name w:val="Table Grid17"/>
    <w:basedOn w:val="TableNormal"/>
    <w:next w:val="TableGrid"/>
    <w:uiPriority w:val="39"/>
    <w:rsid w:val="00AE3C4E"/>
    <w:pPr>
      <w:spacing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6Colorful-Accent61">
    <w:name w:val="List Table 6 Colorful - Accent 61"/>
    <w:basedOn w:val="TableNormal"/>
    <w:uiPriority w:val="51"/>
    <w:rsid w:val="00AE3C4E"/>
    <w:pPr>
      <w:spacing w:after="0" w:line="240" w:lineRule="auto"/>
    </w:pPr>
    <w:rPr>
      <w:rFonts w:ascii="Calibri" w:eastAsia="Calibri" w:hAnsi="Calibri" w:cs="Times New Roman"/>
      <w:color w:val="E36C0A"/>
      <w:lang w:eastAsia="en-GB"/>
    </w:rPr>
    <w:tblPr>
      <w:tblStyleRowBandSize w:val="1"/>
      <w:tblStyleColBandSize w:val="1"/>
      <w:tblBorders>
        <w:top w:val="single" w:sz="4" w:space="0" w:color="F79646"/>
        <w:bottom w:val="single" w:sz="4" w:space="0" w:color="F79646"/>
      </w:tblBorders>
    </w:tblPr>
    <w:tblStylePr w:type="firstRow">
      <w:rPr>
        <w:b/>
        <w:bCs/>
      </w:rPr>
      <w:tblPr/>
      <w:tcPr>
        <w:tcBorders>
          <w:bottom w:val="single" w:sz="4" w:space="0" w:color="F79646"/>
        </w:tcBorders>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7Colorful-Accent61">
    <w:name w:val="Grid Table 7 Colorful - Accent 61"/>
    <w:basedOn w:val="TableNormal"/>
    <w:uiPriority w:val="52"/>
    <w:rsid w:val="00AE3C4E"/>
    <w:pPr>
      <w:spacing w:after="0" w:line="240" w:lineRule="auto"/>
    </w:pPr>
    <w:rPr>
      <w:rFonts w:ascii="Calibri" w:eastAsia="Calibri" w:hAnsi="Calibri" w:cs="Times New Roman"/>
      <w:color w:val="E36C0A"/>
      <w:lang w:eastAsia="en-GB"/>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ListTable2-Accent311">
    <w:name w:val="List Table 2 - Accent 311"/>
    <w:basedOn w:val="TableNormal"/>
    <w:uiPriority w:val="47"/>
    <w:rsid w:val="00AE3C4E"/>
    <w:pPr>
      <w:spacing w:after="0" w:line="240" w:lineRule="auto"/>
    </w:pPr>
    <w:rPr>
      <w:rFonts w:ascii="Calibri" w:eastAsia="Calibri" w:hAnsi="Calibri" w:cs="Times New Roman"/>
      <w:lang w:val="sr-Latn-RS" w:eastAsia="en-GB"/>
    </w:rPr>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Light11">
    <w:name w:val="Table Grid Light11"/>
    <w:basedOn w:val="TableNormal"/>
    <w:uiPriority w:val="40"/>
    <w:rsid w:val="00AE3C4E"/>
    <w:pPr>
      <w:spacing w:after="0" w:line="240" w:lineRule="auto"/>
    </w:pPr>
    <w:rPr>
      <w:rFonts w:ascii="Calibri" w:eastAsia="Calibri" w:hAnsi="Calibri" w:cs="Times New Roman"/>
      <w:lang w:val="sr-Latn-RS"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6Colorful-Accent610">
    <w:name w:val="List Table 6 Colorful - Accent 61"/>
    <w:basedOn w:val="TableNormal"/>
    <w:uiPriority w:val="51"/>
    <w:rsid w:val="00AE3C4E"/>
    <w:pPr>
      <w:spacing w:after="0" w:line="240" w:lineRule="auto"/>
    </w:pPr>
    <w:rPr>
      <w:rFonts w:ascii="Calibri" w:eastAsia="Calibri" w:hAnsi="Calibri" w:cs="Times New Roman"/>
      <w:color w:val="E36C0A"/>
      <w:lang w:eastAsia="en-GB"/>
    </w:rPr>
    <w:tblPr>
      <w:tblStyleRowBandSize w:val="1"/>
      <w:tblStyleColBandSize w:val="1"/>
      <w:tblBorders>
        <w:top w:val="single" w:sz="4" w:space="0" w:color="F79646"/>
        <w:bottom w:val="single" w:sz="4" w:space="0" w:color="F79646"/>
      </w:tblBorders>
    </w:tblPr>
    <w:tblStylePr w:type="firstRow">
      <w:rPr>
        <w:b/>
        <w:bCs/>
      </w:rPr>
      <w:tblPr/>
      <w:tcPr>
        <w:tcBorders>
          <w:bottom w:val="single" w:sz="4" w:space="0" w:color="F79646"/>
        </w:tcBorders>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7Colorful-Accent610">
    <w:name w:val="Grid Table 7 Colorful - Accent 61"/>
    <w:basedOn w:val="TableNormal"/>
    <w:uiPriority w:val="52"/>
    <w:rsid w:val="00AE3C4E"/>
    <w:pPr>
      <w:spacing w:after="0" w:line="240" w:lineRule="auto"/>
    </w:pPr>
    <w:rPr>
      <w:rFonts w:ascii="Calibri" w:eastAsia="Calibri" w:hAnsi="Calibri" w:cs="Times New Roman"/>
      <w:color w:val="E36C0A"/>
      <w:lang w:eastAsia="en-GB"/>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ListTable6Colorful-Accent310">
    <w:name w:val="List Table 6 Colorful - Accent 31"/>
    <w:basedOn w:val="TableNormal"/>
    <w:uiPriority w:val="51"/>
    <w:rsid w:val="00AE3C4E"/>
    <w:pPr>
      <w:spacing w:after="0" w:line="240" w:lineRule="auto"/>
    </w:pPr>
    <w:rPr>
      <w:rFonts w:ascii="Calibri" w:eastAsia="Calibri" w:hAnsi="Calibri" w:cs="Times New Roman"/>
      <w:color w:val="76923C"/>
      <w:lang w:val="sr-Latn-RS" w:eastAsia="en-GB"/>
    </w:rPr>
    <w:tblPr>
      <w:tblStyleRowBandSize w:val="1"/>
      <w:tblStyleColBandSize w:val="1"/>
      <w:tblBorders>
        <w:top w:val="single" w:sz="4" w:space="0" w:color="9BBB59"/>
        <w:bottom w:val="single" w:sz="4" w:space="0" w:color="9BBB59"/>
      </w:tblBorders>
    </w:tblPr>
    <w:tblStylePr w:type="firstRow">
      <w:rPr>
        <w:b/>
        <w:bCs/>
      </w:rPr>
      <w:tblPr/>
      <w:tcPr>
        <w:tcBorders>
          <w:bottom w:val="single" w:sz="4" w:space="0" w:color="9BBB59"/>
        </w:tcBorders>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PlainTable320">
    <w:name w:val="Plain Table 32"/>
    <w:basedOn w:val="TableNormal"/>
    <w:uiPriority w:val="43"/>
    <w:rsid w:val="00AE3C4E"/>
    <w:pPr>
      <w:spacing w:after="0" w:line="240" w:lineRule="auto"/>
    </w:pPr>
    <w:rPr>
      <w:rFonts w:ascii="Calibri" w:eastAsia="Calibri" w:hAnsi="Calibri" w:cs="Times New Roman"/>
      <w:lang w:val="sr-Latn-RS"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UnresolvedMention15">
    <w:name w:val="Unresolved Mention15"/>
    <w:uiPriority w:val="99"/>
    <w:semiHidden/>
    <w:unhideWhenUsed/>
    <w:rsid w:val="00AE3C4E"/>
    <w:rPr>
      <w:color w:val="605E5C"/>
      <w:shd w:val="clear" w:color="auto" w:fill="E1DFDD"/>
    </w:rPr>
  </w:style>
  <w:style w:type="paragraph" w:customStyle="1" w:styleId="xmsobodytext">
    <w:name w:val="x_msobodytext"/>
    <w:basedOn w:val="Normal"/>
    <w:rsid w:val="00AE3C4E"/>
    <w:pPr>
      <w:spacing w:beforeAutospacing="1" w:after="100" w:afterAutospacing="1" w:line="240" w:lineRule="auto"/>
    </w:pPr>
    <w:rPr>
      <w:rFonts w:ascii="Times New Roman" w:eastAsia="Times New Roman" w:hAnsi="Times New Roman" w:cs="Times New Roman"/>
      <w:sz w:val="24"/>
      <w:szCs w:val="24"/>
      <w:lang w:val="sr-Latn-RS" w:eastAsia="sr-Latn-RS"/>
    </w:rPr>
  </w:style>
  <w:style w:type="paragraph" w:customStyle="1" w:styleId="xmsonormal">
    <w:name w:val="x_msonormal"/>
    <w:basedOn w:val="Normal"/>
    <w:rsid w:val="00AE3C4E"/>
    <w:pPr>
      <w:spacing w:beforeAutospacing="1" w:after="100" w:afterAutospacing="1" w:line="240" w:lineRule="auto"/>
    </w:pPr>
    <w:rPr>
      <w:rFonts w:ascii="Times New Roman" w:eastAsia="Times New Roman" w:hAnsi="Times New Roman" w:cs="Times New Roman"/>
      <w:sz w:val="24"/>
      <w:szCs w:val="24"/>
      <w:lang w:val="sr-Latn-RS" w:eastAsia="sr-Latn-RS"/>
    </w:rPr>
  </w:style>
  <w:style w:type="character" w:customStyle="1" w:styleId="UnresolvedMention16">
    <w:name w:val="Unresolved Mention16"/>
    <w:uiPriority w:val="99"/>
    <w:semiHidden/>
    <w:unhideWhenUsed/>
    <w:rsid w:val="00AE3C4E"/>
    <w:rPr>
      <w:color w:val="605E5C"/>
      <w:shd w:val="clear" w:color="auto" w:fill="E1DFDD"/>
    </w:rPr>
  </w:style>
  <w:style w:type="table" w:customStyle="1" w:styleId="TableGrid19">
    <w:name w:val="Table Grid19"/>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5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2">
    <w:name w:val="Plain Table 312"/>
    <w:basedOn w:val="TableNormal"/>
    <w:uiPriority w:val="99"/>
    <w:rsid w:val="00AE3C4E"/>
    <w:pPr>
      <w:spacing w:after="0" w:line="240" w:lineRule="auto"/>
    </w:pPr>
    <w:rPr>
      <w:rFonts w:ascii="Calibri" w:eastAsia="Calibri" w:hAnsi="Calibri" w:cs="Times New Roman"/>
      <w:lang w:val="uz-Cyrl-UZ"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22">
    <w:name w:val="Table Grid22"/>
    <w:basedOn w:val="TableNormal"/>
    <w:next w:val="TableGrid"/>
    <w:uiPriority w:val="5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1Light-Accent112">
    <w:name w:val="List Table 1 Light - Accent 112"/>
    <w:basedOn w:val="TableNormal"/>
    <w:uiPriority w:val="46"/>
    <w:rsid w:val="00AE3C4E"/>
    <w:pPr>
      <w:spacing w:after="0" w:line="240" w:lineRule="auto"/>
    </w:pPr>
    <w:rPr>
      <w:rFonts w:ascii="Calibri" w:eastAsia="Calibri" w:hAnsi="Calibri" w:cs="Times New Roman"/>
      <w:lang w:eastAsia="en-GB"/>
    </w:rPr>
    <w:tblPr>
      <w:tblStyleRowBandSize w:val="1"/>
      <w:tblStyleColBandSize w:val="1"/>
    </w:tblPr>
    <w:tblStylePr w:type="firstRow">
      <w:rPr>
        <w:b/>
        <w:bCs/>
      </w:rPr>
      <w:tblPr/>
      <w:tcPr>
        <w:tcBorders>
          <w:bottom w:val="single" w:sz="4" w:space="0" w:color="95B3D7"/>
        </w:tcBorders>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32">
    <w:name w:val="Table Grid32"/>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
    <w:name w:val="Table Grid82"/>
    <w:basedOn w:val="TableNormal"/>
    <w:next w:val="TableGrid"/>
    <w:uiPriority w:val="3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
    <w:name w:val="Table Grid Light2"/>
    <w:basedOn w:val="TableNormal"/>
    <w:next w:val="TableGridLight1"/>
    <w:uiPriority w:val="40"/>
    <w:rsid w:val="00AE3C4E"/>
    <w:pPr>
      <w:spacing w:after="0" w:line="240" w:lineRule="auto"/>
    </w:pPr>
    <w:rPr>
      <w:rFonts w:ascii="Calibri" w:eastAsia="Calibri" w:hAnsi="Calibri" w:cs="Times New Roman"/>
      <w:lang w:val="sr-Latn-RS"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2-Accent32">
    <w:name w:val="List Table 2 - Accent 32"/>
    <w:basedOn w:val="TableNormal"/>
    <w:next w:val="ListTable2-Accent31"/>
    <w:uiPriority w:val="47"/>
    <w:rsid w:val="00AE3C4E"/>
    <w:pPr>
      <w:spacing w:after="0" w:line="240" w:lineRule="auto"/>
    </w:pPr>
    <w:rPr>
      <w:rFonts w:ascii="Calibri" w:eastAsia="Calibri" w:hAnsi="Calibri" w:cs="Times New Roman"/>
      <w:lang w:val="sr-Latn-RS" w:eastAsia="en-GB"/>
    </w:rPr>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1Light-Accent32">
    <w:name w:val="Grid Table 1 Light - Accent 32"/>
    <w:basedOn w:val="TableNormal"/>
    <w:next w:val="GridTable1Light-Accent31"/>
    <w:uiPriority w:val="46"/>
    <w:rsid w:val="00AE3C4E"/>
    <w:pPr>
      <w:spacing w:after="0" w:line="240" w:lineRule="auto"/>
    </w:pPr>
    <w:rPr>
      <w:rFonts w:ascii="Calibri" w:eastAsia="Calibri" w:hAnsi="Calibri" w:cs="Times New Roman"/>
      <w:lang w:val="sr-Latn-RS" w:eastAsia="en-GB"/>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eGrid91">
    <w:name w:val="Table Grid91"/>
    <w:basedOn w:val="TableNormal"/>
    <w:next w:val="TableGrid"/>
    <w:rsid w:val="00AE3C4E"/>
    <w:pPr>
      <w:spacing w:after="0" w:line="240" w:lineRule="auto"/>
    </w:pPr>
    <w:rPr>
      <w:rFonts w:ascii="Georgia" w:eastAsia="Calibri" w:hAnsi="Georgia"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Table6Colorful-Accent32">
    <w:name w:val="List Table 6 Colorful - Accent 32"/>
    <w:basedOn w:val="TableNormal"/>
    <w:next w:val="ListTable6Colorful-Accent31"/>
    <w:uiPriority w:val="51"/>
    <w:rsid w:val="00AE3C4E"/>
    <w:pPr>
      <w:spacing w:after="0" w:line="240" w:lineRule="auto"/>
    </w:pPr>
    <w:rPr>
      <w:rFonts w:ascii="Calibri" w:eastAsia="Calibri" w:hAnsi="Calibri" w:cs="Times New Roman"/>
      <w:color w:val="76923C"/>
      <w:lang w:val="sr-Latn-RS" w:eastAsia="en-GB"/>
    </w:rPr>
    <w:tblPr>
      <w:tblStyleRowBandSize w:val="1"/>
      <w:tblStyleColBandSize w:val="1"/>
      <w:tblBorders>
        <w:top w:val="single" w:sz="4" w:space="0" w:color="9BBB59"/>
        <w:bottom w:val="single" w:sz="4" w:space="0" w:color="9BBB59"/>
      </w:tblBorders>
    </w:tblPr>
    <w:tblStylePr w:type="firstRow">
      <w:rPr>
        <w:b/>
        <w:bCs/>
      </w:rPr>
      <w:tblPr/>
      <w:tcPr>
        <w:tcBorders>
          <w:bottom w:val="single" w:sz="4" w:space="0" w:color="9BBB59"/>
        </w:tcBorders>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101">
    <w:name w:val="Table Grid101"/>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AE3C4E"/>
  </w:style>
  <w:style w:type="table" w:customStyle="1" w:styleId="TableGrid131">
    <w:name w:val="Table Grid131"/>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TableNormal"/>
    <w:next w:val="TableGrid"/>
    <w:uiPriority w:val="5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11">
    <w:name w:val="Plain Table 3111"/>
    <w:basedOn w:val="TableNormal"/>
    <w:uiPriority w:val="99"/>
    <w:rsid w:val="00AE3C4E"/>
    <w:pPr>
      <w:spacing w:after="0" w:line="240" w:lineRule="auto"/>
    </w:pPr>
    <w:rPr>
      <w:rFonts w:ascii="Calibri" w:eastAsia="Calibri" w:hAnsi="Calibri" w:cs="Times New Roman"/>
      <w:lang w:val="uz-Cyrl-UZ"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211">
    <w:name w:val="Table Grid211"/>
    <w:basedOn w:val="TableNormal"/>
    <w:next w:val="TableGrid"/>
    <w:uiPriority w:val="5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1Light-Accent1111">
    <w:name w:val="List Table 1 Light - Accent 1111"/>
    <w:basedOn w:val="TableNormal"/>
    <w:uiPriority w:val="46"/>
    <w:rsid w:val="00AE3C4E"/>
    <w:pPr>
      <w:spacing w:after="0" w:line="240" w:lineRule="auto"/>
    </w:pPr>
    <w:rPr>
      <w:rFonts w:ascii="Calibri" w:eastAsia="Calibri" w:hAnsi="Calibri" w:cs="Times New Roman"/>
      <w:lang w:eastAsia="en-GB"/>
    </w:rPr>
    <w:tblPr>
      <w:tblStyleRowBandSize w:val="1"/>
      <w:tblStyleColBandSize w:val="1"/>
    </w:tblPr>
    <w:tblStylePr w:type="firstRow">
      <w:rPr>
        <w:b/>
        <w:bCs/>
      </w:rPr>
      <w:tblPr/>
      <w:tcPr>
        <w:tcBorders>
          <w:bottom w:val="single" w:sz="4" w:space="0" w:color="95B3D7"/>
        </w:tcBorders>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311">
    <w:name w:val="Table Grid311"/>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
    <w:name w:val="Table Grid511"/>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
    <w:name w:val="Table Grid611"/>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
    <w:name w:val="Table Grid711"/>
    <w:basedOn w:val="TableNormal"/>
    <w:next w:val="TableGrid"/>
    <w:uiPriority w:val="59"/>
    <w:rsid w:val="00AE3C4E"/>
    <w:pPr>
      <w:spacing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
    <w:name w:val="No List211"/>
    <w:next w:val="NoList"/>
    <w:uiPriority w:val="99"/>
    <w:semiHidden/>
    <w:unhideWhenUsed/>
    <w:rsid w:val="00AE3C4E"/>
  </w:style>
  <w:style w:type="table" w:customStyle="1" w:styleId="TableGrid811">
    <w:name w:val="Table Grid811"/>
    <w:basedOn w:val="TableNormal"/>
    <w:next w:val="TableGrid"/>
    <w:uiPriority w:val="3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3">
    <w:name w:val="Plain Table 33"/>
    <w:basedOn w:val="TableNormal"/>
    <w:next w:val="PlainTable32"/>
    <w:uiPriority w:val="43"/>
    <w:rsid w:val="00AE3C4E"/>
    <w:pPr>
      <w:spacing w:after="0" w:line="240" w:lineRule="auto"/>
    </w:pPr>
    <w:rPr>
      <w:rFonts w:ascii="Calibri" w:eastAsia="Calibri" w:hAnsi="Calibri" w:cs="Times New Roman"/>
      <w:lang w:val="sr-Latn-RS"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1Light-Accent311">
    <w:name w:val="Grid Table 1 Light - Accent 311"/>
    <w:basedOn w:val="TableNormal"/>
    <w:next w:val="GridTable1Light-Accent31"/>
    <w:uiPriority w:val="46"/>
    <w:rsid w:val="00AE3C4E"/>
    <w:pPr>
      <w:spacing w:after="0" w:line="240" w:lineRule="auto"/>
    </w:pPr>
    <w:rPr>
      <w:rFonts w:ascii="Calibri" w:eastAsia="Calibri" w:hAnsi="Calibri" w:cs="Times New Roman"/>
      <w:lang w:val="sr-Latn-RS" w:eastAsia="en-GB"/>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eGrid161">
    <w:name w:val="Table Grid161"/>
    <w:basedOn w:val="TableNormal"/>
    <w:next w:val="TableGrid"/>
    <w:uiPriority w:val="39"/>
    <w:rsid w:val="00AE3C4E"/>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2-Accent312">
    <w:name w:val="List Table 2 - Accent 312"/>
    <w:basedOn w:val="TableNormal"/>
    <w:uiPriority w:val="47"/>
    <w:rsid w:val="00AE3C4E"/>
    <w:pPr>
      <w:spacing w:after="0" w:line="240" w:lineRule="auto"/>
    </w:pPr>
    <w:rPr>
      <w:rFonts w:ascii="Calibri" w:eastAsia="Calibri" w:hAnsi="Calibri" w:cs="Times New Roman"/>
      <w:lang w:val="sr-Latn-RS" w:eastAsia="en-GB"/>
    </w:rPr>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Light12">
    <w:name w:val="Table Grid Light12"/>
    <w:basedOn w:val="TableNormal"/>
    <w:uiPriority w:val="40"/>
    <w:rsid w:val="00AE3C4E"/>
    <w:pPr>
      <w:spacing w:after="0" w:line="240" w:lineRule="auto"/>
    </w:pPr>
    <w:rPr>
      <w:rFonts w:ascii="Calibri" w:eastAsia="Calibri" w:hAnsi="Calibri" w:cs="Times New Roman"/>
      <w:lang w:val="sr-Latn-RS"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1Light-Accent310">
    <w:name w:val="List Table 1 Light - Accent 31"/>
    <w:basedOn w:val="TableNormal"/>
    <w:next w:val="ListTable1Light-Accent31"/>
    <w:uiPriority w:val="46"/>
    <w:rsid w:val="00AE3C4E"/>
    <w:pPr>
      <w:spacing w:after="0" w:line="240" w:lineRule="auto"/>
    </w:pPr>
    <w:rPr>
      <w:rFonts w:ascii="Calibri" w:eastAsia="Calibri" w:hAnsi="Calibri" w:cs="Times New Roman"/>
      <w:lang w:val="en-GB" w:eastAsia="en-GB"/>
    </w:rPr>
    <w:tblPr>
      <w:tblStyleRowBandSize w:val="1"/>
      <w:tblStyleColBandSize w:val="1"/>
    </w:tblPr>
    <w:tblStylePr w:type="firstRow">
      <w:rPr>
        <w:b/>
        <w:bCs/>
      </w:rPr>
      <w:tblPr/>
      <w:tcPr>
        <w:tcBorders>
          <w:bottom w:val="single" w:sz="4" w:space="0" w:color="C2D69B"/>
        </w:tcBorders>
      </w:tcPr>
    </w:tblStylePr>
    <w:tblStylePr w:type="lastRow">
      <w:rPr>
        <w:b/>
        <w:bCs/>
      </w:rPr>
      <w:tblPr/>
      <w:tcPr>
        <w:tcBorders>
          <w:top w:val="sing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numbering" w:customStyle="1" w:styleId="NoList41">
    <w:name w:val="No List41"/>
    <w:next w:val="NoList"/>
    <w:uiPriority w:val="99"/>
    <w:semiHidden/>
    <w:unhideWhenUsed/>
    <w:rsid w:val="00AE3C4E"/>
  </w:style>
  <w:style w:type="table" w:customStyle="1" w:styleId="TableGrid171">
    <w:name w:val="Table Grid171"/>
    <w:basedOn w:val="TableNormal"/>
    <w:next w:val="TableGrid"/>
    <w:uiPriority w:val="39"/>
    <w:rsid w:val="00AE3C4E"/>
    <w:pPr>
      <w:spacing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TableNormal"/>
    <w:next w:val="TableGrid"/>
    <w:uiPriority w:val="3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6Colorful-Accent62">
    <w:name w:val="List Table 6 Colorful - Accent 62"/>
    <w:basedOn w:val="TableNormal"/>
    <w:next w:val="ListTable6Colorful-Accent61"/>
    <w:uiPriority w:val="51"/>
    <w:rsid w:val="00AE3C4E"/>
    <w:pPr>
      <w:spacing w:after="0" w:line="240" w:lineRule="auto"/>
    </w:pPr>
    <w:rPr>
      <w:rFonts w:ascii="Calibri" w:eastAsia="Calibri" w:hAnsi="Calibri" w:cs="Times New Roman"/>
      <w:color w:val="E36C0A"/>
      <w:lang w:eastAsia="en-GB"/>
    </w:rPr>
    <w:tblPr>
      <w:tblStyleRowBandSize w:val="1"/>
      <w:tblStyleColBandSize w:val="1"/>
      <w:tblBorders>
        <w:top w:val="single" w:sz="4" w:space="0" w:color="F79646"/>
        <w:bottom w:val="single" w:sz="4" w:space="0" w:color="F79646"/>
      </w:tblBorders>
    </w:tblPr>
    <w:tblStylePr w:type="firstRow">
      <w:rPr>
        <w:b/>
        <w:bCs/>
      </w:rPr>
      <w:tblPr/>
      <w:tcPr>
        <w:tcBorders>
          <w:bottom w:val="single" w:sz="4" w:space="0" w:color="F79646"/>
        </w:tcBorders>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7Colorful-Accent62">
    <w:name w:val="Grid Table 7 Colorful - Accent 62"/>
    <w:basedOn w:val="TableNormal"/>
    <w:next w:val="GridTable7Colorful-Accent61"/>
    <w:uiPriority w:val="52"/>
    <w:rsid w:val="00AE3C4E"/>
    <w:pPr>
      <w:spacing w:after="0" w:line="240" w:lineRule="auto"/>
    </w:pPr>
    <w:rPr>
      <w:rFonts w:ascii="Calibri" w:eastAsia="Calibri" w:hAnsi="Calibri" w:cs="Times New Roman"/>
      <w:color w:val="E36C0A"/>
      <w:lang w:eastAsia="en-GB"/>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ListTable2-Accent3111">
    <w:name w:val="List Table 2 - Accent 3111"/>
    <w:basedOn w:val="TableNormal"/>
    <w:uiPriority w:val="47"/>
    <w:rsid w:val="00AE3C4E"/>
    <w:pPr>
      <w:spacing w:after="0" w:line="240" w:lineRule="auto"/>
    </w:pPr>
    <w:rPr>
      <w:rFonts w:ascii="Calibri" w:eastAsia="Calibri" w:hAnsi="Calibri" w:cs="Times New Roman"/>
      <w:lang w:val="sr-Latn-RS" w:eastAsia="en-GB"/>
    </w:rPr>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Light111">
    <w:name w:val="Table Grid Light111"/>
    <w:basedOn w:val="TableNormal"/>
    <w:uiPriority w:val="40"/>
    <w:rsid w:val="00AE3C4E"/>
    <w:pPr>
      <w:spacing w:after="0" w:line="240" w:lineRule="auto"/>
    </w:pPr>
    <w:rPr>
      <w:rFonts w:ascii="Calibri" w:eastAsia="Calibri" w:hAnsi="Calibri" w:cs="Times New Roman"/>
      <w:lang w:val="sr-Latn-RS"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6Colorful-Accent611">
    <w:name w:val="List Table 6 Colorful - Accent 611"/>
    <w:basedOn w:val="TableNormal"/>
    <w:uiPriority w:val="51"/>
    <w:rsid w:val="00AE3C4E"/>
    <w:pPr>
      <w:spacing w:after="0" w:line="240" w:lineRule="auto"/>
    </w:pPr>
    <w:rPr>
      <w:rFonts w:ascii="Calibri" w:eastAsia="Calibri" w:hAnsi="Calibri" w:cs="Times New Roman"/>
      <w:color w:val="E36C0A"/>
      <w:lang w:eastAsia="en-GB"/>
    </w:rPr>
    <w:tblPr>
      <w:tblStyleRowBandSize w:val="1"/>
      <w:tblStyleColBandSize w:val="1"/>
      <w:tblBorders>
        <w:top w:val="single" w:sz="4" w:space="0" w:color="F79646"/>
        <w:bottom w:val="single" w:sz="4" w:space="0" w:color="F79646"/>
      </w:tblBorders>
    </w:tblPr>
    <w:tblStylePr w:type="firstRow">
      <w:rPr>
        <w:b/>
        <w:bCs/>
      </w:rPr>
      <w:tblPr/>
      <w:tcPr>
        <w:tcBorders>
          <w:bottom w:val="single" w:sz="4" w:space="0" w:color="F79646"/>
        </w:tcBorders>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7Colorful-Accent611">
    <w:name w:val="Grid Table 7 Colorful - Accent 611"/>
    <w:basedOn w:val="TableNormal"/>
    <w:uiPriority w:val="52"/>
    <w:rsid w:val="00AE3C4E"/>
    <w:pPr>
      <w:spacing w:after="0" w:line="240" w:lineRule="auto"/>
    </w:pPr>
    <w:rPr>
      <w:rFonts w:ascii="Calibri" w:eastAsia="Calibri" w:hAnsi="Calibri" w:cs="Times New Roman"/>
      <w:color w:val="E36C0A"/>
      <w:lang w:eastAsia="en-GB"/>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ListTable6Colorful-Accent311">
    <w:name w:val="List Table 6 Colorful - Accent 311"/>
    <w:basedOn w:val="TableNormal"/>
    <w:uiPriority w:val="51"/>
    <w:rsid w:val="00AE3C4E"/>
    <w:pPr>
      <w:spacing w:after="0" w:line="240" w:lineRule="auto"/>
    </w:pPr>
    <w:rPr>
      <w:rFonts w:ascii="Calibri" w:eastAsia="Calibri" w:hAnsi="Calibri" w:cs="Times New Roman"/>
      <w:color w:val="76923C"/>
      <w:lang w:val="sr-Latn-RS" w:eastAsia="en-GB"/>
    </w:rPr>
    <w:tblPr>
      <w:tblStyleRowBandSize w:val="1"/>
      <w:tblStyleColBandSize w:val="1"/>
      <w:tblBorders>
        <w:top w:val="single" w:sz="4" w:space="0" w:color="9BBB59"/>
        <w:bottom w:val="single" w:sz="4" w:space="0" w:color="9BBB59"/>
      </w:tblBorders>
    </w:tblPr>
    <w:tblStylePr w:type="firstRow">
      <w:rPr>
        <w:b/>
        <w:bCs/>
      </w:rPr>
      <w:tblPr/>
      <w:tcPr>
        <w:tcBorders>
          <w:bottom w:val="single" w:sz="4" w:space="0" w:color="9BBB59"/>
        </w:tcBorders>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PlainTable321">
    <w:name w:val="Plain Table 321"/>
    <w:basedOn w:val="TableNormal"/>
    <w:uiPriority w:val="43"/>
    <w:rsid w:val="00AE3C4E"/>
    <w:pPr>
      <w:spacing w:after="0" w:line="240" w:lineRule="auto"/>
    </w:pPr>
    <w:rPr>
      <w:rFonts w:ascii="Calibri" w:eastAsia="Calibri" w:hAnsi="Calibri" w:cs="Times New Roman"/>
      <w:lang w:val="sr-Latn-RS"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UnresolvedMention17">
    <w:name w:val="Unresolved Mention17"/>
    <w:uiPriority w:val="99"/>
    <w:semiHidden/>
    <w:unhideWhenUsed/>
    <w:rsid w:val="00AE3C4E"/>
    <w:rPr>
      <w:color w:val="605E5C"/>
      <w:shd w:val="clear" w:color="auto" w:fill="E1DFDD"/>
    </w:rPr>
  </w:style>
  <w:style w:type="numbering" w:customStyle="1" w:styleId="NoList51">
    <w:name w:val="No List51"/>
    <w:next w:val="NoList"/>
    <w:uiPriority w:val="99"/>
    <w:semiHidden/>
    <w:unhideWhenUsed/>
    <w:rsid w:val="00AE3C4E"/>
  </w:style>
  <w:style w:type="numbering" w:customStyle="1" w:styleId="NoList6">
    <w:name w:val="No List6"/>
    <w:next w:val="NoList"/>
    <w:uiPriority w:val="99"/>
    <w:semiHidden/>
    <w:unhideWhenUsed/>
    <w:rsid w:val="00AE3C4E"/>
  </w:style>
  <w:style w:type="numbering" w:customStyle="1" w:styleId="NoList7">
    <w:name w:val="No List7"/>
    <w:next w:val="NoList"/>
    <w:uiPriority w:val="99"/>
    <w:semiHidden/>
    <w:unhideWhenUsed/>
    <w:rsid w:val="00AE3C4E"/>
  </w:style>
  <w:style w:type="paragraph" w:customStyle="1" w:styleId="xl125">
    <w:name w:val="xl125"/>
    <w:basedOn w:val="Normal"/>
    <w:rsid w:val="00AE3C4E"/>
    <w:pPr>
      <w:pBdr>
        <w:top w:val="single" w:sz="4" w:space="0" w:color="BFBFBF"/>
        <w:left w:val="single" w:sz="4" w:space="0" w:color="BFBFBF"/>
        <w:right w:val="single" w:sz="4" w:space="0" w:color="BFBFBF"/>
      </w:pBdr>
      <w:shd w:val="clear" w:color="F7C3AA" w:fill="305496"/>
      <w:spacing w:beforeAutospacing="1" w:after="100" w:afterAutospacing="1" w:line="240" w:lineRule="auto"/>
      <w:textAlignment w:val="center"/>
    </w:pPr>
    <w:rPr>
      <w:rFonts w:ascii="Arial" w:eastAsia="Times New Roman" w:hAnsi="Arial" w:cs="Arial"/>
      <w:b/>
      <w:bCs/>
      <w:color w:val="FFFFFF"/>
      <w:sz w:val="18"/>
      <w:szCs w:val="18"/>
      <w:lang w:val="en-GB" w:eastAsia="en-GB"/>
    </w:rPr>
  </w:style>
  <w:style w:type="paragraph" w:customStyle="1" w:styleId="xl126">
    <w:name w:val="xl126"/>
    <w:basedOn w:val="Normal"/>
    <w:rsid w:val="00AE3C4E"/>
    <w:pPr>
      <w:pBdr>
        <w:top w:val="single" w:sz="4" w:space="0" w:color="C1CEE5"/>
        <w:left w:val="single" w:sz="4" w:space="0" w:color="C1CEE5"/>
        <w:bottom w:val="single" w:sz="4" w:space="0" w:color="C1CEE5"/>
      </w:pBdr>
      <w:spacing w:beforeAutospacing="1" w:after="100" w:afterAutospacing="1" w:line="240" w:lineRule="auto"/>
      <w:textAlignment w:val="center"/>
    </w:pPr>
    <w:rPr>
      <w:rFonts w:ascii="Arial" w:eastAsia="Times New Roman" w:hAnsi="Arial" w:cs="Arial"/>
      <w:sz w:val="16"/>
      <w:szCs w:val="16"/>
      <w:lang w:val="en-GB" w:eastAsia="en-GB"/>
    </w:rPr>
  </w:style>
  <w:style w:type="paragraph" w:customStyle="1" w:styleId="xl127">
    <w:name w:val="xl127"/>
    <w:basedOn w:val="Normal"/>
    <w:rsid w:val="00AE3C4E"/>
    <w:pPr>
      <w:pBdr>
        <w:top w:val="single" w:sz="4" w:space="0" w:color="C1CEE5"/>
        <w:bottom w:val="single" w:sz="4" w:space="0" w:color="C1CEE5"/>
      </w:pBdr>
      <w:spacing w:beforeAutospacing="1" w:after="100" w:afterAutospacing="1" w:line="240" w:lineRule="auto"/>
      <w:textAlignment w:val="center"/>
    </w:pPr>
    <w:rPr>
      <w:rFonts w:ascii="Arial" w:eastAsia="Times New Roman" w:hAnsi="Arial" w:cs="Arial"/>
      <w:sz w:val="16"/>
      <w:szCs w:val="16"/>
      <w:lang w:val="en-GB" w:eastAsia="en-GB"/>
    </w:rPr>
  </w:style>
  <w:style w:type="paragraph" w:customStyle="1" w:styleId="xl128">
    <w:name w:val="xl128"/>
    <w:basedOn w:val="Normal"/>
    <w:rsid w:val="00AE3C4E"/>
    <w:pPr>
      <w:pBdr>
        <w:top w:val="single" w:sz="4" w:space="0" w:color="C1CEE5"/>
        <w:bottom w:val="single" w:sz="4" w:space="0" w:color="C1CEE5"/>
        <w:right w:val="single" w:sz="4" w:space="0" w:color="C1CEE5"/>
      </w:pBdr>
      <w:spacing w:beforeAutospacing="1" w:after="100" w:afterAutospacing="1" w:line="240" w:lineRule="auto"/>
      <w:textAlignment w:val="center"/>
    </w:pPr>
    <w:rPr>
      <w:rFonts w:ascii="Arial" w:eastAsia="Times New Roman" w:hAnsi="Arial" w:cs="Arial"/>
      <w:sz w:val="16"/>
      <w:szCs w:val="16"/>
      <w:lang w:val="en-GB" w:eastAsia="en-GB"/>
    </w:rPr>
  </w:style>
  <w:style w:type="paragraph" w:customStyle="1" w:styleId="xl129">
    <w:name w:val="xl129"/>
    <w:basedOn w:val="Normal"/>
    <w:rsid w:val="00AE3C4E"/>
    <w:pPr>
      <w:pBdr>
        <w:left w:val="single" w:sz="4" w:space="0" w:color="BFBFBF"/>
        <w:right w:val="single" w:sz="4" w:space="0" w:color="BFBFBF"/>
      </w:pBdr>
      <w:shd w:val="clear" w:color="F7C3AA" w:fill="305496"/>
      <w:spacing w:beforeAutospacing="1" w:after="100" w:afterAutospacing="1" w:line="240" w:lineRule="auto"/>
      <w:textAlignment w:val="center"/>
    </w:pPr>
    <w:rPr>
      <w:rFonts w:ascii="Arial" w:eastAsia="Times New Roman" w:hAnsi="Arial" w:cs="Arial"/>
      <w:b/>
      <w:bCs/>
      <w:color w:val="FFFFFF"/>
      <w:sz w:val="18"/>
      <w:szCs w:val="18"/>
      <w:lang w:val="en-GB" w:eastAsia="en-GB"/>
    </w:rPr>
  </w:style>
  <w:style w:type="paragraph" w:customStyle="1" w:styleId="xl130">
    <w:name w:val="xl130"/>
    <w:basedOn w:val="Normal"/>
    <w:rsid w:val="00AE3C4E"/>
    <w:pPr>
      <w:pBdr>
        <w:top w:val="single" w:sz="4" w:space="0" w:color="auto"/>
        <w:left w:val="single" w:sz="4" w:space="0" w:color="auto"/>
        <w:bottom w:val="single" w:sz="4" w:space="0" w:color="auto"/>
      </w:pBdr>
      <w:spacing w:beforeAutospacing="1" w:after="100" w:afterAutospacing="1" w:line="240" w:lineRule="auto"/>
    </w:pPr>
    <w:rPr>
      <w:rFonts w:ascii="Arial" w:eastAsia="Times New Roman" w:hAnsi="Arial" w:cs="Arial"/>
      <w:sz w:val="16"/>
      <w:szCs w:val="16"/>
      <w:lang w:val="en-GB" w:eastAsia="en-GB"/>
    </w:rPr>
  </w:style>
  <w:style w:type="paragraph" w:customStyle="1" w:styleId="xl131">
    <w:name w:val="xl131"/>
    <w:basedOn w:val="Normal"/>
    <w:rsid w:val="00AE3C4E"/>
    <w:pPr>
      <w:pBdr>
        <w:top w:val="single" w:sz="4" w:space="0" w:color="auto"/>
        <w:bottom w:val="single" w:sz="4" w:space="0" w:color="auto"/>
      </w:pBdr>
      <w:spacing w:beforeAutospacing="1" w:after="100" w:afterAutospacing="1" w:line="240" w:lineRule="auto"/>
    </w:pPr>
    <w:rPr>
      <w:rFonts w:ascii="Arial" w:eastAsia="Times New Roman" w:hAnsi="Arial" w:cs="Arial"/>
      <w:sz w:val="16"/>
      <w:szCs w:val="16"/>
      <w:lang w:val="en-GB" w:eastAsia="en-GB"/>
    </w:rPr>
  </w:style>
  <w:style w:type="paragraph" w:customStyle="1" w:styleId="xl132">
    <w:name w:val="xl132"/>
    <w:basedOn w:val="Normal"/>
    <w:rsid w:val="00AE3C4E"/>
    <w:pPr>
      <w:pBdr>
        <w:top w:val="single" w:sz="4" w:space="0" w:color="auto"/>
        <w:bottom w:val="single" w:sz="4" w:space="0" w:color="auto"/>
        <w:right w:val="single" w:sz="4" w:space="0" w:color="auto"/>
      </w:pBdr>
      <w:spacing w:beforeAutospacing="1" w:after="100" w:afterAutospacing="1" w:line="240" w:lineRule="auto"/>
    </w:pPr>
    <w:rPr>
      <w:rFonts w:ascii="Arial" w:eastAsia="Times New Roman" w:hAnsi="Arial" w:cs="Arial"/>
      <w:sz w:val="16"/>
      <w:szCs w:val="16"/>
      <w:lang w:val="en-GB" w:eastAsia="en-GB"/>
    </w:rPr>
  </w:style>
  <w:style w:type="paragraph" w:customStyle="1" w:styleId="xl133">
    <w:name w:val="xl133"/>
    <w:basedOn w:val="Normal"/>
    <w:rsid w:val="00AE3C4E"/>
    <w:pPr>
      <w:pBdr>
        <w:left w:val="single" w:sz="4" w:space="0" w:color="BFBFBF"/>
        <w:right w:val="single" w:sz="4" w:space="0" w:color="BFBFBF"/>
      </w:pBdr>
      <w:shd w:val="clear" w:color="F7C3AA" w:fill="305496"/>
      <w:spacing w:beforeAutospacing="1" w:after="100" w:afterAutospacing="1" w:line="240" w:lineRule="auto"/>
      <w:textAlignment w:val="center"/>
    </w:pPr>
    <w:rPr>
      <w:rFonts w:ascii="Arial" w:eastAsia="Times New Roman" w:hAnsi="Arial" w:cs="Arial"/>
      <w:b/>
      <w:bCs/>
      <w:color w:val="FFFFFF"/>
      <w:sz w:val="18"/>
      <w:szCs w:val="18"/>
      <w:lang w:val="en-GB" w:eastAsia="en-GB"/>
    </w:rPr>
  </w:style>
  <w:style w:type="paragraph" w:customStyle="1" w:styleId="xl134">
    <w:name w:val="xl134"/>
    <w:basedOn w:val="Normal"/>
    <w:rsid w:val="00AE3C4E"/>
    <w:pPr>
      <w:pBdr>
        <w:top w:val="single" w:sz="4" w:space="0" w:color="auto"/>
        <w:left w:val="single" w:sz="4" w:space="0" w:color="auto"/>
        <w:bottom w:val="single" w:sz="4" w:space="0" w:color="auto"/>
      </w:pBdr>
      <w:spacing w:beforeAutospacing="1" w:after="100" w:afterAutospacing="1" w:line="240" w:lineRule="auto"/>
    </w:pPr>
    <w:rPr>
      <w:rFonts w:ascii="Arial" w:eastAsia="Times New Roman" w:hAnsi="Arial" w:cs="Arial"/>
      <w:sz w:val="16"/>
      <w:szCs w:val="16"/>
      <w:lang w:val="en-GB" w:eastAsia="en-GB"/>
    </w:rPr>
  </w:style>
  <w:style w:type="paragraph" w:customStyle="1" w:styleId="xl135">
    <w:name w:val="xl135"/>
    <w:basedOn w:val="Normal"/>
    <w:rsid w:val="00AE3C4E"/>
    <w:pPr>
      <w:pBdr>
        <w:top w:val="single" w:sz="4" w:space="0" w:color="auto"/>
        <w:bottom w:val="single" w:sz="4" w:space="0" w:color="auto"/>
      </w:pBdr>
      <w:spacing w:beforeAutospacing="1" w:after="100" w:afterAutospacing="1" w:line="240" w:lineRule="auto"/>
    </w:pPr>
    <w:rPr>
      <w:rFonts w:ascii="Arial" w:eastAsia="Times New Roman" w:hAnsi="Arial" w:cs="Arial"/>
      <w:sz w:val="16"/>
      <w:szCs w:val="16"/>
      <w:lang w:val="en-GB" w:eastAsia="en-GB"/>
    </w:rPr>
  </w:style>
  <w:style w:type="paragraph" w:customStyle="1" w:styleId="xl136">
    <w:name w:val="xl136"/>
    <w:basedOn w:val="Normal"/>
    <w:rsid w:val="00AE3C4E"/>
    <w:pPr>
      <w:pBdr>
        <w:top w:val="single" w:sz="4" w:space="0" w:color="auto"/>
        <w:bottom w:val="single" w:sz="4" w:space="0" w:color="auto"/>
        <w:right w:val="single" w:sz="4" w:space="0" w:color="auto"/>
      </w:pBdr>
      <w:spacing w:beforeAutospacing="1" w:after="100" w:afterAutospacing="1" w:line="240" w:lineRule="auto"/>
    </w:pPr>
    <w:rPr>
      <w:rFonts w:ascii="Arial" w:eastAsia="Times New Roman" w:hAnsi="Arial" w:cs="Arial"/>
      <w:sz w:val="16"/>
      <w:szCs w:val="16"/>
      <w:lang w:val="en-GB" w:eastAsia="en-GB"/>
    </w:rPr>
  </w:style>
  <w:style w:type="paragraph" w:customStyle="1" w:styleId="DRItekst">
    <w:name w:val="DRI tekst"/>
    <w:basedOn w:val="Normal"/>
    <w:link w:val="DRItekstChar"/>
    <w:qFormat/>
    <w:rsid w:val="0027518C"/>
    <w:pPr>
      <w:spacing w:line="259" w:lineRule="auto"/>
    </w:pPr>
    <w:rPr>
      <w:rFonts w:ascii="Times New Roman" w:eastAsiaTheme="minorHAnsi" w:hAnsi="Times New Roman" w:cs="Times New Roman"/>
      <w:sz w:val="24"/>
    </w:rPr>
  </w:style>
  <w:style w:type="character" w:customStyle="1" w:styleId="DRItekstChar">
    <w:name w:val="DRI tekst Char"/>
    <w:basedOn w:val="DefaultParagraphFont"/>
    <w:link w:val="DRItekst"/>
    <w:rsid w:val="0027518C"/>
    <w:rPr>
      <w:rFonts w:ascii="Times New Roman" w:eastAsiaTheme="minorHAnsi" w:hAnsi="Times New Roman" w:cs="Times New Roman"/>
      <w:sz w:val="24"/>
      <w:lang w:val="sr-Cyrl-RS"/>
    </w:rPr>
  </w:style>
  <w:style w:type="table" w:styleId="GridTable1Light-Accent6">
    <w:name w:val="Grid Table 1 Light Accent 6"/>
    <w:basedOn w:val="TableNormal"/>
    <w:uiPriority w:val="46"/>
    <w:rsid w:val="00EF3865"/>
    <w:pPr>
      <w:spacing w:after="0" w:line="240" w:lineRule="auto"/>
    </w:pPr>
    <w:rPr>
      <w:sz w:val="22"/>
      <w:szCs w:val="22"/>
      <w:lang w:val="en-GB"/>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UnresolvedMention18">
    <w:name w:val="Unresolved Mention18"/>
    <w:basedOn w:val="DefaultParagraphFont"/>
    <w:uiPriority w:val="99"/>
    <w:semiHidden/>
    <w:unhideWhenUsed/>
    <w:rsid w:val="000D0D8F"/>
    <w:rPr>
      <w:color w:val="605E5C"/>
      <w:shd w:val="clear" w:color="auto" w:fill="E1DFDD"/>
    </w:rPr>
  </w:style>
  <w:style w:type="numbering" w:customStyle="1" w:styleId="NoList8">
    <w:name w:val="No List8"/>
    <w:next w:val="NoList"/>
    <w:uiPriority w:val="99"/>
    <w:semiHidden/>
    <w:unhideWhenUsed/>
    <w:rsid w:val="005F2469"/>
  </w:style>
  <w:style w:type="character" w:customStyle="1" w:styleId="UnresolvedMention19">
    <w:name w:val="Unresolved Mention19"/>
    <w:basedOn w:val="DefaultParagraphFont"/>
    <w:uiPriority w:val="99"/>
    <w:semiHidden/>
    <w:unhideWhenUsed/>
    <w:rsid w:val="00402C08"/>
    <w:rPr>
      <w:color w:val="605E5C"/>
      <w:shd w:val="clear" w:color="auto" w:fill="E1DFDD"/>
    </w:rPr>
  </w:style>
  <w:style w:type="character" w:customStyle="1" w:styleId="UnresolvedMention20">
    <w:name w:val="Unresolved Mention20"/>
    <w:basedOn w:val="DefaultParagraphFont"/>
    <w:uiPriority w:val="99"/>
    <w:semiHidden/>
    <w:unhideWhenUsed/>
    <w:rsid w:val="00584382"/>
    <w:rPr>
      <w:color w:val="605E5C"/>
      <w:shd w:val="clear" w:color="auto" w:fill="E1DFDD"/>
    </w:rPr>
  </w:style>
  <w:style w:type="table" w:styleId="TableGridLight">
    <w:name w:val="Grid Table Light"/>
    <w:basedOn w:val="TableNormal"/>
    <w:uiPriority w:val="40"/>
    <w:rsid w:val="00F617BE"/>
    <w:pPr>
      <w:spacing w:after="0" w:line="240" w:lineRule="auto"/>
    </w:pPr>
    <w:rPr>
      <w:rFonts w:eastAsiaTheme="minorHAnsi"/>
      <w:kern w:val="2"/>
      <w:sz w:val="24"/>
      <w:szCs w:val="24"/>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E114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6221">
      <w:bodyDiv w:val="1"/>
      <w:marLeft w:val="0"/>
      <w:marRight w:val="0"/>
      <w:marTop w:val="0"/>
      <w:marBottom w:val="0"/>
      <w:divBdr>
        <w:top w:val="none" w:sz="0" w:space="0" w:color="auto"/>
        <w:left w:val="none" w:sz="0" w:space="0" w:color="auto"/>
        <w:bottom w:val="none" w:sz="0" w:space="0" w:color="auto"/>
        <w:right w:val="none" w:sz="0" w:space="0" w:color="auto"/>
      </w:divBdr>
    </w:div>
    <w:div w:id="16658989">
      <w:bodyDiv w:val="1"/>
      <w:marLeft w:val="0"/>
      <w:marRight w:val="0"/>
      <w:marTop w:val="0"/>
      <w:marBottom w:val="0"/>
      <w:divBdr>
        <w:top w:val="none" w:sz="0" w:space="0" w:color="auto"/>
        <w:left w:val="none" w:sz="0" w:space="0" w:color="auto"/>
        <w:bottom w:val="none" w:sz="0" w:space="0" w:color="auto"/>
        <w:right w:val="none" w:sz="0" w:space="0" w:color="auto"/>
      </w:divBdr>
    </w:div>
    <w:div w:id="16740865">
      <w:bodyDiv w:val="1"/>
      <w:marLeft w:val="0"/>
      <w:marRight w:val="0"/>
      <w:marTop w:val="0"/>
      <w:marBottom w:val="0"/>
      <w:divBdr>
        <w:top w:val="none" w:sz="0" w:space="0" w:color="auto"/>
        <w:left w:val="none" w:sz="0" w:space="0" w:color="auto"/>
        <w:bottom w:val="none" w:sz="0" w:space="0" w:color="auto"/>
        <w:right w:val="none" w:sz="0" w:space="0" w:color="auto"/>
      </w:divBdr>
    </w:div>
    <w:div w:id="23556901">
      <w:bodyDiv w:val="1"/>
      <w:marLeft w:val="0"/>
      <w:marRight w:val="0"/>
      <w:marTop w:val="0"/>
      <w:marBottom w:val="0"/>
      <w:divBdr>
        <w:top w:val="none" w:sz="0" w:space="0" w:color="auto"/>
        <w:left w:val="none" w:sz="0" w:space="0" w:color="auto"/>
        <w:bottom w:val="none" w:sz="0" w:space="0" w:color="auto"/>
        <w:right w:val="none" w:sz="0" w:space="0" w:color="auto"/>
      </w:divBdr>
    </w:div>
    <w:div w:id="28605010">
      <w:bodyDiv w:val="1"/>
      <w:marLeft w:val="0"/>
      <w:marRight w:val="0"/>
      <w:marTop w:val="0"/>
      <w:marBottom w:val="0"/>
      <w:divBdr>
        <w:top w:val="none" w:sz="0" w:space="0" w:color="auto"/>
        <w:left w:val="none" w:sz="0" w:space="0" w:color="auto"/>
        <w:bottom w:val="none" w:sz="0" w:space="0" w:color="auto"/>
        <w:right w:val="none" w:sz="0" w:space="0" w:color="auto"/>
      </w:divBdr>
    </w:div>
    <w:div w:id="38827233">
      <w:bodyDiv w:val="1"/>
      <w:marLeft w:val="0"/>
      <w:marRight w:val="0"/>
      <w:marTop w:val="0"/>
      <w:marBottom w:val="0"/>
      <w:divBdr>
        <w:top w:val="none" w:sz="0" w:space="0" w:color="auto"/>
        <w:left w:val="none" w:sz="0" w:space="0" w:color="auto"/>
        <w:bottom w:val="none" w:sz="0" w:space="0" w:color="auto"/>
        <w:right w:val="none" w:sz="0" w:space="0" w:color="auto"/>
      </w:divBdr>
    </w:div>
    <w:div w:id="84301772">
      <w:bodyDiv w:val="1"/>
      <w:marLeft w:val="0"/>
      <w:marRight w:val="0"/>
      <w:marTop w:val="0"/>
      <w:marBottom w:val="0"/>
      <w:divBdr>
        <w:top w:val="none" w:sz="0" w:space="0" w:color="auto"/>
        <w:left w:val="none" w:sz="0" w:space="0" w:color="auto"/>
        <w:bottom w:val="none" w:sz="0" w:space="0" w:color="auto"/>
        <w:right w:val="none" w:sz="0" w:space="0" w:color="auto"/>
      </w:divBdr>
    </w:div>
    <w:div w:id="90056447">
      <w:bodyDiv w:val="1"/>
      <w:marLeft w:val="0"/>
      <w:marRight w:val="0"/>
      <w:marTop w:val="0"/>
      <w:marBottom w:val="0"/>
      <w:divBdr>
        <w:top w:val="none" w:sz="0" w:space="0" w:color="auto"/>
        <w:left w:val="none" w:sz="0" w:space="0" w:color="auto"/>
        <w:bottom w:val="none" w:sz="0" w:space="0" w:color="auto"/>
        <w:right w:val="none" w:sz="0" w:space="0" w:color="auto"/>
      </w:divBdr>
    </w:div>
    <w:div w:id="90123934">
      <w:bodyDiv w:val="1"/>
      <w:marLeft w:val="0"/>
      <w:marRight w:val="0"/>
      <w:marTop w:val="0"/>
      <w:marBottom w:val="0"/>
      <w:divBdr>
        <w:top w:val="none" w:sz="0" w:space="0" w:color="auto"/>
        <w:left w:val="none" w:sz="0" w:space="0" w:color="auto"/>
        <w:bottom w:val="none" w:sz="0" w:space="0" w:color="auto"/>
        <w:right w:val="none" w:sz="0" w:space="0" w:color="auto"/>
      </w:divBdr>
    </w:div>
    <w:div w:id="106196783">
      <w:bodyDiv w:val="1"/>
      <w:marLeft w:val="0"/>
      <w:marRight w:val="0"/>
      <w:marTop w:val="0"/>
      <w:marBottom w:val="0"/>
      <w:divBdr>
        <w:top w:val="none" w:sz="0" w:space="0" w:color="auto"/>
        <w:left w:val="none" w:sz="0" w:space="0" w:color="auto"/>
        <w:bottom w:val="none" w:sz="0" w:space="0" w:color="auto"/>
        <w:right w:val="none" w:sz="0" w:space="0" w:color="auto"/>
      </w:divBdr>
    </w:div>
    <w:div w:id="108740047">
      <w:bodyDiv w:val="1"/>
      <w:marLeft w:val="0"/>
      <w:marRight w:val="0"/>
      <w:marTop w:val="0"/>
      <w:marBottom w:val="0"/>
      <w:divBdr>
        <w:top w:val="none" w:sz="0" w:space="0" w:color="auto"/>
        <w:left w:val="none" w:sz="0" w:space="0" w:color="auto"/>
        <w:bottom w:val="none" w:sz="0" w:space="0" w:color="auto"/>
        <w:right w:val="none" w:sz="0" w:space="0" w:color="auto"/>
      </w:divBdr>
      <w:divsChild>
        <w:div w:id="813327961">
          <w:marLeft w:val="0"/>
          <w:marRight w:val="0"/>
          <w:marTop w:val="0"/>
          <w:marBottom w:val="0"/>
          <w:divBdr>
            <w:top w:val="none" w:sz="0" w:space="0" w:color="auto"/>
            <w:left w:val="none" w:sz="0" w:space="0" w:color="auto"/>
            <w:bottom w:val="none" w:sz="0" w:space="0" w:color="auto"/>
            <w:right w:val="none" w:sz="0" w:space="0" w:color="auto"/>
          </w:divBdr>
          <w:divsChild>
            <w:div w:id="155176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5511">
      <w:bodyDiv w:val="1"/>
      <w:marLeft w:val="0"/>
      <w:marRight w:val="0"/>
      <w:marTop w:val="0"/>
      <w:marBottom w:val="0"/>
      <w:divBdr>
        <w:top w:val="none" w:sz="0" w:space="0" w:color="auto"/>
        <w:left w:val="none" w:sz="0" w:space="0" w:color="auto"/>
        <w:bottom w:val="none" w:sz="0" w:space="0" w:color="auto"/>
        <w:right w:val="none" w:sz="0" w:space="0" w:color="auto"/>
      </w:divBdr>
    </w:div>
    <w:div w:id="146290699">
      <w:bodyDiv w:val="1"/>
      <w:marLeft w:val="0"/>
      <w:marRight w:val="0"/>
      <w:marTop w:val="0"/>
      <w:marBottom w:val="0"/>
      <w:divBdr>
        <w:top w:val="none" w:sz="0" w:space="0" w:color="auto"/>
        <w:left w:val="none" w:sz="0" w:space="0" w:color="auto"/>
        <w:bottom w:val="none" w:sz="0" w:space="0" w:color="auto"/>
        <w:right w:val="none" w:sz="0" w:space="0" w:color="auto"/>
      </w:divBdr>
    </w:div>
    <w:div w:id="148980413">
      <w:bodyDiv w:val="1"/>
      <w:marLeft w:val="0"/>
      <w:marRight w:val="0"/>
      <w:marTop w:val="0"/>
      <w:marBottom w:val="0"/>
      <w:divBdr>
        <w:top w:val="none" w:sz="0" w:space="0" w:color="auto"/>
        <w:left w:val="none" w:sz="0" w:space="0" w:color="auto"/>
        <w:bottom w:val="none" w:sz="0" w:space="0" w:color="auto"/>
        <w:right w:val="none" w:sz="0" w:space="0" w:color="auto"/>
      </w:divBdr>
      <w:divsChild>
        <w:div w:id="1735204276">
          <w:marLeft w:val="547"/>
          <w:marRight w:val="0"/>
          <w:marTop w:val="0"/>
          <w:marBottom w:val="0"/>
          <w:divBdr>
            <w:top w:val="none" w:sz="0" w:space="0" w:color="auto"/>
            <w:left w:val="none" w:sz="0" w:space="0" w:color="auto"/>
            <w:bottom w:val="none" w:sz="0" w:space="0" w:color="auto"/>
            <w:right w:val="none" w:sz="0" w:space="0" w:color="auto"/>
          </w:divBdr>
        </w:div>
      </w:divsChild>
    </w:div>
    <w:div w:id="149951297">
      <w:bodyDiv w:val="1"/>
      <w:marLeft w:val="0"/>
      <w:marRight w:val="0"/>
      <w:marTop w:val="0"/>
      <w:marBottom w:val="0"/>
      <w:divBdr>
        <w:top w:val="none" w:sz="0" w:space="0" w:color="auto"/>
        <w:left w:val="none" w:sz="0" w:space="0" w:color="auto"/>
        <w:bottom w:val="none" w:sz="0" w:space="0" w:color="auto"/>
        <w:right w:val="none" w:sz="0" w:space="0" w:color="auto"/>
      </w:divBdr>
    </w:div>
    <w:div w:id="152265060">
      <w:bodyDiv w:val="1"/>
      <w:marLeft w:val="0"/>
      <w:marRight w:val="0"/>
      <w:marTop w:val="0"/>
      <w:marBottom w:val="0"/>
      <w:divBdr>
        <w:top w:val="none" w:sz="0" w:space="0" w:color="auto"/>
        <w:left w:val="none" w:sz="0" w:space="0" w:color="auto"/>
        <w:bottom w:val="none" w:sz="0" w:space="0" w:color="auto"/>
        <w:right w:val="none" w:sz="0" w:space="0" w:color="auto"/>
      </w:divBdr>
    </w:div>
    <w:div w:id="168721379">
      <w:bodyDiv w:val="1"/>
      <w:marLeft w:val="0"/>
      <w:marRight w:val="0"/>
      <w:marTop w:val="0"/>
      <w:marBottom w:val="0"/>
      <w:divBdr>
        <w:top w:val="none" w:sz="0" w:space="0" w:color="auto"/>
        <w:left w:val="none" w:sz="0" w:space="0" w:color="auto"/>
        <w:bottom w:val="none" w:sz="0" w:space="0" w:color="auto"/>
        <w:right w:val="none" w:sz="0" w:space="0" w:color="auto"/>
      </w:divBdr>
      <w:divsChild>
        <w:div w:id="976569816">
          <w:marLeft w:val="0"/>
          <w:marRight w:val="0"/>
          <w:marTop w:val="0"/>
          <w:marBottom w:val="0"/>
          <w:divBdr>
            <w:top w:val="none" w:sz="0" w:space="0" w:color="auto"/>
            <w:left w:val="none" w:sz="0" w:space="0" w:color="auto"/>
            <w:bottom w:val="none" w:sz="0" w:space="0" w:color="auto"/>
            <w:right w:val="none" w:sz="0" w:space="0" w:color="auto"/>
          </w:divBdr>
          <w:divsChild>
            <w:div w:id="202632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50975">
      <w:bodyDiv w:val="1"/>
      <w:marLeft w:val="0"/>
      <w:marRight w:val="0"/>
      <w:marTop w:val="0"/>
      <w:marBottom w:val="0"/>
      <w:divBdr>
        <w:top w:val="none" w:sz="0" w:space="0" w:color="auto"/>
        <w:left w:val="none" w:sz="0" w:space="0" w:color="auto"/>
        <w:bottom w:val="none" w:sz="0" w:space="0" w:color="auto"/>
        <w:right w:val="none" w:sz="0" w:space="0" w:color="auto"/>
      </w:divBdr>
      <w:divsChild>
        <w:div w:id="269820140">
          <w:marLeft w:val="547"/>
          <w:marRight w:val="0"/>
          <w:marTop w:val="0"/>
          <w:marBottom w:val="0"/>
          <w:divBdr>
            <w:top w:val="none" w:sz="0" w:space="0" w:color="auto"/>
            <w:left w:val="none" w:sz="0" w:space="0" w:color="auto"/>
            <w:bottom w:val="none" w:sz="0" w:space="0" w:color="auto"/>
            <w:right w:val="none" w:sz="0" w:space="0" w:color="auto"/>
          </w:divBdr>
        </w:div>
      </w:divsChild>
    </w:div>
    <w:div w:id="247888180">
      <w:bodyDiv w:val="1"/>
      <w:marLeft w:val="0"/>
      <w:marRight w:val="0"/>
      <w:marTop w:val="0"/>
      <w:marBottom w:val="0"/>
      <w:divBdr>
        <w:top w:val="none" w:sz="0" w:space="0" w:color="auto"/>
        <w:left w:val="none" w:sz="0" w:space="0" w:color="auto"/>
        <w:bottom w:val="none" w:sz="0" w:space="0" w:color="auto"/>
        <w:right w:val="none" w:sz="0" w:space="0" w:color="auto"/>
      </w:divBdr>
    </w:div>
    <w:div w:id="248731142">
      <w:bodyDiv w:val="1"/>
      <w:marLeft w:val="0"/>
      <w:marRight w:val="0"/>
      <w:marTop w:val="0"/>
      <w:marBottom w:val="0"/>
      <w:divBdr>
        <w:top w:val="none" w:sz="0" w:space="0" w:color="auto"/>
        <w:left w:val="none" w:sz="0" w:space="0" w:color="auto"/>
        <w:bottom w:val="none" w:sz="0" w:space="0" w:color="auto"/>
        <w:right w:val="none" w:sz="0" w:space="0" w:color="auto"/>
      </w:divBdr>
    </w:div>
    <w:div w:id="255478294">
      <w:bodyDiv w:val="1"/>
      <w:marLeft w:val="0"/>
      <w:marRight w:val="0"/>
      <w:marTop w:val="0"/>
      <w:marBottom w:val="0"/>
      <w:divBdr>
        <w:top w:val="none" w:sz="0" w:space="0" w:color="auto"/>
        <w:left w:val="none" w:sz="0" w:space="0" w:color="auto"/>
        <w:bottom w:val="none" w:sz="0" w:space="0" w:color="auto"/>
        <w:right w:val="none" w:sz="0" w:space="0" w:color="auto"/>
      </w:divBdr>
    </w:div>
    <w:div w:id="255528105">
      <w:bodyDiv w:val="1"/>
      <w:marLeft w:val="0"/>
      <w:marRight w:val="0"/>
      <w:marTop w:val="0"/>
      <w:marBottom w:val="0"/>
      <w:divBdr>
        <w:top w:val="none" w:sz="0" w:space="0" w:color="auto"/>
        <w:left w:val="none" w:sz="0" w:space="0" w:color="auto"/>
        <w:bottom w:val="none" w:sz="0" w:space="0" w:color="auto"/>
        <w:right w:val="none" w:sz="0" w:space="0" w:color="auto"/>
      </w:divBdr>
    </w:div>
    <w:div w:id="265966906">
      <w:bodyDiv w:val="1"/>
      <w:marLeft w:val="0"/>
      <w:marRight w:val="0"/>
      <w:marTop w:val="0"/>
      <w:marBottom w:val="0"/>
      <w:divBdr>
        <w:top w:val="none" w:sz="0" w:space="0" w:color="auto"/>
        <w:left w:val="none" w:sz="0" w:space="0" w:color="auto"/>
        <w:bottom w:val="none" w:sz="0" w:space="0" w:color="auto"/>
        <w:right w:val="none" w:sz="0" w:space="0" w:color="auto"/>
      </w:divBdr>
    </w:div>
    <w:div w:id="295186146">
      <w:bodyDiv w:val="1"/>
      <w:marLeft w:val="0"/>
      <w:marRight w:val="0"/>
      <w:marTop w:val="0"/>
      <w:marBottom w:val="0"/>
      <w:divBdr>
        <w:top w:val="none" w:sz="0" w:space="0" w:color="auto"/>
        <w:left w:val="none" w:sz="0" w:space="0" w:color="auto"/>
        <w:bottom w:val="none" w:sz="0" w:space="0" w:color="auto"/>
        <w:right w:val="none" w:sz="0" w:space="0" w:color="auto"/>
      </w:divBdr>
    </w:div>
    <w:div w:id="316030799">
      <w:bodyDiv w:val="1"/>
      <w:marLeft w:val="0"/>
      <w:marRight w:val="0"/>
      <w:marTop w:val="0"/>
      <w:marBottom w:val="0"/>
      <w:divBdr>
        <w:top w:val="none" w:sz="0" w:space="0" w:color="auto"/>
        <w:left w:val="none" w:sz="0" w:space="0" w:color="auto"/>
        <w:bottom w:val="none" w:sz="0" w:space="0" w:color="auto"/>
        <w:right w:val="none" w:sz="0" w:space="0" w:color="auto"/>
      </w:divBdr>
    </w:div>
    <w:div w:id="316343182">
      <w:bodyDiv w:val="1"/>
      <w:marLeft w:val="0"/>
      <w:marRight w:val="0"/>
      <w:marTop w:val="0"/>
      <w:marBottom w:val="0"/>
      <w:divBdr>
        <w:top w:val="none" w:sz="0" w:space="0" w:color="auto"/>
        <w:left w:val="none" w:sz="0" w:space="0" w:color="auto"/>
        <w:bottom w:val="none" w:sz="0" w:space="0" w:color="auto"/>
        <w:right w:val="none" w:sz="0" w:space="0" w:color="auto"/>
      </w:divBdr>
    </w:div>
    <w:div w:id="328604742">
      <w:bodyDiv w:val="1"/>
      <w:marLeft w:val="0"/>
      <w:marRight w:val="0"/>
      <w:marTop w:val="0"/>
      <w:marBottom w:val="0"/>
      <w:divBdr>
        <w:top w:val="none" w:sz="0" w:space="0" w:color="auto"/>
        <w:left w:val="none" w:sz="0" w:space="0" w:color="auto"/>
        <w:bottom w:val="none" w:sz="0" w:space="0" w:color="auto"/>
        <w:right w:val="none" w:sz="0" w:space="0" w:color="auto"/>
      </w:divBdr>
    </w:div>
    <w:div w:id="343362191">
      <w:bodyDiv w:val="1"/>
      <w:marLeft w:val="0"/>
      <w:marRight w:val="0"/>
      <w:marTop w:val="0"/>
      <w:marBottom w:val="0"/>
      <w:divBdr>
        <w:top w:val="none" w:sz="0" w:space="0" w:color="auto"/>
        <w:left w:val="none" w:sz="0" w:space="0" w:color="auto"/>
        <w:bottom w:val="none" w:sz="0" w:space="0" w:color="auto"/>
        <w:right w:val="none" w:sz="0" w:space="0" w:color="auto"/>
      </w:divBdr>
    </w:div>
    <w:div w:id="348992919">
      <w:bodyDiv w:val="1"/>
      <w:marLeft w:val="0"/>
      <w:marRight w:val="0"/>
      <w:marTop w:val="0"/>
      <w:marBottom w:val="0"/>
      <w:divBdr>
        <w:top w:val="none" w:sz="0" w:space="0" w:color="auto"/>
        <w:left w:val="none" w:sz="0" w:space="0" w:color="auto"/>
        <w:bottom w:val="none" w:sz="0" w:space="0" w:color="auto"/>
        <w:right w:val="none" w:sz="0" w:space="0" w:color="auto"/>
      </w:divBdr>
    </w:div>
    <w:div w:id="360787257">
      <w:bodyDiv w:val="1"/>
      <w:marLeft w:val="0"/>
      <w:marRight w:val="0"/>
      <w:marTop w:val="0"/>
      <w:marBottom w:val="0"/>
      <w:divBdr>
        <w:top w:val="none" w:sz="0" w:space="0" w:color="auto"/>
        <w:left w:val="none" w:sz="0" w:space="0" w:color="auto"/>
        <w:bottom w:val="none" w:sz="0" w:space="0" w:color="auto"/>
        <w:right w:val="none" w:sz="0" w:space="0" w:color="auto"/>
      </w:divBdr>
    </w:div>
    <w:div w:id="369764625">
      <w:bodyDiv w:val="1"/>
      <w:marLeft w:val="0"/>
      <w:marRight w:val="0"/>
      <w:marTop w:val="0"/>
      <w:marBottom w:val="0"/>
      <w:divBdr>
        <w:top w:val="none" w:sz="0" w:space="0" w:color="auto"/>
        <w:left w:val="none" w:sz="0" w:space="0" w:color="auto"/>
        <w:bottom w:val="none" w:sz="0" w:space="0" w:color="auto"/>
        <w:right w:val="none" w:sz="0" w:space="0" w:color="auto"/>
      </w:divBdr>
    </w:div>
    <w:div w:id="372002898">
      <w:bodyDiv w:val="1"/>
      <w:marLeft w:val="0"/>
      <w:marRight w:val="0"/>
      <w:marTop w:val="0"/>
      <w:marBottom w:val="0"/>
      <w:divBdr>
        <w:top w:val="none" w:sz="0" w:space="0" w:color="auto"/>
        <w:left w:val="none" w:sz="0" w:space="0" w:color="auto"/>
        <w:bottom w:val="none" w:sz="0" w:space="0" w:color="auto"/>
        <w:right w:val="none" w:sz="0" w:space="0" w:color="auto"/>
      </w:divBdr>
    </w:div>
    <w:div w:id="375280899">
      <w:bodyDiv w:val="1"/>
      <w:marLeft w:val="0"/>
      <w:marRight w:val="0"/>
      <w:marTop w:val="0"/>
      <w:marBottom w:val="0"/>
      <w:divBdr>
        <w:top w:val="none" w:sz="0" w:space="0" w:color="auto"/>
        <w:left w:val="none" w:sz="0" w:space="0" w:color="auto"/>
        <w:bottom w:val="none" w:sz="0" w:space="0" w:color="auto"/>
        <w:right w:val="none" w:sz="0" w:space="0" w:color="auto"/>
      </w:divBdr>
    </w:div>
    <w:div w:id="381485597">
      <w:bodyDiv w:val="1"/>
      <w:marLeft w:val="0"/>
      <w:marRight w:val="0"/>
      <w:marTop w:val="0"/>
      <w:marBottom w:val="0"/>
      <w:divBdr>
        <w:top w:val="none" w:sz="0" w:space="0" w:color="auto"/>
        <w:left w:val="none" w:sz="0" w:space="0" w:color="auto"/>
        <w:bottom w:val="none" w:sz="0" w:space="0" w:color="auto"/>
        <w:right w:val="none" w:sz="0" w:space="0" w:color="auto"/>
      </w:divBdr>
    </w:div>
    <w:div w:id="413355344">
      <w:bodyDiv w:val="1"/>
      <w:marLeft w:val="0"/>
      <w:marRight w:val="0"/>
      <w:marTop w:val="0"/>
      <w:marBottom w:val="0"/>
      <w:divBdr>
        <w:top w:val="none" w:sz="0" w:space="0" w:color="auto"/>
        <w:left w:val="none" w:sz="0" w:space="0" w:color="auto"/>
        <w:bottom w:val="none" w:sz="0" w:space="0" w:color="auto"/>
        <w:right w:val="none" w:sz="0" w:space="0" w:color="auto"/>
      </w:divBdr>
    </w:div>
    <w:div w:id="426006973">
      <w:bodyDiv w:val="1"/>
      <w:marLeft w:val="0"/>
      <w:marRight w:val="0"/>
      <w:marTop w:val="0"/>
      <w:marBottom w:val="0"/>
      <w:divBdr>
        <w:top w:val="none" w:sz="0" w:space="0" w:color="auto"/>
        <w:left w:val="none" w:sz="0" w:space="0" w:color="auto"/>
        <w:bottom w:val="none" w:sz="0" w:space="0" w:color="auto"/>
        <w:right w:val="none" w:sz="0" w:space="0" w:color="auto"/>
      </w:divBdr>
    </w:div>
    <w:div w:id="451244804">
      <w:bodyDiv w:val="1"/>
      <w:marLeft w:val="0"/>
      <w:marRight w:val="0"/>
      <w:marTop w:val="0"/>
      <w:marBottom w:val="0"/>
      <w:divBdr>
        <w:top w:val="none" w:sz="0" w:space="0" w:color="auto"/>
        <w:left w:val="none" w:sz="0" w:space="0" w:color="auto"/>
        <w:bottom w:val="none" w:sz="0" w:space="0" w:color="auto"/>
        <w:right w:val="none" w:sz="0" w:space="0" w:color="auto"/>
      </w:divBdr>
      <w:divsChild>
        <w:div w:id="1970894313">
          <w:marLeft w:val="547"/>
          <w:marRight w:val="0"/>
          <w:marTop w:val="0"/>
          <w:marBottom w:val="0"/>
          <w:divBdr>
            <w:top w:val="none" w:sz="0" w:space="0" w:color="auto"/>
            <w:left w:val="none" w:sz="0" w:space="0" w:color="auto"/>
            <w:bottom w:val="none" w:sz="0" w:space="0" w:color="auto"/>
            <w:right w:val="none" w:sz="0" w:space="0" w:color="auto"/>
          </w:divBdr>
        </w:div>
      </w:divsChild>
    </w:div>
    <w:div w:id="488136555">
      <w:bodyDiv w:val="1"/>
      <w:marLeft w:val="0"/>
      <w:marRight w:val="0"/>
      <w:marTop w:val="0"/>
      <w:marBottom w:val="0"/>
      <w:divBdr>
        <w:top w:val="none" w:sz="0" w:space="0" w:color="auto"/>
        <w:left w:val="none" w:sz="0" w:space="0" w:color="auto"/>
        <w:bottom w:val="none" w:sz="0" w:space="0" w:color="auto"/>
        <w:right w:val="none" w:sz="0" w:space="0" w:color="auto"/>
      </w:divBdr>
    </w:div>
    <w:div w:id="557059999">
      <w:bodyDiv w:val="1"/>
      <w:marLeft w:val="0"/>
      <w:marRight w:val="0"/>
      <w:marTop w:val="0"/>
      <w:marBottom w:val="0"/>
      <w:divBdr>
        <w:top w:val="none" w:sz="0" w:space="0" w:color="auto"/>
        <w:left w:val="none" w:sz="0" w:space="0" w:color="auto"/>
        <w:bottom w:val="none" w:sz="0" w:space="0" w:color="auto"/>
        <w:right w:val="none" w:sz="0" w:space="0" w:color="auto"/>
      </w:divBdr>
    </w:div>
    <w:div w:id="592862658">
      <w:bodyDiv w:val="1"/>
      <w:marLeft w:val="0"/>
      <w:marRight w:val="0"/>
      <w:marTop w:val="0"/>
      <w:marBottom w:val="0"/>
      <w:divBdr>
        <w:top w:val="none" w:sz="0" w:space="0" w:color="auto"/>
        <w:left w:val="none" w:sz="0" w:space="0" w:color="auto"/>
        <w:bottom w:val="none" w:sz="0" w:space="0" w:color="auto"/>
        <w:right w:val="none" w:sz="0" w:space="0" w:color="auto"/>
      </w:divBdr>
    </w:div>
    <w:div w:id="621301360">
      <w:bodyDiv w:val="1"/>
      <w:marLeft w:val="0"/>
      <w:marRight w:val="0"/>
      <w:marTop w:val="0"/>
      <w:marBottom w:val="0"/>
      <w:divBdr>
        <w:top w:val="none" w:sz="0" w:space="0" w:color="auto"/>
        <w:left w:val="none" w:sz="0" w:space="0" w:color="auto"/>
        <w:bottom w:val="none" w:sz="0" w:space="0" w:color="auto"/>
        <w:right w:val="none" w:sz="0" w:space="0" w:color="auto"/>
      </w:divBdr>
    </w:div>
    <w:div w:id="626394628">
      <w:bodyDiv w:val="1"/>
      <w:marLeft w:val="0"/>
      <w:marRight w:val="0"/>
      <w:marTop w:val="0"/>
      <w:marBottom w:val="0"/>
      <w:divBdr>
        <w:top w:val="none" w:sz="0" w:space="0" w:color="auto"/>
        <w:left w:val="none" w:sz="0" w:space="0" w:color="auto"/>
        <w:bottom w:val="none" w:sz="0" w:space="0" w:color="auto"/>
        <w:right w:val="none" w:sz="0" w:space="0" w:color="auto"/>
      </w:divBdr>
    </w:div>
    <w:div w:id="628123534">
      <w:bodyDiv w:val="1"/>
      <w:marLeft w:val="0"/>
      <w:marRight w:val="0"/>
      <w:marTop w:val="0"/>
      <w:marBottom w:val="0"/>
      <w:divBdr>
        <w:top w:val="none" w:sz="0" w:space="0" w:color="auto"/>
        <w:left w:val="none" w:sz="0" w:space="0" w:color="auto"/>
        <w:bottom w:val="none" w:sz="0" w:space="0" w:color="auto"/>
        <w:right w:val="none" w:sz="0" w:space="0" w:color="auto"/>
      </w:divBdr>
    </w:div>
    <w:div w:id="696662108">
      <w:bodyDiv w:val="1"/>
      <w:marLeft w:val="0"/>
      <w:marRight w:val="0"/>
      <w:marTop w:val="0"/>
      <w:marBottom w:val="0"/>
      <w:divBdr>
        <w:top w:val="none" w:sz="0" w:space="0" w:color="auto"/>
        <w:left w:val="none" w:sz="0" w:space="0" w:color="auto"/>
        <w:bottom w:val="none" w:sz="0" w:space="0" w:color="auto"/>
        <w:right w:val="none" w:sz="0" w:space="0" w:color="auto"/>
      </w:divBdr>
    </w:div>
    <w:div w:id="706373502">
      <w:bodyDiv w:val="1"/>
      <w:marLeft w:val="0"/>
      <w:marRight w:val="0"/>
      <w:marTop w:val="0"/>
      <w:marBottom w:val="0"/>
      <w:divBdr>
        <w:top w:val="none" w:sz="0" w:space="0" w:color="auto"/>
        <w:left w:val="none" w:sz="0" w:space="0" w:color="auto"/>
        <w:bottom w:val="none" w:sz="0" w:space="0" w:color="auto"/>
        <w:right w:val="none" w:sz="0" w:space="0" w:color="auto"/>
      </w:divBdr>
    </w:div>
    <w:div w:id="711460340">
      <w:bodyDiv w:val="1"/>
      <w:marLeft w:val="0"/>
      <w:marRight w:val="0"/>
      <w:marTop w:val="0"/>
      <w:marBottom w:val="0"/>
      <w:divBdr>
        <w:top w:val="none" w:sz="0" w:space="0" w:color="auto"/>
        <w:left w:val="none" w:sz="0" w:space="0" w:color="auto"/>
        <w:bottom w:val="none" w:sz="0" w:space="0" w:color="auto"/>
        <w:right w:val="none" w:sz="0" w:space="0" w:color="auto"/>
      </w:divBdr>
    </w:div>
    <w:div w:id="750195588">
      <w:bodyDiv w:val="1"/>
      <w:marLeft w:val="0"/>
      <w:marRight w:val="0"/>
      <w:marTop w:val="0"/>
      <w:marBottom w:val="0"/>
      <w:divBdr>
        <w:top w:val="none" w:sz="0" w:space="0" w:color="auto"/>
        <w:left w:val="none" w:sz="0" w:space="0" w:color="auto"/>
        <w:bottom w:val="none" w:sz="0" w:space="0" w:color="auto"/>
        <w:right w:val="none" w:sz="0" w:space="0" w:color="auto"/>
      </w:divBdr>
    </w:div>
    <w:div w:id="772437544">
      <w:bodyDiv w:val="1"/>
      <w:marLeft w:val="0"/>
      <w:marRight w:val="0"/>
      <w:marTop w:val="0"/>
      <w:marBottom w:val="0"/>
      <w:divBdr>
        <w:top w:val="none" w:sz="0" w:space="0" w:color="auto"/>
        <w:left w:val="none" w:sz="0" w:space="0" w:color="auto"/>
        <w:bottom w:val="none" w:sz="0" w:space="0" w:color="auto"/>
        <w:right w:val="none" w:sz="0" w:space="0" w:color="auto"/>
      </w:divBdr>
    </w:div>
    <w:div w:id="774861572">
      <w:bodyDiv w:val="1"/>
      <w:marLeft w:val="0"/>
      <w:marRight w:val="0"/>
      <w:marTop w:val="0"/>
      <w:marBottom w:val="0"/>
      <w:divBdr>
        <w:top w:val="none" w:sz="0" w:space="0" w:color="auto"/>
        <w:left w:val="none" w:sz="0" w:space="0" w:color="auto"/>
        <w:bottom w:val="none" w:sz="0" w:space="0" w:color="auto"/>
        <w:right w:val="none" w:sz="0" w:space="0" w:color="auto"/>
      </w:divBdr>
    </w:div>
    <w:div w:id="784351329">
      <w:bodyDiv w:val="1"/>
      <w:marLeft w:val="0"/>
      <w:marRight w:val="0"/>
      <w:marTop w:val="0"/>
      <w:marBottom w:val="0"/>
      <w:divBdr>
        <w:top w:val="none" w:sz="0" w:space="0" w:color="auto"/>
        <w:left w:val="none" w:sz="0" w:space="0" w:color="auto"/>
        <w:bottom w:val="none" w:sz="0" w:space="0" w:color="auto"/>
        <w:right w:val="none" w:sz="0" w:space="0" w:color="auto"/>
      </w:divBdr>
    </w:div>
    <w:div w:id="787774192">
      <w:bodyDiv w:val="1"/>
      <w:marLeft w:val="0"/>
      <w:marRight w:val="0"/>
      <w:marTop w:val="0"/>
      <w:marBottom w:val="0"/>
      <w:divBdr>
        <w:top w:val="none" w:sz="0" w:space="0" w:color="auto"/>
        <w:left w:val="none" w:sz="0" w:space="0" w:color="auto"/>
        <w:bottom w:val="none" w:sz="0" w:space="0" w:color="auto"/>
        <w:right w:val="none" w:sz="0" w:space="0" w:color="auto"/>
      </w:divBdr>
    </w:div>
    <w:div w:id="796223797">
      <w:bodyDiv w:val="1"/>
      <w:marLeft w:val="0"/>
      <w:marRight w:val="0"/>
      <w:marTop w:val="0"/>
      <w:marBottom w:val="0"/>
      <w:divBdr>
        <w:top w:val="none" w:sz="0" w:space="0" w:color="auto"/>
        <w:left w:val="none" w:sz="0" w:space="0" w:color="auto"/>
        <w:bottom w:val="none" w:sz="0" w:space="0" w:color="auto"/>
        <w:right w:val="none" w:sz="0" w:space="0" w:color="auto"/>
      </w:divBdr>
    </w:div>
    <w:div w:id="809710378">
      <w:bodyDiv w:val="1"/>
      <w:marLeft w:val="0"/>
      <w:marRight w:val="0"/>
      <w:marTop w:val="0"/>
      <w:marBottom w:val="0"/>
      <w:divBdr>
        <w:top w:val="none" w:sz="0" w:space="0" w:color="auto"/>
        <w:left w:val="none" w:sz="0" w:space="0" w:color="auto"/>
        <w:bottom w:val="none" w:sz="0" w:space="0" w:color="auto"/>
        <w:right w:val="none" w:sz="0" w:space="0" w:color="auto"/>
      </w:divBdr>
    </w:div>
    <w:div w:id="810363012">
      <w:bodyDiv w:val="1"/>
      <w:marLeft w:val="0"/>
      <w:marRight w:val="0"/>
      <w:marTop w:val="0"/>
      <w:marBottom w:val="0"/>
      <w:divBdr>
        <w:top w:val="none" w:sz="0" w:space="0" w:color="auto"/>
        <w:left w:val="none" w:sz="0" w:space="0" w:color="auto"/>
        <w:bottom w:val="none" w:sz="0" w:space="0" w:color="auto"/>
        <w:right w:val="none" w:sz="0" w:space="0" w:color="auto"/>
      </w:divBdr>
    </w:div>
    <w:div w:id="829717361">
      <w:bodyDiv w:val="1"/>
      <w:marLeft w:val="0"/>
      <w:marRight w:val="0"/>
      <w:marTop w:val="0"/>
      <w:marBottom w:val="0"/>
      <w:divBdr>
        <w:top w:val="none" w:sz="0" w:space="0" w:color="auto"/>
        <w:left w:val="none" w:sz="0" w:space="0" w:color="auto"/>
        <w:bottom w:val="none" w:sz="0" w:space="0" w:color="auto"/>
        <w:right w:val="none" w:sz="0" w:space="0" w:color="auto"/>
      </w:divBdr>
    </w:div>
    <w:div w:id="836530744">
      <w:bodyDiv w:val="1"/>
      <w:marLeft w:val="0"/>
      <w:marRight w:val="0"/>
      <w:marTop w:val="0"/>
      <w:marBottom w:val="0"/>
      <w:divBdr>
        <w:top w:val="none" w:sz="0" w:space="0" w:color="auto"/>
        <w:left w:val="none" w:sz="0" w:space="0" w:color="auto"/>
        <w:bottom w:val="none" w:sz="0" w:space="0" w:color="auto"/>
        <w:right w:val="none" w:sz="0" w:space="0" w:color="auto"/>
      </w:divBdr>
    </w:div>
    <w:div w:id="846482096">
      <w:bodyDiv w:val="1"/>
      <w:marLeft w:val="0"/>
      <w:marRight w:val="0"/>
      <w:marTop w:val="0"/>
      <w:marBottom w:val="0"/>
      <w:divBdr>
        <w:top w:val="none" w:sz="0" w:space="0" w:color="auto"/>
        <w:left w:val="none" w:sz="0" w:space="0" w:color="auto"/>
        <w:bottom w:val="none" w:sz="0" w:space="0" w:color="auto"/>
        <w:right w:val="none" w:sz="0" w:space="0" w:color="auto"/>
      </w:divBdr>
    </w:div>
    <w:div w:id="853223252">
      <w:bodyDiv w:val="1"/>
      <w:marLeft w:val="0"/>
      <w:marRight w:val="0"/>
      <w:marTop w:val="0"/>
      <w:marBottom w:val="0"/>
      <w:divBdr>
        <w:top w:val="none" w:sz="0" w:space="0" w:color="auto"/>
        <w:left w:val="none" w:sz="0" w:space="0" w:color="auto"/>
        <w:bottom w:val="none" w:sz="0" w:space="0" w:color="auto"/>
        <w:right w:val="none" w:sz="0" w:space="0" w:color="auto"/>
      </w:divBdr>
    </w:div>
    <w:div w:id="882135722">
      <w:bodyDiv w:val="1"/>
      <w:marLeft w:val="0"/>
      <w:marRight w:val="0"/>
      <w:marTop w:val="0"/>
      <w:marBottom w:val="0"/>
      <w:divBdr>
        <w:top w:val="none" w:sz="0" w:space="0" w:color="auto"/>
        <w:left w:val="none" w:sz="0" w:space="0" w:color="auto"/>
        <w:bottom w:val="none" w:sz="0" w:space="0" w:color="auto"/>
        <w:right w:val="none" w:sz="0" w:space="0" w:color="auto"/>
      </w:divBdr>
    </w:div>
    <w:div w:id="885682533">
      <w:bodyDiv w:val="1"/>
      <w:marLeft w:val="0"/>
      <w:marRight w:val="0"/>
      <w:marTop w:val="0"/>
      <w:marBottom w:val="0"/>
      <w:divBdr>
        <w:top w:val="none" w:sz="0" w:space="0" w:color="auto"/>
        <w:left w:val="none" w:sz="0" w:space="0" w:color="auto"/>
        <w:bottom w:val="none" w:sz="0" w:space="0" w:color="auto"/>
        <w:right w:val="none" w:sz="0" w:space="0" w:color="auto"/>
      </w:divBdr>
      <w:divsChild>
        <w:div w:id="1835291218">
          <w:marLeft w:val="0"/>
          <w:marRight w:val="0"/>
          <w:marTop w:val="0"/>
          <w:marBottom w:val="0"/>
          <w:divBdr>
            <w:top w:val="none" w:sz="0" w:space="0" w:color="auto"/>
            <w:left w:val="none" w:sz="0" w:space="0" w:color="auto"/>
            <w:bottom w:val="none" w:sz="0" w:space="0" w:color="auto"/>
            <w:right w:val="none" w:sz="0" w:space="0" w:color="auto"/>
          </w:divBdr>
          <w:divsChild>
            <w:div w:id="1689063915">
              <w:marLeft w:val="0"/>
              <w:marRight w:val="0"/>
              <w:marTop w:val="0"/>
              <w:marBottom w:val="0"/>
              <w:divBdr>
                <w:top w:val="none" w:sz="0" w:space="0" w:color="auto"/>
                <w:left w:val="none" w:sz="0" w:space="0" w:color="auto"/>
                <w:bottom w:val="none" w:sz="0" w:space="0" w:color="auto"/>
                <w:right w:val="none" w:sz="0" w:space="0" w:color="auto"/>
              </w:divBdr>
              <w:divsChild>
                <w:div w:id="1542815342">
                  <w:marLeft w:val="0"/>
                  <w:marRight w:val="0"/>
                  <w:marTop w:val="0"/>
                  <w:marBottom w:val="0"/>
                  <w:divBdr>
                    <w:top w:val="none" w:sz="0" w:space="0" w:color="auto"/>
                    <w:left w:val="none" w:sz="0" w:space="0" w:color="auto"/>
                    <w:bottom w:val="none" w:sz="0" w:space="0" w:color="auto"/>
                    <w:right w:val="none" w:sz="0" w:space="0" w:color="auto"/>
                  </w:divBdr>
                  <w:divsChild>
                    <w:div w:id="1014957402">
                      <w:marLeft w:val="0"/>
                      <w:marRight w:val="0"/>
                      <w:marTop w:val="0"/>
                      <w:marBottom w:val="0"/>
                      <w:divBdr>
                        <w:top w:val="none" w:sz="0" w:space="0" w:color="auto"/>
                        <w:left w:val="none" w:sz="0" w:space="0" w:color="auto"/>
                        <w:bottom w:val="none" w:sz="0" w:space="0" w:color="auto"/>
                        <w:right w:val="none" w:sz="0" w:space="0" w:color="auto"/>
                      </w:divBdr>
                      <w:divsChild>
                        <w:div w:id="1728530298">
                          <w:marLeft w:val="-225"/>
                          <w:marRight w:val="-225"/>
                          <w:marTop w:val="0"/>
                          <w:marBottom w:val="0"/>
                          <w:divBdr>
                            <w:top w:val="none" w:sz="0" w:space="0" w:color="auto"/>
                            <w:left w:val="none" w:sz="0" w:space="0" w:color="auto"/>
                            <w:bottom w:val="none" w:sz="0" w:space="0" w:color="auto"/>
                            <w:right w:val="none" w:sz="0" w:space="0" w:color="auto"/>
                          </w:divBdr>
                          <w:divsChild>
                            <w:div w:id="1892035710">
                              <w:marLeft w:val="0"/>
                              <w:marRight w:val="0"/>
                              <w:marTop w:val="0"/>
                              <w:marBottom w:val="0"/>
                              <w:divBdr>
                                <w:top w:val="none" w:sz="0" w:space="0" w:color="auto"/>
                                <w:left w:val="none" w:sz="0" w:space="0" w:color="auto"/>
                                <w:bottom w:val="none" w:sz="0" w:space="0" w:color="auto"/>
                                <w:right w:val="none" w:sz="0" w:space="0" w:color="auto"/>
                              </w:divBdr>
                              <w:divsChild>
                                <w:div w:id="89543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8152635">
      <w:bodyDiv w:val="1"/>
      <w:marLeft w:val="0"/>
      <w:marRight w:val="0"/>
      <w:marTop w:val="0"/>
      <w:marBottom w:val="0"/>
      <w:divBdr>
        <w:top w:val="none" w:sz="0" w:space="0" w:color="auto"/>
        <w:left w:val="none" w:sz="0" w:space="0" w:color="auto"/>
        <w:bottom w:val="none" w:sz="0" w:space="0" w:color="auto"/>
        <w:right w:val="none" w:sz="0" w:space="0" w:color="auto"/>
      </w:divBdr>
      <w:divsChild>
        <w:div w:id="878323613">
          <w:marLeft w:val="0"/>
          <w:marRight w:val="0"/>
          <w:marTop w:val="0"/>
          <w:marBottom w:val="0"/>
          <w:divBdr>
            <w:top w:val="none" w:sz="0" w:space="0" w:color="auto"/>
            <w:left w:val="none" w:sz="0" w:space="0" w:color="auto"/>
            <w:bottom w:val="none" w:sz="0" w:space="0" w:color="auto"/>
            <w:right w:val="none" w:sz="0" w:space="0" w:color="auto"/>
          </w:divBdr>
          <w:divsChild>
            <w:div w:id="165125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381768">
      <w:bodyDiv w:val="1"/>
      <w:marLeft w:val="0"/>
      <w:marRight w:val="0"/>
      <w:marTop w:val="0"/>
      <w:marBottom w:val="0"/>
      <w:divBdr>
        <w:top w:val="none" w:sz="0" w:space="0" w:color="auto"/>
        <w:left w:val="none" w:sz="0" w:space="0" w:color="auto"/>
        <w:bottom w:val="none" w:sz="0" w:space="0" w:color="auto"/>
        <w:right w:val="none" w:sz="0" w:space="0" w:color="auto"/>
      </w:divBdr>
    </w:div>
    <w:div w:id="915020175">
      <w:bodyDiv w:val="1"/>
      <w:marLeft w:val="0"/>
      <w:marRight w:val="0"/>
      <w:marTop w:val="0"/>
      <w:marBottom w:val="0"/>
      <w:divBdr>
        <w:top w:val="none" w:sz="0" w:space="0" w:color="auto"/>
        <w:left w:val="none" w:sz="0" w:space="0" w:color="auto"/>
        <w:bottom w:val="none" w:sz="0" w:space="0" w:color="auto"/>
        <w:right w:val="none" w:sz="0" w:space="0" w:color="auto"/>
      </w:divBdr>
    </w:div>
    <w:div w:id="917524257">
      <w:bodyDiv w:val="1"/>
      <w:marLeft w:val="0"/>
      <w:marRight w:val="0"/>
      <w:marTop w:val="0"/>
      <w:marBottom w:val="0"/>
      <w:divBdr>
        <w:top w:val="none" w:sz="0" w:space="0" w:color="auto"/>
        <w:left w:val="none" w:sz="0" w:space="0" w:color="auto"/>
        <w:bottom w:val="none" w:sz="0" w:space="0" w:color="auto"/>
        <w:right w:val="none" w:sz="0" w:space="0" w:color="auto"/>
      </w:divBdr>
    </w:div>
    <w:div w:id="929848062">
      <w:bodyDiv w:val="1"/>
      <w:marLeft w:val="0"/>
      <w:marRight w:val="0"/>
      <w:marTop w:val="0"/>
      <w:marBottom w:val="0"/>
      <w:divBdr>
        <w:top w:val="none" w:sz="0" w:space="0" w:color="auto"/>
        <w:left w:val="none" w:sz="0" w:space="0" w:color="auto"/>
        <w:bottom w:val="none" w:sz="0" w:space="0" w:color="auto"/>
        <w:right w:val="none" w:sz="0" w:space="0" w:color="auto"/>
      </w:divBdr>
    </w:div>
    <w:div w:id="974287196">
      <w:bodyDiv w:val="1"/>
      <w:marLeft w:val="0"/>
      <w:marRight w:val="0"/>
      <w:marTop w:val="0"/>
      <w:marBottom w:val="0"/>
      <w:divBdr>
        <w:top w:val="none" w:sz="0" w:space="0" w:color="auto"/>
        <w:left w:val="none" w:sz="0" w:space="0" w:color="auto"/>
        <w:bottom w:val="none" w:sz="0" w:space="0" w:color="auto"/>
        <w:right w:val="none" w:sz="0" w:space="0" w:color="auto"/>
      </w:divBdr>
    </w:div>
    <w:div w:id="976304212">
      <w:bodyDiv w:val="1"/>
      <w:marLeft w:val="0"/>
      <w:marRight w:val="0"/>
      <w:marTop w:val="0"/>
      <w:marBottom w:val="0"/>
      <w:divBdr>
        <w:top w:val="none" w:sz="0" w:space="0" w:color="auto"/>
        <w:left w:val="none" w:sz="0" w:space="0" w:color="auto"/>
        <w:bottom w:val="none" w:sz="0" w:space="0" w:color="auto"/>
        <w:right w:val="none" w:sz="0" w:space="0" w:color="auto"/>
      </w:divBdr>
    </w:div>
    <w:div w:id="987054427">
      <w:bodyDiv w:val="1"/>
      <w:marLeft w:val="0"/>
      <w:marRight w:val="0"/>
      <w:marTop w:val="0"/>
      <w:marBottom w:val="0"/>
      <w:divBdr>
        <w:top w:val="none" w:sz="0" w:space="0" w:color="auto"/>
        <w:left w:val="none" w:sz="0" w:space="0" w:color="auto"/>
        <w:bottom w:val="none" w:sz="0" w:space="0" w:color="auto"/>
        <w:right w:val="none" w:sz="0" w:space="0" w:color="auto"/>
      </w:divBdr>
    </w:div>
    <w:div w:id="1011952337">
      <w:bodyDiv w:val="1"/>
      <w:marLeft w:val="0"/>
      <w:marRight w:val="0"/>
      <w:marTop w:val="0"/>
      <w:marBottom w:val="0"/>
      <w:divBdr>
        <w:top w:val="none" w:sz="0" w:space="0" w:color="auto"/>
        <w:left w:val="none" w:sz="0" w:space="0" w:color="auto"/>
        <w:bottom w:val="none" w:sz="0" w:space="0" w:color="auto"/>
        <w:right w:val="none" w:sz="0" w:space="0" w:color="auto"/>
      </w:divBdr>
    </w:div>
    <w:div w:id="1020199758">
      <w:bodyDiv w:val="1"/>
      <w:marLeft w:val="0"/>
      <w:marRight w:val="0"/>
      <w:marTop w:val="0"/>
      <w:marBottom w:val="0"/>
      <w:divBdr>
        <w:top w:val="none" w:sz="0" w:space="0" w:color="auto"/>
        <w:left w:val="none" w:sz="0" w:space="0" w:color="auto"/>
        <w:bottom w:val="none" w:sz="0" w:space="0" w:color="auto"/>
        <w:right w:val="none" w:sz="0" w:space="0" w:color="auto"/>
      </w:divBdr>
    </w:div>
    <w:div w:id="1021466592">
      <w:bodyDiv w:val="1"/>
      <w:marLeft w:val="0"/>
      <w:marRight w:val="0"/>
      <w:marTop w:val="0"/>
      <w:marBottom w:val="0"/>
      <w:divBdr>
        <w:top w:val="none" w:sz="0" w:space="0" w:color="auto"/>
        <w:left w:val="none" w:sz="0" w:space="0" w:color="auto"/>
        <w:bottom w:val="none" w:sz="0" w:space="0" w:color="auto"/>
        <w:right w:val="none" w:sz="0" w:space="0" w:color="auto"/>
      </w:divBdr>
    </w:div>
    <w:div w:id="1036346457">
      <w:bodyDiv w:val="1"/>
      <w:marLeft w:val="0"/>
      <w:marRight w:val="0"/>
      <w:marTop w:val="0"/>
      <w:marBottom w:val="0"/>
      <w:divBdr>
        <w:top w:val="none" w:sz="0" w:space="0" w:color="auto"/>
        <w:left w:val="none" w:sz="0" w:space="0" w:color="auto"/>
        <w:bottom w:val="none" w:sz="0" w:space="0" w:color="auto"/>
        <w:right w:val="none" w:sz="0" w:space="0" w:color="auto"/>
      </w:divBdr>
    </w:div>
    <w:div w:id="1084759715">
      <w:bodyDiv w:val="1"/>
      <w:marLeft w:val="0"/>
      <w:marRight w:val="0"/>
      <w:marTop w:val="0"/>
      <w:marBottom w:val="0"/>
      <w:divBdr>
        <w:top w:val="none" w:sz="0" w:space="0" w:color="auto"/>
        <w:left w:val="none" w:sz="0" w:space="0" w:color="auto"/>
        <w:bottom w:val="none" w:sz="0" w:space="0" w:color="auto"/>
        <w:right w:val="none" w:sz="0" w:space="0" w:color="auto"/>
      </w:divBdr>
    </w:div>
    <w:div w:id="1084911431">
      <w:bodyDiv w:val="1"/>
      <w:marLeft w:val="0"/>
      <w:marRight w:val="0"/>
      <w:marTop w:val="0"/>
      <w:marBottom w:val="0"/>
      <w:divBdr>
        <w:top w:val="none" w:sz="0" w:space="0" w:color="auto"/>
        <w:left w:val="none" w:sz="0" w:space="0" w:color="auto"/>
        <w:bottom w:val="none" w:sz="0" w:space="0" w:color="auto"/>
        <w:right w:val="none" w:sz="0" w:space="0" w:color="auto"/>
      </w:divBdr>
    </w:div>
    <w:div w:id="1126658279">
      <w:bodyDiv w:val="1"/>
      <w:marLeft w:val="0"/>
      <w:marRight w:val="0"/>
      <w:marTop w:val="0"/>
      <w:marBottom w:val="0"/>
      <w:divBdr>
        <w:top w:val="none" w:sz="0" w:space="0" w:color="auto"/>
        <w:left w:val="none" w:sz="0" w:space="0" w:color="auto"/>
        <w:bottom w:val="none" w:sz="0" w:space="0" w:color="auto"/>
        <w:right w:val="none" w:sz="0" w:space="0" w:color="auto"/>
      </w:divBdr>
      <w:divsChild>
        <w:div w:id="1065184667">
          <w:marLeft w:val="0"/>
          <w:marRight w:val="0"/>
          <w:marTop w:val="0"/>
          <w:marBottom w:val="0"/>
          <w:divBdr>
            <w:top w:val="none" w:sz="0" w:space="0" w:color="auto"/>
            <w:left w:val="none" w:sz="0" w:space="0" w:color="auto"/>
            <w:bottom w:val="none" w:sz="0" w:space="0" w:color="auto"/>
            <w:right w:val="none" w:sz="0" w:space="0" w:color="auto"/>
          </w:divBdr>
        </w:div>
        <w:div w:id="34165110">
          <w:marLeft w:val="0"/>
          <w:marRight w:val="0"/>
          <w:marTop w:val="0"/>
          <w:marBottom w:val="0"/>
          <w:divBdr>
            <w:top w:val="none" w:sz="0" w:space="0" w:color="auto"/>
            <w:left w:val="none" w:sz="0" w:space="0" w:color="auto"/>
            <w:bottom w:val="none" w:sz="0" w:space="0" w:color="auto"/>
            <w:right w:val="none" w:sz="0" w:space="0" w:color="auto"/>
          </w:divBdr>
        </w:div>
      </w:divsChild>
    </w:div>
    <w:div w:id="1130365443">
      <w:bodyDiv w:val="1"/>
      <w:marLeft w:val="0"/>
      <w:marRight w:val="0"/>
      <w:marTop w:val="0"/>
      <w:marBottom w:val="0"/>
      <w:divBdr>
        <w:top w:val="none" w:sz="0" w:space="0" w:color="auto"/>
        <w:left w:val="none" w:sz="0" w:space="0" w:color="auto"/>
        <w:bottom w:val="none" w:sz="0" w:space="0" w:color="auto"/>
        <w:right w:val="none" w:sz="0" w:space="0" w:color="auto"/>
      </w:divBdr>
      <w:divsChild>
        <w:div w:id="69892643">
          <w:marLeft w:val="0"/>
          <w:marRight w:val="0"/>
          <w:marTop w:val="300"/>
          <w:marBottom w:val="300"/>
          <w:divBdr>
            <w:top w:val="none" w:sz="0" w:space="0" w:color="auto"/>
            <w:left w:val="none" w:sz="0" w:space="0" w:color="auto"/>
            <w:bottom w:val="none" w:sz="0" w:space="0" w:color="auto"/>
            <w:right w:val="none" w:sz="0" w:space="0" w:color="auto"/>
          </w:divBdr>
          <w:divsChild>
            <w:div w:id="1354766748">
              <w:marLeft w:val="0"/>
              <w:marRight w:val="0"/>
              <w:marTop w:val="0"/>
              <w:marBottom w:val="0"/>
              <w:divBdr>
                <w:top w:val="none" w:sz="0" w:space="0" w:color="auto"/>
                <w:left w:val="none" w:sz="0" w:space="0" w:color="auto"/>
                <w:bottom w:val="none" w:sz="0" w:space="0" w:color="auto"/>
                <w:right w:val="none" w:sz="0" w:space="0" w:color="auto"/>
              </w:divBdr>
            </w:div>
          </w:divsChild>
        </w:div>
        <w:div w:id="224951980">
          <w:marLeft w:val="0"/>
          <w:marRight w:val="0"/>
          <w:marTop w:val="0"/>
          <w:marBottom w:val="0"/>
          <w:divBdr>
            <w:top w:val="none" w:sz="0" w:space="0" w:color="auto"/>
            <w:left w:val="none" w:sz="0" w:space="0" w:color="auto"/>
            <w:bottom w:val="none" w:sz="0" w:space="0" w:color="auto"/>
            <w:right w:val="none" w:sz="0" w:space="0" w:color="auto"/>
          </w:divBdr>
          <w:divsChild>
            <w:div w:id="105974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124707">
      <w:bodyDiv w:val="1"/>
      <w:marLeft w:val="0"/>
      <w:marRight w:val="0"/>
      <w:marTop w:val="0"/>
      <w:marBottom w:val="0"/>
      <w:divBdr>
        <w:top w:val="none" w:sz="0" w:space="0" w:color="auto"/>
        <w:left w:val="none" w:sz="0" w:space="0" w:color="auto"/>
        <w:bottom w:val="none" w:sz="0" w:space="0" w:color="auto"/>
        <w:right w:val="none" w:sz="0" w:space="0" w:color="auto"/>
      </w:divBdr>
    </w:div>
    <w:div w:id="1197235901">
      <w:bodyDiv w:val="1"/>
      <w:marLeft w:val="0"/>
      <w:marRight w:val="0"/>
      <w:marTop w:val="0"/>
      <w:marBottom w:val="0"/>
      <w:divBdr>
        <w:top w:val="none" w:sz="0" w:space="0" w:color="auto"/>
        <w:left w:val="none" w:sz="0" w:space="0" w:color="auto"/>
        <w:bottom w:val="none" w:sz="0" w:space="0" w:color="auto"/>
        <w:right w:val="none" w:sz="0" w:space="0" w:color="auto"/>
      </w:divBdr>
    </w:div>
    <w:div w:id="1200826223">
      <w:bodyDiv w:val="1"/>
      <w:marLeft w:val="0"/>
      <w:marRight w:val="0"/>
      <w:marTop w:val="0"/>
      <w:marBottom w:val="0"/>
      <w:divBdr>
        <w:top w:val="none" w:sz="0" w:space="0" w:color="auto"/>
        <w:left w:val="none" w:sz="0" w:space="0" w:color="auto"/>
        <w:bottom w:val="none" w:sz="0" w:space="0" w:color="auto"/>
        <w:right w:val="none" w:sz="0" w:space="0" w:color="auto"/>
      </w:divBdr>
    </w:div>
    <w:div w:id="1225143499">
      <w:bodyDiv w:val="1"/>
      <w:marLeft w:val="0"/>
      <w:marRight w:val="0"/>
      <w:marTop w:val="0"/>
      <w:marBottom w:val="0"/>
      <w:divBdr>
        <w:top w:val="none" w:sz="0" w:space="0" w:color="auto"/>
        <w:left w:val="none" w:sz="0" w:space="0" w:color="auto"/>
        <w:bottom w:val="none" w:sz="0" w:space="0" w:color="auto"/>
        <w:right w:val="none" w:sz="0" w:space="0" w:color="auto"/>
      </w:divBdr>
    </w:div>
    <w:div w:id="1231840969">
      <w:bodyDiv w:val="1"/>
      <w:marLeft w:val="0"/>
      <w:marRight w:val="0"/>
      <w:marTop w:val="0"/>
      <w:marBottom w:val="0"/>
      <w:divBdr>
        <w:top w:val="none" w:sz="0" w:space="0" w:color="auto"/>
        <w:left w:val="none" w:sz="0" w:space="0" w:color="auto"/>
        <w:bottom w:val="none" w:sz="0" w:space="0" w:color="auto"/>
        <w:right w:val="none" w:sz="0" w:space="0" w:color="auto"/>
      </w:divBdr>
      <w:divsChild>
        <w:div w:id="486634546">
          <w:marLeft w:val="547"/>
          <w:marRight w:val="0"/>
          <w:marTop w:val="0"/>
          <w:marBottom w:val="0"/>
          <w:divBdr>
            <w:top w:val="none" w:sz="0" w:space="0" w:color="auto"/>
            <w:left w:val="none" w:sz="0" w:space="0" w:color="auto"/>
            <w:bottom w:val="none" w:sz="0" w:space="0" w:color="auto"/>
            <w:right w:val="none" w:sz="0" w:space="0" w:color="auto"/>
          </w:divBdr>
        </w:div>
      </w:divsChild>
    </w:div>
    <w:div w:id="1237516958">
      <w:bodyDiv w:val="1"/>
      <w:marLeft w:val="0"/>
      <w:marRight w:val="0"/>
      <w:marTop w:val="0"/>
      <w:marBottom w:val="0"/>
      <w:divBdr>
        <w:top w:val="none" w:sz="0" w:space="0" w:color="auto"/>
        <w:left w:val="none" w:sz="0" w:space="0" w:color="auto"/>
        <w:bottom w:val="none" w:sz="0" w:space="0" w:color="auto"/>
        <w:right w:val="none" w:sz="0" w:space="0" w:color="auto"/>
      </w:divBdr>
    </w:div>
    <w:div w:id="1238438012">
      <w:bodyDiv w:val="1"/>
      <w:marLeft w:val="0"/>
      <w:marRight w:val="0"/>
      <w:marTop w:val="0"/>
      <w:marBottom w:val="0"/>
      <w:divBdr>
        <w:top w:val="none" w:sz="0" w:space="0" w:color="auto"/>
        <w:left w:val="none" w:sz="0" w:space="0" w:color="auto"/>
        <w:bottom w:val="none" w:sz="0" w:space="0" w:color="auto"/>
        <w:right w:val="none" w:sz="0" w:space="0" w:color="auto"/>
      </w:divBdr>
      <w:divsChild>
        <w:div w:id="1803421832">
          <w:marLeft w:val="547"/>
          <w:marRight w:val="0"/>
          <w:marTop w:val="0"/>
          <w:marBottom w:val="0"/>
          <w:divBdr>
            <w:top w:val="none" w:sz="0" w:space="0" w:color="auto"/>
            <w:left w:val="none" w:sz="0" w:space="0" w:color="auto"/>
            <w:bottom w:val="none" w:sz="0" w:space="0" w:color="auto"/>
            <w:right w:val="none" w:sz="0" w:space="0" w:color="auto"/>
          </w:divBdr>
        </w:div>
      </w:divsChild>
    </w:div>
    <w:div w:id="1255475606">
      <w:bodyDiv w:val="1"/>
      <w:marLeft w:val="0"/>
      <w:marRight w:val="0"/>
      <w:marTop w:val="0"/>
      <w:marBottom w:val="0"/>
      <w:divBdr>
        <w:top w:val="none" w:sz="0" w:space="0" w:color="auto"/>
        <w:left w:val="none" w:sz="0" w:space="0" w:color="auto"/>
        <w:bottom w:val="none" w:sz="0" w:space="0" w:color="auto"/>
        <w:right w:val="none" w:sz="0" w:space="0" w:color="auto"/>
      </w:divBdr>
    </w:div>
    <w:div w:id="1255742380">
      <w:bodyDiv w:val="1"/>
      <w:marLeft w:val="0"/>
      <w:marRight w:val="0"/>
      <w:marTop w:val="0"/>
      <w:marBottom w:val="0"/>
      <w:divBdr>
        <w:top w:val="none" w:sz="0" w:space="0" w:color="auto"/>
        <w:left w:val="none" w:sz="0" w:space="0" w:color="auto"/>
        <w:bottom w:val="none" w:sz="0" w:space="0" w:color="auto"/>
        <w:right w:val="none" w:sz="0" w:space="0" w:color="auto"/>
      </w:divBdr>
    </w:div>
    <w:div w:id="1260412890">
      <w:bodyDiv w:val="1"/>
      <w:marLeft w:val="0"/>
      <w:marRight w:val="0"/>
      <w:marTop w:val="0"/>
      <w:marBottom w:val="0"/>
      <w:divBdr>
        <w:top w:val="none" w:sz="0" w:space="0" w:color="auto"/>
        <w:left w:val="none" w:sz="0" w:space="0" w:color="auto"/>
        <w:bottom w:val="none" w:sz="0" w:space="0" w:color="auto"/>
        <w:right w:val="none" w:sz="0" w:space="0" w:color="auto"/>
      </w:divBdr>
    </w:div>
    <w:div w:id="1295060157">
      <w:bodyDiv w:val="1"/>
      <w:marLeft w:val="0"/>
      <w:marRight w:val="0"/>
      <w:marTop w:val="0"/>
      <w:marBottom w:val="0"/>
      <w:divBdr>
        <w:top w:val="none" w:sz="0" w:space="0" w:color="auto"/>
        <w:left w:val="none" w:sz="0" w:space="0" w:color="auto"/>
        <w:bottom w:val="none" w:sz="0" w:space="0" w:color="auto"/>
        <w:right w:val="none" w:sz="0" w:space="0" w:color="auto"/>
      </w:divBdr>
    </w:div>
    <w:div w:id="1302151769">
      <w:bodyDiv w:val="1"/>
      <w:marLeft w:val="0"/>
      <w:marRight w:val="0"/>
      <w:marTop w:val="0"/>
      <w:marBottom w:val="0"/>
      <w:divBdr>
        <w:top w:val="none" w:sz="0" w:space="0" w:color="auto"/>
        <w:left w:val="none" w:sz="0" w:space="0" w:color="auto"/>
        <w:bottom w:val="none" w:sz="0" w:space="0" w:color="auto"/>
        <w:right w:val="none" w:sz="0" w:space="0" w:color="auto"/>
      </w:divBdr>
    </w:div>
    <w:div w:id="1303541948">
      <w:bodyDiv w:val="1"/>
      <w:marLeft w:val="0"/>
      <w:marRight w:val="0"/>
      <w:marTop w:val="0"/>
      <w:marBottom w:val="0"/>
      <w:divBdr>
        <w:top w:val="none" w:sz="0" w:space="0" w:color="auto"/>
        <w:left w:val="none" w:sz="0" w:space="0" w:color="auto"/>
        <w:bottom w:val="none" w:sz="0" w:space="0" w:color="auto"/>
        <w:right w:val="none" w:sz="0" w:space="0" w:color="auto"/>
      </w:divBdr>
    </w:div>
    <w:div w:id="1310093616">
      <w:bodyDiv w:val="1"/>
      <w:marLeft w:val="0"/>
      <w:marRight w:val="0"/>
      <w:marTop w:val="0"/>
      <w:marBottom w:val="0"/>
      <w:divBdr>
        <w:top w:val="none" w:sz="0" w:space="0" w:color="auto"/>
        <w:left w:val="none" w:sz="0" w:space="0" w:color="auto"/>
        <w:bottom w:val="none" w:sz="0" w:space="0" w:color="auto"/>
        <w:right w:val="none" w:sz="0" w:space="0" w:color="auto"/>
      </w:divBdr>
    </w:div>
    <w:div w:id="1312716474">
      <w:bodyDiv w:val="1"/>
      <w:marLeft w:val="0"/>
      <w:marRight w:val="0"/>
      <w:marTop w:val="0"/>
      <w:marBottom w:val="0"/>
      <w:divBdr>
        <w:top w:val="none" w:sz="0" w:space="0" w:color="auto"/>
        <w:left w:val="none" w:sz="0" w:space="0" w:color="auto"/>
        <w:bottom w:val="none" w:sz="0" w:space="0" w:color="auto"/>
        <w:right w:val="none" w:sz="0" w:space="0" w:color="auto"/>
      </w:divBdr>
    </w:div>
    <w:div w:id="1348289795">
      <w:bodyDiv w:val="1"/>
      <w:marLeft w:val="0"/>
      <w:marRight w:val="0"/>
      <w:marTop w:val="0"/>
      <w:marBottom w:val="0"/>
      <w:divBdr>
        <w:top w:val="none" w:sz="0" w:space="0" w:color="auto"/>
        <w:left w:val="none" w:sz="0" w:space="0" w:color="auto"/>
        <w:bottom w:val="none" w:sz="0" w:space="0" w:color="auto"/>
        <w:right w:val="none" w:sz="0" w:space="0" w:color="auto"/>
      </w:divBdr>
      <w:divsChild>
        <w:div w:id="1453477238">
          <w:marLeft w:val="0"/>
          <w:marRight w:val="0"/>
          <w:marTop w:val="0"/>
          <w:marBottom w:val="0"/>
          <w:divBdr>
            <w:top w:val="none" w:sz="0" w:space="0" w:color="auto"/>
            <w:left w:val="none" w:sz="0" w:space="0" w:color="auto"/>
            <w:bottom w:val="none" w:sz="0" w:space="0" w:color="auto"/>
            <w:right w:val="none" w:sz="0" w:space="0" w:color="auto"/>
          </w:divBdr>
          <w:divsChild>
            <w:div w:id="135569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583993">
      <w:bodyDiv w:val="1"/>
      <w:marLeft w:val="0"/>
      <w:marRight w:val="0"/>
      <w:marTop w:val="0"/>
      <w:marBottom w:val="0"/>
      <w:divBdr>
        <w:top w:val="none" w:sz="0" w:space="0" w:color="auto"/>
        <w:left w:val="none" w:sz="0" w:space="0" w:color="auto"/>
        <w:bottom w:val="none" w:sz="0" w:space="0" w:color="auto"/>
        <w:right w:val="none" w:sz="0" w:space="0" w:color="auto"/>
      </w:divBdr>
    </w:div>
    <w:div w:id="1387946061">
      <w:bodyDiv w:val="1"/>
      <w:marLeft w:val="0"/>
      <w:marRight w:val="0"/>
      <w:marTop w:val="0"/>
      <w:marBottom w:val="0"/>
      <w:divBdr>
        <w:top w:val="none" w:sz="0" w:space="0" w:color="auto"/>
        <w:left w:val="none" w:sz="0" w:space="0" w:color="auto"/>
        <w:bottom w:val="none" w:sz="0" w:space="0" w:color="auto"/>
        <w:right w:val="none" w:sz="0" w:space="0" w:color="auto"/>
      </w:divBdr>
    </w:div>
    <w:div w:id="1390768101">
      <w:bodyDiv w:val="1"/>
      <w:marLeft w:val="0"/>
      <w:marRight w:val="0"/>
      <w:marTop w:val="0"/>
      <w:marBottom w:val="0"/>
      <w:divBdr>
        <w:top w:val="none" w:sz="0" w:space="0" w:color="auto"/>
        <w:left w:val="none" w:sz="0" w:space="0" w:color="auto"/>
        <w:bottom w:val="none" w:sz="0" w:space="0" w:color="auto"/>
        <w:right w:val="none" w:sz="0" w:space="0" w:color="auto"/>
      </w:divBdr>
      <w:divsChild>
        <w:div w:id="552888479">
          <w:marLeft w:val="0"/>
          <w:marRight w:val="0"/>
          <w:marTop w:val="0"/>
          <w:marBottom w:val="0"/>
          <w:divBdr>
            <w:top w:val="none" w:sz="0" w:space="0" w:color="auto"/>
            <w:left w:val="none" w:sz="0" w:space="0" w:color="auto"/>
            <w:bottom w:val="none" w:sz="0" w:space="0" w:color="auto"/>
            <w:right w:val="none" w:sz="0" w:space="0" w:color="auto"/>
          </w:divBdr>
          <w:divsChild>
            <w:div w:id="195023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57004">
      <w:bodyDiv w:val="1"/>
      <w:marLeft w:val="0"/>
      <w:marRight w:val="0"/>
      <w:marTop w:val="0"/>
      <w:marBottom w:val="0"/>
      <w:divBdr>
        <w:top w:val="none" w:sz="0" w:space="0" w:color="auto"/>
        <w:left w:val="none" w:sz="0" w:space="0" w:color="auto"/>
        <w:bottom w:val="none" w:sz="0" w:space="0" w:color="auto"/>
        <w:right w:val="none" w:sz="0" w:space="0" w:color="auto"/>
      </w:divBdr>
    </w:div>
    <w:div w:id="1422292887">
      <w:bodyDiv w:val="1"/>
      <w:marLeft w:val="0"/>
      <w:marRight w:val="0"/>
      <w:marTop w:val="0"/>
      <w:marBottom w:val="0"/>
      <w:divBdr>
        <w:top w:val="none" w:sz="0" w:space="0" w:color="auto"/>
        <w:left w:val="none" w:sz="0" w:space="0" w:color="auto"/>
        <w:bottom w:val="none" w:sz="0" w:space="0" w:color="auto"/>
        <w:right w:val="none" w:sz="0" w:space="0" w:color="auto"/>
      </w:divBdr>
    </w:div>
    <w:div w:id="1425540493">
      <w:bodyDiv w:val="1"/>
      <w:marLeft w:val="0"/>
      <w:marRight w:val="0"/>
      <w:marTop w:val="0"/>
      <w:marBottom w:val="0"/>
      <w:divBdr>
        <w:top w:val="none" w:sz="0" w:space="0" w:color="auto"/>
        <w:left w:val="none" w:sz="0" w:space="0" w:color="auto"/>
        <w:bottom w:val="none" w:sz="0" w:space="0" w:color="auto"/>
        <w:right w:val="none" w:sz="0" w:space="0" w:color="auto"/>
      </w:divBdr>
      <w:divsChild>
        <w:div w:id="60324818">
          <w:marLeft w:val="547"/>
          <w:marRight w:val="0"/>
          <w:marTop w:val="0"/>
          <w:marBottom w:val="0"/>
          <w:divBdr>
            <w:top w:val="none" w:sz="0" w:space="0" w:color="auto"/>
            <w:left w:val="none" w:sz="0" w:space="0" w:color="auto"/>
            <w:bottom w:val="none" w:sz="0" w:space="0" w:color="auto"/>
            <w:right w:val="none" w:sz="0" w:space="0" w:color="auto"/>
          </w:divBdr>
        </w:div>
      </w:divsChild>
    </w:div>
    <w:div w:id="1436515650">
      <w:bodyDiv w:val="1"/>
      <w:marLeft w:val="0"/>
      <w:marRight w:val="0"/>
      <w:marTop w:val="0"/>
      <w:marBottom w:val="0"/>
      <w:divBdr>
        <w:top w:val="none" w:sz="0" w:space="0" w:color="auto"/>
        <w:left w:val="none" w:sz="0" w:space="0" w:color="auto"/>
        <w:bottom w:val="none" w:sz="0" w:space="0" w:color="auto"/>
        <w:right w:val="none" w:sz="0" w:space="0" w:color="auto"/>
      </w:divBdr>
    </w:div>
    <w:div w:id="1438214962">
      <w:bodyDiv w:val="1"/>
      <w:marLeft w:val="0"/>
      <w:marRight w:val="0"/>
      <w:marTop w:val="0"/>
      <w:marBottom w:val="0"/>
      <w:divBdr>
        <w:top w:val="none" w:sz="0" w:space="0" w:color="auto"/>
        <w:left w:val="none" w:sz="0" w:space="0" w:color="auto"/>
        <w:bottom w:val="none" w:sz="0" w:space="0" w:color="auto"/>
        <w:right w:val="none" w:sz="0" w:space="0" w:color="auto"/>
      </w:divBdr>
    </w:div>
    <w:div w:id="1500388777">
      <w:bodyDiv w:val="1"/>
      <w:marLeft w:val="0"/>
      <w:marRight w:val="0"/>
      <w:marTop w:val="0"/>
      <w:marBottom w:val="0"/>
      <w:divBdr>
        <w:top w:val="none" w:sz="0" w:space="0" w:color="auto"/>
        <w:left w:val="none" w:sz="0" w:space="0" w:color="auto"/>
        <w:bottom w:val="none" w:sz="0" w:space="0" w:color="auto"/>
        <w:right w:val="none" w:sz="0" w:space="0" w:color="auto"/>
      </w:divBdr>
    </w:div>
    <w:div w:id="1508248369">
      <w:bodyDiv w:val="1"/>
      <w:marLeft w:val="0"/>
      <w:marRight w:val="0"/>
      <w:marTop w:val="0"/>
      <w:marBottom w:val="0"/>
      <w:divBdr>
        <w:top w:val="none" w:sz="0" w:space="0" w:color="auto"/>
        <w:left w:val="none" w:sz="0" w:space="0" w:color="auto"/>
        <w:bottom w:val="none" w:sz="0" w:space="0" w:color="auto"/>
        <w:right w:val="none" w:sz="0" w:space="0" w:color="auto"/>
      </w:divBdr>
    </w:div>
    <w:div w:id="1512183055">
      <w:bodyDiv w:val="1"/>
      <w:marLeft w:val="0"/>
      <w:marRight w:val="0"/>
      <w:marTop w:val="0"/>
      <w:marBottom w:val="0"/>
      <w:divBdr>
        <w:top w:val="none" w:sz="0" w:space="0" w:color="auto"/>
        <w:left w:val="none" w:sz="0" w:space="0" w:color="auto"/>
        <w:bottom w:val="none" w:sz="0" w:space="0" w:color="auto"/>
        <w:right w:val="none" w:sz="0" w:space="0" w:color="auto"/>
      </w:divBdr>
    </w:div>
    <w:div w:id="1520200071">
      <w:bodyDiv w:val="1"/>
      <w:marLeft w:val="0"/>
      <w:marRight w:val="0"/>
      <w:marTop w:val="0"/>
      <w:marBottom w:val="0"/>
      <w:divBdr>
        <w:top w:val="none" w:sz="0" w:space="0" w:color="auto"/>
        <w:left w:val="none" w:sz="0" w:space="0" w:color="auto"/>
        <w:bottom w:val="none" w:sz="0" w:space="0" w:color="auto"/>
        <w:right w:val="none" w:sz="0" w:space="0" w:color="auto"/>
      </w:divBdr>
    </w:div>
    <w:div w:id="1523283505">
      <w:bodyDiv w:val="1"/>
      <w:marLeft w:val="0"/>
      <w:marRight w:val="0"/>
      <w:marTop w:val="0"/>
      <w:marBottom w:val="0"/>
      <w:divBdr>
        <w:top w:val="none" w:sz="0" w:space="0" w:color="auto"/>
        <w:left w:val="none" w:sz="0" w:space="0" w:color="auto"/>
        <w:bottom w:val="none" w:sz="0" w:space="0" w:color="auto"/>
        <w:right w:val="none" w:sz="0" w:space="0" w:color="auto"/>
      </w:divBdr>
    </w:div>
    <w:div w:id="1526824344">
      <w:bodyDiv w:val="1"/>
      <w:marLeft w:val="0"/>
      <w:marRight w:val="0"/>
      <w:marTop w:val="0"/>
      <w:marBottom w:val="0"/>
      <w:divBdr>
        <w:top w:val="none" w:sz="0" w:space="0" w:color="auto"/>
        <w:left w:val="none" w:sz="0" w:space="0" w:color="auto"/>
        <w:bottom w:val="none" w:sz="0" w:space="0" w:color="auto"/>
        <w:right w:val="none" w:sz="0" w:space="0" w:color="auto"/>
      </w:divBdr>
      <w:divsChild>
        <w:div w:id="1183474744">
          <w:marLeft w:val="0"/>
          <w:marRight w:val="0"/>
          <w:marTop w:val="0"/>
          <w:marBottom w:val="0"/>
          <w:divBdr>
            <w:top w:val="none" w:sz="0" w:space="0" w:color="auto"/>
            <w:left w:val="none" w:sz="0" w:space="0" w:color="auto"/>
            <w:bottom w:val="none" w:sz="0" w:space="0" w:color="auto"/>
            <w:right w:val="none" w:sz="0" w:space="0" w:color="auto"/>
          </w:divBdr>
        </w:div>
        <w:div w:id="1810708489">
          <w:marLeft w:val="0"/>
          <w:marRight w:val="0"/>
          <w:marTop w:val="0"/>
          <w:marBottom w:val="0"/>
          <w:divBdr>
            <w:top w:val="none" w:sz="0" w:space="0" w:color="auto"/>
            <w:left w:val="none" w:sz="0" w:space="0" w:color="auto"/>
            <w:bottom w:val="none" w:sz="0" w:space="0" w:color="auto"/>
            <w:right w:val="none" w:sz="0" w:space="0" w:color="auto"/>
          </w:divBdr>
        </w:div>
      </w:divsChild>
    </w:div>
    <w:div w:id="1543135308">
      <w:bodyDiv w:val="1"/>
      <w:marLeft w:val="0"/>
      <w:marRight w:val="0"/>
      <w:marTop w:val="0"/>
      <w:marBottom w:val="0"/>
      <w:divBdr>
        <w:top w:val="none" w:sz="0" w:space="0" w:color="auto"/>
        <w:left w:val="none" w:sz="0" w:space="0" w:color="auto"/>
        <w:bottom w:val="none" w:sz="0" w:space="0" w:color="auto"/>
        <w:right w:val="none" w:sz="0" w:space="0" w:color="auto"/>
      </w:divBdr>
    </w:div>
    <w:div w:id="1569878349">
      <w:bodyDiv w:val="1"/>
      <w:marLeft w:val="0"/>
      <w:marRight w:val="0"/>
      <w:marTop w:val="0"/>
      <w:marBottom w:val="0"/>
      <w:divBdr>
        <w:top w:val="none" w:sz="0" w:space="0" w:color="auto"/>
        <w:left w:val="none" w:sz="0" w:space="0" w:color="auto"/>
        <w:bottom w:val="none" w:sz="0" w:space="0" w:color="auto"/>
        <w:right w:val="none" w:sz="0" w:space="0" w:color="auto"/>
      </w:divBdr>
    </w:div>
    <w:div w:id="1577203470">
      <w:bodyDiv w:val="1"/>
      <w:marLeft w:val="0"/>
      <w:marRight w:val="0"/>
      <w:marTop w:val="0"/>
      <w:marBottom w:val="0"/>
      <w:divBdr>
        <w:top w:val="none" w:sz="0" w:space="0" w:color="auto"/>
        <w:left w:val="none" w:sz="0" w:space="0" w:color="auto"/>
        <w:bottom w:val="none" w:sz="0" w:space="0" w:color="auto"/>
        <w:right w:val="none" w:sz="0" w:space="0" w:color="auto"/>
      </w:divBdr>
    </w:div>
    <w:div w:id="1610046073">
      <w:bodyDiv w:val="1"/>
      <w:marLeft w:val="0"/>
      <w:marRight w:val="0"/>
      <w:marTop w:val="0"/>
      <w:marBottom w:val="0"/>
      <w:divBdr>
        <w:top w:val="none" w:sz="0" w:space="0" w:color="auto"/>
        <w:left w:val="none" w:sz="0" w:space="0" w:color="auto"/>
        <w:bottom w:val="none" w:sz="0" w:space="0" w:color="auto"/>
        <w:right w:val="none" w:sz="0" w:space="0" w:color="auto"/>
      </w:divBdr>
    </w:div>
    <w:div w:id="1610775953">
      <w:bodyDiv w:val="1"/>
      <w:marLeft w:val="0"/>
      <w:marRight w:val="0"/>
      <w:marTop w:val="0"/>
      <w:marBottom w:val="0"/>
      <w:divBdr>
        <w:top w:val="none" w:sz="0" w:space="0" w:color="auto"/>
        <w:left w:val="none" w:sz="0" w:space="0" w:color="auto"/>
        <w:bottom w:val="none" w:sz="0" w:space="0" w:color="auto"/>
        <w:right w:val="none" w:sz="0" w:space="0" w:color="auto"/>
      </w:divBdr>
    </w:div>
    <w:div w:id="1673217206">
      <w:bodyDiv w:val="1"/>
      <w:marLeft w:val="0"/>
      <w:marRight w:val="0"/>
      <w:marTop w:val="0"/>
      <w:marBottom w:val="0"/>
      <w:divBdr>
        <w:top w:val="none" w:sz="0" w:space="0" w:color="auto"/>
        <w:left w:val="none" w:sz="0" w:space="0" w:color="auto"/>
        <w:bottom w:val="none" w:sz="0" w:space="0" w:color="auto"/>
        <w:right w:val="none" w:sz="0" w:space="0" w:color="auto"/>
      </w:divBdr>
    </w:div>
    <w:div w:id="1673529902">
      <w:bodyDiv w:val="1"/>
      <w:marLeft w:val="0"/>
      <w:marRight w:val="0"/>
      <w:marTop w:val="0"/>
      <w:marBottom w:val="0"/>
      <w:divBdr>
        <w:top w:val="none" w:sz="0" w:space="0" w:color="auto"/>
        <w:left w:val="none" w:sz="0" w:space="0" w:color="auto"/>
        <w:bottom w:val="none" w:sz="0" w:space="0" w:color="auto"/>
        <w:right w:val="none" w:sz="0" w:space="0" w:color="auto"/>
      </w:divBdr>
    </w:div>
    <w:div w:id="1707368255">
      <w:bodyDiv w:val="1"/>
      <w:marLeft w:val="0"/>
      <w:marRight w:val="0"/>
      <w:marTop w:val="0"/>
      <w:marBottom w:val="0"/>
      <w:divBdr>
        <w:top w:val="none" w:sz="0" w:space="0" w:color="auto"/>
        <w:left w:val="none" w:sz="0" w:space="0" w:color="auto"/>
        <w:bottom w:val="none" w:sz="0" w:space="0" w:color="auto"/>
        <w:right w:val="none" w:sz="0" w:space="0" w:color="auto"/>
      </w:divBdr>
    </w:div>
    <w:div w:id="1712340137">
      <w:bodyDiv w:val="1"/>
      <w:marLeft w:val="0"/>
      <w:marRight w:val="0"/>
      <w:marTop w:val="0"/>
      <w:marBottom w:val="0"/>
      <w:divBdr>
        <w:top w:val="none" w:sz="0" w:space="0" w:color="auto"/>
        <w:left w:val="none" w:sz="0" w:space="0" w:color="auto"/>
        <w:bottom w:val="none" w:sz="0" w:space="0" w:color="auto"/>
        <w:right w:val="none" w:sz="0" w:space="0" w:color="auto"/>
      </w:divBdr>
    </w:div>
    <w:div w:id="1761440796">
      <w:bodyDiv w:val="1"/>
      <w:marLeft w:val="0"/>
      <w:marRight w:val="0"/>
      <w:marTop w:val="0"/>
      <w:marBottom w:val="0"/>
      <w:divBdr>
        <w:top w:val="none" w:sz="0" w:space="0" w:color="auto"/>
        <w:left w:val="none" w:sz="0" w:space="0" w:color="auto"/>
        <w:bottom w:val="none" w:sz="0" w:space="0" w:color="auto"/>
        <w:right w:val="none" w:sz="0" w:space="0" w:color="auto"/>
      </w:divBdr>
    </w:div>
    <w:div w:id="1796748094">
      <w:bodyDiv w:val="1"/>
      <w:marLeft w:val="0"/>
      <w:marRight w:val="0"/>
      <w:marTop w:val="0"/>
      <w:marBottom w:val="0"/>
      <w:divBdr>
        <w:top w:val="none" w:sz="0" w:space="0" w:color="auto"/>
        <w:left w:val="none" w:sz="0" w:space="0" w:color="auto"/>
        <w:bottom w:val="none" w:sz="0" w:space="0" w:color="auto"/>
        <w:right w:val="none" w:sz="0" w:space="0" w:color="auto"/>
      </w:divBdr>
    </w:div>
    <w:div w:id="1813209128">
      <w:bodyDiv w:val="1"/>
      <w:marLeft w:val="0"/>
      <w:marRight w:val="0"/>
      <w:marTop w:val="0"/>
      <w:marBottom w:val="0"/>
      <w:divBdr>
        <w:top w:val="none" w:sz="0" w:space="0" w:color="auto"/>
        <w:left w:val="none" w:sz="0" w:space="0" w:color="auto"/>
        <w:bottom w:val="none" w:sz="0" w:space="0" w:color="auto"/>
        <w:right w:val="none" w:sz="0" w:space="0" w:color="auto"/>
      </w:divBdr>
    </w:div>
    <w:div w:id="1821458696">
      <w:bodyDiv w:val="1"/>
      <w:marLeft w:val="0"/>
      <w:marRight w:val="0"/>
      <w:marTop w:val="0"/>
      <w:marBottom w:val="0"/>
      <w:divBdr>
        <w:top w:val="none" w:sz="0" w:space="0" w:color="auto"/>
        <w:left w:val="none" w:sz="0" w:space="0" w:color="auto"/>
        <w:bottom w:val="none" w:sz="0" w:space="0" w:color="auto"/>
        <w:right w:val="none" w:sz="0" w:space="0" w:color="auto"/>
      </w:divBdr>
    </w:div>
    <w:div w:id="1832214694">
      <w:bodyDiv w:val="1"/>
      <w:marLeft w:val="0"/>
      <w:marRight w:val="0"/>
      <w:marTop w:val="0"/>
      <w:marBottom w:val="0"/>
      <w:divBdr>
        <w:top w:val="none" w:sz="0" w:space="0" w:color="auto"/>
        <w:left w:val="none" w:sz="0" w:space="0" w:color="auto"/>
        <w:bottom w:val="none" w:sz="0" w:space="0" w:color="auto"/>
        <w:right w:val="none" w:sz="0" w:space="0" w:color="auto"/>
      </w:divBdr>
    </w:div>
    <w:div w:id="1832676322">
      <w:bodyDiv w:val="1"/>
      <w:marLeft w:val="0"/>
      <w:marRight w:val="0"/>
      <w:marTop w:val="0"/>
      <w:marBottom w:val="0"/>
      <w:divBdr>
        <w:top w:val="none" w:sz="0" w:space="0" w:color="auto"/>
        <w:left w:val="none" w:sz="0" w:space="0" w:color="auto"/>
        <w:bottom w:val="none" w:sz="0" w:space="0" w:color="auto"/>
        <w:right w:val="none" w:sz="0" w:space="0" w:color="auto"/>
      </w:divBdr>
    </w:div>
    <w:div w:id="1841038626">
      <w:bodyDiv w:val="1"/>
      <w:marLeft w:val="0"/>
      <w:marRight w:val="0"/>
      <w:marTop w:val="0"/>
      <w:marBottom w:val="0"/>
      <w:divBdr>
        <w:top w:val="none" w:sz="0" w:space="0" w:color="auto"/>
        <w:left w:val="none" w:sz="0" w:space="0" w:color="auto"/>
        <w:bottom w:val="none" w:sz="0" w:space="0" w:color="auto"/>
        <w:right w:val="none" w:sz="0" w:space="0" w:color="auto"/>
      </w:divBdr>
    </w:div>
    <w:div w:id="1846556929">
      <w:bodyDiv w:val="1"/>
      <w:marLeft w:val="0"/>
      <w:marRight w:val="0"/>
      <w:marTop w:val="0"/>
      <w:marBottom w:val="0"/>
      <w:divBdr>
        <w:top w:val="none" w:sz="0" w:space="0" w:color="auto"/>
        <w:left w:val="none" w:sz="0" w:space="0" w:color="auto"/>
        <w:bottom w:val="none" w:sz="0" w:space="0" w:color="auto"/>
        <w:right w:val="none" w:sz="0" w:space="0" w:color="auto"/>
      </w:divBdr>
    </w:div>
    <w:div w:id="1860969390">
      <w:bodyDiv w:val="1"/>
      <w:marLeft w:val="0"/>
      <w:marRight w:val="0"/>
      <w:marTop w:val="0"/>
      <w:marBottom w:val="0"/>
      <w:divBdr>
        <w:top w:val="none" w:sz="0" w:space="0" w:color="auto"/>
        <w:left w:val="none" w:sz="0" w:space="0" w:color="auto"/>
        <w:bottom w:val="none" w:sz="0" w:space="0" w:color="auto"/>
        <w:right w:val="none" w:sz="0" w:space="0" w:color="auto"/>
      </w:divBdr>
    </w:div>
    <w:div w:id="1864203464">
      <w:bodyDiv w:val="1"/>
      <w:marLeft w:val="0"/>
      <w:marRight w:val="0"/>
      <w:marTop w:val="0"/>
      <w:marBottom w:val="0"/>
      <w:divBdr>
        <w:top w:val="none" w:sz="0" w:space="0" w:color="auto"/>
        <w:left w:val="none" w:sz="0" w:space="0" w:color="auto"/>
        <w:bottom w:val="none" w:sz="0" w:space="0" w:color="auto"/>
        <w:right w:val="none" w:sz="0" w:space="0" w:color="auto"/>
      </w:divBdr>
    </w:div>
    <w:div w:id="1871187224">
      <w:bodyDiv w:val="1"/>
      <w:marLeft w:val="0"/>
      <w:marRight w:val="0"/>
      <w:marTop w:val="0"/>
      <w:marBottom w:val="0"/>
      <w:divBdr>
        <w:top w:val="none" w:sz="0" w:space="0" w:color="auto"/>
        <w:left w:val="none" w:sz="0" w:space="0" w:color="auto"/>
        <w:bottom w:val="none" w:sz="0" w:space="0" w:color="auto"/>
        <w:right w:val="none" w:sz="0" w:space="0" w:color="auto"/>
      </w:divBdr>
    </w:div>
    <w:div w:id="1887521708">
      <w:bodyDiv w:val="1"/>
      <w:marLeft w:val="0"/>
      <w:marRight w:val="0"/>
      <w:marTop w:val="0"/>
      <w:marBottom w:val="0"/>
      <w:divBdr>
        <w:top w:val="none" w:sz="0" w:space="0" w:color="auto"/>
        <w:left w:val="none" w:sz="0" w:space="0" w:color="auto"/>
        <w:bottom w:val="none" w:sz="0" w:space="0" w:color="auto"/>
        <w:right w:val="none" w:sz="0" w:space="0" w:color="auto"/>
      </w:divBdr>
    </w:div>
    <w:div w:id="1890609809">
      <w:bodyDiv w:val="1"/>
      <w:marLeft w:val="0"/>
      <w:marRight w:val="0"/>
      <w:marTop w:val="0"/>
      <w:marBottom w:val="0"/>
      <w:divBdr>
        <w:top w:val="none" w:sz="0" w:space="0" w:color="auto"/>
        <w:left w:val="none" w:sz="0" w:space="0" w:color="auto"/>
        <w:bottom w:val="none" w:sz="0" w:space="0" w:color="auto"/>
        <w:right w:val="none" w:sz="0" w:space="0" w:color="auto"/>
      </w:divBdr>
    </w:div>
    <w:div w:id="1905599050">
      <w:bodyDiv w:val="1"/>
      <w:marLeft w:val="0"/>
      <w:marRight w:val="0"/>
      <w:marTop w:val="0"/>
      <w:marBottom w:val="0"/>
      <w:divBdr>
        <w:top w:val="none" w:sz="0" w:space="0" w:color="auto"/>
        <w:left w:val="none" w:sz="0" w:space="0" w:color="auto"/>
        <w:bottom w:val="none" w:sz="0" w:space="0" w:color="auto"/>
        <w:right w:val="none" w:sz="0" w:space="0" w:color="auto"/>
      </w:divBdr>
    </w:div>
    <w:div w:id="1921911008">
      <w:bodyDiv w:val="1"/>
      <w:marLeft w:val="0"/>
      <w:marRight w:val="0"/>
      <w:marTop w:val="0"/>
      <w:marBottom w:val="0"/>
      <w:divBdr>
        <w:top w:val="none" w:sz="0" w:space="0" w:color="auto"/>
        <w:left w:val="none" w:sz="0" w:space="0" w:color="auto"/>
        <w:bottom w:val="none" w:sz="0" w:space="0" w:color="auto"/>
        <w:right w:val="none" w:sz="0" w:space="0" w:color="auto"/>
      </w:divBdr>
    </w:div>
    <w:div w:id="1933930329">
      <w:bodyDiv w:val="1"/>
      <w:marLeft w:val="0"/>
      <w:marRight w:val="0"/>
      <w:marTop w:val="0"/>
      <w:marBottom w:val="0"/>
      <w:divBdr>
        <w:top w:val="none" w:sz="0" w:space="0" w:color="auto"/>
        <w:left w:val="none" w:sz="0" w:space="0" w:color="auto"/>
        <w:bottom w:val="none" w:sz="0" w:space="0" w:color="auto"/>
        <w:right w:val="none" w:sz="0" w:space="0" w:color="auto"/>
      </w:divBdr>
    </w:div>
    <w:div w:id="1977761246">
      <w:bodyDiv w:val="1"/>
      <w:marLeft w:val="0"/>
      <w:marRight w:val="0"/>
      <w:marTop w:val="0"/>
      <w:marBottom w:val="0"/>
      <w:divBdr>
        <w:top w:val="none" w:sz="0" w:space="0" w:color="auto"/>
        <w:left w:val="none" w:sz="0" w:space="0" w:color="auto"/>
        <w:bottom w:val="none" w:sz="0" w:space="0" w:color="auto"/>
        <w:right w:val="none" w:sz="0" w:space="0" w:color="auto"/>
      </w:divBdr>
    </w:div>
    <w:div w:id="2008288338">
      <w:bodyDiv w:val="1"/>
      <w:marLeft w:val="0"/>
      <w:marRight w:val="0"/>
      <w:marTop w:val="0"/>
      <w:marBottom w:val="0"/>
      <w:divBdr>
        <w:top w:val="none" w:sz="0" w:space="0" w:color="auto"/>
        <w:left w:val="none" w:sz="0" w:space="0" w:color="auto"/>
        <w:bottom w:val="none" w:sz="0" w:space="0" w:color="auto"/>
        <w:right w:val="none" w:sz="0" w:space="0" w:color="auto"/>
      </w:divBdr>
    </w:div>
    <w:div w:id="2008560202">
      <w:bodyDiv w:val="1"/>
      <w:marLeft w:val="0"/>
      <w:marRight w:val="0"/>
      <w:marTop w:val="0"/>
      <w:marBottom w:val="0"/>
      <w:divBdr>
        <w:top w:val="none" w:sz="0" w:space="0" w:color="auto"/>
        <w:left w:val="none" w:sz="0" w:space="0" w:color="auto"/>
        <w:bottom w:val="none" w:sz="0" w:space="0" w:color="auto"/>
        <w:right w:val="none" w:sz="0" w:space="0" w:color="auto"/>
      </w:divBdr>
    </w:div>
    <w:div w:id="2009016585">
      <w:bodyDiv w:val="1"/>
      <w:marLeft w:val="0"/>
      <w:marRight w:val="0"/>
      <w:marTop w:val="0"/>
      <w:marBottom w:val="0"/>
      <w:divBdr>
        <w:top w:val="none" w:sz="0" w:space="0" w:color="auto"/>
        <w:left w:val="none" w:sz="0" w:space="0" w:color="auto"/>
        <w:bottom w:val="none" w:sz="0" w:space="0" w:color="auto"/>
        <w:right w:val="none" w:sz="0" w:space="0" w:color="auto"/>
      </w:divBdr>
    </w:div>
    <w:div w:id="2014986704">
      <w:bodyDiv w:val="1"/>
      <w:marLeft w:val="0"/>
      <w:marRight w:val="0"/>
      <w:marTop w:val="0"/>
      <w:marBottom w:val="0"/>
      <w:divBdr>
        <w:top w:val="none" w:sz="0" w:space="0" w:color="auto"/>
        <w:left w:val="none" w:sz="0" w:space="0" w:color="auto"/>
        <w:bottom w:val="none" w:sz="0" w:space="0" w:color="auto"/>
        <w:right w:val="none" w:sz="0" w:space="0" w:color="auto"/>
      </w:divBdr>
    </w:div>
    <w:div w:id="2015649845">
      <w:bodyDiv w:val="1"/>
      <w:marLeft w:val="0"/>
      <w:marRight w:val="0"/>
      <w:marTop w:val="0"/>
      <w:marBottom w:val="0"/>
      <w:divBdr>
        <w:top w:val="none" w:sz="0" w:space="0" w:color="auto"/>
        <w:left w:val="none" w:sz="0" w:space="0" w:color="auto"/>
        <w:bottom w:val="none" w:sz="0" w:space="0" w:color="auto"/>
        <w:right w:val="none" w:sz="0" w:space="0" w:color="auto"/>
      </w:divBdr>
    </w:div>
    <w:div w:id="2017538297">
      <w:bodyDiv w:val="1"/>
      <w:marLeft w:val="0"/>
      <w:marRight w:val="0"/>
      <w:marTop w:val="0"/>
      <w:marBottom w:val="0"/>
      <w:divBdr>
        <w:top w:val="none" w:sz="0" w:space="0" w:color="auto"/>
        <w:left w:val="none" w:sz="0" w:space="0" w:color="auto"/>
        <w:bottom w:val="none" w:sz="0" w:space="0" w:color="auto"/>
        <w:right w:val="none" w:sz="0" w:space="0" w:color="auto"/>
      </w:divBdr>
    </w:div>
    <w:div w:id="2029480659">
      <w:bodyDiv w:val="1"/>
      <w:marLeft w:val="0"/>
      <w:marRight w:val="0"/>
      <w:marTop w:val="0"/>
      <w:marBottom w:val="0"/>
      <w:divBdr>
        <w:top w:val="none" w:sz="0" w:space="0" w:color="auto"/>
        <w:left w:val="none" w:sz="0" w:space="0" w:color="auto"/>
        <w:bottom w:val="none" w:sz="0" w:space="0" w:color="auto"/>
        <w:right w:val="none" w:sz="0" w:space="0" w:color="auto"/>
      </w:divBdr>
    </w:div>
    <w:div w:id="2033529494">
      <w:bodyDiv w:val="1"/>
      <w:marLeft w:val="0"/>
      <w:marRight w:val="0"/>
      <w:marTop w:val="0"/>
      <w:marBottom w:val="0"/>
      <w:divBdr>
        <w:top w:val="none" w:sz="0" w:space="0" w:color="auto"/>
        <w:left w:val="none" w:sz="0" w:space="0" w:color="auto"/>
        <w:bottom w:val="none" w:sz="0" w:space="0" w:color="auto"/>
        <w:right w:val="none" w:sz="0" w:space="0" w:color="auto"/>
      </w:divBdr>
    </w:div>
    <w:div w:id="2064517323">
      <w:bodyDiv w:val="1"/>
      <w:marLeft w:val="0"/>
      <w:marRight w:val="0"/>
      <w:marTop w:val="0"/>
      <w:marBottom w:val="0"/>
      <w:divBdr>
        <w:top w:val="none" w:sz="0" w:space="0" w:color="auto"/>
        <w:left w:val="none" w:sz="0" w:space="0" w:color="auto"/>
        <w:bottom w:val="none" w:sz="0" w:space="0" w:color="auto"/>
        <w:right w:val="none" w:sz="0" w:space="0" w:color="auto"/>
      </w:divBdr>
    </w:div>
    <w:div w:id="2073455473">
      <w:bodyDiv w:val="1"/>
      <w:marLeft w:val="0"/>
      <w:marRight w:val="0"/>
      <w:marTop w:val="0"/>
      <w:marBottom w:val="0"/>
      <w:divBdr>
        <w:top w:val="none" w:sz="0" w:space="0" w:color="auto"/>
        <w:left w:val="none" w:sz="0" w:space="0" w:color="auto"/>
        <w:bottom w:val="none" w:sz="0" w:space="0" w:color="auto"/>
        <w:right w:val="none" w:sz="0" w:space="0" w:color="auto"/>
      </w:divBdr>
    </w:div>
    <w:div w:id="2077971478">
      <w:bodyDiv w:val="1"/>
      <w:marLeft w:val="0"/>
      <w:marRight w:val="0"/>
      <w:marTop w:val="0"/>
      <w:marBottom w:val="0"/>
      <w:divBdr>
        <w:top w:val="none" w:sz="0" w:space="0" w:color="auto"/>
        <w:left w:val="none" w:sz="0" w:space="0" w:color="auto"/>
        <w:bottom w:val="none" w:sz="0" w:space="0" w:color="auto"/>
        <w:right w:val="none" w:sz="0" w:space="0" w:color="auto"/>
      </w:divBdr>
    </w:div>
    <w:div w:id="2081318734">
      <w:bodyDiv w:val="1"/>
      <w:marLeft w:val="0"/>
      <w:marRight w:val="0"/>
      <w:marTop w:val="0"/>
      <w:marBottom w:val="0"/>
      <w:divBdr>
        <w:top w:val="none" w:sz="0" w:space="0" w:color="auto"/>
        <w:left w:val="none" w:sz="0" w:space="0" w:color="auto"/>
        <w:bottom w:val="none" w:sz="0" w:space="0" w:color="auto"/>
        <w:right w:val="none" w:sz="0" w:space="0" w:color="auto"/>
      </w:divBdr>
    </w:div>
    <w:div w:id="2088259417">
      <w:bodyDiv w:val="1"/>
      <w:marLeft w:val="0"/>
      <w:marRight w:val="0"/>
      <w:marTop w:val="0"/>
      <w:marBottom w:val="0"/>
      <w:divBdr>
        <w:top w:val="none" w:sz="0" w:space="0" w:color="auto"/>
        <w:left w:val="none" w:sz="0" w:space="0" w:color="auto"/>
        <w:bottom w:val="none" w:sz="0" w:space="0" w:color="auto"/>
        <w:right w:val="none" w:sz="0" w:space="0" w:color="auto"/>
      </w:divBdr>
      <w:divsChild>
        <w:div w:id="2004820607">
          <w:marLeft w:val="547"/>
          <w:marRight w:val="0"/>
          <w:marTop w:val="0"/>
          <w:marBottom w:val="0"/>
          <w:divBdr>
            <w:top w:val="none" w:sz="0" w:space="0" w:color="auto"/>
            <w:left w:val="none" w:sz="0" w:space="0" w:color="auto"/>
            <w:bottom w:val="none" w:sz="0" w:space="0" w:color="auto"/>
            <w:right w:val="none" w:sz="0" w:space="0" w:color="auto"/>
          </w:divBdr>
        </w:div>
      </w:divsChild>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91924449">
      <w:bodyDiv w:val="1"/>
      <w:marLeft w:val="0"/>
      <w:marRight w:val="0"/>
      <w:marTop w:val="0"/>
      <w:marBottom w:val="0"/>
      <w:divBdr>
        <w:top w:val="none" w:sz="0" w:space="0" w:color="auto"/>
        <w:left w:val="none" w:sz="0" w:space="0" w:color="auto"/>
        <w:bottom w:val="none" w:sz="0" w:space="0" w:color="auto"/>
        <w:right w:val="none" w:sz="0" w:space="0" w:color="auto"/>
      </w:divBdr>
    </w:div>
    <w:div w:id="2099786655">
      <w:bodyDiv w:val="1"/>
      <w:marLeft w:val="0"/>
      <w:marRight w:val="0"/>
      <w:marTop w:val="0"/>
      <w:marBottom w:val="0"/>
      <w:divBdr>
        <w:top w:val="none" w:sz="0" w:space="0" w:color="auto"/>
        <w:left w:val="none" w:sz="0" w:space="0" w:color="auto"/>
        <w:bottom w:val="none" w:sz="0" w:space="0" w:color="auto"/>
        <w:right w:val="none" w:sz="0" w:space="0" w:color="auto"/>
      </w:divBdr>
    </w:div>
    <w:div w:id="2117097846">
      <w:bodyDiv w:val="1"/>
      <w:marLeft w:val="0"/>
      <w:marRight w:val="0"/>
      <w:marTop w:val="0"/>
      <w:marBottom w:val="0"/>
      <w:divBdr>
        <w:top w:val="none" w:sz="0" w:space="0" w:color="auto"/>
        <w:left w:val="none" w:sz="0" w:space="0" w:color="auto"/>
        <w:bottom w:val="none" w:sz="0" w:space="0" w:color="auto"/>
        <w:right w:val="none" w:sz="0" w:space="0" w:color="auto"/>
      </w:divBdr>
    </w:div>
    <w:div w:id="2120297427">
      <w:bodyDiv w:val="1"/>
      <w:marLeft w:val="0"/>
      <w:marRight w:val="0"/>
      <w:marTop w:val="0"/>
      <w:marBottom w:val="0"/>
      <w:divBdr>
        <w:top w:val="none" w:sz="0" w:space="0" w:color="auto"/>
        <w:left w:val="none" w:sz="0" w:space="0" w:color="auto"/>
        <w:bottom w:val="none" w:sz="0" w:space="0" w:color="auto"/>
        <w:right w:val="none" w:sz="0" w:space="0" w:color="auto"/>
      </w:divBdr>
    </w:div>
    <w:div w:id="2127045148">
      <w:bodyDiv w:val="1"/>
      <w:marLeft w:val="0"/>
      <w:marRight w:val="0"/>
      <w:marTop w:val="0"/>
      <w:marBottom w:val="0"/>
      <w:divBdr>
        <w:top w:val="none" w:sz="0" w:space="0" w:color="auto"/>
        <w:left w:val="none" w:sz="0" w:space="0" w:color="auto"/>
        <w:bottom w:val="none" w:sz="0" w:space="0" w:color="auto"/>
        <w:right w:val="none" w:sz="0" w:space="0" w:color="auto"/>
      </w:divBdr>
    </w:div>
    <w:div w:id="212738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eader" Target="header8.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chart" Target="charts/chart3.xml"/><Relationship Id="rId28"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chart" Target="charts/chart2.xml"/><Relationship Id="rId27" Type="http://schemas.openxmlformats.org/officeDocument/2006/relationships/header" Target="header10.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mei.gov.rs/eng/documents/eu-documents/annual-progress-reports-of-the-european-commission-for-serbia/" TargetMode="External"/><Relationship Id="rId13" Type="http://schemas.openxmlformats.org/officeDocument/2006/relationships/hyperlink" Target="https://internationalbudget.org/open-budget-survey/" TargetMode="External"/><Relationship Id="rId18" Type="http://schemas.openxmlformats.org/officeDocument/2006/relationships/hyperlink" Target="https://www.intosaicbc.org/sai-pmf/about/" TargetMode="External"/><Relationship Id="rId3" Type="http://schemas.openxmlformats.org/officeDocument/2006/relationships/hyperlink" Target="https://www.mei.gov.rs/srl/dokumenta/eu-plan-rasta-za-zapadni-balkan/" TargetMode="External"/><Relationship Id="rId21" Type="http://schemas.openxmlformats.org/officeDocument/2006/relationships/hyperlink" Target="https://www.sigmaweb.org/en/data.html" TargetMode="External"/><Relationship Id="rId7" Type="http://schemas.openxmlformats.org/officeDocument/2006/relationships/hyperlink" Target="https://www.pefa.org/node/5240" TargetMode="External"/><Relationship Id="rId12" Type="http://schemas.openxmlformats.org/officeDocument/2006/relationships/hyperlink" Target="https://www.pefa.org/global-report-2022/en/" TargetMode="External"/><Relationship Id="rId17" Type="http://schemas.openxmlformats.org/officeDocument/2006/relationships/hyperlink" Target="https://www.mapsinitiative.org/en.html" TargetMode="External"/><Relationship Id="rId2" Type="http://schemas.openxmlformats.org/officeDocument/2006/relationships/hyperlink" Target="https://www.mei.gov.rs/%D0%B4%D0%BE%D0%BA%D1%83%D0%BC%D0%B5%D0%BD%D1%82%D0%B0/%D0%B5%D1%83-%D0%B4%D0%BE%D0%BA%D1%83%D0%BC%D0%B5%D0%BD%D1%82%D0%B0.893.html" TargetMode="External"/><Relationship Id="rId16" Type="http://schemas.openxmlformats.org/officeDocument/2006/relationships/hyperlink" Target="https://www.elibrary.imf.org/view/journals/029/2026/014/029.2026.issue-014-en.xml?cid=lk-com-elib-latest" TargetMode="External"/><Relationship Id="rId20" Type="http://schemas.openxmlformats.org/officeDocument/2006/relationships/hyperlink" Target="https://www.mfin.gov.rs/en/documents2-2/public-financial-management-reform-program-pfm-2" TargetMode="External"/><Relationship Id="rId1" Type="http://schemas.openxmlformats.org/officeDocument/2006/relationships/hyperlink" Target="https://budzet.mfin.gov.rs/en/login" TargetMode="External"/><Relationship Id="rId6" Type="http://schemas.openxmlformats.org/officeDocument/2006/relationships/hyperlink" Target="https://www.sigmaweb.org/en/publications/public-administration-in-serbia-2024_02001fe4-en.html" TargetMode="External"/><Relationship Id="rId11" Type="http://schemas.openxmlformats.org/officeDocument/2006/relationships/hyperlink" Target="https://par-portal.sigmaweb.org/" TargetMode="External"/><Relationship Id="rId5" Type="http://schemas.openxmlformats.org/officeDocument/2006/relationships/hyperlink" Target="https://www.mfin.gov.rs/en/documents2-2/improving-public-financial-management-for-the-green-transition-2" TargetMode="External"/><Relationship Id="rId15" Type="http://schemas.openxmlformats.org/officeDocument/2006/relationships/hyperlink" Target="https://www.tadat.org/en/what-is-tadat/about-tadat.html" TargetMode="External"/><Relationship Id="rId10" Type="http://schemas.openxmlformats.org/officeDocument/2006/relationships/hyperlink" Target="https://www.mfin.gov.rs/en/documents2-2/economic-reform-program-erp-2" TargetMode="External"/><Relationship Id="rId19" Type="http://schemas.openxmlformats.org/officeDocument/2006/relationships/hyperlink" Target="https://idi.no/our-work/initiative/sai-pmf/sai-pmf-about/" TargetMode="External"/><Relationship Id="rId4" Type="http://schemas.openxmlformats.org/officeDocument/2006/relationships/hyperlink" Target="https://www.financeministersforclimate.org/" TargetMode="External"/><Relationship Id="rId9" Type="http://schemas.openxmlformats.org/officeDocument/2006/relationships/hyperlink" Target="https://www.mei.gov.rs/eng/documents/eu-documents/" TargetMode="External"/><Relationship Id="rId14" Type="http://schemas.openxmlformats.org/officeDocument/2006/relationships/hyperlink" Target="https://infrastructuregovern.imf.org/content/PIMA/Home/PimaTool/What-is-PIMA.html" TargetMode="External"/><Relationship Id="rId22" Type="http://schemas.openxmlformats.org/officeDocument/2006/relationships/hyperlink" Target="https://www.mfin.gov.rs/en/documents2-2/public-financial-management-reform-program-pfm-2"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oliver.minic\AppData\Local\Microsoft\Windows\INetCache\Content.Outlook\0MXBKWM2\Mesecni%20izvestaj%20radna%20verzija%20-%20Oktobar%202025.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lavka.jevric\Documents\11Normativa\1Strateski%20plna%202021-2026\2Ex%20post%20analiza%20%20Strate&#353;kog%20plana%20BI\Grafikon%20EX%20POST%20ANALIZA.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sr-Cyrl-RS"/>
              <a:t>Структура наплате јавних прихода</a:t>
            </a:r>
            <a:endParaRPr lang="sr-Latn-RS"/>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sr-Latn-R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41C2-4443-B022-4C50708D0864}"/>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41C2-4443-B022-4C50708D086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'Структура наплате јавних приход'!$A$1:$A$2</c:f>
              <c:strCache>
                <c:ptCount val="2"/>
                <c:pt idx="0">
                  <c:v>Наплата Пореске управе у 2024.години</c:v>
                </c:pt>
                <c:pt idx="1">
                  <c:v>Остали јавни приходи у 2024. години</c:v>
                </c:pt>
              </c:strCache>
            </c:strRef>
          </c:cat>
          <c:val>
            <c:numRef>
              <c:f>'Структура наплате јавних приход'!$B$1:$B$2</c:f>
              <c:numCache>
                <c:formatCode>General</c:formatCode>
                <c:ptCount val="2"/>
                <c:pt idx="0">
                  <c:v>2931.4</c:v>
                </c:pt>
                <c:pt idx="1">
                  <c:v>1681.1</c:v>
                </c:pt>
              </c:numCache>
            </c:numRef>
          </c:val>
          <c:extLst>
            <c:ext xmlns:c16="http://schemas.microsoft.com/office/drawing/2014/chart" uri="{C3380CC4-5D6E-409C-BE32-E72D297353CC}">
              <c16:uniqueId val="{00000004-41C2-4443-B022-4C50708D086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userShapes r:id="rId5"/>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1025125146663648E-2"/>
          <c:y val="6.9710672896813236E-2"/>
          <c:w val="0.88261417447883461"/>
          <c:h val="0.67586832792148555"/>
        </c:manualLayout>
      </c:layout>
      <c:barChart>
        <c:barDir val="col"/>
        <c:grouping val="stacked"/>
        <c:varyColors val="0"/>
        <c:ser>
          <c:idx val="0"/>
          <c:order val="0"/>
          <c:tx>
            <c:strRef>
              <c:f>'Dug vremenska serija (4) za PFM'!$C$7</c:f>
              <c:strCache>
                <c:ptCount val="1"/>
                <c:pt idx="0">
                  <c:v>ДИРЕКТНЕ ОБАВЕЗЕ - УНУТРАШЊИ ДУГ</c:v>
                </c:pt>
              </c:strCache>
            </c:strRef>
          </c:tx>
          <c:spPr>
            <a:solidFill>
              <a:srgbClr val="A5A5A5">
                <a:lumMod val="60000"/>
                <a:lumOff val="40000"/>
              </a:srgbClr>
            </a:solidFill>
            <a:ln>
              <a:noFill/>
            </a:ln>
            <a:effectLst/>
          </c:spPr>
          <c:invertIfNegative val="0"/>
          <c:dLbls>
            <c:spPr>
              <a:noFill/>
              <a:ln>
                <a:noFill/>
              </a:ln>
              <a:effectLst/>
            </c:spPr>
            <c:txPr>
              <a:bodyPr rot="0" spcFirstLastPara="1" vertOverflow="ellipsis" vert="horz" wrap="square" anchor="ctr" anchorCtr="1"/>
              <a:lstStyle/>
              <a:p>
                <a:pPr>
                  <a:defRPr sz="7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'Dug vremenska serija (4) za PFM'!$B$8:$B$17</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'Dug vremenska serija (4) za PFM'!$C$8:$C$17</c:f>
              <c:numCache>
                <c:formatCode>#,##0.00</c:formatCode>
                <c:ptCount val="10"/>
                <c:pt idx="0">
                  <c:v>9.0509820047984011</c:v>
                </c:pt>
                <c:pt idx="1">
                  <c:v>8.7677275606724745</c:v>
                </c:pt>
                <c:pt idx="2">
                  <c:v>9.0890868643159788</c:v>
                </c:pt>
                <c:pt idx="3">
                  <c:v>9.4135298070994917</c:v>
                </c:pt>
                <c:pt idx="4">
                  <c:v>9.8148233490957359</c:v>
                </c:pt>
                <c:pt idx="5">
                  <c:v>11.21769287425</c:v>
                </c:pt>
                <c:pt idx="6">
                  <c:v>11.344783013621802</c:v>
                </c:pt>
                <c:pt idx="7">
                  <c:v>11.27841098138</c:v>
                </c:pt>
                <c:pt idx="8">
                  <c:v>10.271532452383257</c:v>
                </c:pt>
                <c:pt idx="9">
                  <c:v>10.571232780208762</c:v>
                </c:pt>
              </c:numCache>
            </c:numRef>
          </c:val>
          <c:extLst>
            <c:ext xmlns:c16="http://schemas.microsoft.com/office/drawing/2014/chart" uri="{C3380CC4-5D6E-409C-BE32-E72D297353CC}">
              <c16:uniqueId val="{00000000-AB04-4EFD-83B4-A07FCE9CA7E4}"/>
            </c:ext>
          </c:extLst>
        </c:ser>
        <c:ser>
          <c:idx val="1"/>
          <c:order val="1"/>
          <c:tx>
            <c:strRef>
              <c:f>'Dug vremenska serija (4) za PFM'!$D$7</c:f>
              <c:strCache>
                <c:ptCount val="1"/>
                <c:pt idx="0">
                  <c:v>ДИРЕКТНЕ ОБАВЕЗЕ - СПОЉНИ ДУГ</c:v>
                </c:pt>
              </c:strCache>
            </c:strRef>
          </c:tx>
          <c:spPr>
            <a:solidFill>
              <a:schemeClr val="accent1">
                <a:lumMod val="40000"/>
                <a:lumOff val="60000"/>
              </a:schemeClr>
            </a:solidFill>
            <a:ln>
              <a:noFill/>
            </a:ln>
            <a:effectLst/>
          </c:spPr>
          <c:invertIfNegative val="0"/>
          <c:dLbls>
            <c:spPr>
              <a:noFill/>
              <a:ln>
                <a:noFill/>
              </a:ln>
              <a:effectLst/>
            </c:spPr>
            <c:txPr>
              <a:bodyPr rot="0" spcFirstLastPara="1" vertOverflow="ellipsis" vert="horz" wrap="square" anchor="ctr" anchorCtr="1"/>
              <a:lstStyle/>
              <a:p>
                <a:pPr>
                  <a:defRPr sz="7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'Dug vremenska serija (4) za PFM'!$B$8:$B$17</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'Dug vremenska serija (4) za PFM'!$D$8:$D$17</c:f>
              <c:numCache>
                <c:formatCode>#,##0.00</c:formatCode>
                <c:ptCount val="10"/>
                <c:pt idx="0">
                  <c:v>13.370456186882276</c:v>
                </c:pt>
                <c:pt idx="1">
                  <c:v>13.908172294780707</c:v>
                </c:pt>
                <c:pt idx="2">
                  <c:v>12.369502414715891</c:v>
                </c:pt>
                <c:pt idx="3">
                  <c:v>12.077009524615404</c:v>
                </c:pt>
                <c:pt idx="4">
                  <c:v>12.640912640896641</c:v>
                </c:pt>
                <c:pt idx="5">
                  <c:v>14.028483522669999</c:v>
                </c:pt>
                <c:pt idx="6">
                  <c:v>17.40722852400306</c:v>
                </c:pt>
                <c:pt idx="7">
                  <c:v>20.501256307900004</c:v>
                </c:pt>
                <c:pt idx="8">
                  <c:v>24.065100702429302</c:v>
                </c:pt>
                <c:pt idx="9">
                  <c:v>26.471349152874978</c:v>
                </c:pt>
              </c:numCache>
            </c:numRef>
          </c:val>
          <c:extLst>
            <c:ext xmlns:c16="http://schemas.microsoft.com/office/drawing/2014/chart" uri="{C3380CC4-5D6E-409C-BE32-E72D297353CC}">
              <c16:uniqueId val="{00000001-AB04-4EFD-83B4-A07FCE9CA7E4}"/>
            </c:ext>
          </c:extLst>
        </c:ser>
        <c:ser>
          <c:idx val="2"/>
          <c:order val="2"/>
          <c:tx>
            <c:strRef>
              <c:f>'Dug vremenska serija (4) za PFM'!$E$7</c:f>
              <c:strCache>
                <c:ptCount val="1"/>
                <c:pt idx="0">
                  <c:v>ИНДИРЕКТНЕ ОБАВЕЗЕ  - УНУТРАШЊИ ДУГ</c:v>
                </c:pt>
              </c:strCache>
            </c:strRef>
          </c:tx>
          <c:spPr>
            <a:solidFill>
              <a:schemeClr val="accent3"/>
            </a:solidFill>
            <a:ln>
              <a:noFill/>
            </a:ln>
            <a:effectLst/>
          </c:spPr>
          <c:invertIfNegative val="0"/>
          <c:dLbls>
            <c:dLbl>
              <c:idx val="0"/>
              <c:layout>
                <c:manualLayout>
                  <c:x val="-2.0907851853217661E-3"/>
                  <c:y val="2.129167783623825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B04-4EFD-83B4-A07FCE9CA7E4}"/>
                </c:ext>
              </c:extLst>
            </c:dLbl>
            <c:dLbl>
              <c:idx val="1"/>
              <c:layout>
                <c:manualLayout>
                  <c:x val="-3.8242615761713771E-17"/>
                  <c:y val="1.059106481064510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B04-4EFD-83B4-A07FCE9CA7E4}"/>
                </c:ext>
              </c:extLst>
            </c:dLbl>
            <c:dLbl>
              <c:idx val="2"/>
              <c:layout>
                <c:manualLayout>
                  <c:x val="3.8330618932318258E-17"/>
                  <c:y val="1.59336291161352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B04-4EFD-83B4-A07FCE9CA7E4}"/>
                </c:ext>
              </c:extLst>
            </c:dLbl>
            <c:dLbl>
              <c:idx val="3"/>
              <c:layout>
                <c:manualLayout>
                  <c:x val="0"/>
                  <c:y val="1.593362911613519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B04-4EFD-83B4-A07FCE9CA7E4}"/>
                </c:ext>
              </c:extLst>
            </c:dLbl>
            <c:dLbl>
              <c:idx val="4"/>
              <c:layout>
                <c:manualLayout>
                  <c:x val="0"/>
                  <c:y val="1.062241941075678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B04-4EFD-83B4-A07FCE9CA7E4}"/>
                </c:ext>
              </c:extLst>
            </c:dLbl>
            <c:dLbl>
              <c:idx val="5"/>
              <c:layout>
                <c:manualLayout>
                  <c:x val="-7.6661237864636516E-17"/>
                  <c:y val="2.124483882151366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B04-4EFD-83B4-A07FCE9CA7E4}"/>
                </c:ext>
              </c:extLst>
            </c:dLbl>
            <c:dLbl>
              <c:idx val="6"/>
              <c:layout>
                <c:manualLayout>
                  <c:x val="-7.6661237864636516E-17"/>
                  <c:y val="3.71784679376489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B04-4EFD-83B4-A07FCE9CA7E4}"/>
                </c:ext>
              </c:extLst>
            </c:dLbl>
            <c:dLbl>
              <c:idx val="7"/>
              <c:layout>
                <c:manualLayout>
                  <c:x val="0"/>
                  <c:y val="4.248967764302727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B04-4EFD-83B4-A07FCE9CA7E4}"/>
                </c:ext>
              </c:extLst>
            </c:dLbl>
            <c:dLbl>
              <c:idx val="8"/>
              <c:layout>
                <c:manualLayout>
                  <c:x val="-1.5332247572927303E-16"/>
                  <c:y val="2.124483882151363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B04-4EFD-83B4-A07FCE9CA7E4}"/>
                </c:ext>
              </c:extLst>
            </c:dLbl>
            <c:dLbl>
              <c:idx val="9"/>
              <c:layout>
                <c:manualLayout>
                  <c:x val="0"/>
                  <c:y val="2.124483882151366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AB04-4EFD-83B4-A07FCE9CA7E4}"/>
                </c:ext>
              </c:extLst>
            </c:dLbl>
            <c:spPr>
              <a:noFill/>
              <a:ln>
                <a:noFill/>
              </a:ln>
              <a:effectLst/>
            </c:spPr>
            <c:txPr>
              <a:bodyPr rot="0" spcFirstLastPara="1" vertOverflow="ellipsis" vert="horz" wrap="square" anchor="ctr" anchorCtr="1"/>
              <a:lstStyle/>
              <a:p>
                <a:pPr>
                  <a:defRPr sz="7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'Dug vremenska serija (4) za PFM'!$B$8:$B$17</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'Dug vremenska serija (4) za PFM'!$E$8:$E$17</c:f>
              <c:numCache>
                <c:formatCode>#,##0.00</c:formatCode>
                <c:ptCount val="10"/>
                <c:pt idx="0">
                  <c:v>0.60755793218045873</c:v>
                </c:pt>
                <c:pt idx="1">
                  <c:v>0.38165603416644944</c:v>
                </c:pt>
                <c:pt idx="2">
                  <c:v>0.20933663424444224</c:v>
                </c:pt>
                <c:pt idx="3">
                  <c:v>0.15458104723845778</c:v>
                </c:pt>
                <c:pt idx="4">
                  <c:v>0.17794997899000001</c:v>
                </c:pt>
                <c:pt idx="5">
                  <c:v>0.21617517262000002</c:v>
                </c:pt>
                <c:pt idx="6">
                  <c:v>0.26197361869731872</c:v>
                </c:pt>
                <c:pt idx="7">
                  <c:v>0.48135809655000006</c:v>
                </c:pt>
                <c:pt idx="8">
                  <c:v>0.51910354942935144</c:v>
                </c:pt>
                <c:pt idx="9">
                  <c:v>0.46069044980869961</c:v>
                </c:pt>
              </c:numCache>
            </c:numRef>
          </c:val>
          <c:extLst>
            <c:ext xmlns:c16="http://schemas.microsoft.com/office/drawing/2014/chart" uri="{C3380CC4-5D6E-409C-BE32-E72D297353CC}">
              <c16:uniqueId val="{0000000C-AB04-4EFD-83B4-A07FCE9CA7E4}"/>
            </c:ext>
          </c:extLst>
        </c:ser>
        <c:ser>
          <c:idx val="3"/>
          <c:order val="3"/>
          <c:tx>
            <c:strRef>
              <c:f>'Dug vremenska serija (4) za PFM'!$F$7</c:f>
              <c:strCache>
                <c:ptCount val="1"/>
                <c:pt idx="0">
                  <c:v>ИНДИРЕКТНЕ ОБАВЕЗЕ  - СПОЉНИ ДУГ</c:v>
                </c:pt>
              </c:strCache>
            </c:strRef>
          </c:tx>
          <c:spPr>
            <a:solidFill>
              <a:srgbClr val="C00000"/>
            </a:solidFill>
            <a:ln>
              <a:noFill/>
            </a:ln>
            <a:effectLst/>
          </c:spPr>
          <c:invertIfNegative val="0"/>
          <c:dLbls>
            <c:dLbl>
              <c:idx val="0"/>
              <c:layout>
                <c:manualLayout>
                  <c:x val="-2.093419245397762E-3"/>
                  <c:y val="-1.0622419410756831E-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AB04-4EFD-83B4-A07FCE9CA7E4}"/>
                </c:ext>
              </c:extLst>
            </c:dLbl>
            <c:dLbl>
              <c:idx val="1"/>
              <c:layout>
                <c:manualLayout>
                  <c:x val="-1.0454444892088865E-3"/>
                  <c:y val="-5.2958966583782413E-3"/>
                </c:manualLayout>
              </c:layout>
              <c:dLblPos val="ctr"/>
              <c:showLegendKey val="0"/>
              <c:showVal val="1"/>
              <c:showCatName val="0"/>
              <c:showSerName val="0"/>
              <c:showPercent val="0"/>
              <c:showBubbleSize val="0"/>
              <c:extLst>
                <c:ext xmlns:c15="http://schemas.microsoft.com/office/drawing/2012/chart" uri="{CE6537A1-D6FC-4f65-9D91-7224C49458BB}">
                  <c15:layout>
                    <c:manualLayout>
                      <c:w val="5.1401871466758238E-2"/>
                      <c:h val="5.8515730172145924E-2"/>
                    </c:manualLayout>
                  </c15:layout>
                </c:ext>
                <c:ext xmlns:c16="http://schemas.microsoft.com/office/drawing/2014/chart" uri="{C3380CC4-5D6E-409C-BE32-E72D297353CC}">
                  <c16:uniqueId val="{0000000E-AB04-4EFD-83B4-A07FCE9CA7E4}"/>
                </c:ext>
              </c:extLst>
            </c:dLbl>
            <c:dLbl>
              <c:idx val="6"/>
              <c:layout>
                <c:manualLayout>
                  <c:x val="-7.6661237864636516E-17"/>
                  <c:y val="1.593362911613519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AB04-4EFD-83B4-A07FCE9CA7E4}"/>
                </c:ext>
              </c:extLst>
            </c:dLbl>
            <c:dLbl>
              <c:idx val="7"/>
              <c:layout>
                <c:manualLayout>
                  <c:x val="-2.0907851853217661E-3"/>
                  <c:y val="2.124483882151366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AB04-4EFD-83B4-A07FCE9CA7E4}"/>
                </c:ext>
              </c:extLst>
            </c:dLbl>
            <c:spPr>
              <a:noFill/>
              <a:ln>
                <a:noFill/>
              </a:ln>
              <a:effectLst/>
            </c:spPr>
            <c:txPr>
              <a:bodyPr rot="0" spcFirstLastPara="1" vertOverflow="ellipsis" vert="horz" wrap="square" anchor="ctr" anchorCtr="1"/>
              <a:lstStyle/>
              <a:p>
                <a:pPr>
                  <a:defRPr sz="7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'Dug vremenska serija (4) za PFM'!$B$8:$B$17</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'Dug vremenska serija (4) za PFM'!$F$8:$F$17</c:f>
              <c:numCache>
                <c:formatCode>#,##0.00</c:formatCode>
                <c:ptCount val="10"/>
                <c:pt idx="0">
                  <c:v>1.7896026123962072</c:v>
                </c:pt>
                <c:pt idx="1">
                  <c:v>1.7626784875613872</c:v>
                </c:pt>
                <c:pt idx="2">
                  <c:v>1.5535935744874525</c:v>
                </c:pt>
                <c:pt idx="3">
                  <c:v>1.3694821926868679</c:v>
                </c:pt>
                <c:pt idx="4">
                  <c:v>1.3102749122193933</c:v>
                </c:pt>
                <c:pt idx="5">
                  <c:v>1.2069783790399999</c:v>
                </c:pt>
                <c:pt idx="6">
                  <c:v>1.1201977428154419</c:v>
                </c:pt>
                <c:pt idx="7">
                  <c:v>1.06458491813</c:v>
                </c:pt>
                <c:pt idx="8">
                  <c:v>1.2969768780143498</c:v>
                </c:pt>
                <c:pt idx="9">
                  <c:v>1.3709584779963919</c:v>
                </c:pt>
              </c:numCache>
            </c:numRef>
          </c:val>
          <c:extLst>
            <c:ext xmlns:c16="http://schemas.microsoft.com/office/drawing/2014/chart" uri="{C3380CC4-5D6E-409C-BE32-E72D297353CC}">
              <c16:uniqueId val="{00000011-AB04-4EFD-83B4-A07FCE9CA7E4}"/>
            </c:ext>
          </c:extLst>
        </c:ser>
        <c:ser>
          <c:idx val="5"/>
          <c:order val="5"/>
          <c:tx>
            <c:strRef>
              <c:f>'Dug vremenska serija (4) za PFM'!$G$7</c:f>
              <c:strCache>
                <c:ptCount val="1"/>
                <c:pt idx="0">
                  <c:v>НЕГАРАНТОВАНИ ДУГ ЈЛС И ОСТАЛИХ ЕНТИТЕТА</c:v>
                </c:pt>
              </c:strCache>
            </c:strRef>
          </c:tx>
          <c:spPr>
            <a:solidFill>
              <a:srgbClr val="ED7D31"/>
            </a:solidFill>
            <a:ln>
              <a:noFill/>
            </a:ln>
            <a:effectLst/>
          </c:spPr>
          <c:invertIfNegative val="0"/>
          <c:dLbls>
            <c:dLbl>
              <c:idx val="0"/>
              <c:layout>
                <c:manualLayout>
                  <c:x val="2.1352601921115908E-6"/>
                  <c:y val="-2.12525977296760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AB04-4EFD-83B4-A07FCE9CA7E4}"/>
                </c:ext>
              </c:extLst>
            </c:dLbl>
            <c:dLbl>
              <c:idx val="1"/>
              <c:layout>
                <c:manualLayout>
                  <c:x val="0"/>
                  <c:y val="-2.643058688030833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AB04-4EFD-83B4-A07FCE9CA7E4}"/>
                </c:ext>
              </c:extLst>
            </c:dLbl>
            <c:dLbl>
              <c:idx val="2"/>
              <c:layout>
                <c:manualLayout>
                  <c:x val="3.8330618932318258E-17"/>
                  <c:y val="-2.65092095121675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AB04-4EFD-83B4-A07FCE9CA7E4}"/>
                </c:ext>
              </c:extLst>
            </c:dLbl>
            <c:dLbl>
              <c:idx val="3"/>
              <c:layout>
                <c:manualLayout>
                  <c:x val="0"/>
                  <c:y val="-2.124483882151366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AB04-4EFD-83B4-A07FCE9CA7E4}"/>
                </c:ext>
              </c:extLst>
            </c:dLbl>
            <c:dLbl>
              <c:idx val="4"/>
              <c:layout>
                <c:manualLayout>
                  <c:x val="0"/>
                  <c:y val="-1.593362911613524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AB04-4EFD-83B4-A07FCE9CA7E4}"/>
                </c:ext>
              </c:extLst>
            </c:dLbl>
            <c:dLbl>
              <c:idx val="5"/>
              <c:layout>
                <c:manualLayout>
                  <c:x val="-7.6661237864636516E-17"/>
                  <c:y val="-2.1244838821513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AB04-4EFD-83B4-A07FCE9CA7E4}"/>
                </c:ext>
              </c:extLst>
            </c:dLbl>
            <c:dLbl>
              <c:idx val="6"/>
              <c:layout>
                <c:manualLayout>
                  <c:x val="-7.6661237864636516E-17"/>
                  <c:y val="-1.06224194107568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AB04-4EFD-83B4-A07FCE9CA7E4}"/>
                </c:ext>
              </c:extLst>
            </c:dLbl>
            <c:dLbl>
              <c:idx val="8"/>
              <c:layout>
                <c:manualLayout>
                  <c:x val="-1.5332247572927303E-16"/>
                  <c:y val="-1.59336291161352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AB04-4EFD-83B4-A07FCE9CA7E4}"/>
                </c:ext>
              </c:extLst>
            </c:dLbl>
            <c:dLbl>
              <c:idx val="9"/>
              <c:layout>
                <c:manualLayout>
                  <c:x val="0"/>
                  <c:y val="-1.593362911613525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AB04-4EFD-83B4-A07FCE9CA7E4}"/>
                </c:ext>
              </c:extLst>
            </c:dLbl>
            <c:spPr>
              <a:noFill/>
              <a:ln>
                <a:noFill/>
              </a:ln>
              <a:effectLst/>
            </c:spPr>
            <c:txPr>
              <a:bodyPr rot="0" spcFirstLastPara="1" vertOverflow="ellipsis" vert="horz" wrap="square" anchor="ctr" anchorCtr="1"/>
              <a:lstStyle/>
              <a:p>
                <a:pPr>
                  <a:defRPr sz="7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'Dug vremenska serija (4) za PFM'!$B$8:$B$17</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'Dug vremenska serija (4) za PFM'!$G$8:$G$17</c:f>
              <c:numCache>
                <c:formatCode>#,##0.00</c:formatCode>
                <c:ptCount val="10"/>
                <c:pt idx="0">
                  <c:v>0.44149775700999999</c:v>
                </c:pt>
                <c:pt idx="1">
                  <c:v>0.37405985317000001</c:v>
                </c:pt>
                <c:pt idx="2">
                  <c:v>0.33243594187000003</c:v>
                </c:pt>
                <c:pt idx="3">
                  <c:v>0.31383572982999997</c:v>
                </c:pt>
                <c:pt idx="4">
                  <c:v>0.41084515089000001</c:v>
                </c:pt>
                <c:pt idx="5">
                  <c:v>0.38646759855000001</c:v>
                </c:pt>
                <c:pt idx="6">
                  <c:v>0.32764308647000001</c:v>
                </c:pt>
                <c:pt idx="7">
                  <c:v>0.30702889081000001</c:v>
                </c:pt>
                <c:pt idx="8">
                  <c:v>0.25958073283999999</c:v>
                </c:pt>
                <c:pt idx="9">
                  <c:v>0.236083499</c:v>
                </c:pt>
              </c:numCache>
            </c:numRef>
          </c:val>
          <c:extLst>
            <c:ext xmlns:c16="http://schemas.microsoft.com/office/drawing/2014/chart" uri="{C3380CC4-5D6E-409C-BE32-E72D297353CC}">
              <c16:uniqueId val="{0000001B-AB04-4EFD-83B4-A07FCE9CA7E4}"/>
            </c:ext>
          </c:extLst>
        </c:ser>
        <c:dLbls>
          <c:showLegendKey val="0"/>
          <c:showVal val="0"/>
          <c:showCatName val="0"/>
          <c:showSerName val="0"/>
          <c:showPercent val="0"/>
          <c:showBubbleSize val="0"/>
        </c:dLbls>
        <c:gapWidth val="150"/>
        <c:overlap val="100"/>
        <c:axId val="367160400"/>
        <c:axId val="367160816"/>
      </c:barChart>
      <c:lineChart>
        <c:grouping val="standard"/>
        <c:varyColors val="0"/>
        <c:ser>
          <c:idx val="4"/>
          <c:order val="4"/>
          <c:tx>
            <c:strRef>
              <c:f>'Dug vremenska serija (4) za PFM'!$I$6:$I$7</c:f>
              <c:strCache>
                <c:ptCount val="2"/>
                <c:pt idx="0">
                  <c:v>ЈАВНИ ДУГ/БДП (%, СЕКТОР ДРЖАВЕ)</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dLbl>
              <c:idx val="7"/>
              <c:layout>
                <c:manualLayout>
                  <c:x val="-3.7313811533801325E-2"/>
                  <c:y val="-8.265091863517062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AB04-4EFD-83B4-A07FCE9CA7E4}"/>
                </c:ext>
              </c:extLst>
            </c:dLbl>
            <c:dLbl>
              <c:idx val="8"/>
              <c:layout>
                <c:manualLayout>
                  <c:x val="-3.7414353948201036E-2"/>
                  <c:y val="3.6452045003929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AB04-4EFD-83B4-A07FCE9CA7E4}"/>
                </c:ext>
              </c:extLst>
            </c:dLbl>
            <c:dLbl>
              <c:idx val="9"/>
              <c:layout>
                <c:manualLayout>
                  <c:x val="-3.8442502809322369E-2"/>
                  <c:y val="-4.391134748103924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AB04-4EFD-83B4-A07FCE9CA7E4}"/>
                </c:ext>
              </c:extLst>
            </c:dLbl>
            <c:numFmt formatCode="0.0%" sourceLinked="0"/>
            <c:spPr>
              <a:noFill/>
              <a:ln>
                <a:noFill/>
              </a:ln>
              <a:effectLst/>
            </c:spPr>
            <c:txPr>
              <a:bodyPr rot="0" spcFirstLastPara="1" vertOverflow="ellipsis" vert="horz" wrap="square" anchor="ctr" anchorCtr="1"/>
              <a:lstStyle/>
              <a:p>
                <a:pPr>
                  <a:defRPr sz="700" b="1" i="0" u="none" strike="noStrike" kern="1200" baseline="0">
                    <a:solidFill>
                      <a:schemeClr val="tx1">
                        <a:lumMod val="85000"/>
                        <a:lumOff val="15000"/>
                      </a:schemeClr>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6350" cap="flat" cmpd="sng" algn="ctr">
                      <a:solidFill>
                        <a:schemeClr val="accent4"/>
                      </a:solidFill>
                      <a:round/>
                    </a:ln>
                    <a:effectLst/>
                  </c:spPr>
                </c15:leaderLines>
              </c:ext>
            </c:extLst>
          </c:dLbls>
          <c:cat>
            <c:numRef>
              <c:f>'Dug vremenska serija (4) za PFM'!$B$8:$B$17</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'Dug vremenska serija (4) za PFM'!$I$8:$I$17</c:f>
              <c:numCache>
                <c:formatCode>#,##0.0</c:formatCode>
                <c:ptCount val="10"/>
                <c:pt idx="0">
                  <c:v>0.68369824670854173</c:v>
                </c:pt>
                <c:pt idx="1">
                  <c:v>0.66204612229090065</c:v>
                </c:pt>
                <c:pt idx="2">
                  <c:v>0.56328463654534444</c:v>
                </c:pt>
                <c:pt idx="3">
                  <c:v>0.52142562046652274</c:v>
                </c:pt>
                <c:pt idx="4">
                  <c:v>0.50517490084333694</c:v>
                </c:pt>
                <c:pt idx="5">
                  <c:v>0.55189879391575414</c:v>
                </c:pt>
                <c:pt idx="6">
                  <c:v>0.5446703770751895</c:v>
                </c:pt>
                <c:pt idx="7">
                  <c:v>0.52891851849050486</c:v>
                </c:pt>
                <c:pt idx="8">
                  <c:v>0.48385208957561815</c:v>
                </c:pt>
                <c:pt idx="9">
                  <c:v>0.46947212861931814</c:v>
                </c:pt>
              </c:numCache>
            </c:numRef>
          </c:val>
          <c:smooth val="0"/>
          <c:extLst>
            <c:ext xmlns:c16="http://schemas.microsoft.com/office/drawing/2014/chart" uri="{C3380CC4-5D6E-409C-BE32-E72D297353CC}">
              <c16:uniqueId val="{0000001F-AB04-4EFD-83B4-A07FCE9CA7E4}"/>
            </c:ext>
          </c:extLst>
        </c:ser>
        <c:dLbls>
          <c:showLegendKey val="0"/>
          <c:showVal val="0"/>
          <c:showCatName val="0"/>
          <c:showSerName val="0"/>
          <c:showPercent val="0"/>
          <c:showBubbleSize val="0"/>
        </c:dLbls>
        <c:marker val="1"/>
        <c:smooth val="0"/>
        <c:axId val="784960704"/>
        <c:axId val="784960288"/>
      </c:lineChart>
      <c:catAx>
        <c:axId val="367160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85000"/>
                    <a:lumOff val="15000"/>
                  </a:schemeClr>
                </a:solidFill>
                <a:latin typeface="Times New Roman" panose="02020603050405020304" pitchFamily="18" charset="0"/>
                <a:ea typeface="+mn-ea"/>
                <a:cs typeface="Times New Roman" panose="02020603050405020304" pitchFamily="18" charset="0"/>
              </a:defRPr>
            </a:pPr>
            <a:endParaRPr lang="en-US"/>
          </a:p>
        </c:txPr>
        <c:crossAx val="367160816"/>
        <c:crosses val="autoZero"/>
        <c:auto val="1"/>
        <c:lblAlgn val="ctr"/>
        <c:lblOffset val="100"/>
        <c:noMultiLvlLbl val="0"/>
      </c:catAx>
      <c:valAx>
        <c:axId val="367160816"/>
        <c:scaling>
          <c:orientation val="minMax"/>
        </c:scaling>
        <c:delete val="0"/>
        <c:axPos val="l"/>
        <c:title>
          <c:tx>
            <c:rich>
              <a:bodyPr rot="-5400000" spcFirstLastPara="1" vertOverflow="ellipsis" vert="horz" wrap="square" anchor="ctr" anchorCtr="1"/>
              <a:lstStyle/>
              <a:p>
                <a:pPr>
                  <a:defRPr sz="700" b="0" i="0" u="none" strike="noStrike" kern="1200" baseline="0">
                    <a:solidFill>
                      <a:schemeClr val="tx1">
                        <a:lumMod val="85000"/>
                        <a:lumOff val="15000"/>
                      </a:schemeClr>
                    </a:solidFill>
                    <a:latin typeface="Times New Roman" panose="02020603050405020304" pitchFamily="18" charset="0"/>
                    <a:ea typeface="+mn-ea"/>
                    <a:cs typeface="Times New Roman" panose="02020603050405020304" pitchFamily="18" charset="0"/>
                  </a:defRPr>
                </a:pPr>
                <a:r>
                  <a:rPr lang="sr-Cyrl-RS"/>
                  <a:t>у милијардама </a:t>
                </a:r>
                <a:r>
                  <a:rPr lang="en-US"/>
                  <a:t>EUR</a:t>
                </a:r>
              </a:p>
            </c:rich>
          </c:tx>
          <c:layout>
            <c:manualLayout>
              <c:xMode val="edge"/>
              <c:yMode val="edge"/>
              <c:x val="8.6410739445847862E-3"/>
              <c:y val="0.29931176579244367"/>
            </c:manualLayout>
          </c:layout>
          <c:overlay val="0"/>
          <c:spPr>
            <a:noFill/>
            <a:ln>
              <a:noFill/>
            </a:ln>
            <a:effectLst/>
          </c:spPr>
          <c:txPr>
            <a:bodyPr rot="-5400000" spcFirstLastPara="1" vertOverflow="ellipsis" vert="horz" wrap="square" anchor="ctr" anchorCtr="1"/>
            <a:lstStyle/>
            <a:p>
              <a:pPr>
                <a:defRPr sz="700" b="0" i="0" u="none" strike="noStrike" kern="1200" baseline="0">
                  <a:solidFill>
                    <a:schemeClr val="tx1">
                      <a:lumMod val="85000"/>
                      <a:lumOff val="15000"/>
                    </a:schemeClr>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85000"/>
                    <a:lumOff val="15000"/>
                  </a:schemeClr>
                </a:solidFill>
                <a:latin typeface="Times New Roman" panose="02020603050405020304" pitchFamily="18" charset="0"/>
                <a:ea typeface="+mn-ea"/>
                <a:cs typeface="Times New Roman" panose="02020603050405020304" pitchFamily="18" charset="0"/>
              </a:defRPr>
            </a:pPr>
            <a:endParaRPr lang="en-US"/>
          </a:p>
        </c:txPr>
        <c:crossAx val="367160400"/>
        <c:crosses val="autoZero"/>
        <c:crossBetween val="between"/>
      </c:valAx>
      <c:valAx>
        <c:axId val="784960288"/>
        <c:scaling>
          <c:orientation val="minMax"/>
          <c:max val="0.72000000000000008"/>
          <c:min val="0"/>
        </c:scaling>
        <c:delete val="0"/>
        <c:axPos val="r"/>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85000"/>
                    <a:lumOff val="15000"/>
                  </a:schemeClr>
                </a:solidFill>
                <a:latin typeface="Times New Roman" panose="02020603050405020304" pitchFamily="18" charset="0"/>
                <a:ea typeface="+mn-ea"/>
                <a:cs typeface="Times New Roman" panose="02020603050405020304" pitchFamily="18" charset="0"/>
              </a:defRPr>
            </a:pPr>
            <a:endParaRPr lang="en-US"/>
          </a:p>
        </c:txPr>
        <c:crossAx val="784960704"/>
        <c:crosses val="max"/>
        <c:crossBetween val="between"/>
      </c:valAx>
      <c:catAx>
        <c:axId val="784960704"/>
        <c:scaling>
          <c:orientation val="minMax"/>
        </c:scaling>
        <c:delete val="1"/>
        <c:axPos val="b"/>
        <c:numFmt formatCode="General" sourceLinked="1"/>
        <c:majorTickMark val="out"/>
        <c:minorTickMark val="none"/>
        <c:tickLblPos val="nextTo"/>
        <c:crossAx val="784960288"/>
        <c:crosses val="autoZero"/>
        <c:auto val="1"/>
        <c:lblAlgn val="ctr"/>
        <c:lblOffset val="100"/>
        <c:noMultiLvlLbl val="0"/>
      </c:catAx>
      <c:spPr>
        <a:pattFill prst="smGrid">
          <a:fgClr>
            <a:srgbClr val="000000">
              <a:alpha val="0"/>
            </a:srgbClr>
          </a:fgClr>
          <a:bgClr>
            <a:srgbClr val="FFFFFF"/>
          </a:bgClr>
        </a:pattFill>
        <a:ln w="25400">
          <a:noFill/>
        </a:ln>
        <a:effectLst/>
      </c:spPr>
    </c:plotArea>
    <c:legend>
      <c:legendPos val="b"/>
      <c:layout>
        <c:manualLayout>
          <c:xMode val="edge"/>
          <c:yMode val="edge"/>
          <c:x val="1.741694989584476E-2"/>
          <c:y val="0.83606786423835555"/>
          <c:w val="0.97779190878193178"/>
          <c:h val="0.16393213576164428"/>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85000"/>
                  <a:lumOff val="1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sz="700">
          <a:solidFill>
            <a:schemeClr val="tx1">
              <a:lumMod val="85000"/>
              <a:lumOff val="15000"/>
            </a:schemeClr>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Sheet1!$D$6</c:f>
              <c:strCache>
                <c:ptCount val="1"/>
                <c:pt idx="0">
                  <c:v>Камате / БДП</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Sheet1!$E$5:$N$5</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Sheet1!$E$6:$N$6</c:f>
              <c:numCache>
                <c:formatCode>0.0%</c:formatCode>
                <c:ptCount val="10"/>
                <c:pt idx="0">
                  <c:v>2.7990550397444587E-2</c:v>
                </c:pt>
                <c:pt idx="1">
                  <c:v>2.7249413666221977E-2</c:v>
                </c:pt>
                <c:pt idx="2">
                  <c:v>2.3823830470025145E-2</c:v>
                </c:pt>
                <c:pt idx="3">
                  <c:v>2.0108087635044684E-2</c:v>
                </c:pt>
                <c:pt idx="4">
                  <c:v>1.8834461390554887E-2</c:v>
                </c:pt>
                <c:pt idx="5">
                  <c:v>1.872575521352083E-2</c:v>
                </c:pt>
                <c:pt idx="6">
                  <c:v>1.5647867142298315E-2</c:v>
                </c:pt>
                <c:pt idx="7">
                  <c:v>1.4097596539169031E-2</c:v>
                </c:pt>
                <c:pt idx="8">
                  <c:v>1.660528247489975E-2</c:v>
                </c:pt>
                <c:pt idx="9">
                  <c:v>1.8209074321543603E-2</c:v>
                </c:pt>
              </c:numCache>
            </c:numRef>
          </c:val>
          <c:smooth val="0"/>
          <c:extLst>
            <c:ext xmlns:c16="http://schemas.microsoft.com/office/drawing/2014/chart" uri="{C3380CC4-5D6E-409C-BE32-E72D297353CC}">
              <c16:uniqueId val="{00000000-F207-477A-9435-0C7607621F6F}"/>
            </c:ext>
          </c:extLst>
        </c:ser>
        <c:ser>
          <c:idx val="1"/>
          <c:order val="1"/>
          <c:tx>
            <c:strRef>
              <c:f>Sheet1!$D$7</c:f>
              <c:strCache>
                <c:ptCount val="1"/>
                <c:pt idx="0">
                  <c:v>Просечно пондерисана каматна стопа</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Sheet1!$E$5:$N$5</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Sheet1!$E$7:$N$7</c:f>
              <c:numCache>
                <c:formatCode>0.00%</c:formatCode>
                <c:ptCount val="10"/>
                <c:pt idx="0">
                  <c:v>5.4100000000000002E-2</c:v>
                </c:pt>
                <c:pt idx="1">
                  <c:v>4.4900000000000002E-2</c:v>
                </c:pt>
                <c:pt idx="2">
                  <c:v>0.04</c:v>
                </c:pt>
                <c:pt idx="3">
                  <c:v>3.6499999999999998E-2</c:v>
                </c:pt>
                <c:pt idx="4">
                  <c:v>3.27E-2</c:v>
                </c:pt>
                <c:pt idx="5">
                  <c:v>2.905432238097929E-2</c:v>
                </c:pt>
                <c:pt idx="6">
                  <c:v>2.5295167514117759E-2</c:v>
                </c:pt>
                <c:pt idx="7">
                  <c:v>2.845292462825412E-2</c:v>
                </c:pt>
                <c:pt idx="8">
                  <c:v>3.6359058173754184E-2</c:v>
                </c:pt>
                <c:pt idx="9">
                  <c:v>3.6779558454226279E-2</c:v>
                </c:pt>
              </c:numCache>
            </c:numRef>
          </c:val>
          <c:smooth val="0"/>
          <c:extLst>
            <c:ext xmlns:c16="http://schemas.microsoft.com/office/drawing/2014/chart" uri="{C3380CC4-5D6E-409C-BE32-E72D297353CC}">
              <c16:uniqueId val="{00000001-F207-477A-9435-0C7607621F6F}"/>
            </c:ext>
          </c:extLst>
        </c:ser>
        <c:dLbls>
          <c:showLegendKey val="0"/>
          <c:showVal val="0"/>
          <c:showCatName val="0"/>
          <c:showSerName val="0"/>
          <c:showPercent val="0"/>
          <c:showBubbleSize val="0"/>
        </c:dLbls>
        <c:smooth val="0"/>
        <c:axId val="1191741823"/>
        <c:axId val="860082576"/>
      </c:lineChart>
      <c:catAx>
        <c:axId val="11917418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60082576"/>
        <c:crosses val="autoZero"/>
        <c:auto val="1"/>
        <c:lblAlgn val="ctr"/>
        <c:lblOffset val="100"/>
        <c:noMultiLvlLbl val="0"/>
      </c:catAx>
      <c:valAx>
        <c:axId val="860082576"/>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917418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sr-Cyrl-RS"/>
              <a:t>Сертификација службеника за јавне набавке</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tx>
            <c:strRef>
              <c:f>Sheet1!$B$1</c:f>
              <c:strCache>
                <c:ptCount val="1"/>
                <c:pt idx="0">
                  <c:v>Успешност (проценат)</c:v>
                </c:pt>
              </c:strCache>
            </c:strRef>
          </c:tx>
          <c:spPr>
            <a:solidFill>
              <a:schemeClr val="accent1"/>
            </a:solidFill>
            <a:ln>
              <a:noFill/>
            </a:ln>
            <a:effectLst/>
          </c:spPr>
          <c:invertIfNegative val="0"/>
          <c:dLbls>
            <c:dLbl>
              <c:idx val="0"/>
              <c:tx>
                <c:rich>
                  <a:bodyPr/>
                  <a:lstStyle/>
                  <a:p>
                    <a:r>
                      <a:rPr lang="en-US"/>
                      <a:t>53.59%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878-40A2-BDC4-69FD02B38C44}"/>
                </c:ext>
              </c:extLst>
            </c:dLbl>
            <c:dLbl>
              <c:idx val="1"/>
              <c:tx>
                <c:rich>
                  <a:bodyPr/>
                  <a:lstStyle/>
                  <a:p>
                    <a:r>
                      <a:rPr lang="en-US"/>
                      <a:t>50.55%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3878-40A2-BDC4-69FD02B38C44}"/>
                </c:ext>
              </c:extLst>
            </c:dLbl>
            <c:dLbl>
              <c:idx val="2"/>
              <c:tx>
                <c:rich>
                  <a:bodyPr/>
                  <a:lstStyle/>
                  <a:p>
                    <a:r>
                      <a:rPr lang="en-US"/>
                      <a:t>48.5%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3878-40A2-BDC4-69FD02B38C44}"/>
                </c:ext>
              </c:extLst>
            </c:dLbl>
            <c:dLbl>
              <c:idx val="3"/>
              <c:tx>
                <c:rich>
                  <a:bodyPr/>
                  <a:lstStyle/>
                  <a:p>
                    <a:r>
                      <a:rPr lang="en-US"/>
                      <a:t>59%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3878-40A2-BDC4-69FD02B38C44}"/>
                </c:ext>
              </c:extLst>
            </c:dLbl>
            <c:dLbl>
              <c:idx val="4"/>
              <c:tx>
                <c:rich>
                  <a:bodyPr/>
                  <a:lstStyle/>
                  <a:p>
                    <a:r>
                      <a:rPr lang="en-US"/>
                      <a:t>43.2%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3878-40A2-BDC4-69FD02B38C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2021</c:v>
                </c:pt>
                <c:pt idx="1">
                  <c:v>2022</c:v>
                </c:pt>
                <c:pt idx="2">
                  <c:v>2023</c:v>
                </c:pt>
                <c:pt idx="3">
                  <c:v>2024</c:v>
                </c:pt>
                <c:pt idx="4">
                  <c:v>2025</c:v>
                </c:pt>
              </c:numCache>
            </c:numRef>
          </c:cat>
          <c:val>
            <c:numRef>
              <c:f>Sheet1!$B$2:$B$6</c:f>
              <c:numCache>
                <c:formatCode>General</c:formatCode>
                <c:ptCount val="5"/>
                <c:pt idx="0">
                  <c:v>53.39</c:v>
                </c:pt>
                <c:pt idx="1">
                  <c:v>50.5</c:v>
                </c:pt>
                <c:pt idx="2" formatCode="0.00%">
                  <c:v>48.5</c:v>
                </c:pt>
                <c:pt idx="3" formatCode="0%">
                  <c:v>59</c:v>
                </c:pt>
                <c:pt idx="4">
                  <c:v>43.2</c:v>
                </c:pt>
              </c:numCache>
            </c:numRef>
          </c:val>
          <c:extLst>
            <c:ext xmlns:c16="http://schemas.microsoft.com/office/drawing/2014/chart" uri="{C3380CC4-5D6E-409C-BE32-E72D297353CC}">
              <c16:uniqueId val="{00000005-3878-40A2-BDC4-69FD02B38C44}"/>
            </c:ext>
          </c:extLst>
        </c:ser>
        <c:ser>
          <c:idx val="1"/>
          <c:order val="1"/>
          <c:tx>
            <c:strRef>
              <c:f>Sheet1!$C$1</c:f>
              <c:strCache>
                <c:ptCount val="1"/>
                <c:pt idx="0">
                  <c:v>Број организованих испита</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2021</c:v>
                </c:pt>
                <c:pt idx="1">
                  <c:v>2022</c:v>
                </c:pt>
                <c:pt idx="2">
                  <c:v>2023</c:v>
                </c:pt>
                <c:pt idx="3">
                  <c:v>2024</c:v>
                </c:pt>
                <c:pt idx="4">
                  <c:v>2025</c:v>
                </c:pt>
              </c:numCache>
            </c:numRef>
          </c:cat>
          <c:val>
            <c:numRef>
              <c:f>Sheet1!$C$2:$C$6</c:f>
              <c:numCache>
                <c:formatCode>General</c:formatCode>
                <c:ptCount val="5"/>
                <c:pt idx="0">
                  <c:v>18</c:v>
                </c:pt>
                <c:pt idx="1">
                  <c:v>22</c:v>
                </c:pt>
                <c:pt idx="2">
                  <c:v>22</c:v>
                </c:pt>
                <c:pt idx="3">
                  <c:v>23</c:v>
                </c:pt>
                <c:pt idx="4">
                  <c:v>23</c:v>
                </c:pt>
              </c:numCache>
            </c:numRef>
          </c:val>
          <c:extLst>
            <c:ext xmlns:c16="http://schemas.microsoft.com/office/drawing/2014/chart" uri="{C3380CC4-5D6E-409C-BE32-E72D297353CC}">
              <c16:uniqueId val="{00000006-3878-40A2-BDC4-69FD02B38C44}"/>
            </c:ext>
          </c:extLst>
        </c:ser>
        <c:ser>
          <c:idx val="2"/>
          <c:order val="2"/>
          <c:tx>
            <c:strRef>
              <c:f>Sheet1!$D$1</c:f>
              <c:strCache>
                <c:ptCount val="1"/>
                <c:pt idx="0">
                  <c:v>Број сертификованих службеника за јавне набавке</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2021</c:v>
                </c:pt>
                <c:pt idx="1">
                  <c:v>2022</c:v>
                </c:pt>
                <c:pt idx="2">
                  <c:v>2023</c:v>
                </c:pt>
                <c:pt idx="3">
                  <c:v>2024</c:v>
                </c:pt>
                <c:pt idx="4">
                  <c:v>2025</c:v>
                </c:pt>
              </c:numCache>
            </c:numRef>
          </c:cat>
          <c:val>
            <c:numRef>
              <c:f>Sheet1!$D$2:$D$6</c:f>
              <c:numCache>
                <c:formatCode>General</c:formatCode>
                <c:ptCount val="5"/>
                <c:pt idx="0">
                  <c:v>118</c:v>
                </c:pt>
                <c:pt idx="1">
                  <c:v>181</c:v>
                </c:pt>
                <c:pt idx="2">
                  <c:v>205</c:v>
                </c:pt>
                <c:pt idx="3">
                  <c:v>289</c:v>
                </c:pt>
                <c:pt idx="4">
                  <c:v>261</c:v>
                </c:pt>
              </c:numCache>
            </c:numRef>
          </c:val>
          <c:extLst>
            <c:ext xmlns:c16="http://schemas.microsoft.com/office/drawing/2014/chart" uri="{C3380CC4-5D6E-409C-BE32-E72D297353CC}">
              <c16:uniqueId val="{00000007-3878-40A2-BDC4-69FD02B38C44}"/>
            </c:ext>
          </c:extLst>
        </c:ser>
        <c:dLbls>
          <c:showLegendKey val="0"/>
          <c:showVal val="0"/>
          <c:showCatName val="0"/>
          <c:showSerName val="0"/>
          <c:showPercent val="0"/>
          <c:showBubbleSize val="0"/>
        </c:dLbls>
        <c:gapWidth val="182"/>
        <c:axId val="765441887"/>
        <c:axId val="760938527"/>
      </c:barChart>
      <c:catAx>
        <c:axId val="76544188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760938527"/>
        <c:crosses val="autoZero"/>
        <c:auto val="1"/>
        <c:lblAlgn val="ctr"/>
        <c:lblOffset val="100"/>
        <c:noMultiLvlLbl val="0"/>
      </c:catAx>
      <c:valAx>
        <c:axId val="7609385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7654418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Sheet1!$B$40</c:f>
              <c:strCache>
                <c:ptCount val="1"/>
                <c:pt idx="0">
                  <c:v>Број планираних надзора</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Sheet1!$C$39:$F$39</c:f>
              <c:numCache>
                <c:formatCode>General</c:formatCode>
                <c:ptCount val="4"/>
                <c:pt idx="0">
                  <c:v>2021</c:v>
                </c:pt>
                <c:pt idx="1">
                  <c:v>2022</c:v>
                </c:pt>
                <c:pt idx="2">
                  <c:v>2023</c:v>
                </c:pt>
                <c:pt idx="3">
                  <c:v>2024</c:v>
                </c:pt>
              </c:numCache>
            </c:numRef>
          </c:cat>
          <c:val>
            <c:numRef>
              <c:f>Sheet1!$C$40:$F$40</c:f>
              <c:numCache>
                <c:formatCode>General</c:formatCode>
                <c:ptCount val="4"/>
                <c:pt idx="0">
                  <c:v>50</c:v>
                </c:pt>
                <c:pt idx="1">
                  <c:v>52</c:v>
                </c:pt>
                <c:pt idx="2">
                  <c:v>55</c:v>
                </c:pt>
                <c:pt idx="3">
                  <c:v>80</c:v>
                </c:pt>
              </c:numCache>
            </c:numRef>
          </c:val>
          <c:extLst>
            <c:ext xmlns:c16="http://schemas.microsoft.com/office/drawing/2014/chart" uri="{C3380CC4-5D6E-409C-BE32-E72D297353CC}">
              <c16:uniqueId val="{00000000-240F-4747-988C-DBF7827A4E46}"/>
            </c:ext>
          </c:extLst>
        </c:ser>
        <c:ser>
          <c:idx val="1"/>
          <c:order val="1"/>
          <c:tx>
            <c:strRef>
              <c:f>Sheet1!$B$41</c:f>
              <c:strCache>
                <c:ptCount val="1"/>
                <c:pt idx="0">
                  <c:v>Број извршених надзора</c:v>
                </c:pt>
              </c:strCache>
            </c:strRef>
          </c:tx>
          <c:spPr>
            <a:solidFill>
              <a:srgbClr val="006600"/>
            </a:solidFill>
            <a:ln>
              <a:solidFill>
                <a:schemeClr val="accent1"/>
              </a:solidFill>
            </a:ln>
            <a:effectLst>
              <a:innerShdw blurRad="63500" dist="50800" dir="16200000">
                <a:prstClr val="black">
                  <a:alpha val="50000"/>
                </a:prst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Sheet1!$C$39:$F$39</c:f>
              <c:numCache>
                <c:formatCode>General</c:formatCode>
                <c:ptCount val="4"/>
                <c:pt idx="0">
                  <c:v>2021</c:v>
                </c:pt>
                <c:pt idx="1">
                  <c:v>2022</c:v>
                </c:pt>
                <c:pt idx="2">
                  <c:v>2023</c:v>
                </c:pt>
                <c:pt idx="3">
                  <c:v>2024</c:v>
                </c:pt>
              </c:numCache>
            </c:numRef>
          </c:cat>
          <c:val>
            <c:numRef>
              <c:f>Sheet1!$C$41:$F$41</c:f>
              <c:numCache>
                <c:formatCode>General</c:formatCode>
                <c:ptCount val="4"/>
                <c:pt idx="0">
                  <c:v>67</c:v>
                </c:pt>
                <c:pt idx="1">
                  <c:v>127</c:v>
                </c:pt>
                <c:pt idx="2">
                  <c:v>190</c:v>
                </c:pt>
                <c:pt idx="3">
                  <c:v>218</c:v>
                </c:pt>
              </c:numCache>
            </c:numRef>
          </c:val>
          <c:extLst>
            <c:ext xmlns:c16="http://schemas.microsoft.com/office/drawing/2014/chart" uri="{C3380CC4-5D6E-409C-BE32-E72D297353CC}">
              <c16:uniqueId val="{00000001-240F-4747-988C-DBF7827A4E46}"/>
            </c:ext>
          </c:extLst>
        </c:ser>
        <c:dLbls>
          <c:showLegendKey val="0"/>
          <c:showVal val="0"/>
          <c:showCatName val="0"/>
          <c:showSerName val="0"/>
          <c:showPercent val="0"/>
          <c:showBubbleSize val="0"/>
        </c:dLbls>
        <c:gapWidth val="199"/>
        <c:axId val="622924639"/>
        <c:axId val="622925887"/>
      </c:barChart>
      <c:catAx>
        <c:axId val="622924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cap="none" spc="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622925887"/>
        <c:crosses val="autoZero"/>
        <c:auto val="1"/>
        <c:lblAlgn val="ctr"/>
        <c:lblOffset val="100"/>
        <c:noMultiLvlLbl val="0"/>
      </c:catAx>
      <c:valAx>
        <c:axId val="622925887"/>
        <c:scaling>
          <c:orientation val="minMax"/>
        </c:scaling>
        <c:delete val="1"/>
        <c:axPos val="l"/>
        <c:numFmt formatCode="General" sourceLinked="1"/>
        <c:majorTickMark val="none"/>
        <c:minorTickMark val="none"/>
        <c:tickLblPos val="nextTo"/>
        <c:crossAx val="6229246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3175" cap="flat" cmpd="sng" algn="ctr">
      <a:solidFill>
        <a:srgbClr val="0070C0"/>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0.5375</cdr:x>
      <cdr:y>0.91146</cdr:y>
    </cdr:from>
    <cdr:to>
      <cdr:x>0.9875</cdr:x>
      <cdr:y>0.96007</cdr:y>
    </cdr:to>
    <cdr:sp macro="" textlink="">
      <cdr:nvSpPr>
        <cdr:cNvPr id="2" name="TextBox 1">
          <a:extLst xmlns:a="http://schemas.openxmlformats.org/drawingml/2006/main">
            <a:ext uri="{FF2B5EF4-FFF2-40B4-BE49-F238E27FC236}">
              <a16:creationId xmlns:a16="http://schemas.microsoft.com/office/drawing/2014/main" id="{01CDEAA4-B86F-1BCE-643A-43B20D202AD5}"/>
            </a:ext>
          </a:extLst>
        </cdr:cNvPr>
        <cdr:cNvSpPr txBox="1"/>
      </cdr:nvSpPr>
      <cdr:spPr>
        <a:xfrm xmlns:a="http://schemas.openxmlformats.org/drawingml/2006/main">
          <a:off x="2457450" y="2500313"/>
          <a:ext cx="2057400" cy="1333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sr-Latn-RS" sz="1100" kern="1200"/>
        </a:p>
      </cdr:txBody>
    </cdr:sp>
  </cdr:relSizeAnchor>
</c:userShape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UJD">
    <a:dk1>
      <a:sysClr val="windowText" lastClr="000000"/>
    </a:dk1>
    <a:lt1>
      <a:sysClr val="window" lastClr="FFFFFF"/>
    </a:lt1>
    <a:dk2>
      <a:srgbClr val="44546A"/>
    </a:dk2>
    <a:lt2>
      <a:srgbClr val="E7E6E6"/>
    </a:lt2>
    <a:accent1>
      <a:srgbClr val="1A4276"/>
    </a:accent1>
    <a:accent2>
      <a:srgbClr val="69693F"/>
    </a:accent2>
    <a:accent3>
      <a:srgbClr val="A5A5A5"/>
    </a:accent3>
    <a:accent4>
      <a:srgbClr val="2953CF"/>
    </a:accent4>
    <a:accent5>
      <a:srgbClr val="C8363E"/>
    </a:accent5>
    <a:accent6>
      <a:srgbClr val="C4C433"/>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C5615-B3B4-4B7F-A2E6-3FA382EC9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TotalTime>
  <Pages>81</Pages>
  <Words>30953</Words>
  <Characters>176437</Characters>
  <Application>Microsoft Office Word</Application>
  <DocSecurity>0</DocSecurity>
  <Lines>1470</Lines>
  <Paragraphs>413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Petrović</dc:creator>
  <cp:keywords/>
  <dc:description/>
  <cp:lastModifiedBy>Mladen Lazić</cp:lastModifiedBy>
  <cp:revision>12</cp:revision>
  <cp:lastPrinted>2026-05-15T07:08:00Z</cp:lastPrinted>
  <dcterms:created xsi:type="dcterms:W3CDTF">2026-06-03T09:26:00Z</dcterms:created>
  <dcterms:modified xsi:type="dcterms:W3CDTF">2026-06-18T10:14:00Z</dcterms:modified>
</cp:coreProperties>
</file>