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FA" w:rsidRDefault="00E53CAC">
      <w:pPr>
        <w:spacing w:after="150"/>
      </w:pPr>
      <w:r>
        <w:rPr>
          <w:rFonts w:ascii="Arial"/>
          <w:color w:val="000000"/>
        </w:rPr>
        <w:t>﻿</w:t>
      </w:r>
      <w:r>
        <w:t xml:space="preserve"> </w:t>
      </w:r>
    </w:p>
    <w:p w:rsidR="001218FA" w:rsidRDefault="00E53CAC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268. став 6. Закона о накнадама за коришћење јавних добара („Службени гласник РС”, бр. 95/18, 49/19 и 92/23) и члана 17. став </w:t>
      </w:r>
      <w:r>
        <w:rPr>
          <w:color w:val="000000"/>
        </w:rPr>
        <w:t>4. и члана 24. Закона о Влади („Службени гласник РС”, бр. 55/05, 71/05 – исправка, 101/07, 65/08, 16/11, 68/12 – УС, 72/12, 7/14 – УС, 44/14 и 30/18 – др. закон),</w:t>
      </w:r>
    </w:p>
    <w:p w:rsidR="001218FA" w:rsidRDefault="00E53CAC">
      <w:pPr>
        <w:spacing w:after="150"/>
      </w:pPr>
      <w:r>
        <w:rPr>
          <w:color w:val="000000"/>
        </w:rPr>
        <w:t>Министар финансија доноси</w:t>
      </w:r>
    </w:p>
    <w:p w:rsidR="001218FA" w:rsidRDefault="00E53CAC">
      <w:pPr>
        <w:spacing w:after="225"/>
        <w:jc w:val="center"/>
      </w:pPr>
      <w:r>
        <w:rPr>
          <w:b/>
          <w:color w:val="000000"/>
        </w:rPr>
        <w:t>ПРАВИЛНИК</w:t>
      </w:r>
    </w:p>
    <w:p w:rsidR="001218FA" w:rsidRDefault="00E53CAC">
      <w:pPr>
        <w:spacing w:after="150"/>
        <w:jc w:val="center"/>
      </w:pPr>
      <w:r>
        <w:rPr>
          <w:b/>
          <w:color w:val="000000"/>
        </w:rPr>
        <w:t>о обрасцу извештаја о наплаћеним накнадама за коришћење ј</w:t>
      </w:r>
      <w:r>
        <w:rPr>
          <w:b/>
          <w:color w:val="000000"/>
        </w:rPr>
        <w:t>авних добара</w:t>
      </w:r>
    </w:p>
    <w:p w:rsidR="001218FA" w:rsidRDefault="00E53CAC">
      <w:pPr>
        <w:spacing w:after="120"/>
        <w:jc w:val="center"/>
      </w:pPr>
      <w:r>
        <w:rPr>
          <w:color w:val="000000"/>
        </w:rPr>
        <w:t>Члан 1.</w:t>
      </w:r>
    </w:p>
    <w:p w:rsidR="001218FA" w:rsidRDefault="00E53CAC">
      <w:pPr>
        <w:spacing w:after="150"/>
      </w:pPr>
      <w:r>
        <w:rPr>
          <w:color w:val="000000"/>
        </w:rPr>
        <w:t>Овим правилником ближе се прописује изглед и садржина обрасца извештаја о наплаћеним накнадама за коришћење јавних добара које наплаћују корисници шума и шумског земљишта, управљачи, регулаторна тела, односно регулаторна агенција за ко</w:t>
      </w:r>
      <w:r>
        <w:rPr>
          <w:color w:val="000000"/>
        </w:rPr>
        <w:t>ришћење шумског земљишта у државној својини у нешумске намене, заштићеног подручја, лука и пристаништа, општинских путева и улица, јавне железничке инфраструктуре, туристичког простора и за електронске комуникације, као и начин достављања тог обрасца.</w:t>
      </w:r>
    </w:p>
    <w:p w:rsidR="001218FA" w:rsidRDefault="00E53CAC">
      <w:pPr>
        <w:spacing w:after="120"/>
        <w:jc w:val="center"/>
      </w:pPr>
      <w:r>
        <w:rPr>
          <w:color w:val="000000"/>
        </w:rPr>
        <w:t>Члан</w:t>
      </w:r>
      <w:r>
        <w:rPr>
          <w:color w:val="000000"/>
        </w:rPr>
        <w:t xml:space="preserve"> 2.</w:t>
      </w:r>
    </w:p>
    <w:p w:rsidR="001218FA" w:rsidRDefault="00E53CAC">
      <w:pPr>
        <w:spacing w:after="150"/>
      </w:pPr>
      <w:r>
        <w:rPr>
          <w:color w:val="000000"/>
        </w:rPr>
        <w:t xml:space="preserve">Корисници шума и шумског земљишта, управљачи, регулаторна тела, односно регулаторна агенција који врше наплату накнада за коришћење јавних добара достављају извештај о наплаћеним накнадама на Обрасцу НКЈД – Извештај о наплаћеним накнадама за коришћење </w:t>
      </w:r>
      <w:r>
        <w:rPr>
          <w:color w:val="000000"/>
        </w:rPr>
        <w:t>јавних добара, који је одштампан уз овај правилник и чини његов саставни део.</w:t>
      </w:r>
    </w:p>
    <w:p w:rsidR="001218FA" w:rsidRDefault="00E53CAC">
      <w:pPr>
        <w:spacing w:after="150"/>
      </w:pPr>
      <w:r>
        <w:rPr>
          <w:color w:val="000000"/>
        </w:rPr>
        <w:t xml:space="preserve">У извештај из става 1. овог члана уносе се подаци о врсти извештаја, подаци о подносиоцу извештаја и подаци о утврђеним и наплаћеним накнадама за коришћење јавног добра по врсти </w:t>
      </w:r>
      <w:r>
        <w:rPr>
          <w:color w:val="000000"/>
        </w:rPr>
        <w:t>накнаде, односно подаци о износу ослобођења и олакшица.</w:t>
      </w:r>
    </w:p>
    <w:p w:rsidR="001218FA" w:rsidRDefault="00E53CAC">
      <w:pPr>
        <w:spacing w:after="150"/>
      </w:pPr>
      <w:r>
        <w:rPr>
          <w:color w:val="000000"/>
        </w:rPr>
        <w:t>У део 1. Врста извештаја и извештајни период уносе се подаци о врсти извештаја и извештајном периоду, и то:</w:t>
      </w:r>
    </w:p>
    <w:p w:rsidR="001218FA" w:rsidRDefault="00E53CAC">
      <w:pPr>
        <w:spacing w:after="150"/>
      </w:pPr>
      <w:r>
        <w:rPr>
          <w:color w:val="000000"/>
        </w:rPr>
        <w:t>– у поље 1.1. Годишњи извештај – уписује се ознака X уколико се подноси Годишњи извештај;</w:t>
      </w:r>
    </w:p>
    <w:p w:rsidR="001218FA" w:rsidRDefault="00E53CAC">
      <w:pPr>
        <w:spacing w:after="150"/>
      </w:pPr>
      <w:r>
        <w:rPr>
          <w:color w:val="000000"/>
        </w:rPr>
        <w:t xml:space="preserve">– </w:t>
      </w:r>
      <w:r>
        <w:rPr>
          <w:color w:val="000000"/>
        </w:rPr>
        <w:t>у поље 1.2. Измењени годишњи извештај – уписује се ознака X уколико се подноси Измењени годишњи извештај. Измењени годишњи извештај у односу на годишњи извештај садржи промењене податке и податке који остају исти;</w:t>
      </w:r>
    </w:p>
    <w:p w:rsidR="001218FA" w:rsidRDefault="00E53CAC">
      <w:pPr>
        <w:spacing w:after="150"/>
      </w:pPr>
      <w:r>
        <w:rPr>
          <w:color w:val="000000"/>
        </w:rPr>
        <w:t>– у поље 1.3. Извештајни период – уноси се</w:t>
      </w:r>
      <w:r>
        <w:rPr>
          <w:color w:val="000000"/>
        </w:rPr>
        <w:t xml:space="preserve"> податак о извештајном периоду (календарска година). Уколико је извештајни период краћи од календарске </w:t>
      </w:r>
      <w:r>
        <w:rPr>
          <w:color w:val="000000"/>
        </w:rPr>
        <w:lastRenderedPageBreak/>
        <w:t>године услед почетка, односно престанка пословања подносиоца извештаја на повереним пословима утврђивања и наплате накнаде за коришћење јавних добара, ун</w:t>
      </w:r>
      <w:r>
        <w:rPr>
          <w:color w:val="000000"/>
        </w:rPr>
        <w:t>оси се период обављања поверених послова.</w:t>
      </w:r>
    </w:p>
    <w:p w:rsidR="001218FA" w:rsidRDefault="00E53CAC">
      <w:pPr>
        <w:spacing w:after="150"/>
      </w:pPr>
      <w:r>
        <w:rPr>
          <w:color w:val="000000"/>
        </w:rPr>
        <w:t>У део 2. Подаци о подносиоцу извештаја уносе се основни подаци о подносиоцу извештаја, и то:</w:t>
      </w:r>
    </w:p>
    <w:p w:rsidR="001218FA" w:rsidRDefault="00E53CAC">
      <w:pPr>
        <w:spacing w:after="150"/>
      </w:pPr>
      <w:r>
        <w:rPr>
          <w:color w:val="000000"/>
        </w:rPr>
        <w:t>– у поље 2.1. Назив подносиоца извештаја – уноси се назив подносиоца извештаја;</w:t>
      </w:r>
    </w:p>
    <w:p w:rsidR="001218FA" w:rsidRDefault="00E53CAC">
      <w:pPr>
        <w:spacing w:after="150"/>
      </w:pPr>
      <w:r>
        <w:rPr>
          <w:color w:val="000000"/>
        </w:rPr>
        <w:t>– у поље 2.2. Адреса – уноси се адреса се</w:t>
      </w:r>
      <w:r>
        <w:rPr>
          <w:color w:val="000000"/>
        </w:rPr>
        <w:t>дишта подносиоца извештаја;</w:t>
      </w:r>
    </w:p>
    <w:p w:rsidR="001218FA" w:rsidRDefault="00E53CAC">
      <w:pPr>
        <w:spacing w:after="150"/>
      </w:pPr>
      <w:r>
        <w:rPr>
          <w:color w:val="000000"/>
        </w:rPr>
        <w:t>– у поље 2.3. ПИБ – уноси се порески идентификациони број подносиоца извештаја;</w:t>
      </w:r>
    </w:p>
    <w:p w:rsidR="001218FA" w:rsidRDefault="00E53CAC">
      <w:pPr>
        <w:spacing w:after="150"/>
      </w:pPr>
      <w:r>
        <w:rPr>
          <w:color w:val="000000"/>
        </w:rPr>
        <w:t>– у поље 2.4. Име и презиме контакт особе – уноси се име и презиме контакт особе;</w:t>
      </w:r>
    </w:p>
    <w:p w:rsidR="001218FA" w:rsidRDefault="00E53CAC">
      <w:pPr>
        <w:spacing w:after="150"/>
      </w:pPr>
      <w:r>
        <w:rPr>
          <w:color w:val="000000"/>
        </w:rPr>
        <w:t>– у поље 2.5. Телефон контакт особе – уноси се телефон контакт осо</w:t>
      </w:r>
      <w:r>
        <w:rPr>
          <w:color w:val="000000"/>
        </w:rPr>
        <w:t>бе подносиоца извештаја;</w:t>
      </w:r>
    </w:p>
    <w:p w:rsidR="001218FA" w:rsidRDefault="00E53CAC">
      <w:pPr>
        <w:spacing w:after="150"/>
      </w:pPr>
      <w:r>
        <w:rPr>
          <w:color w:val="000000"/>
        </w:rPr>
        <w:t>– у поље 2.6. е-mail – уноси се електронска адреса подносиоца извештаја.</w:t>
      </w:r>
    </w:p>
    <w:p w:rsidR="001218FA" w:rsidRDefault="00E53CAC">
      <w:pPr>
        <w:spacing w:after="150"/>
      </w:pPr>
      <w:r>
        <w:rPr>
          <w:color w:val="000000"/>
        </w:rPr>
        <w:t>У део 3. Подаци о утврђеним и наплаћеним накнадама уносе се подаци о броју обвезника, износу утврђене и наплаћене накнаде, броју дужника и укупном износу дуга</w:t>
      </w:r>
      <w:r>
        <w:rPr>
          <w:color w:val="000000"/>
        </w:rPr>
        <w:t xml:space="preserve"> у извештајном периоду, ослобођењима и олакшицама, по врсти накнаде, и то:</w:t>
      </w:r>
    </w:p>
    <w:p w:rsidR="001218FA" w:rsidRDefault="00E53CAC">
      <w:pPr>
        <w:spacing w:after="150"/>
      </w:pPr>
      <w:r>
        <w:rPr>
          <w:color w:val="000000"/>
        </w:rPr>
        <w:t>– у поље 3.1. Назив накнаде – уноси се назив накнаде која је утврђена у извештајном периоду;</w:t>
      </w:r>
    </w:p>
    <w:p w:rsidR="001218FA" w:rsidRDefault="00E53CAC">
      <w:pPr>
        <w:spacing w:after="150"/>
      </w:pPr>
      <w:r>
        <w:rPr>
          <w:color w:val="000000"/>
        </w:rPr>
        <w:t>– у поље 3.2. Предмет утврђивања накнаде – уноси се предмет за утврђивање накнаде сходно</w:t>
      </w:r>
      <w:r>
        <w:rPr>
          <w:color w:val="000000"/>
        </w:rPr>
        <w:t xml:space="preserve"> Закону о накнадама за коришћење јавних добара („Службени гласник РС”, бр. 95/18, 49/19 и 92/23 – у даљем тексту: Закон);</w:t>
      </w:r>
    </w:p>
    <w:p w:rsidR="001218FA" w:rsidRDefault="00E53CAC">
      <w:pPr>
        <w:spacing w:after="150"/>
      </w:pPr>
      <w:r>
        <w:rPr>
          <w:color w:val="000000"/>
        </w:rPr>
        <w:t>– у поље 3.3. Број обвезника којима је утврђена накнада – уноси се укупан број обвезника којима је утврђена накнада по предмету утврђи</w:t>
      </w:r>
      <w:r>
        <w:rPr>
          <w:color w:val="000000"/>
        </w:rPr>
        <w:t>вања накнаде;</w:t>
      </w:r>
    </w:p>
    <w:p w:rsidR="001218FA" w:rsidRDefault="00E53CAC">
      <w:pPr>
        <w:spacing w:after="150"/>
      </w:pPr>
      <w:r>
        <w:rPr>
          <w:color w:val="000000"/>
        </w:rPr>
        <w:t>– у поље 3.4. Укупан износ утврђене накнаде – уноси се укупан износ утврђене накнаде по предмету утврђивања накнаде;</w:t>
      </w:r>
    </w:p>
    <w:p w:rsidR="001218FA" w:rsidRDefault="00E53CAC">
      <w:pPr>
        <w:spacing w:after="150"/>
      </w:pPr>
      <w:r>
        <w:rPr>
          <w:color w:val="000000"/>
        </w:rPr>
        <w:t xml:space="preserve">– у поље 3.5. Укупно наплаћен износ за извештајни период – уноси се укупно наплаћен износ накнаде по предмету утврђивања </w:t>
      </w:r>
      <w:r>
        <w:rPr>
          <w:color w:val="000000"/>
        </w:rPr>
        <w:t>накнаде;</w:t>
      </w:r>
    </w:p>
    <w:p w:rsidR="001218FA" w:rsidRDefault="00E53CAC">
      <w:pPr>
        <w:spacing w:after="150"/>
      </w:pPr>
      <w:r>
        <w:rPr>
          <w:color w:val="000000"/>
        </w:rPr>
        <w:t>– у поље 3.6. Број дужника – уноси се број дужника по предмету утврђивања накнаде. Ако је обвезнику накнаде утврђена обавеза по више основа једним решењем, а утврђена обавеза није плаћена или није плаћена у целости уноси се да је дужник за сваки о</w:t>
      </w:r>
      <w:r>
        <w:rPr>
          <w:color w:val="000000"/>
        </w:rPr>
        <w:t>д утврђених основа;</w:t>
      </w:r>
    </w:p>
    <w:p w:rsidR="001218FA" w:rsidRDefault="00E53CAC">
      <w:pPr>
        <w:spacing w:after="150"/>
      </w:pPr>
      <w:r>
        <w:rPr>
          <w:color w:val="000000"/>
        </w:rPr>
        <w:t>– у поље 3.7. Укупан износ дуговања за извештајни период – уноси се износ дуга по називу накнаде за извештајни период;</w:t>
      </w:r>
    </w:p>
    <w:p w:rsidR="001218FA" w:rsidRDefault="00E53CAC">
      <w:pPr>
        <w:spacing w:after="150"/>
      </w:pPr>
      <w:r>
        <w:rPr>
          <w:color w:val="000000"/>
        </w:rPr>
        <w:lastRenderedPageBreak/>
        <w:t>– у поље 3.8. Број обвезника који су ослобођени накнаде – уноси се број обвезника који су ослобођени накнаде по предм</w:t>
      </w:r>
      <w:r>
        <w:rPr>
          <w:color w:val="000000"/>
        </w:rPr>
        <w:t>ету утврђивања накнаде;</w:t>
      </w:r>
    </w:p>
    <w:p w:rsidR="001218FA" w:rsidRDefault="00E53CAC">
      <w:pPr>
        <w:spacing w:after="150"/>
      </w:pPr>
      <w:r>
        <w:rPr>
          <w:color w:val="000000"/>
        </w:rPr>
        <w:t>– у поље 3.9. Број обвезника који су остварили право на олакшицу – уноси се број обвезника који су остварили право на олакшицу по предмету утврђивања накнаде;</w:t>
      </w:r>
    </w:p>
    <w:p w:rsidR="001218FA" w:rsidRDefault="00E53CAC">
      <w:pPr>
        <w:spacing w:after="150"/>
      </w:pPr>
      <w:r>
        <w:rPr>
          <w:color w:val="000000"/>
        </w:rPr>
        <w:t>– у поље 3.10. Износ накнаде за који је извршено ослобођење – уноси се из</w:t>
      </w:r>
      <w:r>
        <w:rPr>
          <w:color w:val="000000"/>
        </w:rPr>
        <w:t>нос накнаде који би био утврђен да Законом није прописано ослобођење (губитак прихода);</w:t>
      </w:r>
    </w:p>
    <w:p w:rsidR="001218FA" w:rsidRDefault="00E53CAC">
      <w:pPr>
        <w:spacing w:after="150"/>
      </w:pPr>
      <w:r>
        <w:rPr>
          <w:color w:val="000000"/>
        </w:rPr>
        <w:t>– у поље 3.11. Износ накнаде за који је признато право на олакшицу – уноси се износ накнаде за који је умањено остварење прихода од накнаде.</w:t>
      </w:r>
    </w:p>
    <w:p w:rsidR="001218FA" w:rsidRDefault="00E53CAC">
      <w:pPr>
        <w:spacing w:after="120"/>
        <w:jc w:val="center"/>
      </w:pPr>
      <w:r>
        <w:rPr>
          <w:color w:val="000000"/>
        </w:rPr>
        <w:t>Члан 3.</w:t>
      </w:r>
    </w:p>
    <w:p w:rsidR="001218FA" w:rsidRDefault="00E53CAC">
      <w:pPr>
        <w:spacing w:after="150"/>
      </w:pPr>
      <w:r>
        <w:rPr>
          <w:color w:val="000000"/>
        </w:rPr>
        <w:t>Прописно попуњен oб</w:t>
      </w:r>
      <w:r>
        <w:rPr>
          <w:color w:val="000000"/>
        </w:rPr>
        <w:t>разац из члана 2. овог правилника доставља се Министарству финансија – Сектору за фискални систем, путем поште на адресу Кнеза Милоша 20, 11000 Београд, као и у електронском облику (xlsx формат фајла), на адресу: izvestajnaknade@mfin.gov.rs, у законом проп</w:t>
      </w:r>
      <w:r>
        <w:rPr>
          <w:color w:val="000000"/>
        </w:rPr>
        <w:t>исаном року.</w:t>
      </w:r>
    </w:p>
    <w:p w:rsidR="001218FA" w:rsidRDefault="00E53CAC">
      <w:pPr>
        <w:spacing w:after="120"/>
        <w:jc w:val="center"/>
      </w:pPr>
      <w:r>
        <w:rPr>
          <w:color w:val="000000"/>
        </w:rPr>
        <w:t>Члан 4.</w:t>
      </w:r>
    </w:p>
    <w:p w:rsidR="001218FA" w:rsidRDefault="00E53CAC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Србијеˮ.</w:t>
      </w:r>
    </w:p>
    <w:p w:rsidR="001218FA" w:rsidRDefault="00E53CAC">
      <w:pPr>
        <w:spacing w:after="150"/>
        <w:jc w:val="right"/>
      </w:pPr>
      <w:r>
        <w:rPr>
          <w:color w:val="000000"/>
        </w:rPr>
        <w:t>Број 62982 2024 10520 004 010 012 001</w:t>
      </w:r>
    </w:p>
    <w:p w:rsidR="001218FA" w:rsidRDefault="00E53CAC">
      <w:pPr>
        <w:spacing w:after="150"/>
        <w:jc w:val="right"/>
      </w:pPr>
      <w:r>
        <w:rPr>
          <w:color w:val="000000"/>
        </w:rPr>
        <w:t>У Београду, 31. јануарa 2024. године</w:t>
      </w:r>
    </w:p>
    <w:p w:rsidR="001218FA" w:rsidRDefault="00E53CAC">
      <w:pPr>
        <w:spacing w:after="150"/>
        <w:jc w:val="right"/>
      </w:pPr>
      <w:r>
        <w:rPr>
          <w:color w:val="000000"/>
        </w:rPr>
        <w:t>Министар,</w:t>
      </w:r>
    </w:p>
    <w:p w:rsidR="001218FA" w:rsidRDefault="00E53CAC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1218FA" w:rsidRDefault="00E53CAC">
      <w:pPr>
        <w:spacing w:after="150"/>
      </w:pPr>
      <w:r>
        <w:rPr>
          <w:noProof/>
        </w:rPr>
        <w:lastRenderedPageBreak/>
        <w:drawing>
          <wp:inline distT="0" distB="0" distL="0" distR="0">
            <wp:extent cx="5732145" cy="4072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8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218FA"/>
    <w:rsid w:val="001218FA"/>
    <w:rsid w:val="00E5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3DE96-65D6-4276-A7F1-98F98113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2024-02-06T08:05:00Z</dcterms:created>
  <dcterms:modified xsi:type="dcterms:W3CDTF">2024-02-06T08:05:00Z</dcterms:modified>
</cp:coreProperties>
</file>