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52" w:rsidRDefault="001C09E4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</w:t>
      </w:r>
      <w:r>
        <w:rPr>
          <w:color w:val="000000"/>
        </w:rPr>
        <w:t xml:space="preserve">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14/15 и 51/17),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D0B52" w:rsidRDefault="001C09E4">
      <w:pPr>
        <w:spacing w:after="225"/>
        <w:jc w:val="center"/>
      </w:pPr>
      <w:r>
        <w:rPr>
          <w:b/>
          <w:color w:val="000000"/>
        </w:rPr>
        <w:t>УРЕДБУ</w:t>
      </w:r>
    </w:p>
    <w:p w:rsidR="00CD0B52" w:rsidRDefault="001C09E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поступка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име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</w:t>
      </w:r>
      <w:r>
        <w:rPr>
          <w:b/>
          <w:color w:val="000000"/>
        </w:rPr>
        <w:t>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Аутономнe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покрајине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Војводинe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располаже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Агенција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депозита</w:t>
      </w:r>
      <w:proofErr w:type="spellEnd"/>
    </w:p>
    <w:p w:rsidR="00CD0B52" w:rsidRDefault="001C09E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2020.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Аутономну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АП </w:t>
      </w:r>
      <w:proofErr w:type="spellStart"/>
      <w:r>
        <w:rPr>
          <w:color w:val="000000"/>
        </w:rPr>
        <w:t>Војводина</w:t>
      </w:r>
      <w:proofErr w:type="spellEnd"/>
      <w:r>
        <w:rPr>
          <w:color w:val="000000"/>
        </w:rPr>
        <w:t xml:space="preserve">), у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АП </w:t>
      </w:r>
      <w:proofErr w:type="spellStart"/>
      <w:r>
        <w:rPr>
          <w:color w:val="000000"/>
        </w:rPr>
        <w:t>Војводину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портфеља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отраживања</w:t>
      </w:r>
      <w:proofErr w:type="spell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појмови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b/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>14/15 и 51/17);</w:t>
      </w:r>
    </w:p>
    <w:p w:rsidR="00CD0B52" w:rsidRDefault="001C09E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b/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неизмирену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проистеклу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есконту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УППР/ПР), </w:t>
      </w:r>
      <w:proofErr w:type="spellStart"/>
      <w:r>
        <w:rPr>
          <w:color w:val="000000"/>
        </w:rPr>
        <w:t>јемства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садужништва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или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Агенције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име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располаже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>(1)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Потраживањa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преузетa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банака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стечају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регулисању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стечају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зајмова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45/05),</w:t>
      </w:r>
    </w:p>
    <w:p w:rsidR="00CD0B52" w:rsidRDefault="001C09E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куповине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целости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</w:t>
      </w:r>
      <w:r>
        <w:rPr>
          <w:b/>
          <w:color w:val="000000"/>
        </w:rPr>
        <w:t>ервисаних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билансних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банака</w:t>
      </w:r>
      <w:proofErr w:type="spellEnd"/>
      <w:r>
        <w:rPr>
          <w:color w:val="000000"/>
        </w:rPr>
        <w:t xml:space="preserve"> (carve out)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021-4468/2004-002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2004.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Јубанка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Војвођанска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Новосадска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Континентал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Панчево</w:t>
      </w:r>
      <w:proofErr w:type="spellEnd"/>
      <w:r>
        <w:rPr>
          <w:color w:val="000000"/>
        </w:rPr>
        <w:t>);</w:t>
      </w:r>
    </w:p>
    <w:p w:rsidR="00CD0B52" w:rsidRDefault="001C09E4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Војводине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а.д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Нови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422-10022/2011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депонената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солвентности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422-1322/2012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Развојна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Зaкључка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422-2828/2012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2012.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АП </w:t>
      </w:r>
      <w:proofErr w:type="spellStart"/>
      <w:r>
        <w:rPr>
          <w:color w:val="000000"/>
        </w:rPr>
        <w:t>Војводи</w:t>
      </w:r>
      <w:r>
        <w:rPr>
          <w:color w:val="000000"/>
        </w:rPr>
        <w:t>не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а.д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члана</w:t>
      </w:r>
      <w:proofErr w:type="spellEnd"/>
      <w:proofErr w:type="gram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депозита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00-73/2014-2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новембра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00-323/2014-2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proofErr w:type="gramStart"/>
      <w:r>
        <w:rPr>
          <w:color w:val="000000"/>
        </w:rPr>
        <w:t>де</w:t>
      </w:r>
      <w:r>
        <w:rPr>
          <w:color w:val="000000"/>
        </w:rPr>
        <w:t>цембра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b/>
          <w:color w:val="000000"/>
        </w:rPr>
        <w:t>Потраживања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преузета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Југобанке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Југбанке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а.д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Косовска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Митровица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СП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00-407/2017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транспарентан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предвидив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једнообразан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третмана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дискреционог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максимизирања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D0B52" w:rsidRDefault="001C09E4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(и АП </w:t>
      </w:r>
      <w:proofErr w:type="spellStart"/>
      <w:r>
        <w:rPr>
          <w:color w:val="000000"/>
        </w:rPr>
        <w:t>Војводине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(1)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вансудском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lastRenderedPageBreak/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стечајном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вансудском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судским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вансудским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споразумом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регулисању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дужницима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(3) </w:t>
      </w:r>
      <w:proofErr w:type="spellStart"/>
      <w:proofErr w:type="gramStart"/>
      <w:r>
        <w:rPr>
          <w:color w:val="000000"/>
        </w:rPr>
        <w:t>уступањем</w:t>
      </w:r>
      <w:proofErr w:type="spellEnd"/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цесијом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преносом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изјашњава</w:t>
      </w:r>
      <w:proofErr w:type="spellEnd"/>
      <w:r>
        <w:rPr>
          <w:color w:val="000000"/>
        </w:rPr>
        <w:t xml:space="preserve"> о:</w:t>
      </w:r>
    </w:p>
    <w:p w:rsidR="00CD0B52" w:rsidRDefault="001C09E4">
      <w:pPr>
        <w:spacing w:after="150"/>
      </w:pPr>
      <w:r>
        <w:rPr>
          <w:color w:val="000000"/>
        </w:rPr>
        <w:t xml:space="preserve">(1) </w:t>
      </w:r>
      <w:proofErr w:type="spellStart"/>
      <w:proofErr w:type="gramStart"/>
      <w:r>
        <w:rPr>
          <w:color w:val="000000"/>
        </w:rPr>
        <w:t>стицању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непокретне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извршном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стицању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вансудском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(3) </w:t>
      </w:r>
      <w:proofErr w:type="spellStart"/>
      <w:proofErr w:type="gramStart"/>
      <w:r>
        <w:rPr>
          <w:color w:val="000000"/>
        </w:rPr>
        <w:t>делимичном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повлачењу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стечајно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>:</w:t>
      </w:r>
    </w:p>
    <w:p w:rsidR="00CD0B52" w:rsidRDefault="001C09E4">
      <w:pPr>
        <w:spacing w:after="150"/>
      </w:pPr>
      <w:r>
        <w:rPr>
          <w:color w:val="000000"/>
        </w:rPr>
        <w:t xml:space="preserve">(1) </w:t>
      </w:r>
      <w:proofErr w:type="spellStart"/>
      <w:proofErr w:type="gramStart"/>
      <w:r>
        <w:rPr>
          <w:color w:val="000000"/>
        </w:rPr>
        <w:t>нови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отпис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(3) </w:t>
      </w:r>
      <w:proofErr w:type="spellStart"/>
      <w:proofErr w:type="gramStart"/>
      <w:r>
        <w:rPr>
          <w:color w:val="000000"/>
        </w:rPr>
        <w:t>одрицање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(4) </w:t>
      </w:r>
      <w:proofErr w:type="spellStart"/>
      <w:proofErr w:type="gramStart"/>
      <w:r>
        <w:rPr>
          <w:color w:val="000000"/>
        </w:rPr>
        <w:t>уступање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>;</w:t>
      </w:r>
    </w:p>
    <w:p w:rsidR="00CD0B52" w:rsidRDefault="001C09E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Искњижавање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r>
        <w:rPr>
          <w:color w:val="000000"/>
        </w:rPr>
        <w:t>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D0B52" w:rsidRDefault="001C09E4">
      <w:pPr>
        <w:spacing w:after="150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радњама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Покрајинску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</w:t>
      </w:r>
      <w:r>
        <w:rPr>
          <w:color w:val="000000"/>
        </w:rPr>
        <w:t>инансија</w:t>
      </w:r>
      <w:proofErr w:type="spellEnd"/>
      <w:r>
        <w:rPr>
          <w:color w:val="000000"/>
        </w:rPr>
        <w:t>.</w:t>
      </w:r>
    </w:p>
    <w:p w:rsidR="00CD0B52" w:rsidRDefault="001C09E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D0B52" w:rsidRDefault="001C09E4">
      <w:pPr>
        <w:spacing w:after="150"/>
      </w:pPr>
      <w:proofErr w:type="spellStart"/>
      <w:r>
        <w:rPr>
          <w:color w:val="000000"/>
        </w:rPr>
        <w:t>Oва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D0B52" w:rsidRDefault="001C09E4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110-8080/2020</w:t>
      </w:r>
    </w:p>
    <w:p w:rsidR="00CD0B52" w:rsidRDefault="001C09E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15.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D0B52" w:rsidRDefault="001C09E4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Влада</w:t>
      </w:r>
      <w:proofErr w:type="spellEnd"/>
    </w:p>
    <w:p w:rsidR="00CD0B52" w:rsidRDefault="001C09E4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CD0B52" w:rsidRDefault="001C09E4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D0B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52"/>
    <w:rsid w:val="001C09E4"/>
    <w:rsid w:val="00C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6634"/>
  <w15:docId w15:val="{98BF1AA8-4A3E-4D3F-8297-46DC804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2021-05-24T10:15:00Z</dcterms:created>
  <dcterms:modified xsi:type="dcterms:W3CDTF">2021-05-24T10:15:00Z</dcterms:modified>
</cp:coreProperties>
</file>