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23" w:rsidRDefault="005012BA">
      <w:pPr>
        <w:spacing w:line="210" w:lineRule="atLeast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</w:rPr>
        <w:t>ЗАКОН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Националном спољнотрговинском једношалтерском систему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Основне одредбе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Овим законом се уређује успостављање, рад, ф</w:t>
      </w:r>
      <w:r>
        <w:rPr>
          <w:rFonts w:ascii="Verdana" w:eastAsia="Verdana" w:hAnsi="Verdana" w:cs="Verdana"/>
        </w:rPr>
        <w:t>ункционалност, управљање и друга питања у вези са Националним спољнотрговинским једношалтерским системом, као и размена података између корисника система за подношење захтева и других исправа и достављање одлука у електронској форми, у вези са увозом, изво</w:t>
      </w:r>
      <w:r>
        <w:rPr>
          <w:rFonts w:ascii="Verdana" w:eastAsia="Verdana" w:hAnsi="Verdana" w:cs="Verdana"/>
        </w:rPr>
        <w:t>зом и транзитом робе у складу са прописима.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Ако овим законом није друкчије прописано, на радње које предузима корисник Националног спољнотрговинског једношалтерског система примењују се одредбе закона којим се уређује општи управни поступак, закона којим с</w:t>
      </w:r>
      <w:r>
        <w:rPr>
          <w:rFonts w:ascii="Verdana" w:eastAsia="Verdana" w:hAnsi="Verdana" w:cs="Verdana"/>
        </w:rPr>
        <w:t>е уређује електронска управа и посебних прописа којима се уређују услови, начин и рокови подношења и издавања исправа.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Одредбе овог закона не утичу на примену прописа којима се уређује одговорност корисника за истинитост података које исказује у захтевима,</w:t>
      </w:r>
      <w:r>
        <w:rPr>
          <w:rFonts w:ascii="Verdana" w:eastAsia="Verdana" w:hAnsi="Verdana" w:cs="Verdana"/>
        </w:rPr>
        <w:t xml:space="preserve"> другим исправама или одлукама.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Значење појединих појмова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Поједини појмови у смислу овог закона имају следећа значења: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1) Национални спољнотрговински једношалтерски систем (у даљем тексту: Систем) представља софтверско решење јединственог система е</w:t>
      </w:r>
      <w:r>
        <w:rPr>
          <w:rFonts w:ascii="Verdana" w:eastAsia="Verdana" w:hAnsi="Verdana" w:cs="Verdana"/>
        </w:rPr>
        <w:t xml:space="preserve">лектронске везе и размене података између корисника Система који омогућава подношење захтева и других исправа и достављање одлука у електронској форми у вези са увозом, извозом и транзитом робе који се поставља, ради и одржава на одговарајућој хардверској </w:t>
      </w:r>
      <w:r>
        <w:rPr>
          <w:rFonts w:ascii="Verdana" w:eastAsia="Verdana" w:hAnsi="Verdana" w:cs="Verdana"/>
        </w:rPr>
        <w:t>инфраструктури која обезбеђује уредно функционисање Система и који садржи екстерни портал, интерни портал, веб сервис за размену порука, сервис за комуникацију са екстерним и интерним корисницима Система путем електронске поште, ауторизациони сервис, серви</w:t>
      </w:r>
      <w:r>
        <w:rPr>
          <w:rFonts w:ascii="Verdana" w:eastAsia="Verdana" w:hAnsi="Verdana" w:cs="Verdana"/>
        </w:rPr>
        <w:t>с за интеграцију са информационим системом Управе царина за аутоматизовани увоз, извоз и транзит и системом за управљање царинским одлукама, сервис за квантитативни отпис, евиденцију одлука и везу са сервисом за електронско плаћање;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2) захтев је образац у </w:t>
      </w:r>
      <w:r>
        <w:rPr>
          <w:rFonts w:ascii="Verdana" w:eastAsia="Verdana" w:hAnsi="Verdana" w:cs="Verdana"/>
        </w:rPr>
        <w:t>електронској форми, а изузетно у папирном облику, за обраду података, који екстерни корисник Система подноси ради обраде података и издавања одлука у електронској форми;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3) одлука је свако решење, дозвола, одобрење, сагласност, или друга врста управног акт</w:t>
      </w:r>
      <w:r>
        <w:rPr>
          <w:rFonts w:ascii="Verdana" w:eastAsia="Verdana" w:hAnsi="Verdana" w:cs="Verdana"/>
        </w:rPr>
        <w:t>а који странкама издаје орган или организација која је надлежна изворно или на основу поверене надлежности и која је потребна за увоз, извоз и транзит робе;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4) референтни податак означава податак из одређене области који је организован у Систему на одговар</w:t>
      </w:r>
      <w:r>
        <w:rPr>
          <w:rFonts w:ascii="Verdana" w:eastAsia="Verdana" w:hAnsi="Verdana" w:cs="Verdana"/>
        </w:rPr>
        <w:t>ајући начин према националним стандардима;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lastRenderedPageBreak/>
        <w:t>5) корисник Система је лице које на посредан или непосредан начин користи Систем и може да буде екстерни корисник или интерни корисник;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6) екстерни корисник је правно, физичко лице, предузетник и орган државне упр</w:t>
      </w:r>
      <w:r>
        <w:rPr>
          <w:rFonts w:ascii="Verdana" w:eastAsia="Verdana" w:hAnsi="Verdana" w:cs="Verdana"/>
        </w:rPr>
        <w:t>аве који је укључен у радње које су обухваћене овим прописом као странка у поступку или заступник странке;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7) интерни корисник је државни орган, организација или установа која изворно или на основу поверене надлежности учествује у поступку издавања одлука, или која обезбеђује податке за потребе издавања исправа;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8) заступник је свако лице именовано од стране ек</w:t>
      </w:r>
      <w:r>
        <w:rPr>
          <w:rFonts w:ascii="Verdana" w:eastAsia="Verdana" w:hAnsi="Verdana" w:cs="Verdana"/>
        </w:rPr>
        <w:t>стерног корисника да предузима радње које се захтевају у складу са прописима;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9) оператер је орган који управља и руководи Системом у складу са одредбама овог закона;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10) координатор је лице одређено од стране интерног корисника Система које је надлежно за</w:t>
      </w:r>
      <w:r>
        <w:rPr>
          <w:rFonts w:ascii="Verdana" w:eastAsia="Verdana" w:hAnsi="Verdana" w:cs="Verdana"/>
        </w:rPr>
        <w:t xml:space="preserve"> комуникацију са другим интерним корисницима Система ради функционисања рада Система;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11) портал представља део Система који обезбеђује приступ функционалностима Система за екстерне кориснике Система, као и везе са другим порталима или информационим систем</w:t>
      </w:r>
      <w:r>
        <w:rPr>
          <w:rFonts w:ascii="Verdana" w:eastAsia="Verdana" w:hAnsi="Verdana" w:cs="Verdana"/>
        </w:rPr>
        <w:t>има интерних корисника Система, а који се састоји од интерног и екстерног портала;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12) предмет је скуп података у систему који чине захтев и исправе у вези са захтевом, одлуке и исправе у вези са одлукама, као и података којима се прати поступање кроз Сист</w:t>
      </w:r>
      <w:r>
        <w:rPr>
          <w:rFonts w:ascii="Verdana" w:eastAsia="Verdana" w:hAnsi="Verdana" w:cs="Verdana"/>
        </w:rPr>
        <w:t>ем.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Интерни корисник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корисник Система је: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1) корисник који поседује сопствени информациони систем за прихватање и обраду захтева екстерних корисника;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2) корисник који не поседује сопствени информациони систем за прихватање и обраду захтева екстерних корисника.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корисник из става 1. тачка 1) овог члана дужан је да омогући повезивање са Системом на начин да се: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1) искључиво приступањем екстерног ко</w:t>
      </w:r>
      <w:r>
        <w:rPr>
          <w:rFonts w:ascii="Verdana" w:eastAsia="Verdana" w:hAnsi="Verdana" w:cs="Verdana"/>
        </w:rPr>
        <w:t>рисника на Систем изврши аутоматско преусмеравање на информациони систем интерног корисника;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2) свака одлука, или податак којим се прати поступање кроз Систем или евиденција предмета интерног корисника, аутоматски евидентира и чува у Систему чиме се омогућ</w:t>
      </w:r>
      <w:r>
        <w:rPr>
          <w:rFonts w:ascii="Verdana" w:eastAsia="Verdana" w:hAnsi="Verdana" w:cs="Verdana"/>
        </w:rPr>
        <w:t>ава достављање екстерним корисницима;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3) размена других информација, обавештења и документације са корисницима врши преко Система.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корисник из става 1. тачка 2) овог члана дужан је да приступањем Систему врши преузимање захтева и допуне захтева ек</w:t>
      </w:r>
      <w:r>
        <w:rPr>
          <w:rFonts w:ascii="Verdana" w:eastAsia="Verdana" w:hAnsi="Verdana" w:cs="Verdana"/>
        </w:rPr>
        <w:t xml:space="preserve">стерних корисника, размену информација, обавештења и документације са другим интерним </w:t>
      </w:r>
      <w:r>
        <w:rPr>
          <w:rFonts w:ascii="Verdana" w:eastAsia="Verdana" w:hAnsi="Verdana" w:cs="Verdana"/>
        </w:rPr>
        <w:lastRenderedPageBreak/>
        <w:t>корисницима у поступку, евидентирање поступања по захтеву, као и достављање одлука намењених екстерним корисницима.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корисник у Систему наводи и рок за поступање п</w:t>
      </w:r>
      <w:r>
        <w:rPr>
          <w:rFonts w:ascii="Verdana" w:eastAsia="Verdana" w:hAnsi="Verdana" w:cs="Verdana"/>
        </w:rPr>
        <w:t>о сваком захтеву у складу са посебним прописима.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Оператер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Систем је власништво Републике Србије и користи се у складу са законом којим се уређује јавна својина, а њиме, у складу са одредбама овог закона, управља и руководи оператер система.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</w:t>
      </w:r>
      <w:r>
        <w:rPr>
          <w:rFonts w:ascii="Verdana" w:eastAsia="Verdana" w:hAnsi="Verdana" w:cs="Verdana"/>
        </w:rPr>
        <w:t>р Система је Министарство финансија – Управа царина.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Оператер омогућава приступ екстерним корисницима, врши координацију рада свих корисника Система у вези са Системом, бави се развојем, имплементацијом и одржавањем, обезбеђује уредно функционисање Система</w:t>
      </w:r>
      <w:r>
        <w:rPr>
          <w:rFonts w:ascii="Verdana" w:eastAsia="Verdana" w:hAnsi="Verdana" w:cs="Verdana"/>
        </w:rPr>
        <w:t xml:space="preserve">, ажурно управља правима приступа интерних и екстерних корисника Система.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Интерни корисник Система дужан је да омогући техничко технолошке услове за приступ Систему.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Оператер је дужан да свим корисницима обезбеди и пружа сталну корисничку подршку у вези </w:t>
      </w:r>
      <w:r>
        <w:rPr>
          <w:rFonts w:ascii="Verdana" w:eastAsia="Verdana" w:hAnsi="Verdana" w:cs="Verdana"/>
        </w:rPr>
        <w:t>са радом Система.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Сарадња оператера и интерних корисника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Оператер Система и интерни корисник, приступиће закључивању посебног споразума у погледу техничких детаља обезбеђивања података, коришћења и одржавања, отварања и одржавања налога интерних ко</w:t>
      </w:r>
      <w:r>
        <w:rPr>
          <w:rFonts w:ascii="Verdana" w:eastAsia="Verdana" w:hAnsi="Verdana" w:cs="Verdana"/>
        </w:rPr>
        <w:t>рисника и повезивања информационих система интерних корисника са Системом.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Сваки интерни корисник је дужан да закључи посебан споразум са оператером Система, а по потреби и са другим интерним корисницима Система.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Рок за закључење споразума из ст. 1. и 2. овог члана је годину дана од дана ступања на снагу овог закона.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корисник Система дужан је да именује одговорно лице – администратора ради функционисања Система.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Приликом именовања новог координатора или про</w:t>
      </w:r>
      <w:r>
        <w:rPr>
          <w:rFonts w:ascii="Verdana" w:eastAsia="Verdana" w:hAnsi="Verdana" w:cs="Verdana"/>
        </w:rPr>
        <w:t>мене организационе и кадровске структуре која може утицати на функционисање Система, интерни корисник ће без одлагања о насталим променама обавестити оператера.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Документа која се креирају и чувају на порталу Система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На порталу Система подносе се ел</w:t>
      </w:r>
      <w:r>
        <w:rPr>
          <w:rFonts w:ascii="Verdana" w:eastAsia="Verdana" w:hAnsi="Verdana" w:cs="Verdana"/>
        </w:rPr>
        <w:t xml:space="preserve">ектронски захтеви и допуне захтева ради доношења одлука.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lastRenderedPageBreak/>
        <w:t xml:space="preserve">Уз електронски захтев или допуну захтева из става 1. овог члана Систем омогућава и директан електронски унос других исправа које се прилажу уз електронски захтев.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Све исправе као и референтни подац</w:t>
      </w:r>
      <w:r>
        <w:rPr>
          <w:rFonts w:ascii="Verdana" w:eastAsia="Verdana" w:hAnsi="Verdana" w:cs="Verdana"/>
        </w:rPr>
        <w:t>и из тих исправа доступни су на порталу Система за све кориснике Система у складу са додељеним нивоом приступа од стране оператера Система.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Подношење исправа царинском органу које су издате у Систему, поступање и одлучивање царинског органа спроводи се у с</w:t>
      </w:r>
      <w:r>
        <w:rPr>
          <w:rFonts w:ascii="Verdana" w:eastAsia="Verdana" w:hAnsi="Verdana" w:cs="Verdana"/>
        </w:rPr>
        <w:t>кладу са царинским прописима.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Захтеви, одлуке и друге исправе чувају се у Систему десет година од истека рока на који су издати.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Регистрација екстерних корисника, приступ Систему и обавеза коришћења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Екстерни корисник дужан је да користи Систем за п</w:t>
      </w:r>
      <w:r>
        <w:rPr>
          <w:rFonts w:ascii="Verdana" w:eastAsia="Verdana" w:hAnsi="Verdana" w:cs="Verdana"/>
        </w:rPr>
        <w:t>одношење захтева и других исправа и пријем одлука у електронској форми, у вези са увозом, извозом и транзитом робе у складу са прописима.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Регистрација и аутентикација екстерних корисника, односно лица која у име екстерног корисника приступају Систему омогу</w:t>
      </w:r>
      <w:r>
        <w:rPr>
          <w:rFonts w:ascii="Verdana" w:eastAsia="Verdana" w:hAnsi="Verdana" w:cs="Verdana"/>
        </w:rPr>
        <w:t>ћава се у складу са прописима којима се уређујe електронска управа, прописима којима се уређује електронски документ, електронска идентификација и услуге од поверења у електронском пословању и прописима којима се уређује заштита података о личности.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Екстер</w:t>
      </w:r>
      <w:r>
        <w:rPr>
          <w:rFonts w:ascii="Verdana" w:eastAsia="Verdana" w:hAnsi="Verdana" w:cs="Verdana"/>
        </w:rPr>
        <w:t xml:space="preserve">ни корисник региструје кориснички налог на порталу Система, на основу претходно регистрованог налога на порталу за електронску идентификацију који обезбеђује овлашћени пружалац услуге електронске идентификације.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Регистрација корисничког налога на порталу </w:t>
      </w:r>
      <w:r>
        <w:rPr>
          <w:rFonts w:ascii="Verdana" w:eastAsia="Verdana" w:hAnsi="Verdana" w:cs="Verdana"/>
        </w:rPr>
        <w:t>Система врши се регистрацијом идентификационих података екстерног корисника.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Екстерног корисника на порталу Система представља законски заступник, односно овлашћено лице – администратор коме законски заступник делегира корисничке привилегије.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Начин коришће</w:t>
      </w:r>
      <w:r>
        <w:rPr>
          <w:rFonts w:ascii="Verdana" w:eastAsia="Verdana" w:hAnsi="Verdana" w:cs="Verdana"/>
          <w:b/>
        </w:rPr>
        <w:t>ња Система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8.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Екстерни корисник самостално, или посредством овлашћеног заступника на порталу Система, директним електронским уносом подноси електронски захтеве и допуне захтева ради издавања одлука.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Уз електронски захтев или допуну захтева из става 1.</w:t>
      </w:r>
      <w:r>
        <w:rPr>
          <w:rFonts w:ascii="Verdana" w:eastAsia="Verdana" w:hAnsi="Verdana" w:cs="Verdana"/>
        </w:rPr>
        <w:t xml:space="preserve"> овог члана екстерни корисник електронским путем доставља и друге исправе у складу са посебним прописима.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корисник преко портала Система преузима поднети захтев.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lastRenderedPageBreak/>
        <w:t>Интерни корисници у поступку обраде захтева, као и у оквиру спровођења поступка у вези</w:t>
      </w:r>
      <w:r>
        <w:rPr>
          <w:rFonts w:ascii="Verdana" w:eastAsia="Verdana" w:hAnsi="Verdana" w:cs="Verdana"/>
        </w:rPr>
        <w:t xml:space="preserve"> са издавањем одлука или доношења одлука које су обухваћене Системом међусобно размењују документацију, информације и друге податке, захтевају и достављају неопходне претходне одлуке искључиво преко Система.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Документација, исправе и одлуке из ст. 1. до 4. </w:t>
      </w:r>
      <w:r>
        <w:rPr>
          <w:rFonts w:ascii="Verdana" w:eastAsia="Verdana" w:hAnsi="Verdana" w:cs="Verdana"/>
        </w:rPr>
        <w:t>овог члана подносе се и достављају потписане и оверене у складу са посебним прописима којима се уређује електронски документ, електронска идентификација и услуге од поверења у електронском пословању.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Изузетно од става 5. овог члана, документација, исправе </w:t>
      </w:r>
      <w:r>
        <w:rPr>
          <w:rFonts w:ascii="Verdana" w:eastAsia="Verdana" w:hAnsi="Verdana" w:cs="Verdana"/>
        </w:rPr>
        <w:t>и одлуке из ст. 1. до 4. овог члана могу се, до испуњења техничко-технолошких услова за примену одредаба става 4. овог члана, подносити и достављати и у формату скенираног документа снабдевеног традиционалним методама идентификације који није потписан и ов</w:t>
      </w:r>
      <w:r>
        <w:rPr>
          <w:rFonts w:ascii="Verdana" w:eastAsia="Verdana" w:hAnsi="Verdana" w:cs="Verdana"/>
        </w:rPr>
        <w:t>ерен у складу са посебним прописима којима се уређује електронски документ, електронска идентификација и услуге од поверења у електронском пословању.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У случају из става 6. овог члана, подношење и достављање документације, исправа и одлука омогућиће се и у </w:t>
      </w:r>
      <w:r>
        <w:rPr>
          <w:rFonts w:ascii="Verdana" w:eastAsia="Verdana" w:hAnsi="Verdana" w:cs="Verdana"/>
        </w:rPr>
        <w:t>складу са поступком уређеним законом којим се уређује општи управни поступак.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Изузетно од ст. 3. и 5. овог члана, одлуке у поступку извоза и транзита које је, у циљу омогућавања несметаног поступка пред надлежним органима страних држава, потребно доставити екстерном кориснику у папирном облику и снабдевене традиционалним методама ид</w:t>
      </w:r>
      <w:r>
        <w:rPr>
          <w:rFonts w:ascii="Verdana" w:eastAsia="Verdana" w:hAnsi="Verdana" w:cs="Verdana"/>
        </w:rPr>
        <w:t>ентификације, могу бити достављене екстерном кориснику и преко Система и у папирном облику.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Након спроведеног поступка интерни корисник доставља одлуке екстерним корисницима преко портала Система.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У Систему се: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1) евидентира регистровани корисник који је предузео радњу и тачно време предузимања радње;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2) сваком поднетом захтеву додељује јединствени евиденциони број на основу кога се идентификује предмет у Систему;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3) врши креирање и омогућава преузимање инструкци</w:t>
      </w:r>
      <w:r>
        <w:rPr>
          <w:rFonts w:ascii="Verdana" w:eastAsia="Verdana" w:hAnsi="Verdana" w:cs="Verdana"/>
        </w:rPr>
        <w:t>ја за плаћање такси и накнада за поступање интерних корисника у поступку и омогућава се електронско плаћање;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4) врши потврђивање пријема захтева и других исправа које се размењују између екстерних и интерних корисника;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5) врши обавештавање корисника о стат</w:t>
      </w:r>
      <w:r>
        <w:rPr>
          <w:rFonts w:ascii="Verdana" w:eastAsia="Verdana" w:hAnsi="Verdana" w:cs="Verdana"/>
        </w:rPr>
        <w:t>усу предмета у поступку обраде и допунским захтевима интерних корисника, објављује се и омогућава преузимање донетих одлука након спроведеног поступка.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Размена информација и обавештења из става 10. овог члана са екстерним корисницима врши се на порталу Сис</w:t>
      </w:r>
      <w:r>
        <w:rPr>
          <w:rFonts w:ascii="Verdana" w:eastAsia="Verdana" w:hAnsi="Verdana" w:cs="Verdana"/>
        </w:rPr>
        <w:t>тема, а може се омогућити и у другом електронском облику.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У случају техничког проблема, прекида рада Система или неопходности подношења исправа и достављања одлука или друге размене података у </w:t>
      </w:r>
      <w:r>
        <w:rPr>
          <w:rFonts w:ascii="Verdana" w:eastAsia="Verdana" w:hAnsi="Verdana" w:cs="Verdana"/>
        </w:rPr>
        <w:lastRenderedPageBreak/>
        <w:t>папирном облику изван Система, интерни корисник све примљене ил</w:t>
      </w:r>
      <w:r>
        <w:rPr>
          <w:rFonts w:ascii="Verdana" w:eastAsia="Verdana" w:hAnsi="Verdana" w:cs="Verdana"/>
        </w:rPr>
        <w:t>и достављене исправе у папирном облику уноси у Систем без одлагања по престанку околности због којих је размена исправа и одлука извршена у папирном облику.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Безбедност и заштита Система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9.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Примарна локација сервера на којима су инсталирани рачунарски </w:t>
      </w:r>
      <w:r>
        <w:rPr>
          <w:rFonts w:ascii="Verdana" w:eastAsia="Verdana" w:hAnsi="Verdana" w:cs="Verdana"/>
        </w:rPr>
        <w:t>програми неопходни за рад Система, као и базе података Система, налазе се у државном дата центру којим управља орган државне управе надлежан за пројектовање, усклађивање, развој и функционисање система електронске управе.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Орган државне управе из става 1. о</w:t>
      </w:r>
      <w:r>
        <w:rPr>
          <w:rFonts w:ascii="Verdana" w:eastAsia="Verdana" w:hAnsi="Verdana" w:cs="Verdana"/>
        </w:rPr>
        <w:t>вог члана обезбеђује физичку заштиту рачунарске опреме у вези са Системом.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Оператер Система дужан је да обезбеди формирање секундарне локације Система на месту одвојеном од примарне локације из става 1. овог члана.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Орган државне управе из става 1. овог чл</w:t>
      </w:r>
      <w:r>
        <w:rPr>
          <w:rFonts w:ascii="Verdana" w:eastAsia="Verdana" w:hAnsi="Verdana" w:cs="Verdana"/>
        </w:rPr>
        <w:t>ана и оператер Система дужни су да локације из ст. 1. и 3. овог члана на адекватан начин заштите од пожара, поплава и других непогода, уз 24-сатни безбедносни систем.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Физички приступ опреми у којој се налази сервер на примарној и секундарној локацији у сми</w:t>
      </w:r>
      <w:r>
        <w:rPr>
          <w:rFonts w:ascii="Verdana" w:eastAsia="Verdana" w:hAnsi="Verdana" w:cs="Verdana"/>
        </w:rPr>
        <w:t>слу ст. 1. и 3. овог члана има искључиво оператер или лице које он овласти.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Уколико је потребан приступ другог лица опреми или подацима ускладиштеним на серверу, то лице треба да буде у пратњи и под надзором овлашћеног лица.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Оператер нарочито обезбеђује: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</w:rPr>
        <w:t>) заштиту од неовлашћеног коришћења и неовлашћене манипулације Системом од стране интерних и екстерних корисника;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2) заштиту интегритета података из базе података, њихову расположивост и заштиту од неовлашћеног увида у поверљиве податке;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3) заштиту Систем</w:t>
      </w:r>
      <w:r>
        <w:rPr>
          <w:rFonts w:ascii="Verdana" w:eastAsia="Verdana" w:hAnsi="Verdana" w:cs="Verdana"/>
        </w:rPr>
        <w:t xml:space="preserve">а од свих облика злонамерних програма;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4) чување података из базе података и управљање сигурносним копијама базе података у оквиру Система;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5) континуитет активности Система у случају пожара, поплаве, земљотреса или друге непогоде која се сматра резултато</w:t>
      </w:r>
      <w:r>
        <w:rPr>
          <w:rFonts w:ascii="Verdana" w:eastAsia="Verdana" w:hAnsi="Verdana" w:cs="Verdana"/>
        </w:rPr>
        <w:t xml:space="preserve">м више силе и која доводи до неуобичајеног прекида у раду Система;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6) повраћај сачуваних података у случају губитка, оштећења, уништења или повлачења из употребе рачунарске опреме Система путем коришћења резервних копија које се креирају сваког радног дан</w:t>
      </w:r>
      <w:r>
        <w:rPr>
          <w:rFonts w:ascii="Verdana" w:eastAsia="Verdana" w:hAnsi="Verdana" w:cs="Verdana"/>
        </w:rPr>
        <w:t>а, на крају радне недеље и сваког последњег радног дана у месецу, а које су физички криптографски заштићене за онемогућавање сваке измене;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7) тестирање Система ради откривања сигурносних проблема на редовној основи и након инсталирања нових верзија Система</w:t>
      </w:r>
      <w:r>
        <w:rPr>
          <w:rFonts w:ascii="Verdana" w:eastAsia="Verdana" w:hAnsi="Verdana" w:cs="Verdana"/>
        </w:rPr>
        <w:t>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lastRenderedPageBreak/>
        <w:t>8) инсталирање софтверске надоградње ради уклањања сигурносних проблема који се установе на Систему или на повезаном софтверу;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9) праћење сигурносних инцидената у Систему ради предузимања корективних мера;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10) управљање сигурносним инцидентима, едукацију</w:t>
      </w:r>
      <w:r>
        <w:rPr>
          <w:rFonts w:ascii="Verdana" w:eastAsia="Verdana" w:hAnsi="Verdana" w:cs="Verdana"/>
        </w:rPr>
        <w:t xml:space="preserve"> и обуку свих ауторизованих лица ради стицања потребних знања о чувању и сигурности података; 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11) одржавање рачунарске опреме Система из ст. 1. и 3. овог члана.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Извештаји из Система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Оператер интерном кориснику преко Система може омогућити увид и преузимање аутоматски генерисаних извештаја који садрже основне податке праћења поступања кроз Систем и евиденције предмета интерних корисника.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Оператер може припремати и достављати статистичк</w:t>
      </w:r>
      <w:r>
        <w:rPr>
          <w:rFonts w:ascii="Verdana" w:eastAsia="Verdana" w:hAnsi="Verdana" w:cs="Verdana"/>
        </w:rPr>
        <w:t>е извештаје који се креирају у Систему, поред осталог, на захтев интерног корисника, или у складу са посебним прописима.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Поступање са важећим одлукама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корисници су дужни да у року од три месеца од почетка примене овог закона у евиденцију С</w:t>
      </w:r>
      <w:r>
        <w:rPr>
          <w:rFonts w:ascii="Verdana" w:eastAsia="Verdana" w:hAnsi="Verdana" w:cs="Verdana"/>
        </w:rPr>
        <w:t>истема унесу претходно издате одлуке које су важеће у моменту уноса у Систем.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Интерни корисници су дужни да у евиденцију Система уносе и све одлуке које се доносе на основу захтева поднетог пре почетка примене овог закона о којима није донета одлука пре по</w:t>
      </w:r>
      <w:r>
        <w:rPr>
          <w:rFonts w:ascii="Verdana" w:eastAsia="Verdana" w:hAnsi="Verdana" w:cs="Verdana"/>
        </w:rPr>
        <w:t>четка примене овог закона.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Надзор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Надзор над спровођењем овог закона врши оператер, односно други орган у складу са надлежностима утврђеним законом.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Казнене одредбе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Новчаном казном у износу од 200.000 до 2.000.000 динара казниће се за пре</w:t>
      </w:r>
      <w:r>
        <w:rPr>
          <w:rFonts w:ascii="Verdana" w:eastAsia="Verdana" w:hAnsi="Verdana" w:cs="Verdana"/>
        </w:rPr>
        <w:t>кршај правно лице – интерни корисник, осим интерног корисника који је орган државне управе у смислу закона којим се уређује буџетски систем, ако: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1) не омогући повезивање са Системом у складу са овим законом (члан 3. став 2);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2) не врши преузимање захтева и допуна захтева екстерних корисника, не врши размену информација, обавештења и документације са другим интерним корисницима у поступку, или достављање одлука намењених </w:t>
      </w:r>
      <w:r>
        <w:rPr>
          <w:rFonts w:ascii="Verdana" w:eastAsia="Verdana" w:hAnsi="Verdana" w:cs="Verdana"/>
        </w:rPr>
        <w:lastRenderedPageBreak/>
        <w:t>екстерним корисницима преко Система, у складу са овим зак</w:t>
      </w:r>
      <w:r>
        <w:rPr>
          <w:rFonts w:ascii="Verdana" w:eastAsia="Verdana" w:hAnsi="Verdana" w:cs="Verdana"/>
        </w:rPr>
        <w:t>оном (члан 3. став 3);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3) не закључи споразум о сарадњи са оператером Система (члан 5. ст. 1. и 2);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4) не изврши унос примљених или достављених исправа у папирном облику без одлагања по престанку околности из члана 8. став 12. овог закона (члан 8. став 12)</w:t>
      </w:r>
      <w:r>
        <w:rPr>
          <w:rFonts w:ascii="Verdana" w:eastAsia="Verdana" w:hAnsi="Verdana" w:cs="Verdana"/>
        </w:rPr>
        <w:t>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5) не изврши унос претходно издатих одлука које су још увек важеће у року прописаном овим законом (члан 11. став 1);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6) не изврши унос одлуке која је донета на основу захтева поднетог пре почетка примене овог закона (члан 11. став 2).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За прекршај из став</w:t>
      </w:r>
      <w:r>
        <w:rPr>
          <w:rFonts w:ascii="Verdana" w:eastAsia="Verdana" w:hAnsi="Verdana" w:cs="Verdana"/>
        </w:rPr>
        <w:t>а 1. овог члана казниће се одговорно лице правног лица – интерног корисника новчаном казном од 50.000 до 150.000 динара.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Новчаном казном у износу од 50.000 до 150.000 динара казниће се одговорно лице оператера Система, односно органа државне управ</w:t>
      </w:r>
      <w:r>
        <w:rPr>
          <w:rFonts w:ascii="Verdana" w:eastAsia="Verdana" w:hAnsi="Verdana" w:cs="Verdana"/>
        </w:rPr>
        <w:t>е надлежног за пројектовање, усклађивање, развој и функционисање система електронске управе у случају кршења одредаба о безбедности и заштити Система (члан 9).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Доношење прописа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 xml:space="preserve">Министар надлежан за послове финансија прописује ближе услове и начин </w:t>
      </w:r>
      <w:r>
        <w:rPr>
          <w:rFonts w:ascii="Verdana" w:eastAsia="Verdana" w:hAnsi="Verdana" w:cs="Verdana"/>
        </w:rPr>
        <w:t>одређивања нивоа приступа Систему од стране оператера, функционисања и размене података у оквиру Система, ближе прописује предмет и садржину споразума о сарадњи из члана 5. овог закона, списак и динамику увођења интерних корисника у Систем, списак одлука и</w:t>
      </w:r>
      <w:r>
        <w:rPr>
          <w:rFonts w:ascii="Verdana" w:eastAsia="Verdana" w:hAnsi="Verdana" w:cs="Verdana"/>
        </w:rPr>
        <w:t>з члана 8. став 9. овог закона, врсте извештаја и услове и начин извештавања из Система у року од 120 дана од ступања на снагу овог закона.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Оператер на својој интернет презентацији објављује упутство које садржи техничка објашњења о начину коришћења Систем</w:t>
      </w:r>
      <w:r>
        <w:rPr>
          <w:rFonts w:ascii="Verdana" w:eastAsia="Verdana" w:hAnsi="Verdana" w:cs="Verdana"/>
        </w:rPr>
        <w:t>а у року од 180 дана од ступања на снагу овог закона.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Ступање на снагу и почетак примене</w:t>
      </w:r>
    </w:p>
    <w:p w:rsidR="00AE0D23" w:rsidRDefault="005012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AE0D23" w:rsidRDefault="005012BA">
      <w:pPr>
        <w:spacing w:line="210" w:lineRule="atLeast"/>
      </w:pPr>
      <w:r>
        <w:rPr>
          <w:rFonts w:ascii="Verdana" w:eastAsia="Verdana" w:hAnsi="Verdana" w:cs="Verdana"/>
        </w:rPr>
        <w:t>Овај закон ступа на снагу осмог дана од дана објављивања у „Службеном гласнику Републике Србије”, а примењиваће се од 1. јануара 2027. године.</w:t>
      </w:r>
    </w:p>
    <w:sectPr w:rsidR="00AE0D2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23"/>
    <w:rsid w:val="005012BA"/>
    <w:rsid w:val="00A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F38F5-D3CB-4156-BA36-69CB1A29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2025-12-05T12:29:00Z</dcterms:created>
  <dcterms:modified xsi:type="dcterms:W3CDTF">2025-12-05T12:29:00Z</dcterms:modified>
</cp:coreProperties>
</file>