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67" w:rsidRDefault="00E50A14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t xml:space="preserve"> 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подстицајним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имунизацију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спречавање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сузбијање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46/21),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E71567" w:rsidRDefault="00E50A14">
      <w:pPr>
        <w:spacing w:after="225"/>
        <w:jc w:val="center"/>
      </w:pPr>
      <w:r>
        <w:rPr>
          <w:b/>
          <w:color w:val="000000"/>
        </w:rPr>
        <w:t>ПРАВИЛНИК</w:t>
      </w:r>
    </w:p>
    <w:p w:rsidR="00E71567" w:rsidRDefault="00E50A14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размене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података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пријаве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добијање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додатне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новчане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исплате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додатне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новчане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помоћи</w:t>
      </w:r>
      <w:proofErr w:type="spellEnd"/>
    </w:p>
    <w:p w:rsidR="00E71567" w:rsidRDefault="00E50A14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53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28. </w:t>
      </w:r>
      <w:proofErr w:type="spellStart"/>
      <w:proofErr w:type="gramStart"/>
      <w:r>
        <w:rPr>
          <w:color w:val="000000"/>
        </w:rPr>
        <w:t>маја</w:t>
      </w:r>
      <w:proofErr w:type="spellEnd"/>
      <w:proofErr w:type="gramEnd"/>
      <w:r>
        <w:rPr>
          <w:color w:val="000000"/>
        </w:rPr>
        <w:t xml:space="preserve"> 2021.</w:t>
      </w:r>
    </w:p>
    <w:p w:rsidR="00E71567" w:rsidRDefault="00E50A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</w:t>
      </w:r>
      <w:r>
        <w:rPr>
          <w:color w:val="000000"/>
        </w:rPr>
        <w:t>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сврху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подстицајним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имунизацију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спречавање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сузбијање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</w:t>
      </w:r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46/21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>).</w:t>
      </w:r>
    </w:p>
    <w:p w:rsidR="00E71567" w:rsidRDefault="00E50A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) – </w:t>
      </w:r>
      <w:proofErr w:type="spellStart"/>
      <w:r>
        <w:rPr>
          <w:color w:val="000000"/>
        </w:rPr>
        <w:t>исплаћ</w:t>
      </w:r>
      <w:r>
        <w:rPr>
          <w:color w:val="000000"/>
        </w:rPr>
        <w:t>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3.000,00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додатна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>).</w:t>
      </w:r>
    </w:p>
    <w:p w:rsidR="00E71567" w:rsidRDefault="00E50A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установама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:rsidR="00E71567" w:rsidRDefault="00E50A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изузев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до</w:t>
      </w:r>
      <w:proofErr w:type="spellEnd"/>
      <w:proofErr w:type="gramEnd"/>
      <w:r>
        <w:rPr>
          <w:color w:val="000000"/>
        </w:rPr>
        <w:t xml:space="preserve"> 15. </w:t>
      </w:r>
      <w:proofErr w:type="spellStart"/>
      <w:proofErr w:type="gramStart"/>
      <w:r>
        <w:rPr>
          <w:color w:val="000000"/>
        </w:rPr>
        <w:t>јуна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:</w:t>
      </w:r>
    </w:p>
    <w:p w:rsidR="00E71567" w:rsidRDefault="00E50A14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електронским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</w:t>
      </w:r>
      <w:r>
        <w:rPr>
          <w:color w:val="000000"/>
        </w:rPr>
        <w:t>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адресе</w:t>
      </w:r>
      <w:proofErr w:type="spellEnd"/>
      <w:r>
        <w:rPr>
          <w:color w:val="000000"/>
        </w:rPr>
        <w:t xml:space="preserve"> https://pmi.trezor.gov.rs;</w:t>
      </w:r>
    </w:p>
    <w:p w:rsidR="00E71567" w:rsidRDefault="00E50A14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телефонски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контакт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Канцеларије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електронску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позивањем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0800100302.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lastRenderedPageBreak/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матичну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пензијско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инвалидско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>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</w:t>
      </w:r>
      <w:r>
        <w:rPr>
          <w:color w:val="000000"/>
        </w:rPr>
        <w:t>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правде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>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потпуне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>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пријављеном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бришу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истеку</w:t>
      </w:r>
      <w:proofErr w:type="spellEnd"/>
      <w:r>
        <w:rPr>
          <w:color w:val="000000"/>
        </w:rPr>
        <w:t xml:space="preserve"> 90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r>
        <w:rPr>
          <w:color w:val="000000"/>
        </w:rPr>
        <w:t>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E71567" w:rsidRDefault="00E50A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:</w:t>
      </w:r>
    </w:p>
    <w:p w:rsidR="00E71567" w:rsidRDefault="00E50A14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јединствени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>;</w:t>
      </w:r>
    </w:p>
    <w:p w:rsidR="00E71567" w:rsidRDefault="00E50A14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регистарски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карте</w:t>
      </w:r>
      <w:proofErr w:type="spellEnd"/>
      <w:r>
        <w:rPr>
          <w:color w:val="000000"/>
        </w:rPr>
        <w:t>;</w:t>
      </w:r>
    </w:p>
    <w:p w:rsidR="00E71567" w:rsidRDefault="00E50A14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избором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падајуће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пословно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>.</w:t>
      </w:r>
    </w:p>
    <w:p w:rsidR="00E71567" w:rsidRDefault="00E50A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фондо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пензијско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инвалидско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>:</w:t>
      </w:r>
    </w:p>
    <w:p w:rsidR="00E71567" w:rsidRDefault="00E50A14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име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>;</w:t>
      </w:r>
    </w:p>
    <w:p w:rsidR="00E71567" w:rsidRDefault="00E50A14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јединствени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>;</w:t>
      </w:r>
    </w:p>
    <w:p w:rsidR="00E71567" w:rsidRDefault="00E50A14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начин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пензија</w:t>
      </w:r>
      <w:proofErr w:type="spellEnd"/>
      <w:r>
        <w:rPr>
          <w:color w:val="000000"/>
        </w:rPr>
        <w:t>;</w:t>
      </w:r>
    </w:p>
    <w:p w:rsidR="00E71567" w:rsidRDefault="00E50A14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број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>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правде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>:</w:t>
      </w:r>
    </w:p>
    <w:p w:rsidR="00E71567" w:rsidRDefault="00E50A14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име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>;</w:t>
      </w:r>
    </w:p>
    <w:p w:rsidR="00E71567" w:rsidRDefault="00E50A14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јединствени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>;</w:t>
      </w:r>
    </w:p>
    <w:p w:rsidR="00E71567" w:rsidRDefault="00E50A14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мат</w:t>
      </w:r>
      <w:r>
        <w:rPr>
          <w:color w:val="000000"/>
        </w:rPr>
        <w:t>ични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>;</w:t>
      </w:r>
    </w:p>
    <w:p w:rsidR="00E71567" w:rsidRDefault="00E50A14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депозитни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>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lastRenderedPageBreak/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Јовановић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Батут</w:t>
      </w:r>
      <w:proofErr w:type="spellEnd"/>
      <w:r>
        <w:rPr>
          <w:color w:val="000000"/>
        </w:rPr>
        <w:t>”:</w:t>
      </w:r>
    </w:p>
    <w:p w:rsidR="00E71567" w:rsidRDefault="00E50A14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име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>;</w:t>
      </w:r>
    </w:p>
    <w:p w:rsidR="00E71567" w:rsidRDefault="00E50A14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јединствени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>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:</w:t>
      </w:r>
    </w:p>
    <w:p w:rsidR="00E71567" w:rsidRDefault="00E50A14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име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>;</w:t>
      </w:r>
    </w:p>
    <w:p w:rsidR="00E71567" w:rsidRDefault="00E50A14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јединствени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>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>:</w:t>
      </w:r>
    </w:p>
    <w:p w:rsidR="00E71567" w:rsidRDefault="00E50A14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име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>;</w:t>
      </w:r>
    </w:p>
    <w:p w:rsidR="00E71567" w:rsidRDefault="00E50A14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јединствени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>;</w:t>
      </w:r>
    </w:p>
    <w:p w:rsidR="00E71567" w:rsidRDefault="00E50A14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регистарски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карте</w:t>
      </w:r>
      <w:proofErr w:type="spellEnd"/>
      <w:r>
        <w:rPr>
          <w:color w:val="000000"/>
        </w:rPr>
        <w:t>.</w:t>
      </w:r>
    </w:p>
    <w:p w:rsidR="00E71567" w:rsidRDefault="00E50A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Јовановић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Батут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6.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6. </w:t>
      </w:r>
      <w:proofErr w:type="spellStart"/>
      <w:proofErr w:type="gramStart"/>
      <w:r>
        <w:rPr>
          <w:color w:val="000000"/>
        </w:rPr>
        <w:t>ст</w:t>
      </w:r>
      <w:proofErr w:type="spellEnd"/>
      <w:proofErr w:type="gramEnd"/>
      <w:r>
        <w:rPr>
          <w:color w:val="000000"/>
        </w:rPr>
        <w:t xml:space="preserve">. 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6. </w:t>
      </w:r>
      <w:proofErr w:type="spellStart"/>
      <w:proofErr w:type="gramStart"/>
      <w:r>
        <w:rPr>
          <w:color w:val="000000"/>
        </w:rPr>
        <w:t>ст</w:t>
      </w:r>
      <w:proofErr w:type="spellEnd"/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>, 4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5.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Размена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>.</w:t>
      </w:r>
    </w:p>
    <w:p w:rsidR="00E71567" w:rsidRDefault="00E50A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>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допуне</w:t>
      </w:r>
      <w:proofErr w:type="spellEnd"/>
      <w:r>
        <w:rPr>
          <w:color w:val="000000"/>
        </w:rPr>
        <w:t>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Приба</w:t>
      </w:r>
      <w:r>
        <w:rPr>
          <w:color w:val="000000"/>
        </w:rPr>
        <w:t>вљене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>.</w:t>
      </w:r>
    </w:p>
    <w:p w:rsidR="00E71567" w:rsidRDefault="00E50A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E71567" w:rsidRDefault="00E50A14">
      <w:pPr>
        <w:spacing w:after="150"/>
      </w:pPr>
      <w:proofErr w:type="spellStart"/>
      <w:proofErr w:type="gramStart"/>
      <w:r>
        <w:rPr>
          <w:color w:val="000000"/>
        </w:rPr>
        <w:lastRenderedPageBreak/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депозитне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>.</w:t>
      </w:r>
      <w:proofErr w:type="gramEnd"/>
    </w:p>
    <w:p w:rsidR="00E71567" w:rsidRDefault="00E50A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10.</w:t>
      </w:r>
    </w:p>
    <w:p w:rsidR="00E71567" w:rsidRDefault="00E50A14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E71567" w:rsidRDefault="00E50A14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110-00-256/2021-41-2</w:t>
      </w:r>
    </w:p>
    <w:p w:rsidR="00E71567" w:rsidRDefault="00E50A14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28. </w:t>
      </w:r>
      <w:proofErr w:type="spellStart"/>
      <w:proofErr w:type="gramStart"/>
      <w:r>
        <w:rPr>
          <w:color w:val="000000"/>
        </w:rPr>
        <w:t>ма</w:t>
      </w:r>
      <w:r>
        <w:rPr>
          <w:color w:val="000000"/>
        </w:rPr>
        <w:t>ја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E71567" w:rsidRDefault="00E50A14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E71567" w:rsidRDefault="00E50A14">
      <w:pPr>
        <w:spacing w:after="150"/>
        <w:jc w:val="right"/>
      </w:pPr>
      <w:proofErr w:type="spellStart"/>
      <w:r>
        <w:rPr>
          <w:b/>
          <w:color w:val="000000"/>
        </w:rPr>
        <w:t>Синиша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E715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67"/>
    <w:rsid w:val="00E50A14"/>
    <w:rsid w:val="00E7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51FCC-369D-4728-8A7F-B80B5396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2021-06-01T06:50:00Z</dcterms:created>
  <dcterms:modified xsi:type="dcterms:W3CDTF">2021-06-01T06:50:00Z</dcterms:modified>
</cp:coreProperties>
</file>