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4061B" w14:textId="77777777" w:rsidR="00B26330" w:rsidRPr="00E3163A" w:rsidRDefault="007D2276" w:rsidP="00422094">
      <w:pPr>
        <w:spacing w:after="0" w:line="240" w:lineRule="auto"/>
        <w:jc w:val="center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3163A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ЈАВНИ ПРИХОДИ</w:t>
      </w:r>
    </w:p>
    <w:p w14:paraId="6DFB1FDC" w14:textId="77777777" w:rsidR="007D2276" w:rsidRPr="00E224A5" w:rsidRDefault="007D2276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5602240C" w14:textId="77777777" w:rsidR="007D2276" w:rsidRPr="00E3163A" w:rsidRDefault="00CF0023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163A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ПОЈАМ ЈАВНИХ ПРИХОДА</w:t>
      </w:r>
    </w:p>
    <w:p w14:paraId="2B2DB435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1367128C" w14:textId="666B2995" w:rsidR="00224EEF" w:rsidRPr="00E224A5" w:rsidRDefault="00662230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Ј</w:t>
      </w:r>
      <w:r w:rsidR="00B9503C" w:rsidRPr="00E224A5">
        <w:rPr>
          <w:rFonts w:ascii="Tahoma" w:hAnsi="Tahoma" w:cs="Tahoma"/>
          <w:sz w:val="20"/>
          <w:szCs w:val="20"/>
          <w:lang w:val="sr-Cyrl-RS"/>
        </w:rPr>
        <w:t>авни приходи представљају све приходе остварене обавезним плаћањима пореских обвезника, правних и физичких лица која користе одређено јавно добро или јавну услугу, као и сви други приходи које остварују корисници буџетских средстава и средстава организација за обавезно социјално осигурање.</w:t>
      </w:r>
      <w:r w:rsidR="00224EEF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224EEF" w:rsidRPr="00E224A5">
        <w:rPr>
          <w:rFonts w:ascii="Tahoma" w:hAnsi="Tahoma" w:cs="Tahoma"/>
          <w:sz w:val="20"/>
          <w:szCs w:val="20"/>
          <w:lang w:val="sr-Cyrl-RS"/>
        </w:rPr>
        <w:t>Појединачни јавни приходи</w:t>
      </w:r>
      <w:r w:rsidR="00EA437F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224EEF" w:rsidRPr="00E224A5">
        <w:rPr>
          <w:rFonts w:ascii="Tahoma" w:hAnsi="Tahoma" w:cs="Tahoma"/>
          <w:sz w:val="20"/>
          <w:szCs w:val="20"/>
          <w:lang w:val="sr-Cyrl-RS"/>
        </w:rPr>
        <w:t>одређују се и уводе посебним законима, односно одлукама скупштине локалне власти. На исти начин,</w:t>
      </w:r>
      <w:r w:rsidR="00C14C2A" w:rsidRPr="00E224A5">
        <w:rPr>
          <w:rFonts w:ascii="Tahoma" w:hAnsi="Tahoma" w:cs="Tahoma"/>
          <w:sz w:val="20"/>
          <w:szCs w:val="20"/>
          <w:lang w:val="sr-Cyrl-RS"/>
        </w:rPr>
        <w:t xml:space="preserve"> висина јавних прихода</w:t>
      </w:r>
      <w:r w:rsidR="00EA437F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C14C2A" w:rsidRPr="00E224A5">
        <w:rPr>
          <w:rFonts w:ascii="Tahoma" w:hAnsi="Tahoma" w:cs="Tahoma"/>
          <w:sz w:val="20"/>
          <w:szCs w:val="20"/>
          <w:lang w:val="sr-Cyrl-RS"/>
        </w:rPr>
        <w:t xml:space="preserve"> утврђује се законом, односно актом надлежног органа у складу са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бу</w:t>
      </w:r>
      <w:r w:rsidR="00D004F5" w:rsidRPr="00E224A5">
        <w:rPr>
          <w:rFonts w:ascii="Tahoma" w:hAnsi="Tahoma" w:cs="Tahoma"/>
          <w:i/>
          <w:sz w:val="20"/>
          <w:szCs w:val="20"/>
          <w:lang w:val="sr-Cyrl-RS"/>
        </w:rPr>
        <w:t>џ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етском систему</w:t>
      </w:r>
      <w:r w:rsidR="0009681F" w:rsidRPr="00E224A5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"/>
      </w:r>
      <w:r w:rsidR="009365AF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="00C14C2A" w:rsidRPr="00E224A5">
        <w:rPr>
          <w:rFonts w:ascii="Tahoma" w:hAnsi="Tahoma" w:cs="Tahoma"/>
          <w:sz w:val="20"/>
          <w:szCs w:val="20"/>
          <w:lang w:val="sr-Cyrl-RS"/>
        </w:rPr>
        <w:t>и посебним законима.</w:t>
      </w:r>
    </w:p>
    <w:p w14:paraId="743F4EA9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3BB9A660" w14:textId="77777777" w:rsidR="007D2276" w:rsidRPr="00E224A5" w:rsidRDefault="00C14C2A" w:rsidP="00EA437F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  <w:r w:rsidRPr="00E224A5">
        <w:rPr>
          <w:rFonts w:ascii="Tahoma" w:hAnsi="Tahoma" w:cs="Tahoma"/>
          <w:bCs/>
          <w:sz w:val="20"/>
          <w:szCs w:val="20"/>
          <w:lang w:val="sr-Cyrl-RS"/>
        </w:rPr>
        <w:t>Буџетски приходи</w:t>
      </w:r>
      <w:r w:rsidR="00EA437F" w:rsidRPr="00E224A5">
        <w:rPr>
          <w:rFonts w:ascii="Tahoma" w:hAnsi="Tahoma" w:cs="Tahoma"/>
          <w:bCs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bCs/>
          <w:sz w:val="20"/>
          <w:szCs w:val="20"/>
          <w:lang w:val="sr-Cyrl-RS"/>
        </w:rPr>
        <w:t xml:space="preserve"> </w:t>
      </w:r>
      <w:r w:rsidR="00EA437F" w:rsidRPr="00E224A5">
        <w:rPr>
          <w:rFonts w:ascii="Tahoma" w:hAnsi="Tahoma" w:cs="Tahoma"/>
          <w:bCs/>
          <w:sz w:val="20"/>
          <w:szCs w:val="20"/>
          <w:lang w:val="sr-Cyrl-RS"/>
        </w:rPr>
        <w:t xml:space="preserve">који припадају Републици Србији, односно локалној власти, </w:t>
      </w:r>
      <w:r w:rsidRPr="00E224A5">
        <w:rPr>
          <w:rFonts w:ascii="Tahoma" w:hAnsi="Tahoma" w:cs="Tahoma"/>
          <w:bCs/>
          <w:sz w:val="20"/>
          <w:szCs w:val="20"/>
          <w:lang w:val="sr-Cyrl-RS"/>
        </w:rPr>
        <w:t xml:space="preserve">распоређују </w:t>
      </w:r>
      <w:r w:rsidR="00EA437F" w:rsidRPr="00E224A5">
        <w:rPr>
          <w:rFonts w:ascii="Tahoma" w:hAnsi="Tahoma" w:cs="Tahoma"/>
          <w:bCs/>
          <w:sz w:val="20"/>
          <w:szCs w:val="20"/>
          <w:lang w:val="sr-Cyrl-RS"/>
        </w:rPr>
        <w:t xml:space="preserve">се </w:t>
      </w:r>
      <w:r w:rsidRPr="00E224A5">
        <w:rPr>
          <w:rFonts w:ascii="Tahoma" w:hAnsi="Tahoma" w:cs="Tahoma"/>
          <w:bCs/>
          <w:sz w:val="20"/>
          <w:szCs w:val="20"/>
          <w:lang w:val="sr-Cyrl-RS"/>
        </w:rPr>
        <w:t>и исказују по врстама у буџету, као свеобухватном плану</w:t>
      </w:r>
      <w:r w:rsidR="00662230" w:rsidRPr="00E224A5">
        <w:rPr>
          <w:rFonts w:ascii="Tahoma" w:hAnsi="Tahoma" w:cs="Tahoma"/>
          <w:bCs/>
          <w:sz w:val="20"/>
          <w:szCs w:val="20"/>
          <w:lang w:val="sr-Cyrl-RS"/>
        </w:rPr>
        <w:t xml:space="preserve"> прихода и примања и плана расхода и издатака</w:t>
      </w:r>
      <w:r w:rsidRPr="00E224A5">
        <w:rPr>
          <w:rFonts w:ascii="Tahoma" w:hAnsi="Tahoma" w:cs="Tahoma"/>
          <w:bCs/>
          <w:sz w:val="20"/>
          <w:szCs w:val="20"/>
          <w:lang w:val="sr-Cyrl-RS"/>
        </w:rPr>
        <w:t>.</w:t>
      </w:r>
    </w:p>
    <w:p w14:paraId="5C3089D0" w14:textId="77777777" w:rsidR="00EA437F" w:rsidRPr="00E224A5" w:rsidRDefault="00EA437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</w:p>
    <w:p w14:paraId="4D23E1B4" w14:textId="77777777" w:rsidR="00EA437F" w:rsidRPr="00E3163A" w:rsidRDefault="00CF0023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163A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ВРСТЕ ЈАВНИХ ПРИХОДА</w:t>
      </w:r>
    </w:p>
    <w:p w14:paraId="74969ADE" w14:textId="77777777" w:rsidR="00AF5A9C" w:rsidRPr="00E224A5" w:rsidRDefault="00AF5A9C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50C026BE" w14:textId="42F3F79F" w:rsidR="00EA437F" w:rsidRPr="00E224A5" w:rsidRDefault="00EA437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Јавни приходи, сходно одредбама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Закона о о буџетском систему</w:t>
      </w:r>
      <w:r w:rsidRPr="00E224A5">
        <w:rPr>
          <w:rFonts w:ascii="Tahoma" w:hAnsi="Tahoma" w:cs="Tahoma"/>
          <w:sz w:val="20"/>
          <w:szCs w:val="20"/>
          <w:lang w:val="sr-Cyrl-RS"/>
        </w:rPr>
        <w:t>, могу бити: порези, доприноси за обавезно социјално осигурање и непорески приходи (таксе, накнаде, казне, приходи настали употребом јавних средстава</w:t>
      </w:r>
      <w:r w:rsidR="008A2B92" w:rsidRPr="00E224A5">
        <w:rPr>
          <w:rFonts w:ascii="Tahoma" w:hAnsi="Tahoma" w:cs="Tahoma"/>
          <w:sz w:val="20"/>
          <w:szCs w:val="20"/>
          <w:lang w:val="sr-Cyrl-RS"/>
        </w:rPr>
        <w:t>)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, самодопринос, донације, трансфери и финансијска помоћ ЕУ. </w:t>
      </w:r>
    </w:p>
    <w:p w14:paraId="769B16AB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36C1A18C" w14:textId="25FBEF6D" w:rsidR="000C5A38" w:rsidRPr="00E224A5" w:rsidRDefault="000C5A38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b/>
          <w:sz w:val="20"/>
          <w:szCs w:val="20"/>
          <w:lang w:val="sr-Cyrl-RS"/>
        </w:rPr>
        <w:t>Порези</w:t>
      </w:r>
      <w:r w:rsidRPr="00E224A5">
        <w:rPr>
          <w:rFonts w:ascii="Tahoma" w:hAnsi="Tahoma" w:cs="Tahoma"/>
          <w:sz w:val="20"/>
          <w:szCs w:val="20"/>
          <w:lang w:val="sr-Cyrl-RS"/>
        </w:rPr>
        <w:t>, као најдоминантнија врста дажбина кој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а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се корист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и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>као средств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о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за 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 xml:space="preserve">финансирање </w:t>
      </w:r>
      <w:r w:rsidRPr="00E224A5">
        <w:rPr>
          <w:rFonts w:ascii="Tahoma" w:hAnsi="Tahoma" w:cs="Tahoma"/>
          <w:sz w:val="20"/>
          <w:szCs w:val="20"/>
          <w:lang w:val="sr-Cyrl-RS"/>
        </w:rPr>
        <w:t>јавн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>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потрошњ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>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>могу се уводити искључиво законом и то на потрошњу, доходак, добит, имовину и пренос имовине физичких и правних лица. Појединачним пореским законима (</w:t>
      </w:r>
      <w:r w:rsidR="00A53DE9" w:rsidRPr="00E224A5">
        <w:rPr>
          <w:rFonts w:ascii="Tahoma" w:hAnsi="Tahoma" w:cs="Tahoma"/>
          <w:i/>
          <w:sz w:val="20"/>
          <w:szCs w:val="20"/>
          <w:lang w:val="sr-Cyrl-RS"/>
        </w:rPr>
        <w:t>Закон о порезу на додату вредност</w:t>
      </w:r>
      <w:r w:rsidR="00E224A5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"/>
      </w:r>
      <w:r w:rsidR="00E224A5">
        <w:rPr>
          <w:rFonts w:ascii="Tahoma" w:hAnsi="Tahoma" w:cs="Tahoma"/>
          <w:i/>
          <w:sz w:val="20"/>
          <w:szCs w:val="20"/>
          <w:lang w:val="sr-Cyrl-RS"/>
        </w:rPr>
        <w:t xml:space="preserve">, </w:t>
      </w:r>
      <w:r w:rsidR="00A53DE9" w:rsidRPr="00E224A5">
        <w:rPr>
          <w:rFonts w:ascii="Tahoma" w:hAnsi="Tahoma" w:cs="Tahoma"/>
          <w:i/>
          <w:sz w:val="20"/>
          <w:szCs w:val="20"/>
          <w:lang w:val="sr-Cyrl-RS"/>
        </w:rPr>
        <w:t>Закон о порезима на имовину</w:t>
      </w:r>
      <w:r w:rsidR="009365AF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="00E224A5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3"/>
      </w:r>
      <w:r w:rsidR="00A53DE9" w:rsidRPr="00E224A5">
        <w:rPr>
          <w:rFonts w:ascii="Tahoma" w:hAnsi="Tahoma" w:cs="Tahoma"/>
          <w:i/>
          <w:sz w:val="20"/>
          <w:szCs w:val="20"/>
          <w:lang w:val="sr-Cyrl-RS"/>
        </w:rPr>
        <w:t>, Закон о порезу на добит правних лица</w:t>
      </w:r>
      <w:r w:rsidR="00E224A5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4"/>
      </w:r>
      <w:r w:rsidR="00E224A5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>итд.), утврђују се</w:t>
      </w:r>
      <w:r w:rsidR="003811A5" w:rsidRPr="00E224A5">
        <w:rPr>
          <w:rFonts w:ascii="Tahoma" w:hAnsi="Tahoma" w:cs="Tahoma"/>
          <w:sz w:val="20"/>
          <w:szCs w:val="20"/>
          <w:lang w:val="en-US"/>
        </w:rPr>
        <w:t>:</w:t>
      </w:r>
      <w:r w:rsidR="00A53DE9" w:rsidRPr="00E224A5">
        <w:rPr>
          <w:rFonts w:ascii="Tahoma" w:hAnsi="Tahoma" w:cs="Tahoma"/>
          <w:sz w:val="20"/>
          <w:szCs w:val="20"/>
          <w:lang w:val="sr-Cyrl-RS"/>
        </w:rPr>
        <w:t xml:space="preserve"> предмет опорезивања, основица, обвезници пореза, пореска стопа или износ као и сви изузеци и олакшице од опорезивања. </w:t>
      </w:r>
    </w:p>
    <w:p w14:paraId="3D5F426A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A83AC16" w14:textId="33AA7179" w:rsidR="00A53DE9" w:rsidRPr="00E224A5" w:rsidRDefault="00A53DE9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b/>
          <w:sz w:val="20"/>
          <w:szCs w:val="20"/>
          <w:lang w:val="sr-Cyrl-RS"/>
        </w:rPr>
        <w:t>Доприноси за обавезно социјално осигурање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уводе се за пензијско и инвалидско осигурање, здравствено осигурање и осигурање за случај незапослености </w:t>
      </w:r>
      <w:r w:rsidRPr="00E224A5">
        <w:rPr>
          <w:rFonts w:ascii="Tahoma" w:hAnsi="Tahoma" w:cs="Tahoma"/>
          <w:sz w:val="20"/>
          <w:szCs w:val="20"/>
          <w:lang w:val="sr-Latn-RS"/>
        </w:rPr>
        <w:t>(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на снази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 о доприносима за обавезно социјално осигурање</w:t>
      </w:r>
      <w:r w:rsidR="00E224A5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5"/>
      </w:r>
      <w:r w:rsidR="00E224A5">
        <w:rPr>
          <w:rFonts w:ascii="Tahoma" w:hAnsi="Tahoma" w:cs="Tahoma"/>
          <w:i/>
          <w:sz w:val="20"/>
          <w:szCs w:val="20"/>
          <w:lang w:val="en-US"/>
        </w:rPr>
        <w:t>).</w:t>
      </w:r>
      <w:r w:rsidR="009365AF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</w:p>
    <w:p w14:paraId="786D77B8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A96C2BC" w14:textId="3D24887A" w:rsidR="00662230" w:rsidRPr="00E224A5" w:rsidRDefault="00662230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b/>
          <w:sz w:val="20"/>
          <w:szCs w:val="20"/>
          <w:lang w:val="sr-Cyrl-RS"/>
        </w:rPr>
        <w:t>Таксе</w:t>
      </w:r>
      <w:r w:rsidR="00DE5C50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271FF0" w:rsidRPr="00E224A5">
        <w:rPr>
          <w:rFonts w:ascii="Tahoma" w:hAnsi="Tahoma" w:cs="Tahoma"/>
          <w:sz w:val="20"/>
          <w:szCs w:val="20"/>
          <w:lang w:val="sr-Cyrl-RS"/>
        </w:rPr>
        <w:t>се</w:t>
      </w:r>
      <w:r w:rsidR="00DE5C50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271FF0" w:rsidRPr="00E224A5">
        <w:rPr>
          <w:rFonts w:ascii="Tahoma" w:hAnsi="Tahoma" w:cs="Tahoma"/>
          <w:sz w:val="20"/>
          <w:szCs w:val="20"/>
          <w:lang w:val="sr-Cyrl-RS"/>
        </w:rPr>
        <w:t xml:space="preserve"> такође, уводе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посебним законима, с тим што се њихова висина може одредити законом или прописом који доноси орган локалне власти на основу тог закона. Одређене таксе утврђују и корисници јавних средстава који нису корисници средстава буџета</w:t>
      </w:r>
      <w:r w:rsidR="00DE5C50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а ради обезбеђивања одређених услуга грађанима које тај корисник пружа. Специфичност такси јесте што се наплаћују </w:t>
      </w:r>
      <w:r w:rsidR="00DA48FF" w:rsidRPr="00E224A5">
        <w:rPr>
          <w:rFonts w:ascii="Tahoma" w:hAnsi="Tahoma" w:cs="Tahoma"/>
          <w:sz w:val="20"/>
          <w:szCs w:val="20"/>
          <w:lang w:val="sr-Cyrl-RS"/>
        </w:rPr>
        <w:t>за непосредно пружену јавну услугу, односно спроведен поступак или радњу.</w:t>
      </w:r>
    </w:p>
    <w:p w14:paraId="24B96790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77C6BACD" w14:textId="77777777" w:rsidR="00DA48FF" w:rsidRPr="00E224A5" w:rsidRDefault="00DA48F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b/>
          <w:sz w:val="20"/>
          <w:szCs w:val="20"/>
          <w:lang w:val="sr-Cyrl-RS"/>
        </w:rPr>
        <w:t xml:space="preserve">Накнаде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се уводе посебним законом који предлаже и спроводи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М</w:t>
      </w:r>
      <w:r w:rsidRPr="00E224A5">
        <w:rPr>
          <w:rFonts w:ascii="Tahoma" w:hAnsi="Tahoma" w:cs="Tahoma"/>
          <w:sz w:val="20"/>
          <w:szCs w:val="20"/>
          <w:lang w:val="sr-Cyrl-RS"/>
        </w:rPr>
        <w:t>иниста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рс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тво финансија, за коришћење добара – природних богатстава, односно добра од општег интереса и добра у општој употреби. </w:t>
      </w:r>
    </w:p>
    <w:p w14:paraId="1DF95338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0FA51DB" w14:textId="77777777" w:rsidR="00DA48FF" w:rsidRPr="00E224A5" w:rsidRDefault="00DA48F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b/>
          <w:sz w:val="20"/>
          <w:szCs w:val="20"/>
          <w:lang w:val="sr-Cyrl-RS"/>
        </w:rPr>
        <w:lastRenderedPageBreak/>
        <w:t xml:space="preserve">Приходи настали употребом јавних средстава </w:t>
      </w:r>
      <w:r w:rsidRPr="00E224A5">
        <w:rPr>
          <w:rFonts w:ascii="Tahoma" w:hAnsi="Tahoma" w:cs="Tahoma"/>
          <w:sz w:val="20"/>
          <w:szCs w:val="20"/>
          <w:lang w:val="sr-Cyrl-RS"/>
        </w:rPr>
        <w:t>могу бити приходи од камата, приходи од давања у закуп (што ће бити посебно образложено у виду примера у даљем тексту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 за потребе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 xml:space="preserve"> ове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 студије</w:t>
      </w:r>
      <w:r w:rsidRPr="00E224A5">
        <w:rPr>
          <w:rFonts w:ascii="Tahoma" w:hAnsi="Tahoma" w:cs="Tahoma"/>
          <w:sz w:val="20"/>
          <w:szCs w:val="20"/>
          <w:lang w:val="sr-Cyrl-RS"/>
        </w:rPr>
        <w:t>)</w:t>
      </w:r>
      <w:r w:rsidR="00302C4F" w:rsidRPr="00E224A5">
        <w:rPr>
          <w:rFonts w:ascii="Tahoma" w:hAnsi="Tahoma" w:cs="Tahoma"/>
          <w:sz w:val="20"/>
          <w:szCs w:val="20"/>
          <w:lang w:val="sr-Cyrl-RS"/>
        </w:rPr>
        <w:t>, односно на коришћење непокретности и покретних ствари у државној својини или својини аутономне покрајине и локалне самоуправе, приходи настали продајом услуга корисника јавних средстава, приходи од новчаних казни, одузета имовинска корист и концесиона накнада</w:t>
      </w:r>
      <w:r w:rsidR="00BE235E" w:rsidRPr="00E224A5">
        <w:rPr>
          <w:rFonts w:ascii="Tahoma" w:hAnsi="Tahoma" w:cs="Tahoma"/>
          <w:sz w:val="20"/>
          <w:szCs w:val="20"/>
          <w:lang w:val="sr-Cyrl-RS"/>
        </w:rPr>
        <w:t>.</w:t>
      </w:r>
    </w:p>
    <w:p w14:paraId="1E22EF1D" w14:textId="77777777" w:rsidR="00BE235E" w:rsidRPr="00E224A5" w:rsidRDefault="00BE235E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3D3BF9FD" w14:textId="77777777" w:rsidR="00BE235E" w:rsidRPr="00E3163A" w:rsidRDefault="00CF0023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163A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ФИНАНСИРАЊЕ НАДЛЕЖНОСТИ</w:t>
      </w:r>
    </w:p>
    <w:p w14:paraId="40F224B5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247701FB" w14:textId="45688C22" w:rsidR="00BE235E" w:rsidRPr="00E224A5" w:rsidRDefault="00BE235E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Надлежност Републике Србије финансира се јавним приходима и примањима. Од прихода, највише средстава потиче од пореза (ПДВ, акцизе, порез на доходак, </w:t>
      </w:r>
      <w:r w:rsidR="00DE5C50" w:rsidRPr="00E224A5">
        <w:rPr>
          <w:rFonts w:ascii="Tahoma" w:hAnsi="Tahoma" w:cs="Tahoma"/>
          <w:sz w:val="20"/>
          <w:szCs w:val="20"/>
          <w:lang w:val="sr-Cyrl-RS"/>
        </w:rPr>
        <w:t xml:space="preserve">порез на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добит предузећа, порез на употребу, држање и ношење одређених добара, порез на међународну трговину и трансакције). Поред пореза, буџету Републике Србије припадају и таксе, накнаде, донације и трансфери као и финансијска помоћ ЕУ, као и приходи настали употребом јавних средстава. Приходи настали употребом јавних средстава обухватају приходе од камата,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приходе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од давања у закуп и на коришћење покретних и непокретних ствари Републике Србије, приходи настали продајом услуга буџетских корисника, приходи од новчаних казни и концесионе накнаде. </w:t>
      </w:r>
    </w:p>
    <w:p w14:paraId="0493C5F1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341D542A" w14:textId="77777777" w:rsidR="004A4825" w:rsidRPr="00E224A5" w:rsidRDefault="00BE235E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Са друге стране, буџету аутономне покрајине припада</w:t>
      </w:r>
      <w:r w:rsidR="00EC19BA" w:rsidRPr="00E224A5">
        <w:rPr>
          <w:rFonts w:ascii="Tahoma" w:hAnsi="Tahoma" w:cs="Tahoma"/>
          <w:sz w:val="20"/>
          <w:szCs w:val="20"/>
          <w:lang w:val="sr-Cyrl-RS"/>
        </w:rPr>
        <w:t xml:space="preserve"> део прихода од пореза на добит предузећа и пореза на доходак грађана – пореза на зараде, који су остварени на територији те аутономне покрајине. Такође, законом могу бити одређени и други порези или делови пореза који улазе у буџет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аутономне покрајине</w:t>
      </w:r>
      <w:r w:rsidR="00EC19BA" w:rsidRPr="00E224A5">
        <w:rPr>
          <w:rFonts w:ascii="Tahoma" w:hAnsi="Tahoma" w:cs="Tahoma"/>
          <w:sz w:val="20"/>
          <w:szCs w:val="20"/>
          <w:lang w:val="sr-Cyrl-RS"/>
        </w:rPr>
        <w:t>. Надлежност органа аутономне покрајине се финансира, поред прихода од пореза, покрајинским административним таксама, накнадама, донацијама и трансферима, финансијском помоћи Европске уније као и приходима насталим употребом јавних средстава. Приходи настали употребом јавних средстава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EC19BA" w:rsidRPr="00E224A5">
        <w:rPr>
          <w:rFonts w:ascii="Tahoma" w:hAnsi="Tahoma" w:cs="Tahoma"/>
          <w:sz w:val="20"/>
          <w:szCs w:val="20"/>
          <w:lang w:val="sr-Cyrl-RS"/>
        </w:rPr>
        <w:t xml:space="preserve"> такође, припадају буџету аутономне покрајине у виду прихода од камата, прихода од давања у закуп и на коришћење покретних и непокретних ствари Републике Србије, а које користе покрајински органи, односно ствари у својини аутономне покрајине, те приходи настали продајом услуга корисника буџета аутономне покрајине, приходи од новчаних казни изречених у прекршајном поступку сходно акту скупштине АП и одузета имовина у том поступку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EC19BA" w:rsidRPr="00E224A5">
        <w:rPr>
          <w:rFonts w:ascii="Tahoma" w:hAnsi="Tahoma" w:cs="Tahoma"/>
          <w:sz w:val="20"/>
          <w:szCs w:val="20"/>
          <w:lang w:val="sr-Cyrl-RS"/>
        </w:rPr>
        <w:t xml:space="preserve"> као и приходи од концесионе накнаде. </w:t>
      </w:r>
    </w:p>
    <w:p w14:paraId="6432B023" w14:textId="77777777" w:rsidR="008813BD" w:rsidRPr="00E224A5" w:rsidRDefault="008813BD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79C299A" w14:textId="79F53B20" w:rsidR="004A4825" w:rsidRPr="00E224A5" w:rsidRDefault="004A4825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буџету</w:t>
      </w:r>
      <w:r w:rsidR="00C206CA" w:rsidRPr="00E224A5">
        <w:rPr>
          <w:rFonts w:ascii="Tahoma" w:hAnsi="Tahoma" w:cs="Tahoma"/>
          <w:i/>
          <w:sz w:val="20"/>
          <w:szCs w:val="20"/>
          <w:lang w:val="sr-Cyrl-RS"/>
        </w:rPr>
        <w:t xml:space="preserve"> Р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епублике Србије за 2020. годину</w:t>
      </w:r>
      <w:r w:rsidR="00E3163A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6"/>
      </w:r>
      <w:r w:rsidR="009E36FE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>предвиђено је да буџету Аутономне покрајине Војводине припада део прихода од пореза на доходак грађана – порез на зараде у висини од 18,00% од износа оствареног на њеној територији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као и део прихода од пореза на добит правних лица, у висини од 42,7% од износа оствареног на територији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аутономне покрајине</w:t>
      </w:r>
      <w:r w:rsidRPr="00E224A5">
        <w:rPr>
          <w:rFonts w:ascii="Tahoma" w:hAnsi="Tahoma" w:cs="Tahoma"/>
          <w:sz w:val="20"/>
          <w:szCs w:val="20"/>
          <w:lang w:val="sr-Cyrl-RS"/>
        </w:rPr>
        <w:t>. Поред тога, у буџет Војводине улазе и трансфери за поверене послове, наменски трансфери за финансирање расхода за запослене у образовању, наменски и ненаменски трансфери јединице локалне самоуправе на територији АП Војводине, као и наменски капитални трансфери које утврди Влада.</w:t>
      </w:r>
    </w:p>
    <w:p w14:paraId="0CF4A83A" w14:textId="77777777" w:rsidR="008813BD" w:rsidRPr="00E224A5" w:rsidRDefault="008813BD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20E68427" w14:textId="2D8BD04E" w:rsidR="004A4825" w:rsidRPr="00E224A5" w:rsidRDefault="00EC19BA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Локална самоуправа, односно надлежност њених органа </w:t>
      </w:r>
      <w:r w:rsidR="00903B1C" w:rsidRPr="00E224A5">
        <w:rPr>
          <w:rFonts w:ascii="Tahoma" w:hAnsi="Tahoma" w:cs="Tahoma"/>
          <w:sz w:val="20"/>
          <w:szCs w:val="20"/>
          <w:lang w:val="sr-Cyrl-RS"/>
        </w:rPr>
        <w:t xml:space="preserve">финансира се порезима на доходак, имовину, наслеђе и поклон, пренос апсолутних права и другим порезима, затим таксама, међу којима разликујемо локалне административне, комуналне таксе и боравишне таксе. У буџет локалне самоуправе улазе и накнаде, самодопринос, донације и трансфери, финансијска помоћ ЕУ и приходи настали употребом јавних средстава. 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>Јединици локалне самоуправе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 xml:space="preserve"> сходно </w:t>
      </w:r>
      <w:r w:rsidR="00D67BB5" w:rsidRPr="00E224A5">
        <w:rPr>
          <w:rFonts w:ascii="Tahoma" w:hAnsi="Tahoma" w:cs="Tahoma"/>
          <w:i/>
          <w:sz w:val="20"/>
          <w:szCs w:val="20"/>
          <w:lang w:val="sr-Cyrl-RS"/>
        </w:rPr>
        <w:t>Закону о финан</w:t>
      </w:r>
      <w:r w:rsidR="004A4DFE" w:rsidRPr="00E224A5">
        <w:rPr>
          <w:rFonts w:ascii="Tahoma" w:hAnsi="Tahoma" w:cs="Tahoma"/>
          <w:i/>
          <w:sz w:val="20"/>
          <w:szCs w:val="20"/>
          <w:lang w:val="sr-Cyrl-RS"/>
        </w:rPr>
        <w:t>с</w:t>
      </w:r>
      <w:r w:rsidR="00D67BB5" w:rsidRPr="00E224A5">
        <w:rPr>
          <w:rFonts w:ascii="Tahoma" w:hAnsi="Tahoma" w:cs="Tahoma"/>
          <w:i/>
          <w:sz w:val="20"/>
          <w:szCs w:val="20"/>
          <w:lang w:val="sr-Cyrl-RS"/>
        </w:rPr>
        <w:t>ирању локалне самоуправе</w:t>
      </w:r>
      <w:r w:rsidR="00387A13">
        <w:rPr>
          <w:rFonts w:ascii="Tahoma" w:hAnsi="Tahoma" w:cs="Tahoma"/>
          <w:sz w:val="20"/>
          <w:szCs w:val="20"/>
        </w:rPr>
        <w:t xml:space="preserve"> </w:t>
      </w:r>
      <w:r w:rsidR="00387A13">
        <w:rPr>
          <w:rStyle w:val="FootnoteReference"/>
          <w:rFonts w:ascii="Tahoma" w:hAnsi="Tahoma" w:cs="Tahoma"/>
          <w:sz w:val="20"/>
          <w:szCs w:val="20"/>
        </w:rPr>
        <w:footnoteReference w:id="7"/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>припадају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>и уступљени приходи и трансфери.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 Јединица локалне самоуправе може да оствари приход у виду ненаменског трансфера од а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>утономн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е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 xml:space="preserve"> покрајин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е, као и о</w:t>
      </w:r>
      <w:r w:rsidR="00F9072C" w:rsidRPr="00E224A5">
        <w:rPr>
          <w:rFonts w:ascii="Tahoma" w:hAnsi="Tahoma" w:cs="Tahoma"/>
          <w:sz w:val="20"/>
          <w:szCs w:val="20"/>
          <w:lang w:val="sr-Cyrl-RS"/>
        </w:rPr>
        <w:t xml:space="preserve">д других јединица локалне самоуправе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као приход </w:t>
      </w:r>
      <w:r w:rsidR="00F9072C" w:rsidRPr="00E224A5">
        <w:rPr>
          <w:rFonts w:ascii="Tahoma" w:hAnsi="Tahoma" w:cs="Tahoma"/>
          <w:sz w:val="20"/>
          <w:szCs w:val="20"/>
          <w:lang w:val="sr-Cyrl-RS"/>
        </w:rPr>
        <w:t xml:space="preserve">за испоруку добара и услуга, на основу закључених уговора. </w:t>
      </w:r>
    </w:p>
    <w:p w14:paraId="46687FCB" w14:textId="77777777" w:rsidR="008813BD" w:rsidRPr="00E224A5" w:rsidRDefault="008813BD" w:rsidP="00EC19BA">
      <w:pPr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  <w:lang w:val="sr-Cyrl-RS"/>
        </w:rPr>
      </w:pPr>
    </w:p>
    <w:p w14:paraId="31FB6E5B" w14:textId="2603506C" w:rsidR="00A50969" w:rsidRPr="00E224A5" w:rsidRDefault="004A4DFE" w:rsidP="004A482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А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>утономна покрајина и јединице локалне самоуправе имају</w:t>
      </w:r>
      <w:r w:rsidR="00662783" w:rsidRPr="00E224A5">
        <w:rPr>
          <w:rFonts w:ascii="Tahoma" w:hAnsi="Tahoma" w:cs="Tahoma"/>
          <w:sz w:val="20"/>
          <w:szCs w:val="20"/>
          <w:lang w:val="sr-Cyrl-RS"/>
        </w:rPr>
        <w:t xml:space="preserve"> и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 своје изворне приходе. </w:t>
      </w:r>
      <w:r w:rsidR="004A4825" w:rsidRPr="00E224A5">
        <w:rPr>
          <w:rFonts w:ascii="Tahoma" w:hAnsi="Tahoma" w:cs="Tahoma"/>
          <w:i/>
          <w:sz w:val="20"/>
          <w:szCs w:val="20"/>
          <w:lang w:val="sr-Cyrl-RS"/>
        </w:rPr>
        <w:t>Законом о утврђивању надлежности АП Војводине</w:t>
      </w:r>
      <w:r w:rsidR="00387A13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8"/>
      </w:r>
      <w:r w:rsidR="009E36FE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одређено је да се врсте и висине 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 xml:space="preserve">изворних 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прихода 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lastRenderedPageBreak/>
        <w:t>одређују посебним законом</w:t>
      </w:r>
      <w:r w:rsidR="004A4825" w:rsidRPr="00E224A5">
        <w:rPr>
          <w:rFonts w:ascii="Tahoma" w:hAnsi="Tahoma" w:cs="Tahoma"/>
          <w:sz w:val="20"/>
          <w:szCs w:val="20"/>
          <w:lang w:val="sr-Latn-RS"/>
        </w:rPr>
        <w:t>.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 Са друге стране</w:t>
      </w:r>
      <w:r w:rsidR="004E6265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4A4825" w:rsidRPr="00E224A5">
        <w:rPr>
          <w:rFonts w:ascii="Tahoma" w:hAnsi="Tahoma" w:cs="Tahoma"/>
          <w:i/>
          <w:sz w:val="20"/>
          <w:szCs w:val="20"/>
          <w:lang w:val="sr-Cyrl-RS"/>
        </w:rPr>
        <w:t>Законом о финаснирању локалне самоуправе</w:t>
      </w:r>
      <w:r w:rsidR="004A4825" w:rsidRPr="00E224A5">
        <w:rPr>
          <w:rFonts w:ascii="Tahoma" w:hAnsi="Tahoma" w:cs="Tahoma"/>
          <w:sz w:val="20"/>
          <w:szCs w:val="20"/>
          <w:lang w:val="sr-Cyrl-RS"/>
        </w:rPr>
        <w:t xml:space="preserve"> прописано је да стопе изворних прихода као и начин и мерила за одређивање висине локалних такси и накнада утврђује скупштина јединице локалне самоуправе својом одлуком. </w:t>
      </w:r>
      <w:r w:rsidR="00A50969" w:rsidRPr="00E224A5">
        <w:rPr>
          <w:rFonts w:ascii="Tahoma" w:hAnsi="Tahoma" w:cs="Tahoma"/>
          <w:sz w:val="20"/>
          <w:szCs w:val="20"/>
          <w:lang w:val="sr-Cyrl-RS"/>
        </w:rPr>
        <w:t>Изворни приходи јединице локалне самоуправе остварују се на њеној територији</w:t>
      </w:r>
      <w:r w:rsidR="00D67BB5" w:rsidRPr="00E224A5">
        <w:rPr>
          <w:rFonts w:ascii="Tahoma" w:hAnsi="Tahoma" w:cs="Tahoma"/>
          <w:sz w:val="20"/>
          <w:szCs w:val="20"/>
          <w:lang w:val="sr-Cyrl-RS"/>
        </w:rPr>
        <w:t xml:space="preserve">. </w:t>
      </w:r>
    </w:p>
    <w:p w14:paraId="15C56A35" w14:textId="77777777" w:rsidR="008813BD" w:rsidRPr="00E224A5" w:rsidRDefault="008813BD" w:rsidP="004A482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5188423A" w14:textId="2AC2CE5F" w:rsidR="004A4825" w:rsidRPr="00E224A5" w:rsidRDefault="004A4825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Део одговора</w:t>
      </w:r>
      <w:r w:rsidR="00F9072C" w:rsidRPr="00E224A5">
        <w:rPr>
          <w:rFonts w:ascii="Tahoma" w:hAnsi="Tahoma" w:cs="Tahoma"/>
          <w:sz w:val="20"/>
          <w:szCs w:val="20"/>
          <w:lang w:val="sr-Cyrl-RS"/>
        </w:rPr>
        <w:t xml:space="preserve"> у вези припадности прихода и финансирања надлежности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може се наћи 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 xml:space="preserve">и </w:t>
      </w:r>
      <w:r w:rsidRPr="00E224A5">
        <w:rPr>
          <w:rFonts w:ascii="Tahoma" w:hAnsi="Tahoma" w:cs="Tahoma"/>
          <w:sz w:val="20"/>
          <w:szCs w:val="20"/>
          <w:lang w:val="sr-Cyrl-RS"/>
        </w:rPr>
        <w:t>у Упутству за припрему буџета Републике Србије</w:t>
      </w:r>
      <w:r w:rsidR="00F4000D">
        <w:rPr>
          <w:rStyle w:val="FootnoteReference"/>
          <w:rFonts w:ascii="Tahoma" w:hAnsi="Tahoma" w:cs="Tahoma"/>
          <w:sz w:val="20"/>
          <w:szCs w:val="20"/>
          <w:lang w:val="sr-Cyrl-RS"/>
        </w:rPr>
        <w:footnoteReference w:id="9"/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и Упутству за израду одлуке о буџету локалне власти</w:t>
      </w:r>
      <w:r w:rsidR="00F4000D">
        <w:rPr>
          <w:rStyle w:val="FootnoteReference"/>
          <w:rFonts w:ascii="Tahoma" w:hAnsi="Tahoma" w:cs="Tahoma"/>
          <w:sz w:val="20"/>
          <w:szCs w:val="20"/>
          <w:lang w:val="sr-Cyrl-RS"/>
        </w:rPr>
        <w:footnoteReference w:id="10"/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које доставља Министарство финансија корисницима средстава буџета односно локалној власти. </w:t>
      </w:r>
    </w:p>
    <w:p w14:paraId="73619624" w14:textId="77777777" w:rsidR="008813BD" w:rsidRPr="00E224A5" w:rsidRDefault="008813BD" w:rsidP="00EC19B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</w:p>
    <w:p w14:paraId="01C9D293" w14:textId="1EE79935" w:rsidR="00C937E2" w:rsidRPr="00E224A5" w:rsidRDefault="004E6265" w:rsidP="00D004F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Такође, о</w:t>
      </w:r>
      <w:r w:rsidR="00662783" w:rsidRPr="00E224A5">
        <w:rPr>
          <w:rFonts w:ascii="Tahoma" w:hAnsi="Tahoma" w:cs="Tahoma"/>
          <w:sz w:val="20"/>
          <w:szCs w:val="20"/>
          <w:lang w:val="sr-Cyrl-RS"/>
        </w:rPr>
        <w:t>стало је да поменемо и да се о</w:t>
      </w:r>
      <w:r w:rsidR="00903B1C" w:rsidRPr="00E224A5">
        <w:rPr>
          <w:rFonts w:ascii="Tahoma" w:hAnsi="Tahoma" w:cs="Tahoma"/>
          <w:sz w:val="20"/>
          <w:szCs w:val="20"/>
          <w:lang w:val="sr-Cyrl-RS"/>
        </w:rPr>
        <w:t>рганизација за добровољно социјално осигурање, односно права која потичу из пензијског, инвалидског, здравственог осигурања и осигурања за случај незапослености, финансирају из доприноса за обавезно социјално осигурање, донацијама и трансферима као и свим другим приходима и примањима одређеним у складу са законом.</w:t>
      </w:r>
      <w:r w:rsidR="00D004F5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D004F5" w:rsidRPr="00E224A5">
        <w:rPr>
          <w:rFonts w:ascii="Tahoma" w:hAnsi="Tahoma" w:cs="Tahoma"/>
          <w:i/>
          <w:sz w:val="20"/>
          <w:szCs w:val="20"/>
          <w:lang w:val="sr-Cyrl-RS"/>
        </w:rPr>
        <w:t>Законом о доприносима за обавезно социјално осигурање</w:t>
      </w:r>
      <w:r w:rsidR="00D004F5" w:rsidRPr="00E224A5">
        <w:rPr>
          <w:rFonts w:ascii="Tahoma" w:hAnsi="Tahoma" w:cs="Tahoma"/>
          <w:sz w:val="20"/>
          <w:szCs w:val="20"/>
          <w:lang w:val="sr-Cyrl-RS"/>
        </w:rPr>
        <w:t xml:space="preserve"> одређене су стопе доприноса и то за обавезно пензијско и и</w:t>
      </w:r>
      <w:r w:rsidR="00F4000D">
        <w:rPr>
          <w:rFonts w:ascii="Tahoma" w:hAnsi="Tahoma" w:cs="Tahoma"/>
          <w:sz w:val="20"/>
          <w:szCs w:val="20"/>
          <w:lang w:val="sr-Cyrl-RS"/>
        </w:rPr>
        <w:t>н</w:t>
      </w:r>
      <w:r w:rsidR="00D004F5" w:rsidRPr="00E224A5">
        <w:rPr>
          <w:rFonts w:ascii="Tahoma" w:hAnsi="Tahoma" w:cs="Tahoma"/>
          <w:sz w:val="20"/>
          <w:szCs w:val="20"/>
          <w:lang w:val="sr-Cyrl-RS"/>
        </w:rPr>
        <w:t xml:space="preserve">валидско осигурање у висини од </w:t>
      </w:r>
      <w:r w:rsidR="00D004F5" w:rsidRPr="00E224A5">
        <w:rPr>
          <w:rFonts w:ascii="Tahoma" w:hAnsi="Tahoma" w:cs="Tahoma"/>
          <w:sz w:val="20"/>
          <w:szCs w:val="20"/>
        </w:rPr>
        <w:t>- 25,5%</w:t>
      </w:r>
      <w:r w:rsidR="00D004F5" w:rsidRPr="00E224A5">
        <w:rPr>
          <w:rFonts w:ascii="Tahoma" w:hAnsi="Tahoma" w:cs="Tahoma"/>
          <w:sz w:val="20"/>
          <w:szCs w:val="20"/>
          <w:lang w:val="sr-Cyrl-RS"/>
        </w:rPr>
        <w:t xml:space="preserve">, затим, за обавезно здравствено осигурање </w:t>
      </w:r>
      <w:r w:rsidR="00D004F5" w:rsidRPr="00E224A5">
        <w:rPr>
          <w:rFonts w:ascii="Tahoma" w:hAnsi="Tahoma" w:cs="Tahoma"/>
          <w:sz w:val="20"/>
          <w:szCs w:val="20"/>
        </w:rPr>
        <w:t>- 10,3%</w:t>
      </w:r>
      <w:r w:rsidR="00D004F5" w:rsidRPr="00E224A5">
        <w:rPr>
          <w:rFonts w:ascii="Tahoma" w:hAnsi="Tahoma" w:cs="Tahoma"/>
          <w:sz w:val="20"/>
          <w:szCs w:val="20"/>
          <w:lang w:val="sr-Cyrl-RS"/>
        </w:rPr>
        <w:t xml:space="preserve"> и осигурање за случај незапослености </w:t>
      </w:r>
      <w:r w:rsidR="00D004F5" w:rsidRPr="00E224A5">
        <w:rPr>
          <w:rFonts w:ascii="Tahoma" w:hAnsi="Tahoma" w:cs="Tahoma"/>
          <w:sz w:val="20"/>
          <w:szCs w:val="20"/>
        </w:rPr>
        <w:t>- 0,75%.</w:t>
      </w:r>
    </w:p>
    <w:p w14:paraId="36A00FAB" w14:textId="77777777" w:rsidR="008813BD" w:rsidRPr="00E224A5" w:rsidRDefault="008813BD" w:rsidP="00D004F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85EACA" w14:textId="07D89261" w:rsidR="00C937E2" w:rsidRPr="00E224A5" w:rsidRDefault="00C937E2" w:rsidP="00D004F5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Правилником о условима и начину вођења рачуна за уплату јавних прихода и распоред средстава са тих рачуна</w:t>
      </w:r>
      <w:r w:rsidR="00E827A9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1"/>
      </w:r>
      <w:r w:rsidR="009E36FE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>прописани су рачуни за уплату јавних прихода на које се уплаћују јавни приходи и примања као подрачуни система консолидованог рачуна трезора. Јавни приходи и примања уплаћују се искључиво преко рачуна за уплату јавних прихода у складу са овим Правилником. Јавни приходи се даље распоређују у буџет Републике, односно буџет локалне власти, организацијама за обавезно социјално осигурање и другим корисницима. Управа за трезор врши распоред и пренос средстава са рачуна за уплату јавних прихода на рачуне корисника</w:t>
      </w:r>
      <w:r w:rsidR="00F465A5" w:rsidRPr="00E224A5">
        <w:rPr>
          <w:rFonts w:ascii="Tahoma" w:hAnsi="Tahoma" w:cs="Tahoma"/>
          <w:sz w:val="20"/>
          <w:szCs w:val="20"/>
          <w:lang w:val="sr-Cyrl-RS"/>
        </w:rPr>
        <w:t>, а према припадности и прописаним стопама учеш</w:t>
      </w:r>
      <w:r w:rsidR="008813BD" w:rsidRPr="00E224A5">
        <w:rPr>
          <w:rFonts w:ascii="Tahoma" w:hAnsi="Tahoma" w:cs="Tahoma"/>
          <w:sz w:val="20"/>
          <w:szCs w:val="20"/>
          <w:lang w:val="sr-Cyrl-RS"/>
        </w:rPr>
        <w:t>ћ</w:t>
      </w:r>
      <w:r w:rsidR="00F465A5" w:rsidRPr="00E224A5">
        <w:rPr>
          <w:rFonts w:ascii="Tahoma" w:hAnsi="Tahoma" w:cs="Tahoma"/>
          <w:sz w:val="20"/>
          <w:szCs w:val="20"/>
          <w:lang w:val="sr-Cyrl-RS"/>
        </w:rPr>
        <w:t xml:space="preserve">а корисника у распореду тих прихода. </w:t>
      </w:r>
    </w:p>
    <w:p w14:paraId="6D8D25CA" w14:textId="77777777" w:rsidR="00BE235E" w:rsidRPr="00E224A5" w:rsidRDefault="00BE235E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5AEFB17D" w14:textId="77777777" w:rsidR="00F465A5" w:rsidRPr="009142E2" w:rsidRDefault="00CF0023" w:rsidP="00F465A5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142E2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УТВРЂИВАЊЕ, НАПЛАТА, ЕВИДЕНТИРАЊЕ И КОНТРОЛА ЈАВНИХ ПРИХОДА</w:t>
      </w:r>
    </w:p>
    <w:p w14:paraId="3878F309" w14:textId="77777777" w:rsidR="00603BBF" w:rsidRPr="00E224A5" w:rsidRDefault="00603BBF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131065F5" w14:textId="10E0454B" w:rsidR="001133CF" w:rsidRPr="00E224A5" w:rsidRDefault="00887481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Као што је претходно истакнуто, </w:t>
      </w:r>
      <w:r w:rsidR="0090736B" w:rsidRPr="00E224A5">
        <w:rPr>
          <w:rFonts w:ascii="Tahoma" w:hAnsi="Tahoma" w:cs="Tahoma"/>
          <w:sz w:val="20"/>
          <w:szCs w:val="20"/>
          <w:lang w:val="sr-Cyrl-RS"/>
        </w:rPr>
        <w:t>јавни приходи уводе се законом или одлуком скупштине локалне власти</w:t>
      </w:r>
      <w:r w:rsidR="004A4DFE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90736B" w:rsidRPr="00E224A5">
        <w:rPr>
          <w:rFonts w:ascii="Tahoma" w:hAnsi="Tahoma" w:cs="Tahoma"/>
          <w:sz w:val="20"/>
          <w:szCs w:val="20"/>
          <w:lang w:val="sr-Cyrl-RS"/>
        </w:rPr>
        <w:t xml:space="preserve"> а њихова висина утврђује се законом и актом надлежног органа у складу са </w:t>
      </w:r>
      <w:r w:rsidR="0090736B"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буџетском систему</w:t>
      </w:r>
      <w:r w:rsidR="0090736B" w:rsidRPr="00E224A5">
        <w:rPr>
          <w:rFonts w:ascii="Tahoma" w:hAnsi="Tahoma" w:cs="Tahoma"/>
          <w:sz w:val="20"/>
          <w:szCs w:val="20"/>
          <w:lang w:val="sr-Cyrl-RS"/>
        </w:rPr>
        <w:t xml:space="preserve"> и посебним законима. </w:t>
      </w:r>
      <w:r w:rsidR="00234A0C" w:rsidRPr="00E224A5">
        <w:rPr>
          <w:rFonts w:ascii="Tahoma" w:hAnsi="Tahoma" w:cs="Tahoma"/>
          <w:sz w:val="20"/>
          <w:szCs w:val="20"/>
          <w:lang w:val="sr-Cyrl-RS"/>
        </w:rPr>
        <w:t xml:space="preserve">Тако, </w:t>
      </w:r>
      <w:r w:rsidR="00561F8D" w:rsidRPr="00E224A5">
        <w:rPr>
          <w:rFonts w:ascii="Tahoma" w:hAnsi="Tahoma" w:cs="Tahoma"/>
          <w:sz w:val="20"/>
          <w:szCs w:val="20"/>
          <w:lang w:val="sr-Cyrl-RS"/>
        </w:rPr>
        <w:t xml:space="preserve">између осталог, </w:t>
      </w:r>
      <w:r w:rsidR="00234A0C" w:rsidRPr="00E224A5">
        <w:rPr>
          <w:rFonts w:ascii="Tahoma" w:hAnsi="Tahoma" w:cs="Tahoma"/>
          <w:sz w:val="20"/>
          <w:szCs w:val="20"/>
          <w:lang w:val="sr-Cyrl-RS"/>
        </w:rPr>
        <w:t xml:space="preserve">појединачним пореским законом утврђују се </w:t>
      </w:r>
      <w:r w:rsidR="00561F8D" w:rsidRPr="00E224A5">
        <w:rPr>
          <w:rFonts w:ascii="Tahoma" w:hAnsi="Tahoma" w:cs="Tahoma"/>
          <w:sz w:val="20"/>
          <w:szCs w:val="20"/>
          <w:lang w:val="sr-Cyrl-RS"/>
        </w:rPr>
        <w:t xml:space="preserve">предмет опорезивања, основица, порески обвезник и пореска стопа односно износ пореза. Са друге стране, како је то дефинисано </w:t>
      </w:r>
      <w:r w:rsidR="00561F8D" w:rsidRPr="00E224A5">
        <w:rPr>
          <w:rFonts w:ascii="Tahoma" w:hAnsi="Tahoma" w:cs="Tahoma"/>
          <w:i/>
          <w:sz w:val="20"/>
          <w:szCs w:val="20"/>
          <w:lang w:val="sr-Cyrl-RS"/>
        </w:rPr>
        <w:t>Законом о пореском поступку и пореској администрацији</w:t>
      </w:r>
      <w:r w:rsidR="009142E2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2"/>
      </w:r>
      <w:r w:rsidR="009142E2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="00561F8D" w:rsidRPr="00E224A5">
        <w:rPr>
          <w:rFonts w:ascii="Tahoma" w:hAnsi="Tahoma" w:cs="Tahoma"/>
          <w:sz w:val="20"/>
          <w:szCs w:val="20"/>
          <w:lang w:val="sr-Cyrl-RS"/>
        </w:rPr>
        <w:t>утврђивање пореза састоји се у издавању управних аката односно предузимању радњи којима се установљава постојање појединачне пореске обавезе. Такво утврђивање пореза обавља или Пореска управа доношењем пореског решења или сам порески обвезник у случају самоопорезивања.</w:t>
      </w:r>
      <w:r w:rsidR="00333D11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151E3E" w:rsidRPr="00E224A5">
        <w:rPr>
          <w:rFonts w:ascii="Tahoma" w:hAnsi="Tahoma" w:cs="Tahoma"/>
          <w:sz w:val="20"/>
          <w:szCs w:val="20"/>
          <w:lang w:val="sr-Cyrl-RS"/>
        </w:rPr>
        <w:t>Што се тиче доприноса за обавезно социјално осигурање, Законом је одређено да је обвезник обрачунавања и плаћања доприноса из основице и на основицу за запослене</w:t>
      </w:r>
      <w:r w:rsidR="006921F1" w:rsidRPr="00E224A5">
        <w:rPr>
          <w:rFonts w:ascii="Tahoma" w:hAnsi="Tahoma" w:cs="Tahoma"/>
          <w:sz w:val="20"/>
          <w:szCs w:val="20"/>
          <w:lang w:val="sr-Cyrl-RS"/>
        </w:rPr>
        <w:t xml:space="preserve"> сам послодавац, док </w:t>
      </w:r>
      <w:r w:rsidR="00151E3E" w:rsidRPr="00E224A5">
        <w:rPr>
          <w:rFonts w:ascii="Tahoma" w:hAnsi="Tahoma" w:cs="Tahoma"/>
          <w:sz w:val="20"/>
          <w:szCs w:val="20"/>
          <w:lang w:val="sr-Cyrl-RS"/>
        </w:rPr>
        <w:t>допринос</w:t>
      </w:r>
      <w:r w:rsidR="006921F1" w:rsidRPr="00E224A5">
        <w:rPr>
          <w:rFonts w:ascii="Tahoma" w:hAnsi="Tahoma" w:cs="Tahoma"/>
          <w:sz w:val="20"/>
          <w:szCs w:val="20"/>
          <w:lang w:val="sr-Cyrl-RS"/>
        </w:rPr>
        <w:t>е</w:t>
      </w:r>
      <w:r w:rsidR="00151E3E" w:rsidRPr="00E224A5">
        <w:rPr>
          <w:rFonts w:ascii="Tahoma" w:hAnsi="Tahoma" w:cs="Tahoma"/>
          <w:sz w:val="20"/>
          <w:szCs w:val="20"/>
          <w:lang w:val="sr-Cyrl-RS"/>
        </w:rPr>
        <w:t xml:space="preserve"> за самосталне уметнике</w:t>
      </w:r>
      <w:r w:rsidR="006921F1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151E3E" w:rsidRPr="00E224A5">
        <w:rPr>
          <w:rFonts w:ascii="Tahoma" w:hAnsi="Tahoma" w:cs="Tahoma"/>
          <w:sz w:val="20"/>
          <w:szCs w:val="20"/>
          <w:lang w:val="sr-Cyrl-RS"/>
        </w:rPr>
        <w:t>утврђује Пореска управа.</w:t>
      </w:r>
      <w:r w:rsidR="006921F1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6921F1" w:rsidRPr="00E224A5">
        <w:rPr>
          <w:rFonts w:ascii="Tahoma" w:hAnsi="Tahoma" w:cs="Tahoma"/>
          <w:i/>
          <w:sz w:val="20"/>
          <w:szCs w:val="20"/>
          <w:lang w:val="sr-Cyrl-RS"/>
        </w:rPr>
        <w:t>Закон о републичким административним таксама</w:t>
      </w:r>
      <w:r w:rsidR="009142E2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3"/>
      </w:r>
      <w:r w:rsidR="0074426A" w:rsidRPr="00E224A5">
        <w:rPr>
          <w:rFonts w:ascii="Tahoma" w:hAnsi="Tahoma" w:cs="Tahoma"/>
          <w:i/>
          <w:sz w:val="20"/>
          <w:szCs w:val="20"/>
          <w:lang w:val="sr-Cyrl-RS"/>
        </w:rPr>
        <w:t xml:space="preserve"> </w:t>
      </w:r>
      <w:r w:rsidR="006921F1" w:rsidRPr="00E224A5">
        <w:rPr>
          <w:rFonts w:ascii="Tahoma" w:hAnsi="Tahoma" w:cs="Tahoma"/>
          <w:sz w:val="20"/>
          <w:szCs w:val="20"/>
          <w:lang w:val="sr-Cyrl-RS"/>
        </w:rPr>
        <w:t>даје одговоре на питања у вези висине републичких административних такси (Тарифа)</w:t>
      </w:r>
      <w:r w:rsidR="007E3B66" w:rsidRPr="00E224A5">
        <w:rPr>
          <w:rFonts w:ascii="Tahoma" w:hAnsi="Tahoma" w:cs="Tahoma"/>
          <w:sz w:val="20"/>
          <w:szCs w:val="20"/>
          <w:lang w:val="sr-Cyrl-RS"/>
        </w:rPr>
        <w:t xml:space="preserve">, међутим, како је </w:t>
      </w:r>
      <w:r w:rsidR="007E3B66"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буџетском систему</w:t>
      </w:r>
      <w:r w:rsidR="007E3B66" w:rsidRPr="00E224A5">
        <w:rPr>
          <w:rFonts w:ascii="Tahoma" w:hAnsi="Tahoma" w:cs="Tahoma"/>
          <w:sz w:val="20"/>
          <w:szCs w:val="20"/>
          <w:lang w:val="sr-Cyrl-RS"/>
        </w:rPr>
        <w:t xml:space="preserve"> прописано</w:t>
      </w:r>
      <w:r w:rsidR="00476503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7E3B66" w:rsidRPr="00E224A5">
        <w:rPr>
          <w:rFonts w:ascii="Tahoma" w:hAnsi="Tahoma" w:cs="Tahoma"/>
          <w:sz w:val="20"/>
          <w:szCs w:val="20"/>
          <w:lang w:val="sr-Cyrl-RS"/>
        </w:rPr>
        <w:t xml:space="preserve"> висину такси може одредити и орган локалне власти као и корисник јавних средстава. </w:t>
      </w:r>
      <w:r w:rsidR="007E3B66" w:rsidRPr="00E224A5">
        <w:rPr>
          <w:rFonts w:ascii="Tahoma" w:hAnsi="Tahoma" w:cs="Tahoma"/>
          <w:i/>
          <w:sz w:val="20"/>
          <w:szCs w:val="20"/>
          <w:lang w:val="sr-Cyrl-RS"/>
        </w:rPr>
        <w:lastRenderedPageBreak/>
        <w:t>Законом о накнадама за коришћење јавних добара</w:t>
      </w:r>
      <w:r w:rsidR="009142E2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4"/>
      </w:r>
      <w:r w:rsidR="0074426A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="0072711E" w:rsidRPr="00E224A5">
        <w:rPr>
          <w:rFonts w:ascii="Tahoma" w:hAnsi="Tahoma" w:cs="Tahoma"/>
          <w:sz w:val="20"/>
          <w:szCs w:val="20"/>
          <w:lang w:val="sr-Cyrl-RS"/>
        </w:rPr>
        <w:t xml:space="preserve">утврђују се накнаде за коришћење јавних добара. </w:t>
      </w:r>
      <w:r w:rsidR="00F465A5" w:rsidRPr="00E224A5">
        <w:rPr>
          <w:rFonts w:ascii="Tahoma" w:hAnsi="Tahoma" w:cs="Tahoma"/>
          <w:sz w:val="20"/>
          <w:szCs w:val="20"/>
          <w:lang w:val="sr-Cyrl-RS"/>
        </w:rPr>
        <w:t>Међу њима</w:t>
      </w:r>
      <w:r w:rsidR="008813BD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F465A5" w:rsidRPr="00E224A5">
        <w:rPr>
          <w:rFonts w:ascii="Tahoma" w:hAnsi="Tahoma" w:cs="Tahoma"/>
          <w:sz w:val="20"/>
          <w:szCs w:val="20"/>
          <w:lang w:val="sr-Cyrl-RS"/>
        </w:rPr>
        <w:t xml:space="preserve"> Закон наводи накнаде за геолошка истраживања, накнаде за коришћење ресурса и резерви минералних сировина, накнаде за коришћење енергије и енергената, накнаде за промену намене пољопривредног земљишта као и за промену намене и коришћење шума и шумског земљишта. Такође, ту су и накнада за коришћење ловостајем заштићених врста дивљачи, накнаде за воде, накнаде за заштиту животне средине, накнаде за пловидбу и коришћење лука, накнаде за коришћење јавних путева, јавне железничке инфраструктуре, јавне површине, затим </w:t>
      </w:r>
      <w:r w:rsidR="008813BD" w:rsidRPr="00E224A5">
        <w:rPr>
          <w:rFonts w:ascii="Tahoma" w:hAnsi="Tahoma" w:cs="Tahoma"/>
          <w:sz w:val="20"/>
          <w:szCs w:val="20"/>
          <w:lang w:val="sr-Cyrl-RS"/>
        </w:rPr>
        <w:t xml:space="preserve">накнаде </w:t>
      </w:r>
      <w:r w:rsidR="00F465A5" w:rsidRPr="00E224A5">
        <w:rPr>
          <w:rFonts w:ascii="Tahoma" w:hAnsi="Tahoma" w:cs="Tahoma"/>
          <w:sz w:val="20"/>
          <w:szCs w:val="20"/>
          <w:lang w:val="sr-Cyrl-RS"/>
        </w:rPr>
        <w:t>за коришћење природног лековитог фактора, туристичког простора и електронске комуникације.</w:t>
      </w:r>
      <w:r w:rsidR="0074426A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>Законом се, такође, уређује припадност прихода</w:t>
      </w:r>
      <w:r w:rsidR="0074426A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>за поједине врсте накнада и то</w:t>
      </w:r>
      <w:r w:rsidR="0074426A" w:rsidRPr="00E224A5">
        <w:rPr>
          <w:rFonts w:ascii="Tahoma" w:hAnsi="Tahoma" w:cs="Tahoma"/>
          <w:sz w:val="20"/>
          <w:szCs w:val="20"/>
          <w:lang w:val="sr-Cyrl-RS"/>
        </w:rPr>
        <w:t xml:space="preserve"> у одређеном процентуалном износу 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>кој</w:t>
      </w:r>
      <w:r w:rsidR="005A1B98" w:rsidRPr="00E224A5">
        <w:rPr>
          <w:rFonts w:ascii="Tahoma" w:hAnsi="Tahoma" w:cs="Tahoma"/>
          <w:sz w:val="20"/>
          <w:szCs w:val="20"/>
          <w:lang w:val="sr-Cyrl-RS"/>
        </w:rPr>
        <w:t>и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 xml:space="preserve"> се </w:t>
      </w:r>
      <w:r w:rsidR="0074426A" w:rsidRPr="00E224A5">
        <w:rPr>
          <w:rFonts w:ascii="Tahoma" w:hAnsi="Tahoma" w:cs="Tahoma"/>
          <w:sz w:val="20"/>
          <w:szCs w:val="20"/>
          <w:lang w:val="sr-Cyrl-RS"/>
        </w:rPr>
        <w:t>распоређуј</w:t>
      </w:r>
      <w:r w:rsidR="005A1B98" w:rsidRPr="00E224A5">
        <w:rPr>
          <w:rFonts w:ascii="Tahoma" w:hAnsi="Tahoma" w:cs="Tahoma"/>
          <w:sz w:val="20"/>
          <w:szCs w:val="20"/>
          <w:lang w:val="sr-Cyrl-RS"/>
        </w:rPr>
        <w:t>е</w:t>
      </w:r>
      <w:r w:rsidR="0074426A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>у</w:t>
      </w:r>
      <w:r w:rsidR="0074426A" w:rsidRPr="00E224A5">
        <w:rPr>
          <w:rFonts w:ascii="Tahoma" w:hAnsi="Tahoma" w:cs="Tahoma"/>
          <w:sz w:val="20"/>
          <w:szCs w:val="20"/>
          <w:lang w:val="sr-Cyrl-RS"/>
        </w:rPr>
        <w:t xml:space="preserve"> буџет Републике Србије, буџет јединице локалне самоуправе као </w:t>
      </w:r>
      <w:r w:rsidR="001C18EA" w:rsidRPr="00E224A5">
        <w:rPr>
          <w:rFonts w:ascii="Tahoma" w:hAnsi="Tahoma" w:cs="Tahoma"/>
          <w:sz w:val="20"/>
          <w:szCs w:val="20"/>
          <w:lang w:val="sr-Cyrl-RS"/>
        </w:rPr>
        <w:t xml:space="preserve">и буџет аутономне покрајине. </w:t>
      </w:r>
    </w:p>
    <w:p w14:paraId="772418A1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3ED1D445" w14:textId="7A835803" w:rsidR="00C844E1" w:rsidRPr="00E224A5" w:rsidRDefault="00CE0DB1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Приходи, као и примања буџета, како Републике Србије тако и локалне власти, прикупљају се и наплаћују независно од износа утврђених у буџету за поједине врсте прихода. Директни и индиректни буџетски корисници су обавезни да уплаћују приходе из оквира своје надлежности на рачун консолидованог рачуна трезора ради даљег распоређивања средстава у буџету. Додатно, важно је напоменути да се јавни приходи наплаћују искључиво на принципу готовинске основе, осим уколико није од стране Владе одређен другачији метод. </w:t>
      </w:r>
      <w:r w:rsidR="00EF5932" w:rsidRPr="00E224A5">
        <w:rPr>
          <w:rFonts w:ascii="Tahoma" w:hAnsi="Tahoma" w:cs="Tahoma"/>
          <w:sz w:val="20"/>
          <w:szCs w:val="20"/>
          <w:lang w:val="sr-Cyrl-RS"/>
        </w:rPr>
        <w:t xml:space="preserve">Јавна предузећа односно друга правна лица </w:t>
      </w:r>
      <w:r w:rsidR="009668FD" w:rsidRPr="00E224A5">
        <w:rPr>
          <w:rFonts w:ascii="Tahoma" w:hAnsi="Tahoma" w:cs="Tahoma"/>
          <w:sz w:val="20"/>
          <w:szCs w:val="20"/>
          <w:lang w:val="sr-Cyrl-RS"/>
        </w:rPr>
        <w:t xml:space="preserve">и привредна друштва </w:t>
      </w:r>
      <w:r w:rsidR="00EF5932" w:rsidRPr="00E224A5">
        <w:rPr>
          <w:rFonts w:ascii="Tahoma" w:hAnsi="Tahoma" w:cs="Tahoma"/>
          <w:sz w:val="20"/>
          <w:szCs w:val="20"/>
          <w:lang w:val="sr-Cyrl-RS"/>
        </w:rPr>
        <w:t>чији је оснивач Република Србија,</w:t>
      </w:r>
      <w:r w:rsidR="00361D36" w:rsidRPr="00E224A5">
        <w:rPr>
          <w:rFonts w:ascii="Tahoma" w:hAnsi="Tahoma" w:cs="Tahoma"/>
          <w:sz w:val="20"/>
          <w:szCs w:val="20"/>
          <w:lang w:val="sr-Cyrl-RS"/>
        </w:rPr>
        <w:t xml:space="preserve"> дужна су да</w:t>
      </w:r>
      <w:r w:rsidR="00EF5932" w:rsidRPr="00E224A5">
        <w:rPr>
          <w:rFonts w:ascii="Tahoma" w:hAnsi="Tahoma" w:cs="Tahoma"/>
          <w:sz w:val="20"/>
          <w:szCs w:val="20"/>
          <w:lang w:val="sr-Cyrl-RS"/>
        </w:rPr>
        <w:t xml:space="preserve"> уплате у буџет Републике Србије део од најмање 50% добити, </w:t>
      </w:r>
      <w:r w:rsidR="00361D36" w:rsidRPr="00E224A5">
        <w:rPr>
          <w:rFonts w:ascii="Tahoma" w:hAnsi="Tahoma" w:cs="Tahoma"/>
          <w:sz w:val="20"/>
          <w:szCs w:val="20"/>
          <w:lang w:val="sr-Cyrl-RS"/>
        </w:rPr>
        <w:t>најкасније до 30. новембра текуће буџетске године. Иста обавеза постоји за јавне агенције</w:t>
      </w:r>
      <w:r w:rsidR="00BE52E6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361D36" w:rsidRPr="00E224A5">
        <w:rPr>
          <w:rFonts w:ascii="Tahoma" w:hAnsi="Tahoma" w:cs="Tahoma"/>
          <w:sz w:val="20"/>
          <w:szCs w:val="20"/>
          <w:lang w:val="sr-Cyrl-RS"/>
        </w:rPr>
        <w:t xml:space="preserve"> с тим што су оне дужне да уплате своју добит у буџет у целости – 100% добити. Наведене обавезе прописане су </w:t>
      </w:r>
      <w:r w:rsidR="00361D36"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буџету Републике Србиј</w:t>
      </w:r>
      <w:r w:rsidR="00175055" w:rsidRPr="00E224A5">
        <w:rPr>
          <w:rFonts w:ascii="Tahoma" w:hAnsi="Tahoma" w:cs="Tahoma"/>
          <w:i/>
          <w:sz w:val="20"/>
          <w:szCs w:val="20"/>
          <w:lang w:val="sr-Cyrl-RS"/>
        </w:rPr>
        <w:t>е</w:t>
      </w:r>
      <w:r w:rsidR="00361D36" w:rsidRPr="00E224A5">
        <w:rPr>
          <w:rFonts w:ascii="Tahoma" w:hAnsi="Tahoma" w:cs="Tahoma"/>
          <w:i/>
          <w:sz w:val="20"/>
          <w:szCs w:val="20"/>
          <w:lang w:val="sr-Cyrl-RS"/>
        </w:rPr>
        <w:t xml:space="preserve"> за 2020. годину</w:t>
      </w:r>
      <w:r w:rsidR="00361D36" w:rsidRPr="00E224A5">
        <w:rPr>
          <w:rFonts w:ascii="Tahoma" w:hAnsi="Tahoma" w:cs="Tahoma"/>
          <w:sz w:val="20"/>
          <w:szCs w:val="20"/>
          <w:lang w:val="sr-Cyrl-RS"/>
        </w:rPr>
        <w:t xml:space="preserve">. </w:t>
      </w:r>
    </w:p>
    <w:p w14:paraId="12C9379B" w14:textId="77777777" w:rsidR="00F465A5" w:rsidRPr="00E224A5" w:rsidRDefault="00F465A5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4C66F54C" w14:textId="77777777" w:rsidR="00F9072C" w:rsidRPr="00E224A5" w:rsidRDefault="00D021C5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Министар, односно локални орган управе надлежан за финансије обавезан је да редовно прати извршење буџета</w:t>
      </w:r>
      <w:r w:rsidR="00696A9B" w:rsidRPr="00E224A5">
        <w:rPr>
          <w:rFonts w:ascii="Tahoma" w:hAnsi="Tahoma" w:cs="Tahoma"/>
          <w:sz w:val="20"/>
          <w:szCs w:val="20"/>
          <w:lang w:val="sr-Cyrl-RS"/>
        </w:rPr>
        <w:t xml:space="preserve"> и најмање два пута годишње информише Владу, односно надлежни извршни орган локалне власти, а обавезно у року од 15 дана по истеку шестомесечног односно деветомесечног периода. Извештаји се потом усвајају и достављају Наро</w:t>
      </w:r>
      <w:r w:rsidR="008813BD" w:rsidRPr="00E224A5">
        <w:rPr>
          <w:rFonts w:ascii="Tahoma" w:hAnsi="Tahoma" w:cs="Tahoma"/>
          <w:sz w:val="20"/>
          <w:szCs w:val="20"/>
          <w:lang w:val="sr-Cyrl-RS"/>
        </w:rPr>
        <w:t>д</w:t>
      </w:r>
      <w:r w:rsidR="00696A9B" w:rsidRPr="00E224A5">
        <w:rPr>
          <w:rFonts w:ascii="Tahoma" w:hAnsi="Tahoma" w:cs="Tahoma"/>
          <w:sz w:val="20"/>
          <w:szCs w:val="20"/>
          <w:lang w:val="sr-Cyrl-RS"/>
        </w:rPr>
        <w:t xml:space="preserve">ној скупштини и скупштини локалне власти. </w:t>
      </w:r>
    </w:p>
    <w:p w14:paraId="24DD4319" w14:textId="77777777" w:rsidR="008813BD" w:rsidRPr="00E224A5" w:rsidRDefault="008813B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5763CB6E" w14:textId="1F2F97F8" w:rsidR="00696A9B" w:rsidRPr="00E224A5" w:rsidRDefault="00696A9B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Уредбом о буџетском рачуноводству</w:t>
      </w:r>
      <w:r w:rsidR="00D47F52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5"/>
      </w:r>
      <w:r w:rsidR="00694745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>ближе се уређује буџетско рачуноводство и систем главне књиге. Сходно овој Уредби, финансијско извештавање врши се периодично и годишње</w:t>
      </w:r>
      <w:r w:rsidR="00582BF8" w:rsidRPr="00E224A5">
        <w:rPr>
          <w:rFonts w:ascii="Tahoma" w:hAnsi="Tahoma" w:cs="Tahoma"/>
          <w:sz w:val="20"/>
          <w:szCs w:val="20"/>
          <w:lang w:val="sr-Cyrl-RS"/>
        </w:rPr>
        <w:t>.</w:t>
      </w:r>
    </w:p>
    <w:p w14:paraId="2A802164" w14:textId="77777777" w:rsidR="00310582" w:rsidRPr="00E224A5" w:rsidRDefault="00310582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08DB86C" w14:textId="332AC810" w:rsidR="00582BF8" w:rsidRPr="00E224A5" w:rsidRDefault="00582BF8" w:rsidP="00582BF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Правилником о систему извршења буџета Републике Србије</w:t>
      </w:r>
      <w:r w:rsidR="00D47F52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6"/>
      </w:r>
      <w:r w:rsidR="00A972D8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прописани су процеси и поступци функционисања система извршења буџета, као дела система управљања јавним финансијама који се спроводе кроз информациони систем извршења буџета Министарства финансија – Управе за трезор. У оквиру система евидентирају се остварени приходи и примања и извршени расходи и издаци у складу са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буџету</w:t>
      </w:r>
      <w:r w:rsidR="00A972D8" w:rsidRPr="00E224A5">
        <w:rPr>
          <w:rFonts w:ascii="Tahoma" w:hAnsi="Tahoma" w:cs="Tahoma"/>
          <w:i/>
          <w:sz w:val="20"/>
          <w:szCs w:val="20"/>
          <w:lang w:val="sr-Cyrl-RS"/>
        </w:rPr>
        <w:t xml:space="preserve"> Републике Србиј</w:t>
      </w:r>
      <w:r w:rsidR="00175055" w:rsidRPr="00E224A5">
        <w:rPr>
          <w:rFonts w:ascii="Tahoma" w:hAnsi="Tahoma" w:cs="Tahoma"/>
          <w:i/>
          <w:sz w:val="20"/>
          <w:szCs w:val="20"/>
          <w:lang w:val="sr-Cyrl-RS"/>
        </w:rPr>
        <w:t>е</w:t>
      </w:r>
      <w:r w:rsidR="00A972D8" w:rsidRPr="00E224A5">
        <w:rPr>
          <w:rFonts w:ascii="Tahoma" w:hAnsi="Tahoma" w:cs="Tahoma"/>
          <w:i/>
          <w:sz w:val="20"/>
          <w:szCs w:val="20"/>
          <w:lang w:val="sr-Cyrl-RS"/>
        </w:rPr>
        <w:t xml:space="preserve"> за 2020. годину</w:t>
      </w:r>
      <w:r w:rsidRPr="00E224A5">
        <w:rPr>
          <w:rFonts w:ascii="Tahoma" w:hAnsi="Tahoma" w:cs="Tahoma"/>
          <w:sz w:val="20"/>
          <w:szCs w:val="20"/>
          <w:lang w:val="sr-Cyrl-RS"/>
        </w:rPr>
        <w:t>. Систем обухвата поступке и процедуре за промену апропријација, одређивање и промену квота, начин настанка обавезе, извештавање о преузетим обавезама, евидентирање и промену преузетих обавеза и начин плаћања. Информациони систем извршења буџета садржи евиденционе рачуне корисника на којима се евидентирају извршена плаћања и остварена примања са подрачуна извршења буџета у току буџетске године. Управа за трезор отвара и посебне евиденционе подрачуне за оне кориснике који остварују приходе и примања из других извора финансирања осим из општих прихода и примања буџета</w:t>
      </w:r>
      <w:r w:rsidR="00BE52E6" w:rsidRPr="00E224A5">
        <w:rPr>
          <w:rFonts w:ascii="Tahoma" w:hAnsi="Tahoma" w:cs="Tahoma"/>
          <w:sz w:val="20"/>
          <w:szCs w:val="20"/>
          <w:lang w:val="sr-Cyrl-RS"/>
        </w:rPr>
        <w:t>.</w:t>
      </w:r>
    </w:p>
    <w:p w14:paraId="27E8B877" w14:textId="77777777" w:rsidR="008813BD" w:rsidRPr="00E224A5" w:rsidRDefault="008813BD" w:rsidP="00582BF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25F96DAC" w14:textId="49A72488" w:rsidR="00582BF8" w:rsidRPr="00E224A5" w:rsidRDefault="00582BF8" w:rsidP="00582BF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буџету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A972D8" w:rsidRPr="00E224A5">
        <w:rPr>
          <w:rFonts w:ascii="Tahoma" w:hAnsi="Tahoma" w:cs="Tahoma"/>
          <w:i/>
          <w:sz w:val="20"/>
          <w:szCs w:val="20"/>
          <w:lang w:val="sr-Cyrl-RS"/>
        </w:rPr>
        <w:t>Републике Србиј</w:t>
      </w:r>
      <w:r w:rsidR="00175055" w:rsidRPr="00E224A5">
        <w:rPr>
          <w:rFonts w:ascii="Tahoma" w:hAnsi="Tahoma" w:cs="Tahoma"/>
          <w:i/>
          <w:sz w:val="20"/>
          <w:szCs w:val="20"/>
          <w:lang w:val="sr-Cyrl-RS"/>
        </w:rPr>
        <w:t>е</w:t>
      </w:r>
      <w:r w:rsidR="00A972D8" w:rsidRPr="00E224A5">
        <w:rPr>
          <w:rFonts w:ascii="Tahoma" w:hAnsi="Tahoma" w:cs="Tahoma"/>
          <w:i/>
          <w:sz w:val="20"/>
          <w:szCs w:val="20"/>
          <w:lang w:val="sr-Cyrl-RS"/>
        </w:rPr>
        <w:t xml:space="preserve"> за 2020. годину</w:t>
      </w:r>
      <w:r w:rsidR="00A972D8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предвиђено је да Канцеларија за Косово и Метохију доставља надлежном Министарству финансија кварталне извештаје о средствима која се у току године преносе са њеног раздела јединицама локалне самоуправе на територији ове АП. Исто тако, директни корисници буџетских средстава достављају кварталне извештаје Министарству финансија о </w:t>
      </w:r>
      <w:r w:rsidR="00C937E2" w:rsidRPr="00E224A5">
        <w:rPr>
          <w:rFonts w:ascii="Tahoma" w:hAnsi="Tahoma" w:cs="Tahoma"/>
          <w:sz w:val="20"/>
          <w:szCs w:val="20"/>
          <w:lang w:val="sr-Cyrl-RS"/>
        </w:rPr>
        <w:t xml:space="preserve">преносу средстава са њиховог раздела јединицама локалне самоуправе и то за трансфере и субвенције. Директни корисници достављају и месечне извештаје о реализацији пројеката и програма који се финансирају од примања од иностраних задужења. </w:t>
      </w:r>
    </w:p>
    <w:p w14:paraId="6CF11B0D" w14:textId="77777777" w:rsidR="00310582" w:rsidRPr="00E224A5" w:rsidRDefault="00310582" w:rsidP="00582BF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78A7AB12" w14:textId="77777777" w:rsidR="00582BF8" w:rsidRPr="00E224A5" w:rsidRDefault="00F465A5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Управа за трезор дужна је да извештава орган Републике, аутономне покрајине, општине, града и организације за обавезно социјално осигурање о уплатама и распореду прихода и примања, односно дужна је да доставља извештај о бруто наплати, повраћају и распореду јавних прихода и примања. </w:t>
      </w:r>
    </w:p>
    <w:p w14:paraId="40EDF684" w14:textId="09161CAC" w:rsidR="00230BA2" w:rsidRPr="00E224A5" w:rsidRDefault="00230BA2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</w:p>
    <w:p w14:paraId="04170424" w14:textId="77777777" w:rsidR="008D68FD" w:rsidRPr="00284B1E" w:rsidRDefault="00CF0023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4B1E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ЦЕНТРАЛНИ РЕГИСТАР ФАКТУРА</w:t>
      </w:r>
      <w:r w:rsidRPr="00284B1E">
        <w:rPr>
          <w:rFonts w:ascii="Tahoma" w:hAnsi="Tahoma" w:cs="Tahoma"/>
          <w:color w:val="4472C4" w:themeColor="accent1"/>
          <w:sz w:val="20"/>
          <w:szCs w:val="20"/>
          <w:lang w:val="sr-Latn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84B1E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 РЕГИСТАР ИЗМИРЕЊА НОВЧАНИХ ОБАВЕЗА (РИНО)</w:t>
      </w:r>
    </w:p>
    <w:p w14:paraId="020698EC" w14:textId="77777777" w:rsidR="008D68FD" w:rsidRPr="00E224A5" w:rsidRDefault="008D68FD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52253FEB" w14:textId="65F75AC4" w:rsidR="00BE52E6" w:rsidRPr="00E224A5" w:rsidRDefault="008D68FD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Министарство фина</w:t>
      </w:r>
      <w:r w:rsidR="00736879" w:rsidRPr="00E224A5">
        <w:rPr>
          <w:rFonts w:ascii="Tahoma" w:hAnsi="Tahoma" w:cs="Tahoma"/>
          <w:sz w:val="20"/>
          <w:szCs w:val="20"/>
          <w:lang w:val="sr-Cyrl-RS"/>
        </w:rPr>
        <w:t>н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сија спроводи мере и активности у вези са контролом преузетих обавеза у јавном сектору, што подразумева и евидентирање, праћење и извештавање о неизмиреним обавезама. Из тог разлога,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роковима измирења новчаних обавеза у комерцијалним трансакцијама</w:t>
      </w:r>
      <w:r w:rsidR="00284B1E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7"/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уведен је Централни регистар фактура, као посебан информациони систем</w:t>
      </w:r>
      <w:r w:rsidR="00EF40DB" w:rsidRPr="00E224A5">
        <w:rPr>
          <w:rFonts w:ascii="Tahoma" w:hAnsi="Tahoma" w:cs="Tahoma"/>
          <w:sz w:val="20"/>
          <w:szCs w:val="20"/>
          <w:lang w:val="sr-Cyrl-RS"/>
        </w:rPr>
        <w:t xml:space="preserve">. Наведени сервис омогућава увид у све фактуре издате од стране правних лица у којима су корисници јавних средстава дужници. Законом се уређује регистровање и достављање електронских фактура и других захтева за исплату у електронском облику, у систему електронских фактура, као и евидентирање тих фактура и других захтева за исплату у електронском облику </w:t>
      </w:r>
      <w:r w:rsidR="00175055" w:rsidRPr="00E224A5">
        <w:rPr>
          <w:rFonts w:ascii="Tahoma" w:hAnsi="Tahoma" w:cs="Tahoma"/>
          <w:sz w:val="20"/>
          <w:szCs w:val="20"/>
          <w:lang w:val="sr-Cyrl-RS"/>
        </w:rPr>
        <w:t xml:space="preserve">у </w:t>
      </w:r>
      <w:r w:rsidR="00EF40DB" w:rsidRPr="00E224A5">
        <w:rPr>
          <w:rFonts w:ascii="Tahoma" w:hAnsi="Tahoma" w:cs="Tahoma"/>
          <w:sz w:val="20"/>
          <w:szCs w:val="20"/>
          <w:lang w:val="sr-Cyrl-RS"/>
        </w:rPr>
        <w:t>Централном регистру фактура, издатих од стране поверилаца у комерцијалним трансакцијама између јавног сектора и привредних субјеката. Централни регистар води Министарство финансија – Управа за трезор. Повериоци, односно привредни субјекти су дужни да издате фактуре и друге захтеве за исплату, у односу на субјекте јавног сектора, пре њиховог достављања дужницима, региструју у Централном регистру фактура. Важно је напоменути да дужници, односно субјекти јавног сектора, измирују новчане обавезе по фактурама и другим захтевима за исплату само под условом да су оне исправно регистроване у складу са Законом. Даном регистрова</w:t>
      </w:r>
      <w:r w:rsidR="00BE52E6" w:rsidRPr="00E224A5">
        <w:rPr>
          <w:rFonts w:ascii="Tahoma" w:hAnsi="Tahoma" w:cs="Tahoma"/>
          <w:sz w:val="20"/>
          <w:szCs w:val="20"/>
          <w:lang w:val="sr-Cyrl-RS"/>
        </w:rPr>
        <w:t>њ</w:t>
      </w:r>
      <w:r w:rsidR="00EF40DB" w:rsidRPr="00E224A5">
        <w:rPr>
          <w:rFonts w:ascii="Tahoma" w:hAnsi="Tahoma" w:cs="Tahoma"/>
          <w:sz w:val="20"/>
          <w:szCs w:val="20"/>
          <w:lang w:val="sr-Cyrl-RS"/>
        </w:rPr>
        <w:t xml:space="preserve">а фактуре сматра се да су те фактуре достављене дужнику. </w:t>
      </w:r>
    </w:p>
    <w:p w14:paraId="7A11FE53" w14:textId="77777777" w:rsidR="00BE52E6" w:rsidRPr="00E224A5" w:rsidRDefault="00BE52E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F56B2D6" w14:textId="4152A334" w:rsidR="008D68FD" w:rsidRPr="00E224A5" w:rsidRDefault="00EF40DB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У 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вези контроле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буџетск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инспекциј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е, истичемо да иста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има приступ свим подацима из система електронских фактура и Централног регистра фактура, потребним за спровођење надзора и других функција инспекцијске контроле.</w:t>
      </w:r>
      <w:r w:rsidR="009F39F8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86B09" w:rsidRPr="00E224A5">
        <w:rPr>
          <w:rFonts w:ascii="Tahoma" w:hAnsi="Tahoma" w:cs="Tahoma"/>
          <w:sz w:val="20"/>
          <w:szCs w:val="20"/>
          <w:lang w:val="sr-Cyrl-RS"/>
        </w:rPr>
        <w:t xml:space="preserve">Надзор и контрола </w:t>
      </w:r>
      <w:r w:rsidR="00FE1E3E" w:rsidRPr="00E224A5">
        <w:rPr>
          <w:rFonts w:ascii="Tahoma" w:hAnsi="Tahoma" w:cs="Tahoma"/>
          <w:sz w:val="20"/>
          <w:szCs w:val="20"/>
          <w:lang w:val="sr-Cyrl-RS"/>
        </w:rPr>
        <w:t xml:space="preserve">буџетске инспекције ближе су прописани </w:t>
      </w:r>
      <w:r w:rsidR="009F39F8" w:rsidRPr="00E224A5">
        <w:rPr>
          <w:rFonts w:ascii="Tahoma" w:hAnsi="Tahoma" w:cs="Tahoma"/>
          <w:i/>
          <w:sz w:val="20"/>
          <w:szCs w:val="20"/>
          <w:lang w:val="sr-Cyrl-RS"/>
        </w:rPr>
        <w:t>Правилником о начину и поступању буџетске инспекције у вршењу надзора над спровођењем закона о роковима измирења новчаних обавеза у комерцијалним трансакцијама</w:t>
      </w:r>
      <w:r w:rsidR="00284B1E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8"/>
      </w:r>
      <w:r w:rsidR="00284B1E">
        <w:rPr>
          <w:rFonts w:ascii="Tahoma" w:hAnsi="Tahoma" w:cs="Tahoma"/>
          <w:i/>
          <w:sz w:val="20"/>
          <w:szCs w:val="20"/>
          <w:lang w:val="sr-Latn-RS"/>
        </w:rPr>
        <w:t xml:space="preserve">. </w:t>
      </w:r>
      <w:r w:rsidR="00FE1E3E" w:rsidRPr="00E224A5">
        <w:rPr>
          <w:rFonts w:ascii="Tahoma" w:hAnsi="Tahoma" w:cs="Tahoma"/>
          <w:sz w:val="20"/>
          <w:szCs w:val="20"/>
          <w:lang w:val="sr-Cyrl-RS"/>
        </w:rPr>
        <w:t>Сам поступак и начин регистровања фактура и захтева за исплату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FE1E3E" w:rsidRPr="00E224A5">
        <w:rPr>
          <w:rFonts w:ascii="Tahoma" w:hAnsi="Tahoma" w:cs="Tahoma"/>
          <w:sz w:val="20"/>
          <w:szCs w:val="20"/>
          <w:lang w:val="sr-Cyrl-RS"/>
        </w:rPr>
        <w:t xml:space="preserve"> сходно предметном Закону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FE1E3E" w:rsidRPr="00E224A5">
        <w:rPr>
          <w:rFonts w:ascii="Tahoma" w:hAnsi="Tahoma" w:cs="Tahoma"/>
          <w:sz w:val="20"/>
          <w:szCs w:val="20"/>
          <w:lang w:val="sr-Cyrl-RS"/>
        </w:rPr>
        <w:t xml:space="preserve"> регулисан је </w:t>
      </w:r>
      <w:r w:rsidR="00FE1E3E" w:rsidRPr="00E224A5">
        <w:rPr>
          <w:rFonts w:ascii="Tahoma" w:hAnsi="Tahoma" w:cs="Tahoma"/>
          <w:i/>
          <w:sz w:val="20"/>
          <w:szCs w:val="20"/>
          <w:lang w:val="sr-Cyrl-RS"/>
        </w:rPr>
        <w:t xml:space="preserve">Правилником о начину и поступку регистровања фактура, односно других захтева за исплату, као и начину вођења </w:t>
      </w:r>
      <w:r w:rsidR="00A972D8" w:rsidRPr="00E224A5">
        <w:rPr>
          <w:rFonts w:ascii="Tahoma" w:hAnsi="Tahoma" w:cs="Tahoma"/>
          <w:i/>
          <w:sz w:val="20"/>
          <w:szCs w:val="20"/>
          <w:lang w:val="sr-Cyrl-RS"/>
        </w:rPr>
        <w:t xml:space="preserve">и садржају Централног </w:t>
      </w:r>
      <w:r w:rsidR="00FE1E3E" w:rsidRPr="00E224A5">
        <w:rPr>
          <w:rFonts w:ascii="Tahoma" w:hAnsi="Tahoma" w:cs="Tahoma"/>
          <w:i/>
          <w:sz w:val="20"/>
          <w:szCs w:val="20"/>
          <w:lang w:val="sr-Cyrl-RS"/>
        </w:rPr>
        <w:t>регистра фактура</w:t>
      </w:r>
      <w:r w:rsidR="00284B1E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19"/>
      </w:r>
      <w:r w:rsidR="00284B1E">
        <w:rPr>
          <w:rFonts w:ascii="Tahoma" w:hAnsi="Tahoma" w:cs="Tahoma"/>
          <w:i/>
          <w:sz w:val="20"/>
          <w:szCs w:val="20"/>
          <w:lang w:val="sr-Cyrl-RS"/>
        </w:rPr>
        <w:t>.</w:t>
      </w:r>
    </w:p>
    <w:p w14:paraId="5C1778CF" w14:textId="77777777" w:rsidR="00306FEC" w:rsidRPr="00E224A5" w:rsidRDefault="00306FEC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B827877" w14:textId="3D480AE7" w:rsidR="006A1A27" w:rsidRPr="00E224A5" w:rsidRDefault="006A1A27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На основу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Закона о роковима измирења новчаних обавеза у комерцијалним трансакцијама</w:t>
      </w:r>
      <w:r w:rsidRPr="00E224A5">
        <w:rPr>
          <w:rFonts w:ascii="Tahoma" w:hAnsi="Tahoma" w:cs="Tahoma"/>
          <w:sz w:val="20"/>
          <w:szCs w:val="20"/>
          <w:lang w:val="sr-Cyrl-RS"/>
        </w:rPr>
        <w:t>, Управа за трезор</w:t>
      </w:r>
      <w:r w:rsidR="00AB1498" w:rsidRPr="00E224A5">
        <w:rPr>
          <w:rFonts w:ascii="Tahoma" w:hAnsi="Tahoma" w:cs="Tahoma"/>
          <w:sz w:val="20"/>
          <w:szCs w:val="20"/>
          <w:lang w:val="sr-Cyrl-RS"/>
        </w:rPr>
        <w:t>, успоставила је пројекат-апликацију Регистар измирења новчаних обавеза – РИНО. Управа за трезор, у циљу спровођења надзора, прикупља податке о преузетим обавезама од субјеката јавног сектора, које они достављају кроз ову апликацију и достављају одељењу за буџетску инспекцију извештаје са подацима о неизмиреним обавезама корисника јавних средстава</w:t>
      </w:r>
      <w:r w:rsidR="00AB1498" w:rsidRPr="00E224A5">
        <w:rPr>
          <w:rFonts w:ascii="Tahoma" w:hAnsi="Tahoma" w:cs="Tahoma"/>
          <w:sz w:val="20"/>
          <w:szCs w:val="20"/>
          <w:lang w:val="sr-Latn-RS"/>
        </w:rPr>
        <w:t xml:space="preserve"> (</w:t>
      </w:r>
      <w:r w:rsidR="00AB1498" w:rsidRPr="00E224A5">
        <w:rPr>
          <w:rFonts w:ascii="Tahoma" w:hAnsi="Tahoma" w:cs="Tahoma"/>
          <w:sz w:val="20"/>
          <w:szCs w:val="20"/>
          <w:lang w:val="sr-Cyrl-RS"/>
        </w:rPr>
        <w:t>видети</w:t>
      </w:r>
      <w:r w:rsidR="00AB1498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284B1E">
        <w:rPr>
          <w:rFonts w:ascii="Tahoma" w:hAnsi="Tahoma" w:cs="Tahoma"/>
          <w:i/>
          <w:sz w:val="20"/>
          <w:szCs w:val="20"/>
          <w:lang w:val="sr-Cyrl-RS"/>
        </w:rPr>
        <w:t>Правилнико</w:t>
      </w:r>
      <w:r w:rsidR="00AB1498" w:rsidRPr="00E224A5">
        <w:rPr>
          <w:rFonts w:ascii="Tahoma" w:hAnsi="Tahoma" w:cs="Tahoma"/>
          <w:i/>
          <w:sz w:val="20"/>
          <w:szCs w:val="20"/>
          <w:lang w:val="sr-Cyrl-RS"/>
        </w:rPr>
        <w:t xml:space="preserve"> о начину и поступању буџетске инспекције у вршењу надзора над спровођењем закона о роковима измирења новчаних обавеза у комерцијалним трансакцијама</w:t>
      </w:r>
      <w:r w:rsidR="00AB1498" w:rsidRPr="00E224A5">
        <w:rPr>
          <w:rFonts w:ascii="Tahoma" w:hAnsi="Tahoma" w:cs="Tahoma"/>
          <w:sz w:val="20"/>
          <w:szCs w:val="20"/>
          <w:lang w:val="sr-Latn-RS"/>
        </w:rPr>
        <w:t>)</w:t>
      </w:r>
      <w:r w:rsidR="00AB1498" w:rsidRPr="00E224A5">
        <w:rPr>
          <w:rFonts w:ascii="Tahoma" w:hAnsi="Tahoma" w:cs="Tahoma"/>
          <w:sz w:val="20"/>
          <w:szCs w:val="20"/>
          <w:lang w:val="sr-Cyrl-RS"/>
        </w:rPr>
        <w:t>. Из ове апликације, буџетска инспекција преузима податке и о неизмиреним обавезама јавних предузећа</w:t>
      </w:r>
      <w:r w:rsidR="00AB1498" w:rsidRPr="00E224A5">
        <w:rPr>
          <w:rFonts w:ascii="Tahoma" w:hAnsi="Tahoma" w:cs="Tahoma"/>
          <w:sz w:val="20"/>
          <w:szCs w:val="20"/>
          <w:lang w:val="sr-Latn-RS"/>
        </w:rPr>
        <w:t>.</w:t>
      </w:r>
    </w:p>
    <w:p w14:paraId="275429D9" w14:textId="77777777" w:rsidR="00306FEC" w:rsidRPr="00E224A5" w:rsidRDefault="00306FEC" w:rsidP="00EA437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14:paraId="62D641A5" w14:textId="77777777" w:rsidR="00230BA2" w:rsidRPr="00284B1E" w:rsidRDefault="00CF0023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4B1E">
        <w:rPr>
          <w:rFonts w:ascii="Tahoma" w:hAnsi="Tahoma" w:cs="Tahoma"/>
          <w:color w:val="4472C4" w:themeColor="accent1"/>
          <w:sz w:val="20"/>
          <w:szCs w:val="20"/>
          <w:lang w:val="sr-Cyrl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СТУДИЈА СЛУЧАЈА - ПРИХОДИ ОД ДАВАЊА У ЗАКУП (ЛОКАЛНА САМОУПРАВА)</w:t>
      </w:r>
    </w:p>
    <w:p w14:paraId="50A152A6" w14:textId="77777777" w:rsidR="00D53B1F" w:rsidRPr="00284B1E" w:rsidRDefault="00D53B1F" w:rsidP="00EA437F">
      <w:pPr>
        <w:spacing w:after="0" w:line="240" w:lineRule="auto"/>
        <w:jc w:val="both"/>
        <w:rPr>
          <w:rFonts w:ascii="Tahoma" w:hAnsi="Tahoma" w:cs="Tahoma"/>
          <w:color w:val="4472C4" w:themeColor="accent1"/>
          <w:sz w:val="20"/>
          <w:szCs w:val="20"/>
          <w:lang w:val="sr-Latn-R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EC7FDF" w14:textId="77777777" w:rsidR="00D53B1F" w:rsidRPr="00E224A5" w:rsidRDefault="00D53B1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Ради бољег разумевања правног оквира којим су обухваћени јавни приходи посебно ћемо образложити регулативу која се примењује на приходе од давања у закуп јединица локалне самоуправе. </w:t>
      </w:r>
    </w:p>
    <w:p w14:paraId="26F2787D" w14:textId="77777777" w:rsidR="00D53B1F" w:rsidRPr="00E224A5" w:rsidRDefault="00D53B1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</w:p>
    <w:p w14:paraId="3F050B28" w14:textId="77777777" w:rsidR="00B80F6F" w:rsidRPr="00E224A5" w:rsidRDefault="00D53B1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буџетском систему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наведени приходи су сврстани у подврсту прихода насталих употребом јавних средстава. Извор настанка прихода може бити коришћење непокретности и </w:t>
      </w:r>
      <w:r w:rsidRPr="00E224A5">
        <w:rPr>
          <w:rFonts w:ascii="Tahoma" w:hAnsi="Tahoma" w:cs="Tahoma"/>
          <w:sz w:val="20"/>
          <w:szCs w:val="20"/>
          <w:lang w:val="sr-Cyrl-RS"/>
        </w:rPr>
        <w:lastRenderedPageBreak/>
        <w:t>покретних ствари како у државној својини тако и у својини јединице локалне самоуправе. Законом је предвиђено финансирање надлежности јединице локалне самоуправе приходима од давања у закуп, односно на коришћење непокретности и покретних ствари у својини Републике Србије, које користи јединица локалне самоуправе, односно органи, организације и службе јединице локалне самоуправе и индиректни корисници њеног буџета. Исто тако, буџету локалне власти припадају и приходи од давања у закуп, односно на коришћење непокретности и покретних ствари у својини јединице локалне самоуправе</w:t>
      </w:r>
      <w:r w:rsidR="00383BF6" w:rsidRPr="00E224A5">
        <w:rPr>
          <w:rFonts w:ascii="Tahoma" w:hAnsi="Tahoma" w:cs="Tahoma"/>
          <w:sz w:val="20"/>
          <w:szCs w:val="20"/>
          <w:lang w:val="sr-Latn-RS"/>
        </w:rPr>
        <w:t>.</w:t>
      </w:r>
    </w:p>
    <w:p w14:paraId="3F89DCC4" w14:textId="77777777" w:rsidR="00BD1D32" w:rsidRPr="00E224A5" w:rsidRDefault="00383BF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</w:p>
    <w:p w14:paraId="26E71FE0" w14:textId="5277C28D" w:rsidR="00B80F6F" w:rsidRPr="00E224A5" w:rsidRDefault="00383BF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локалној самоуправи</w:t>
      </w:r>
      <w:r w:rsidR="00007AB1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0"/>
      </w:r>
      <w:r w:rsidR="00007AB1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="00BD1D32" w:rsidRPr="00E224A5">
        <w:rPr>
          <w:rFonts w:ascii="Tahoma" w:hAnsi="Tahoma" w:cs="Tahoma"/>
          <w:sz w:val="20"/>
          <w:szCs w:val="20"/>
          <w:lang w:val="sr-Cyrl-RS"/>
        </w:rPr>
        <w:t>предвиђено је да јединица локалне самоуправе има своју имовину којом управљају органи јединице локалне самоуправе.</w:t>
      </w:r>
      <w:r w:rsidR="00BD1D32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BD1D32" w:rsidRPr="00E224A5">
        <w:rPr>
          <w:rFonts w:ascii="Tahoma" w:hAnsi="Tahoma" w:cs="Tahoma"/>
          <w:sz w:val="20"/>
          <w:szCs w:val="20"/>
          <w:lang w:val="sr-Cyrl-RS"/>
        </w:rPr>
        <w:t xml:space="preserve">Статутом јединице локалне самоуправе утврђују се стопе изворних прихода. Општина, преко својих органа, односно скупштине општине, управља општинском имовином и утврђује стопе изворних прихода. </w:t>
      </w:r>
    </w:p>
    <w:p w14:paraId="0BBE9198" w14:textId="77777777" w:rsidR="00B80F6F" w:rsidRPr="00E224A5" w:rsidRDefault="00B80F6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28E4370E" w14:textId="77777777" w:rsidR="00D53B1F" w:rsidRPr="00E224A5" w:rsidRDefault="00BD1D32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t>Законом о финансирању локалне самоуправе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дефинисано је да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међу изворним приходима који се остварују на њеној територији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јединици локалне самоуправе припадају и приходи од давања у закуп односно на коришћење непокретности и покретних ствари у својини државе, а које користи та јединица локалне самоуправе, односно њени органи, организације и индиректни корисници њеног буџета, као и оних ствари које су у својини јединице локалне самоуправе. Локални орган управе надлежан за финансије води евиденцију о приходима оствареним од закупа по корисницима</w:t>
      </w:r>
      <w:r w:rsidRPr="00E224A5">
        <w:rPr>
          <w:rFonts w:ascii="Tahoma" w:hAnsi="Tahoma" w:cs="Tahoma"/>
          <w:sz w:val="20"/>
          <w:szCs w:val="20"/>
          <w:lang w:val="sr-Latn-RS"/>
        </w:rPr>
        <w:t xml:space="preserve">. </w:t>
      </w:r>
    </w:p>
    <w:p w14:paraId="5620EED3" w14:textId="77777777" w:rsidR="00B80F6F" w:rsidRPr="00E224A5" w:rsidRDefault="00B80F6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4876ED38" w14:textId="498AF185" w:rsidR="00B80F6F" w:rsidRPr="00E224A5" w:rsidRDefault="00B80F6F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Latn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Сходно одредбама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Закона о јавној својини</w:t>
      </w:r>
      <w:r w:rsidR="00007AB1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1"/>
      </w:r>
      <w:r w:rsidR="00FC34A7" w:rsidRPr="00E224A5">
        <w:rPr>
          <w:rStyle w:val="CommentReference"/>
          <w:rFonts w:ascii="Tahoma" w:hAnsi="Tahoma" w:cs="Tahoma"/>
          <w:sz w:val="20"/>
          <w:szCs w:val="20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>произлази да се непокретностима које користе јединице локалне самоуправе сматрају и непокретности у јавној својини које не служе непосредно извршавању надлежности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већ за остваривање прихода путем давања у закуп односно на коришћење (тзв. комерцијалне непокретности). </w:t>
      </w:r>
      <w:r w:rsidR="00745D5C" w:rsidRPr="00E224A5">
        <w:rPr>
          <w:rFonts w:ascii="Tahoma" w:hAnsi="Tahoma" w:cs="Tahoma"/>
          <w:sz w:val="20"/>
          <w:szCs w:val="20"/>
          <w:lang w:val="sr-Cyrl-RS"/>
        </w:rPr>
        <w:t>Носиоци права јавне својине, међу којима су и јединице локалне самоуправе (општина и град)</w:t>
      </w:r>
      <w:r w:rsidR="00306FEC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745D5C" w:rsidRPr="00E224A5">
        <w:rPr>
          <w:rFonts w:ascii="Tahoma" w:hAnsi="Tahoma" w:cs="Tahoma"/>
          <w:sz w:val="20"/>
          <w:szCs w:val="20"/>
          <w:lang w:val="sr-Cyrl-RS"/>
        </w:rPr>
        <w:t xml:space="preserve"> имају право да ствар дају на коришћење другом носиоцу или у закуп.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Давање на коришћење или у закуп ствари у својини Републике Србије врши се по претходно прибављеној сагласности </w:t>
      </w:r>
      <w:r w:rsidR="00FC34A7" w:rsidRPr="00E224A5">
        <w:rPr>
          <w:rFonts w:ascii="Tahoma" w:hAnsi="Tahoma" w:cs="Tahoma"/>
          <w:sz w:val="20"/>
          <w:szCs w:val="20"/>
          <w:lang w:val="sr-Cyrl-RS"/>
        </w:rPr>
        <w:t>Републичке дирекције за имовину Републике Србије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. Исти принцип важи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за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давањ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у закуп ствари које су у својини јединице локалне самоуправе, с тим што сагласност у том случају даје надлежан орган јединице локалне самоуправе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а не </w:t>
      </w:r>
      <w:r w:rsidR="00FC34A7" w:rsidRPr="00E224A5">
        <w:rPr>
          <w:rFonts w:ascii="Tahoma" w:hAnsi="Tahoma" w:cs="Tahoma"/>
          <w:sz w:val="20"/>
          <w:szCs w:val="20"/>
          <w:lang w:val="sr-Cyrl-RS"/>
        </w:rPr>
        <w:t>Републичка д</w:t>
      </w:r>
      <w:r w:rsidRPr="00E224A5">
        <w:rPr>
          <w:rFonts w:ascii="Tahoma" w:hAnsi="Tahoma" w:cs="Tahoma"/>
          <w:sz w:val="20"/>
          <w:szCs w:val="20"/>
          <w:lang w:val="sr-Cyrl-RS"/>
        </w:rPr>
        <w:t>ирекција</w:t>
      </w:r>
      <w:r w:rsidR="00FC34A7" w:rsidRPr="00E224A5">
        <w:rPr>
          <w:rFonts w:ascii="Tahoma" w:hAnsi="Tahoma" w:cs="Tahoma"/>
          <w:sz w:val="20"/>
          <w:szCs w:val="20"/>
          <w:lang w:val="sr-Cyrl-RS"/>
        </w:rPr>
        <w:t xml:space="preserve"> за имовину Републике Србије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. </w:t>
      </w:r>
      <w:r w:rsidR="00745D5C" w:rsidRPr="00E224A5">
        <w:rPr>
          <w:rFonts w:ascii="Tahoma" w:hAnsi="Tahoma" w:cs="Tahoma"/>
          <w:sz w:val="20"/>
          <w:szCs w:val="20"/>
          <w:lang w:val="sr-Cyrl-RS"/>
        </w:rPr>
        <w:t xml:space="preserve">Припадност средстава остварених давањем у закуп, одређује се у складу са </w:t>
      </w:r>
      <w:r w:rsidR="00745D5C" w:rsidRPr="00E224A5">
        <w:rPr>
          <w:rFonts w:ascii="Tahoma" w:hAnsi="Tahoma" w:cs="Tahoma"/>
          <w:i/>
          <w:sz w:val="20"/>
          <w:szCs w:val="20"/>
          <w:lang w:val="sr-Cyrl-RS"/>
        </w:rPr>
        <w:t>Законом о буџетском систему</w:t>
      </w:r>
      <w:r w:rsidR="00745D5C" w:rsidRPr="00E224A5">
        <w:rPr>
          <w:rFonts w:ascii="Tahoma" w:hAnsi="Tahoma" w:cs="Tahoma"/>
          <w:sz w:val="20"/>
          <w:szCs w:val="20"/>
          <w:lang w:val="sr-Cyrl-RS"/>
        </w:rPr>
        <w:t xml:space="preserve">. О располагању стварима у својини јединице локалне самоуправе одлучује орган јединице локалне самоуправе. Локална самоуправа може одлуком свог надлежног органа ближе уредити начин, услове и поступак прибављања, располагања и управљања имовином. 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>Ствари у јавној својини се дају у закуп полазећи од тржишне висине закупнине за одређену врсту ствари, у поступку јавног надметања, односно прикупљањем писмених понуда. Изузетно, могуће је дати у закуп ствари и непосредном погодбом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 xml:space="preserve"> ако је то је</w:t>
      </w:r>
      <w:r w:rsidR="00FA64ED">
        <w:rPr>
          <w:rFonts w:ascii="Tahoma" w:hAnsi="Tahoma" w:cs="Tahoma"/>
          <w:sz w:val="20"/>
          <w:szCs w:val="20"/>
          <w:lang w:val="sr-Cyrl-RS"/>
        </w:rPr>
        <w:t>дини могући начин, према критеријумима дефинисаним Уредбом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 xml:space="preserve">. Сам поступак давања у закуп ствари у </w:t>
      </w:r>
      <w:r w:rsidR="00FA64ED">
        <w:rPr>
          <w:rFonts w:ascii="Tahoma" w:hAnsi="Tahoma" w:cs="Tahoma"/>
          <w:sz w:val="20"/>
          <w:szCs w:val="20"/>
          <w:lang w:val="sr-Cyrl-RS"/>
        </w:rPr>
        <w:t>јавној својини ближе је уређен У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 xml:space="preserve">редбом Владе. На снази је </w:t>
      </w:r>
      <w:r w:rsidR="00B329AE" w:rsidRPr="00E224A5">
        <w:rPr>
          <w:rFonts w:ascii="Tahoma" w:hAnsi="Tahoma" w:cs="Tahoma"/>
          <w:i/>
          <w:sz w:val="20"/>
          <w:szCs w:val="20"/>
          <w:lang w:val="sr-Cyrl-RS"/>
        </w:rPr>
        <w:t>Уредба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</w:t>
      </w:r>
      <w:r w:rsidR="00FA64ED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2"/>
      </w:r>
      <w:r w:rsidR="00FC34A7" w:rsidRPr="00E224A5">
        <w:rPr>
          <w:rFonts w:ascii="Tahoma" w:hAnsi="Tahoma" w:cs="Tahoma"/>
          <w:sz w:val="20"/>
          <w:szCs w:val="20"/>
        </w:rPr>
        <w:t xml:space="preserve"> 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 xml:space="preserve"> Предметном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У</w:t>
      </w:r>
      <w:r w:rsidR="00B329AE" w:rsidRPr="00E224A5">
        <w:rPr>
          <w:rFonts w:ascii="Tahoma" w:hAnsi="Tahoma" w:cs="Tahoma"/>
          <w:sz w:val="20"/>
          <w:szCs w:val="20"/>
          <w:lang w:val="sr-Cyrl-RS"/>
        </w:rPr>
        <w:t>редбом уређена су питања која се односе на сам поступак и услове давања ствари у јавној својини у закуп</w:t>
      </w:r>
      <w:r w:rsidR="006B4CA8" w:rsidRPr="00E224A5">
        <w:rPr>
          <w:rFonts w:ascii="Tahoma" w:hAnsi="Tahoma" w:cs="Tahoma"/>
          <w:sz w:val="20"/>
          <w:szCs w:val="20"/>
          <w:lang w:val="sr-Cyrl-RS"/>
        </w:rPr>
        <w:t xml:space="preserve">. Са друге стране, на уговор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о закупу </w:t>
      </w:r>
      <w:r w:rsidR="006B4CA8" w:rsidRPr="00E224A5">
        <w:rPr>
          <w:rFonts w:ascii="Tahoma" w:hAnsi="Tahoma" w:cs="Tahoma"/>
          <w:sz w:val="20"/>
          <w:szCs w:val="20"/>
          <w:lang w:val="sr-Cyrl-RS"/>
        </w:rPr>
        <w:t>примењуј</w:t>
      </w:r>
      <w:r w:rsidR="00CF630A" w:rsidRPr="00E224A5">
        <w:rPr>
          <w:rFonts w:ascii="Tahoma" w:hAnsi="Tahoma" w:cs="Tahoma"/>
          <w:sz w:val="20"/>
          <w:szCs w:val="20"/>
          <w:lang w:val="sr-Cyrl-RS"/>
        </w:rPr>
        <w:t>у</w:t>
      </w:r>
      <w:r w:rsidR="006B4CA8" w:rsidRPr="00E224A5">
        <w:rPr>
          <w:rFonts w:ascii="Tahoma" w:hAnsi="Tahoma" w:cs="Tahoma"/>
          <w:sz w:val="20"/>
          <w:szCs w:val="20"/>
          <w:lang w:val="sr-Cyrl-RS"/>
        </w:rPr>
        <w:t xml:space="preserve"> се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6B4CA8" w:rsidRPr="00E224A5">
        <w:rPr>
          <w:rFonts w:ascii="Tahoma" w:hAnsi="Tahoma" w:cs="Tahoma"/>
          <w:sz w:val="20"/>
          <w:szCs w:val="20"/>
          <w:lang w:val="sr-Cyrl-RS"/>
        </w:rPr>
        <w:t xml:space="preserve"> као и код осталих правних лица и субјеката</w:t>
      </w:r>
      <w:r w:rsidR="006B4CA8"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6B4CA8" w:rsidRPr="00E224A5">
        <w:rPr>
          <w:rFonts w:ascii="Tahoma" w:hAnsi="Tahoma" w:cs="Tahoma"/>
          <w:sz w:val="20"/>
          <w:szCs w:val="20"/>
          <w:lang w:val="sr-Cyrl-RS"/>
        </w:rPr>
        <w:t xml:space="preserve">у промету, одредбе </w:t>
      </w:r>
      <w:r w:rsidR="006B4CA8" w:rsidRPr="00E224A5">
        <w:rPr>
          <w:rFonts w:ascii="Tahoma" w:hAnsi="Tahoma" w:cs="Tahoma"/>
          <w:i/>
          <w:sz w:val="20"/>
          <w:szCs w:val="20"/>
          <w:lang w:val="sr-Cyrl-RS"/>
        </w:rPr>
        <w:t>Закона о облигационим односима</w:t>
      </w:r>
      <w:r w:rsidR="00FA64ED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3"/>
      </w:r>
      <w:r w:rsidR="00FC34A7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</w:p>
    <w:p w14:paraId="15774BA6" w14:textId="77777777" w:rsidR="006B4CA8" w:rsidRPr="00E224A5" w:rsidRDefault="006B4CA8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C9DCBAA" w14:textId="77777777" w:rsidR="006B4CA8" w:rsidRPr="00E224A5" w:rsidRDefault="006B4CA8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Све промене на имовини, обавезама, капиталу и приходима евидентирају се у главној књизи трезора. Систем главне књиге и буџетско рачуноводство ближе су уређени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Уредбом о буџетском рачуноводству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. </w:t>
      </w:r>
    </w:p>
    <w:p w14:paraId="6C9B009D" w14:textId="77777777" w:rsidR="00BD4457" w:rsidRPr="00E224A5" w:rsidRDefault="00BD4457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173684C" w14:textId="7B3BAC76" w:rsidR="00BD4457" w:rsidRPr="00E224A5" w:rsidRDefault="00BD4457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i/>
          <w:sz w:val="20"/>
          <w:szCs w:val="20"/>
          <w:lang w:val="sr-Cyrl-RS"/>
        </w:rPr>
        <w:lastRenderedPageBreak/>
        <w:t>Правилником о условима и начину вођења рачуна за уплату јавних прихода и распоред средстава са тих рачуна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дефинише План рачуна за уплату јавних прихода у оквиру консолидованог рачуна трезора, а међу њима су и рачуни</w:t>
      </w:r>
      <w:r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303265" w:rsidRPr="00E224A5">
        <w:rPr>
          <w:rFonts w:ascii="Tahoma" w:hAnsi="Tahoma" w:cs="Tahoma"/>
          <w:sz w:val="20"/>
          <w:szCs w:val="20"/>
          <w:lang w:val="sr-Cyrl-RS"/>
        </w:rPr>
        <w:t>за</w:t>
      </w:r>
      <w:r w:rsidRPr="00E224A5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303265" w:rsidRPr="00E224A5">
        <w:rPr>
          <w:rFonts w:ascii="Tahoma" w:hAnsi="Tahoma" w:cs="Tahoma"/>
          <w:sz w:val="20"/>
          <w:szCs w:val="20"/>
          <w:lang w:val="sr-Cyrl-RS"/>
        </w:rPr>
        <w:t xml:space="preserve">приходе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>о</w:t>
      </w:r>
      <w:r w:rsidR="00303265" w:rsidRPr="00E224A5">
        <w:rPr>
          <w:rFonts w:ascii="Tahoma" w:hAnsi="Tahoma" w:cs="Tahoma"/>
          <w:sz w:val="20"/>
          <w:szCs w:val="20"/>
          <w:lang w:val="sr-Cyrl-RS"/>
        </w:rPr>
        <w:t>стварене по основу давања у закуп (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 xml:space="preserve">нпр. </w:t>
      </w:r>
      <w:r w:rsidR="00303265" w:rsidRPr="00E224A5">
        <w:rPr>
          <w:rFonts w:ascii="Tahoma" w:hAnsi="Tahoma" w:cs="Tahoma"/>
          <w:sz w:val="20"/>
          <w:szCs w:val="20"/>
          <w:lang w:val="sr-Cyrl-RS"/>
        </w:rPr>
        <w:t>станова за решавање стамбених потреба избеглица, грађевинског земљишта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,</w:t>
      </w:r>
      <w:r w:rsidR="00303265" w:rsidRPr="00E224A5">
        <w:rPr>
          <w:rFonts w:ascii="Tahoma" w:hAnsi="Tahoma" w:cs="Tahoma"/>
          <w:sz w:val="20"/>
          <w:szCs w:val="20"/>
          <w:lang w:val="sr-Cyrl-RS"/>
        </w:rPr>
        <w:t xml:space="preserve"> водног земљишта итд).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 Са друге стране, стандардни класификациони оквир и Контни план за буџетски систем регулис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ни су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 посебни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м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 прописом – </w:t>
      </w:r>
      <w:r w:rsidR="00D84EE6" w:rsidRPr="00E224A5">
        <w:rPr>
          <w:rFonts w:ascii="Tahoma" w:hAnsi="Tahoma" w:cs="Tahoma"/>
          <w:i/>
          <w:sz w:val="20"/>
          <w:szCs w:val="20"/>
          <w:lang w:val="sr-Cyrl-RS"/>
        </w:rPr>
        <w:t xml:space="preserve">Правилником о стандардном класификационом оквиру и </w:t>
      </w:r>
      <w:r w:rsidR="00FF34F0" w:rsidRPr="00E224A5">
        <w:rPr>
          <w:rFonts w:ascii="Tahoma" w:hAnsi="Tahoma" w:cs="Tahoma"/>
          <w:i/>
          <w:sz w:val="20"/>
          <w:szCs w:val="20"/>
          <w:lang w:val="sr-Cyrl-RS"/>
        </w:rPr>
        <w:t>К</w:t>
      </w:r>
      <w:r w:rsidR="00D84EE6" w:rsidRPr="00E224A5">
        <w:rPr>
          <w:rFonts w:ascii="Tahoma" w:hAnsi="Tahoma" w:cs="Tahoma"/>
          <w:i/>
          <w:sz w:val="20"/>
          <w:szCs w:val="20"/>
          <w:lang w:val="sr-Cyrl-RS"/>
        </w:rPr>
        <w:t>онтном плану за буџетски систем</w:t>
      </w:r>
      <w:r w:rsidR="00E16797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4"/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>. Овај Правилник се односи и на буџете јединиц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а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 локалне самоуправе. Стандардни класификациони оквир и Контни план имају за циљ да обезбеде основу за организацију и евидентирање свих финансијских трансакција код корисника буџетских средстава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.</w:t>
      </w:r>
    </w:p>
    <w:p w14:paraId="1374D665" w14:textId="77777777" w:rsidR="00303265" w:rsidRPr="00E224A5" w:rsidRDefault="00303265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0451AFAB" w14:textId="0B622B6F" w:rsidR="00303265" w:rsidRPr="00E224A5" w:rsidRDefault="00303265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Евиденције о стању, вредности, кретању непокретности у јавној својини које воде корисници и носиоци права коришћења као и начин вођења јединствене евиденције непокретности коју води </w:t>
      </w:r>
      <w:r w:rsidR="00FC34A7" w:rsidRPr="00E224A5">
        <w:rPr>
          <w:rFonts w:ascii="Tahoma" w:hAnsi="Tahoma" w:cs="Tahoma"/>
          <w:sz w:val="20"/>
          <w:szCs w:val="20"/>
          <w:lang w:val="sr-Cyrl-RS"/>
        </w:rPr>
        <w:t xml:space="preserve">Републичка дирекција за имовину Републике Србије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уређени су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Уредбом о евиденцији непокретности у јавној својини</w:t>
      </w:r>
      <w:r w:rsidR="001202A6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5"/>
      </w:r>
      <w:r w:rsidR="001202A6">
        <w:rPr>
          <w:rFonts w:ascii="Tahoma" w:hAnsi="Tahoma" w:cs="Tahoma"/>
          <w:i/>
          <w:sz w:val="20"/>
          <w:szCs w:val="20"/>
          <w:lang w:val="sr-Cyrl-RS"/>
        </w:rPr>
        <w:t>.</w:t>
      </w:r>
      <w:r w:rsidR="00D61603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Pr="00E224A5">
        <w:rPr>
          <w:rFonts w:ascii="Tahoma" w:hAnsi="Tahoma" w:cs="Tahoma"/>
          <w:sz w:val="20"/>
          <w:szCs w:val="20"/>
          <w:lang w:val="sr-Cyrl-RS"/>
        </w:rPr>
        <w:t>Јединице локалне самоуправе и њени органи и организације као корисници односно носиоци права коришћења воде посебну евиденцију непокретности у јавној својини које користе. Евиденција се води за земљишта, службене зграде, пословне просторе и делове зграде, стамбене зграде, станове, гараже и гаражна места, непокретности за репрезентативне потребе и потребе дипломатских и конзуларних представништава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,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 као и друге грађевинске објекте. Евиденција обухвата набавну вредност, исправку вредности, садашњу књиговодствену вредност и кретања односно промене у стању и вредности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 xml:space="preserve"> непокретности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. 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>Уредбом се прописује садржина података који се воде у евиденцији као и обавезе корисника односно носиоца права коришћења у вези вођења евиденц</w:t>
      </w:r>
      <w:r w:rsidR="00385318" w:rsidRPr="00E224A5">
        <w:rPr>
          <w:rFonts w:ascii="Tahoma" w:hAnsi="Tahoma" w:cs="Tahoma"/>
          <w:sz w:val="20"/>
          <w:szCs w:val="20"/>
          <w:lang w:val="sr-Cyrl-RS"/>
        </w:rPr>
        <w:t>и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је. </w:t>
      </w:r>
    </w:p>
    <w:p w14:paraId="4CCCF7D4" w14:textId="77777777" w:rsidR="00D84EE6" w:rsidRPr="00E224A5" w:rsidRDefault="00D84EE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6E4C6F82" w14:textId="163E49CB" w:rsidR="00D84EE6" w:rsidRPr="00E224A5" w:rsidRDefault="00D84EE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Са друге стране, начин и рокови вршења пописа имовине и обавеза корисника буџетских средстава и усклађивање књиговодственог стања са стварним стањем регулисано је 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Правилником о начину и роковима вршења пописа имовине и обавеза корисника буџетских средстава Републике Србије и уск</w:t>
      </w:r>
      <w:r w:rsidR="00FF34F0" w:rsidRPr="00E224A5">
        <w:rPr>
          <w:rFonts w:ascii="Tahoma" w:hAnsi="Tahoma" w:cs="Tahoma"/>
          <w:i/>
          <w:sz w:val="20"/>
          <w:szCs w:val="20"/>
          <w:lang w:val="sr-Cyrl-RS"/>
        </w:rPr>
        <w:t>л</w:t>
      </w:r>
      <w:r w:rsidRPr="00E224A5">
        <w:rPr>
          <w:rFonts w:ascii="Tahoma" w:hAnsi="Tahoma" w:cs="Tahoma"/>
          <w:i/>
          <w:sz w:val="20"/>
          <w:szCs w:val="20"/>
          <w:lang w:val="sr-Cyrl-RS"/>
        </w:rPr>
        <w:t>ађивања књиговодственог стања са стварним стањем</w:t>
      </w:r>
      <w:r w:rsidR="00115CDD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6"/>
      </w:r>
      <w:r w:rsidR="00115CDD">
        <w:rPr>
          <w:rFonts w:ascii="Tahoma" w:hAnsi="Tahoma" w:cs="Tahoma"/>
          <w:i/>
          <w:sz w:val="20"/>
          <w:szCs w:val="20"/>
          <w:lang w:val="sr-Latn-RS"/>
        </w:rPr>
        <w:t>.</w:t>
      </w:r>
    </w:p>
    <w:p w14:paraId="055EB2DC" w14:textId="77777777" w:rsidR="00303265" w:rsidRPr="00E224A5" w:rsidRDefault="00303265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1D00534D" w14:textId="28EE9945" w:rsidR="00FF34F0" w:rsidRPr="00E224A5" w:rsidRDefault="00FF34F0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>Даље, п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>рописима које доносе надлежни органи јединице локалне самоуправе уређују</w:t>
      </w:r>
      <w:r w:rsidR="008B5823" w:rsidRPr="00E224A5">
        <w:rPr>
          <w:rFonts w:ascii="Tahoma" w:hAnsi="Tahoma" w:cs="Tahoma"/>
          <w:sz w:val="20"/>
          <w:szCs w:val="20"/>
          <w:lang w:val="sr-Cyrl-RS"/>
        </w:rPr>
        <w:t xml:space="preserve"> се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 питања давања у закуп непокретних и покретних ствари сходно </w:t>
      </w:r>
      <w:r w:rsidRPr="00E224A5">
        <w:rPr>
          <w:rFonts w:ascii="Tahoma" w:hAnsi="Tahoma" w:cs="Tahoma"/>
          <w:sz w:val="20"/>
          <w:szCs w:val="20"/>
          <w:lang w:val="sr-Cyrl-RS"/>
        </w:rPr>
        <w:t xml:space="preserve">претходно наведеним </w:t>
      </w:r>
      <w:r w:rsidR="00D84EE6" w:rsidRPr="00E224A5">
        <w:rPr>
          <w:rFonts w:ascii="Tahoma" w:hAnsi="Tahoma" w:cs="Tahoma"/>
          <w:sz w:val="20"/>
          <w:szCs w:val="20"/>
          <w:lang w:val="sr-Cyrl-RS"/>
        </w:rPr>
        <w:t xml:space="preserve">законима и подзаконским прописима. </w:t>
      </w:r>
    </w:p>
    <w:p w14:paraId="30887F59" w14:textId="77777777" w:rsidR="00FF34F0" w:rsidRPr="00E224A5" w:rsidRDefault="00FF34F0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14:paraId="7F8A5305" w14:textId="6D20AC1C" w:rsidR="00D84EE6" w:rsidRPr="00E224A5" w:rsidRDefault="00D84EE6" w:rsidP="00EA437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E224A5">
        <w:rPr>
          <w:rFonts w:ascii="Tahoma" w:hAnsi="Tahoma" w:cs="Tahoma"/>
          <w:sz w:val="20"/>
          <w:szCs w:val="20"/>
          <w:lang w:val="sr-Cyrl-RS"/>
        </w:rPr>
        <w:t xml:space="preserve">Тако је, за Град Београд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од стране надлежне Скупштине града усвојена </w:t>
      </w:r>
      <w:r w:rsidR="00E8324A" w:rsidRPr="00E224A5">
        <w:rPr>
          <w:rFonts w:ascii="Tahoma" w:hAnsi="Tahoma" w:cs="Tahoma"/>
          <w:i/>
          <w:sz w:val="20"/>
          <w:szCs w:val="20"/>
          <w:lang w:val="sr-Cyrl-RS"/>
        </w:rPr>
        <w:t>Одлука о утврђивању закупнина за пословни простора на коме је носилац права јавне својине Град Београд, однос</w:t>
      </w:r>
      <w:r w:rsidR="00822F60">
        <w:rPr>
          <w:rFonts w:ascii="Tahoma" w:hAnsi="Tahoma" w:cs="Tahoma"/>
          <w:i/>
          <w:sz w:val="20"/>
          <w:szCs w:val="20"/>
          <w:lang w:val="sr-Cyrl-RS"/>
        </w:rPr>
        <w:t>н</w:t>
      </w:r>
      <w:r w:rsidR="00E8324A" w:rsidRPr="00E224A5">
        <w:rPr>
          <w:rFonts w:ascii="Tahoma" w:hAnsi="Tahoma" w:cs="Tahoma"/>
          <w:i/>
          <w:sz w:val="20"/>
          <w:szCs w:val="20"/>
          <w:lang w:val="sr-Cyrl-RS"/>
        </w:rPr>
        <w:t>о на коме Град Београд има посебна својинска овлашћења</w:t>
      </w:r>
      <w:r w:rsidR="00FA2D3F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7"/>
      </w:r>
      <w:r w:rsidR="00FA2D3F">
        <w:rPr>
          <w:rFonts w:ascii="Tahoma" w:hAnsi="Tahoma" w:cs="Tahoma"/>
          <w:i/>
          <w:sz w:val="20"/>
          <w:szCs w:val="20"/>
          <w:lang w:val="sr-Latn-RS"/>
        </w:rPr>
        <w:t>.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 Поред тога, у примени су и правилници које је донео градоначелник Града Београда, </w:t>
      </w:r>
      <w:r w:rsidR="00FF34F0" w:rsidRPr="00E224A5">
        <w:rPr>
          <w:rFonts w:ascii="Tahoma" w:hAnsi="Tahoma" w:cs="Tahoma"/>
          <w:sz w:val="20"/>
          <w:szCs w:val="20"/>
          <w:lang w:val="sr-Cyrl-RS"/>
        </w:rPr>
        <w:t>и то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E8324A" w:rsidRPr="00E224A5">
        <w:rPr>
          <w:rFonts w:ascii="Tahoma" w:hAnsi="Tahoma" w:cs="Tahoma"/>
          <w:i/>
          <w:sz w:val="20"/>
          <w:szCs w:val="20"/>
          <w:lang w:val="sr-Cyrl-RS"/>
        </w:rPr>
        <w:t>Правилник о буџетском рачуноводству и рачуноводственим политикама</w:t>
      </w:r>
      <w:r w:rsidR="00FA2D3F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8"/>
      </w:r>
      <w:r w:rsidR="00D61603" w:rsidRPr="00E224A5">
        <w:rPr>
          <w:rFonts w:ascii="Tahoma" w:hAnsi="Tahoma" w:cs="Tahoma"/>
          <w:i/>
          <w:sz w:val="20"/>
          <w:szCs w:val="20"/>
          <w:lang w:val="sr-Latn-RS"/>
        </w:rPr>
        <w:t xml:space="preserve"> 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и </w:t>
      </w:r>
      <w:r w:rsidR="00E8324A" w:rsidRPr="00E224A5">
        <w:rPr>
          <w:rFonts w:ascii="Tahoma" w:hAnsi="Tahoma" w:cs="Tahoma"/>
          <w:i/>
          <w:sz w:val="20"/>
          <w:szCs w:val="20"/>
          <w:lang w:val="sr-Cyrl-RS"/>
        </w:rPr>
        <w:t>Правилник о организацији и спровођењу пописа имовине и обавеза и усклађивању књиговодственог стања са стварним стањем</w:t>
      </w:r>
      <w:r w:rsidR="00FA2D3F">
        <w:rPr>
          <w:rStyle w:val="FootnoteReference"/>
          <w:rFonts w:ascii="Tahoma" w:hAnsi="Tahoma" w:cs="Tahoma"/>
          <w:i/>
          <w:sz w:val="20"/>
          <w:szCs w:val="20"/>
          <w:lang w:val="sr-Cyrl-RS"/>
        </w:rPr>
        <w:footnoteReference w:id="29"/>
      </w:r>
      <w:r w:rsidR="00FA2D3F">
        <w:rPr>
          <w:rFonts w:ascii="Tahoma" w:hAnsi="Tahoma" w:cs="Tahoma"/>
          <w:i/>
          <w:sz w:val="20"/>
          <w:szCs w:val="20"/>
          <w:lang w:val="sr-Latn-RS"/>
        </w:rPr>
        <w:t>.</w:t>
      </w:r>
      <w:r w:rsidR="00E8324A" w:rsidRPr="00E224A5">
        <w:rPr>
          <w:rFonts w:ascii="Tahoma" w:hAnsi="Tahoma" w:cs="Tahoma"/>
          <w:sz w:val="20"/>
          <w:szCs w:val="20"/>
          <w:lang w:val="sr-Cyrl-RS"/>
        </w:rPr>
        <w:t xml:space="preserve"> </w:t>
      </w:r>
    </w:p>
    <w:sectPr w:rsidR="00D84EE6" w:rsidRPr="00E22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2CD9D" w14:textId="77777777" w:rsidR="00295906" w:rsidRDefault="00295906" w:rsidP="0009681F">
      <w:pPr>
        <w:spacing w:after="0" w:line="240" w:lineRule="auto"/>
      </w:pPr>
      <w:r>
        <w:separator/>
      </w:r>
    </w:p>
  </w:endnote>
  <w:endnote w:type="continuationSeparator" w:id="0">
    <w:p w14:paraId="445EDAB5" w14:textId="77777777" w:rsidR="00295906" w:rsidRDefault="00295906" w:rsidP="0009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147D0" w14:textId="77777777" w:rsidR="00295906" w:rsidRDefault="00295906" w:rsidP="0009681F">
      <w:pPr>
        <w:spacing w:after="0" w:line="240" w:lineRule="auto"/>
      </w:pPr>
      <w:r>
        <w:separator/>
      </w:r>
    </w:p>
  </w:footnote>
  <w:footnote w:type="continuationSeparator" w:id="0">
    <w:p w14:paraId="49344938" w14:textId="77777777" w:rsidR="00295906" w:rsidRDefault="00295906" w:rsidP="0009681F">
      <w:pPr>
        <w:spacing w:after="0" w:line="240" w:lineRule="auto"/>
      </w:pPr>
      <w:r>
        <w:continuationSeparator/>
      </w:r>
    </w:p>
  </w:footnote>
  <w:footnote w:id="1">
    <w:p w14:paraId="37DAF261" w14:textId="38302F88" w:rsidR="0009681F" w:rsidRPr="00E224A5" w:rsidRDefault="0009681F" w:rsidP="00E224A5">
      <w:pPr>
        <w:pStyle w:val="FootnoteText"/>
        <w:jc w:val="both"/>
        <w:rPr>
          <w:rFonts w:ascii="Tahoma" w:hAnsi="Tahoma" w:cs="Tahoma"/>
          <w:i/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,,Сл. гласник РС", бр. 54/2009, 73/2010, 101/2010, 101/2011, 93/2012, 62/2013, 63/2013 - испр., 108/2013, 142/2014, 68/2015 - др. закон, 103/2015, 99/2016, 113/2</w:t>
      </w:r>
      <w:r w:rsidR="00E224A5" w:rsidRPr="00E224A5">
        <w:rPr>
          <w:rFonts w:ascii="Tahoma" w:hAnsi="Tahoma" w:cs="Tahoma"/>
          <w:i/>
          <w:sz w:val="16"/>
          <w:szCs w:val="16"/>
          <w:lang w:val="sr-Cyrl-RS"/>
        </w:rPr>
        <w:t>017, 95/2018, 31/2019 и 72/2019</w:t>
      </w:r>
    </w:p>
  </w:footnote>
  <w:footnote w:id="2">
    <w:p w14:paraId="43F5F9AE" w14:textId="2059B931" w:rsidR="00E224A5" w:rsidRPr="00E224A5" w:rsidRDefault="00E224A5" w:rsidP="00E224A5">
      <w:pPr>
        <w:pStyle w:val="FootnoteText"/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,,Сл. гласник РС", бр. 84/2004, 86/2004 - испр., 61/2005, 61/2007, 93/2012, 108/2013, 6/2014 – усклађени дин. изн., 68/2014 - др. закон, 142/2014, 5/2015 – усклађени дин. изн., 83/2015, 5/2016 - усклађени дин. изн., 108/2016, 7/2017 - усклађени дин. изн., 113/2017, 13/2018 - усклађени дин. изн., 30/2018, 4/2019 - усклађени дин. изн., 72/2019 и 8/2020 - усклађени дин. изн.</w:t>
      </w:r>
    </w:p>
  </w:footnote>
  <w:footnote w:id="3">
    <w:p w14:paraId="6273CC42" w14:textId="5F3FA2C4" w:rsidR="00E224A5" w:rsidRPr="00E224A5" w:rsidRDefault="00E224A5" w:rsidP="00E224A5">
      <w:pPr>
        <w:pStyle w:val="FootnoteText"/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,,Сл. гласник РС", бр. 26/2001, ,,Сл. лист СРЈ", бр. 42/2002 – одлука СУС и ,,Сл. гласник РС", бр. 80/2002, 80/2002 - др. закон, 135/2004, 61/2007, 5/2009, 101/2010, 24/2011, 78/2011, 57/2012 – одлука УС, 47/2013, 68/2014 - др. закон, 95/2018, 99/2018 – одлука УС и 86/2019</w:t>
      </w:r>
    </w:p>
  </w:footnote>
  <w:footnote w:id="4">
    <w:p w14:paraId="482AFA31" w14:textId="74578EF5" w:rsidR="00E224A5" w:rsidRPr="00E224A5" w:rsidRDefault="00E224A5" w:rsidP="00E224A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E224A5">
        <w:rPr>
          <w:rFonts w:ascii="Tahoma" w:hAnsi="Tahoma" w:cs="Tahoma"/>
          <w:sz w:val="16"/>
          <w:szCs w:val="16"/>
          <w:lang w:val="sr-Cyrl-RS"/>
        </w:rP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25/2001, 80/2002, 80/2002 - др. закон, 43/2003, 84/2004, 18/2010, 101/2011, 119/2012, 47/2013, 108/2013, 68/2014 - др. закон, 142/2014, 91/2015 – аутентично тумачење, 112/2015, 113/2017, 95/2018 и 86/2019</w:t>
      </w:r>
    </w:p>
  </w:footnote>
  <w:footnote w:id="5">
    <w:p w14:paraId="1AF80D66" w14:textId="2B82D849" w:rsidR="00E224A5" w:rsidRPr="00E224A5" w:rsidRDefault="00E224A5" w:rsidP="00E224A5">
      <w:pPr>
        <w:pStyle w:val="FootnoteText"/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E224A5">
        <w:rPr>
          <w:rFonts w:ascii="Tahoma" w:hAnsi="Tahoma" w:cs="Tahoma"/>
          <w:sz w:val="16"/>
          <w:szCs w:val="16"/>
          <w:lang w:val="sr-Cyrl-RS"/>
        </w:rPr>
        <w:t xml:space="preserve"> </w:t>
      </w:r>
      <w:r w:rsidRPr="00E224A5">
        <w:rPr>
          <w:rFonts w:ascii="Tahoma" w:hAnsi="Tahoma" w:cs="Tahoma"/>
          <w:i/>
          <w:sz w:val="16"/>
          <w:szCs w:val="16"/>
          <w:lang w:val="sr-Cyrl-RS"/>
        </w:rPr>
        <w:t>84/2004, 61/2005, 62/2006, 5/2009, 52/2011, 101/2011, 7/2012 - усклађени дин. изн., 8/2013 - усклађени дин. изн., 47/2013, 108/2013, 6/2014 - усклађени дин. изн., 57/2014, 68/2014 - др. закон, 5/2015 - усклађени дин. изн., 112/2015, 5/2016 - усклађени дин. изн., 7/2017 - усклађени дин. изн., 113/2017, 7/2018 - усклађени дин. изн., 95/2018, 4/2019 - усклађени дин. изн., 86/2019 и 5/2020 - усклађени дин. изн.</w:t>
      </w:r>
    </w:p>
  </w:footnote>
  <w:footnote w:id="6">
    <w:p w14:paraId="24CEBD8E" w14:textId="5000654D" w:rsidR="00E3163A" w:rsidRPr="00387A13" w:rsidRDefault="00E3163A">
      <w:pPr>
        <w:pStyle w:val="FootnoteText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87A13">
        <w:rPr>
          <w:rFonts w:ascii="Tahoma" w:hAnsi="Tahoma" w:cs="Tahoma"/>
          <w:i/>
          <w:sz w:val="16"/>
          <w:szCs w:val="16"/>
          <w:lang w:val="sr-Cyrl-RS"/>
        </w:rPr>
        <w:t>,,Сл. гласник РС", бр. 84/2019 и 60/2020 - уредба</w:t>
      </w:r>
    </w:p>
  </w:footnote>
  <w:footnote w:id="7">
    <w:p w14:paraId="04B29090" w14:textId="4AAD5DA6" w:rsidR="00387A13" w:rsidRPr="00387A13" w:rsidRDefault="00387A13" w:rsidP="00387A13">
      <w:pPr>
        <w:pStyle w:val="FootnoteText"/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87A13">
        <w:rPr>
          <w:rFonts w:ascii="Tahoma" w:hAnsi="Tahoma" w:cs="Tahoma"/>
          <w:i/>
          <w:sz w:val="16"/>
          <w:szCs w:val="16"/>
          <w:lang w:val="sr-Cyrl-RS"/>
        </w:rPr>
        <w:t xml:space="preserve">,,Сл. гласник РС", бр. 62/2006, 47/2011, 93/2012, 99/2013 - усклађени дин. изн., 125/2014 - усклађени дин. изн., 95/2015 - усклађени дин. изн., 83/2016, 91/2016 - усклађени дин. изн., 104/2016 - др. закон, 96/2017 - усклађени дин. изн., 89/2018 - усклађени дин. изн., 95/2018 - др. закон </w:t>
      </w:r>
      <w:r>
        <w:rPr>
          <w:rFonts w:ascii="Tahoma" w:hAnsi="Tahoma" w:cs="Tahoma"/>
          <w:i/>
          <w:sz w:val="16"/>
          <w:szCs w:val="16"/>
          <w:lang w:val="sr-Cyrl-RS"/>
        </w:rPr>
        <w:t>и 86/2019 - усклађени дин. изн.</w:t>
      </w:r>
    </w:p>
  </w:footnote>
  <w:footnote w:id="8">
    <w:p w14:paraId="40DBD886" w14:textId="3BEBA291" w:rsidR="00387A13" w:rsidRPr="00387A13" w:rsidRDefault="00387A1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87A13">
        <w:rPr>
          <w:rFonts w:ascii="Tahoma" w:hAnsi="Tahoma" w:cs="Tahoma"/>
          <w:i/>
          <w:sz w:val="16"/>
          <w:szCs w:val="16"/>
          <w:lang w:val="sr-Cyrl-RS"/>
        </w:rPr>
        <w:t>,,Сл. гласник РС", бр. 99/2009, 67/2012 - одлука УС и</w:t>
      </w:r>
      <w:r w:rsidRPr="00387A13">
        <w:rPr>
          <w:rFonts w:ascii="Tahoma" w:hAnsi="Tahoma" w:cs="Tahoma"/>
          <w:i/>
          <w:sz w:val="16"/>
          <w:szCs w:val="16"/>
          <w:lang w:val="en-US"/>
        </w:rPr>
        <w:t xml:space="preserve"> </w:t>
      </w:r>
      <w:r w:rsidR="00AC5ED3">
        <w:rPr>
          <w:rFonts w:ascii="Tahoma" w:hAnsi="Tahoma" w:cs="Tahoma"/>
          <w:i/>
          <w:sz w:val="16"/>
          <w:szCs w:val="16"/>
          <w:lang w:val="sr-Cyrl-RS"/>
        </w:rPr>
        <w:t>18/2020 - др. закон</w:t>
      </w:r>
    </w:p>
  </w:footnote>
  <w:footnote w:id="9">
    <w:p w14:paraId="26A6B449" w14:textId="6DBDF9D8" w:rsidR="00F4000D" w:rsidRPr="00F4000D" w:rsidRDefault="00F4000D">
      <w:pPr>
        <w:pStyle w:val="FootnoteText"/>
        <w:rPr>
          <w:rFonts w:ascii="Tahoma" w:hAnsi="Tahoma" w:cs="Tahoma"/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F4000D">
          <w:rPr>
            <w:rStyle w:val="Hyperlink"/>
            <w:rFonts w:ascii="Tahoma" w:hAnsi="Tahoma" w:cs="Tahoma"/>
            <w:sz w:val="16"/>
            <w:szCs w:val="16"/>
          </w:rPr>
          <w:t>https://www.mfin.gov.rs/dokumenti/uputstvo-za-pripremu-budzeta-za-2020-godinu-i-projekcija-za-2021-i-2022-godinu/</w:t>
        </w:r>
      </w:hyperlink>
      <w:r w:rsidRPr="00F4000D">
        <w:rPr>
          <w:rFonts w:ascii="Tahoma" w:hAnsi="Tahoma" w:cs="Tahoma"/>
          <w:sz w:val="16"/>
          <w:szCs w:val="16"/>
        </w:rPr>
        <w:t xml:space="preserve"> </w:t>
      </w:r>
    </w:p>
  </w:footnote>
  <w:footnote w:id="10">
    <w:p w14:paraId="0E73EBD4" w14:textId="312FCE10" w:rsidR="00F4000D" w:rsidRPr="00F4000D" w:rsidRDefault="00F4000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4000D">
        <w:rPr>
          <w:rFonts w:ascii="Tahoma" w:hAnsi="Tahoma" w:cs="Tahoma"/>
          <w:sz w:val="16"/>
          <w:szCs w:val="16"/>
        </w:rPr>
        <w:t xml:space="preserve"> </w:t>
      </w:r>
      <w:hyperlink r:id="rId2" w:history="1">
        <w:r w:rsidRPr="004C557F">
          <w:rPr>
            <w:rStyle w:val="Hyperlink"/>
            <w:rFonts w:ascii="Tahoma" w:hAnsi="Tahoma" w:cs="Tahoma"/>
            <w:sz w:val="16"/>
            <w:szCs w:val="16"/>
          </w:rPr>
          <w:t>https://www.mfin.gov.rs/dokumenti/uputstvo-za-pripremu-odluke-o-budzetu-lokalne-vlasti-za-2020-godinu-i-projekcija-za-2021-i-2022-godinu/</w:t>
        </w:r>
      </w:hyperlink>
      <w:r>
        <w:rPr>
          <w:rFonts w:ascii="Tahoma" w:hAnsi="Tahoma" w:cs="Tahoma"/>
          <w:sz w:val="16"/>
          <w:szCs w:val="16"/>
        </w:rPr>
        <w:t xml:space="preserve"> </w:t>
      </w:r>
    </w:p>
  </w:footnote>
  <w:footnote w:id="11">
    <w:p w14:paraId="1F132C65" w14:textId="3F173DFA" w:rsidR="00E827A9" w:rsidRPr="00E827A9" w:rsidRDefault="00E827A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E827A9">
        <w:rPr>
          <w:rFonts w:ascii="Tahoma" w:hAnsi="Tahoma" w:cs="Tahoma"/>
          <w:i/>
          <w:sz w:val="16"/>
          <w:szCs w:val="16"/>
          <w:lang w:val="sr-Cyrl-RS"/>
        </w:rPr>
        <w:t>,,Сл. гласник РС", бр. 16/2016, 49/2016, 107/2016, 46/2017, 114/2017, 36/2018, 44/2018 - др. закон, 104/2018, 14/2019, 33/2019 и 68/2019</w:t>
      </w:r>
    </w:p>
  </w:footnote>
  <w:footnote w:id="12">
    <w:p w14:paraId="35224E76" w14:textId="6807E014" w:rsidR="009142E2" w:rsidRPr="009142E2" w:rsidRDefault="009142E2">
      <w:pPr>
        <w:pStyle w:val="FootnoteText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9142E2">
        <w:rPr>
          <w:rFonts w:ascii="Tahoma" w:hAnsi="Tahoma" w:cs="Tahoma"/>
          <w:i/>
          <w:sz w:val="16"/>
          <w:szCs w:val="16"/>
          <w:lang w:val="sr-Cyrl-RS"/>
        </w:rPr>
        <w:t>,,Сл. гласник РС", бр. 80/2002, 84/2002 - испр., 23/2003 - испр., 70/2003, 55/2004, 61/2005, 85/2005 - др. закон, 62/2006 - др. закон, 63/2006 - испр. др. закон, 61/2007, 20/2009, 72/2009 - др. закон, 53/2010, 101/2011, 2/2012 - испр., 93/2012, 47/2013, 108/2013, 68/2014, 105/2014, 91/2015 – аутентично тумачење, 112/2015, 15/2016, 108/2016, 30/2018, 95/2018 и</w:t>
      </w:r>
      <w:r>
        <w:rPr>
          <w:rFonts w:ascii="Tahoma" w:hAnsi="Tahoma" w:cs="Tahoma"/>
          <w:i/>
          <w:sz w:val="16"/>
          <w:szCs w:val="16"/>
          <w:lang w:val="sr-Cyrl-RS"/>
        </w:rPr>
        <w:t xml:space="preserve"> 86/2019</w:t>
      </w:r>
    </w:p>
  </w:footnote>
  <w:footnote w:id="13">
    <w:p w14:paraId="6E2F1213" w14:textId="2BDB7B5C" w:rsidR="009142E2" w:rsidRPr="009142E2" w:rsidRDefault="009142E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9142E2">
        <w:rPr>
          <w:rFonts w:ascii="Tahoma" w:hAnsi="Tahoma" w:cs="Tahoma"/>
          <w:i/>
          <w:sz w:val="16"/>
          <w:szCs w:val="16"/>
          <w:lang w:val="sr-Cyrl-RS"/>
        </w:rPr>
        <w:t>,,Сл. гласник РС", бр. 43/2003, 51/2003 - испр., 61/2005, 101/2005 - др. закон, 5/2009, 54/2009, 50/2011, 70/2011 –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изн., 61/2017 - усклађени дин. изн., 113/2017, 3/2018 - испр., 50/2018 - усклађени дин. изн., 95/2018, 38/2019 - усклађени дин. изн., 86/2019 и 90/2019 - испр.</w:t>
      </w:r>
    </w:p>
  </w:footnote>
  <w:footnote w:id="14">
    <w:p w14:paraId="6EA1BFEC" w14:textId="2071AD13" w:rsidR="009142E2" w:rsidRPr="009142E2" w:rsidRDefault="009142E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bookmarkStart w:id="1" w:name="_Hlk42780976"/>
      <w:r w:rsidRPr="009142E2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bookmarkEnd w:id="1"/>
      <w:r w:rsidRPr="009142E2">
        <w:rPr>
          <w:rFonts w:ascii="Tahoma" w:hAnsi="Tahoma" w:cs="Tahoma"/>
          <w:i/>
          <w:sz w:val="16"/>
          <w:szCs w:val="16"/>
          <w:lang w:val="sr-Cyrl-RS"/>
        </w:rPr>
        <w:t xml:space="preserve"> </w:t>
      </w:r>
      <w:r w:rsidRPr="009142E2">
        <w:rPr>
          <w:rFonts w:ascii="Tahoma" w:hAnsi="Tahoma" w:cs="Tahoma"/>
          <w:i/>
          <w:sz w:val="16"/>
          <w:szCs w:val="16"/>
          <w:lang w:val="sr-Latn-RS"/>
        </w:rPr>
        <w:t xml:space="preserve">95/2018, 49/2019 </w:t>
      </w:r>
      <w:r w:rsidRPr="009142E2">
        <w:rPr>
          <w:rFonts w:ascii="Tahoma" w:hAnsi="Tahoma" w:cs="Tahoma"/>
          <w:i/>
          <w:sz w:val="16"/>
          <w:szCs w:val="16"/>
          <w:lang w:val="sr-Cyrl-RS"/>
        </w:rPr>
        <w:t>и</w:t>
      </w:r>
      <w:r w:rsidRPr="009142E2">
        <w:rPr>
          <w:rFonts w:ascii="Tahoma" w:hAnsi="Tahoma" w:cs="Tahoma"/>
          <w:i/>
          <w:sz w:val="16"/>
          <w:szCs w:val="16"/>
          <w:lang w:val="sr-Latn-RS"/>
        </w:rPr>
        <w:t xml:space="preserve"> 86/2019 - </w:t>
      </w:r>
      <w:r w:rsidRPr="009142E2">
        <w:rPr>
          <w:rFonts w:ascii="Tahoma" w:hAnsi="Tahoma" w:cs="Tahoma"/>
          <w:i/>
          <w:sz w:val="16"/>
          <w:szCs w:val="16"/>
          <w:lang w:val="sr-Cyrl-RS"/>
        </w:rPr>
        <w:t>усклађени дин. изн</w:t>
      </w:r>
      <w:r w:rsidRPr="009142E2">
        <w:rPr>
          <w:rFonts w:ascii="Tahoma" w:hAnsi="Tahoma" w:cs="Tahoma"/>
          <w:i/>
          <w:sz w:val="16"/>
          <w:szCs w:val="16"/>
          <w:lang w:val="sr-Latn-RS"/>
        </w:rPr>
        <w:t>.</w:t>
      </w:r>
    </w:p>
  </w:footnote>
  <w:footnote w:id="15">
    <w:p w14:paraId="2B28F8DC" w14:textId="7085C19B" w:rsidR="00D47F52" w:rsidRPr="00D47F52" w:rsidRDefault="00D47F5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47F52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D47F52">
        <w:rPr>
          <w:rFonts w:ascii="Tahoma" w:hAnsi="Tahoma" w:cs="Tahoma"/>
          <w:i/>
          <w:sz w:val="16"/>
          <w:szCs w:val="16"/>
          <w:lang w:val="sr-Latn-RS"/>
        </w:rPr>
        <w:t xml:space="preserve"> 125/2003, 12/2006 </w:t>
      </w:r>
      <w:r w:rsidRPr="00D47F52">
        <w:rPr>
          <w:rFonts w:ascii="Tahoma" w:hAnsi="Tahoma" w:cs="Tahoma"/>
          <w:i/>
          <w:sz w:val="16"/>
          <w:szCs w:val="16"/>
          <w:lang w:val="sr-Cyrl-RS"/>
        </w:rPr>
        <w:t>и</w:t>
      </w:r>
      <w:r w:rsidRPr="00D47F52">
        <w:rPr>
          <w:rFonts w:ascii="Tahoma" w:hAnsi="Tahoma" w:cs="Tahoma"/>
          <w:i/>
          <w:sz w:val="16"/>
          <w:szCs w:val="16"/>
          <w:lang w:val="sr-Latn-RS"/>
        </w:rPr>
        <w:t xml:space="preserve"> 27/2020</w:t>
      </w:r>
    </w:p>
  </w:footnote>
  <w:footnote w:id="16">
    <w:p w14:paraId="3323D714" w14:textId="1AEECAEC" w:rsidR="00D47F52" w:rsidRPr="00D47F52" w:rsidRDefault="00D47F5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47F52">
        <w:rPr>
          <w:rFonts w:ascii="Tahoma" w:hAnsi="Tahoma" w:cs="Tahoma"/>
          <w:i/>
          <w:sz w:val="16"/>
          <w:szCs w:val="16"/>
          <w:lang w:val="sr-Cyrl-RS"/>
        </w:rPr>
        <w:t xml:space="preserve">,,Сл. гласник РС", бр. </w:t>
      </w:r>
      <w:r w:rsidRPr="00D47F52">
        <w:rPr>
          <w:rFonts w:ascii="Tahoma" w:hAnsi="Tahoma" w:cs="Tahoma"/>
          <w:i/>
          <w:sz w:val="16"/>
          <w:szCs w:val="16"/>
          <w:lang w:val="sr-Latn-RS"/>
        </w:rPr>
        <w:t>20/2020</w:t>
      </w:r>
    </w:p>
  </w:footnote>
  <w:footnote w:id="17">
    <w:p w14:paraId="594EA6D4" w14:textId="5D61F42F" w:rsidR="00284B1E" w:rsidRPr="00284B1E" w:rsidRDefault="00284B1E">
      <w:pPr>
        <w:pStyle w:val="FootnoteText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284B1E">
        <w:rPr>
          <w:rFonts w:ascii="Tahoma" w:hAnsi="Tahoma" w:cs="Tahoma"/>
          <w:i/>
          <w:sz w:val="16"/>
          <w:szCs w:val="16"/>
          <w:lang w:val="sr-Latn-RS"/>
        </w:rPr>
        <w:t xml:space="preserve"> 119/2012, 68/2015, 113/2017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и</w:t>
      </w:r>
      <w:r w:rsidRPr="00284B1E">
        <w:rPr>
          <w:rFonts w:ascii="Tahoma" w:hAnsi="Tahoma" w:cs="Tahoma"/>
          <w:i/>
          <w:sz w:val="16"/>
          <w:szCs w:val="16"/>
          <w:lang w:val="sr-Latn-RS"/>
        </w:rPr>
        <w:t xml:space="preserve"> 91/2019</w:t>
      </w:r>
    </w:p>
  </w:footnote>
  <w:footnote w:id="18">
    <w:p w14:paraId="5A5D42B2" w14:textId="322797A9" w:rsidR="00284B1E" w:rsidRPr="00284B1E" w:rsidRDefault="00284B1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284B1E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78/2019</w:t>
      </w:r>
    </w:p>
  </w:footnote>
  <w:footnote w:id="19">
    <w:p w14:paraId="62CECA09" w14:textId="49A347EA" w:rsidR="00284B1E" w:rsidRPr="00284B1E" w:rsidRDefault="00284B1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284B1E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284B1E">
        <w:rPr>
          <w:rFonts w:ascii="Tahoma" w:hAnsi="Tahoma" w:cs="Tahoma"/>
          <w:i/>
          <w:sz w:val="16"/>
          <w:szCs w:val="16"/>
          <w:lang w:val="sr-Cyrl-RS"/>
        </w:rPr>
        <w:t>7/2018, 59/2018 и 8/2019</w:t>
      </w:r>
    </w:p>
  </w:footnote>
  <w:footnote w:id="20">
    <w:p w14:paraId="541C46EB" w14:textId="4DCE20C8" w:rsidR="00007AB1" w:rsidRPr="00007AB1" w:rsidRDefault="00007AB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 129/2007, 83/2014 -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др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.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закон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, 101/2016 -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др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.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закон и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 47/2018</w:t>
      </w:r>
    </w:p>
  </w:footnote>
  <w:footnote w:id="21">
    <w:p w14:paraId="5EAB3968" w14:textId="6BA88244" w:rsidR="00007AB1" w:rsidRPr="00007AB1" w:rsidRDefault="00007AB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007AB1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007AB1">
        <w:rPr>
          <w:rFonts w:ascii="Tahoma" w:hAnsi="Tahoma" w:cs="Tahoma"/>
          <w:i/>
          <w:sz w:val="16"/>
          <w:szCs w:val="16"/>
          <w:lang w:val="sr-Cyrl-RS"/>
        </w:rPr>
        <w:t>72/2011, 88/2013, 105/2014, 104/2016 - др. закон, 108/2016, 113/2017 и 95/2018</w:t>
      </w:r>
    </w:p>
  </w:footnote>
  <w:footnote w:id="22">
    <w:p w14:paraId="2D712958" w14:textId="5DA1560C" w:rsidR="00FA64ED" w:rsidRPr="00FA64ED" w:rsidRDefault="00FA64E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,,Сл. гласник РС", бр.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16/2018</w:t>
      </w:r>
    </w:p>
  </w:footnote>
  <w:footnote w:id="23">
    <w:p w14:paraId="72606377" w14:textId="189C5E3A" w:rsidR="00FA64ED" w:rsidRPr="00FA64ED" w:rsidRDefault="00FA64ED" w:rsidP="00FA64ED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,,Сл. лист СФРЈ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. 29/78, 39/85, 45/89 –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одлука УСЈ и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 57/89,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,,Сл. лист СРЈ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. 31/93,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,,Сл. лист СЦГ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. 1/2003 –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Уставна повеља и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,,Сл. гласник РС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FA64ED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FA64ED">
        <w:rPr>
          <w:rFonts w:ascii="Tahoma" w:hAnsi="Tahoma" w:cs="Tahoma"/>
          <w:i/>
          <w:sz w:val="16"/>
          <w:szCs w:val="16"/>
          <w:lang w:val="sr-Latn-RS"/>
        </w:rPr>
        <w:t>. 18/2020</w:t>
      </w:r>
    </w:p>
    <w:p w14:paraId="3A35FCBF" w14:textId="3588485D" w:rsidR="00FA64ED" w:rsidRPr="00FA64ED" w:rsidRDefault="00FA64ED">
      <w:pPr>
        <w:pStyle w:val="FootnoteText"/>
        <w:rPr>
          <w:lang w:val="sr-Cyrl-RS"/>
        </w:rPr>
      </w:pPr>
    </w:p>
  </w:footnote>
  <w:footnote w:id="24">
    <w:p w14:paraId="140863B2" w14:textId="37D7CA43" w:rsidR="00E16797" w:rsidRPr="00E16797" w:rsidRDefault="00E16797" w:rsidP="00E16797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E16797">
        <w:rPr>
          <w:rFonts w:ascii="Tahoma" w:hAnsi="Tahoma" w:cs="Tahoma"/>
          <w:i/>
          <w:sz w:val="16"/>
          <w:szCs w:val="16"/>
          <w:lang w:val="sr-Cyrl-RS"/>
        </w:rPr>
        <w:t>,,Сл. гласник РС</w:t>
      </w:r>
      <w:r w:rsidRPr="00E16797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E16797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E16797">
        <w:rPr>
          <w:rFonts w:ascii="Tahoma" w:hAnsi="Tahoma" w:cs="Tahoma"/>
          <w:i/>
          <w:sz w:val="16"/>
          <w:szCs w:val="16"/>
          <w:lang w:val="sr-Latn-RS"/>
        </w:rPr>
        <w:t xml:space="preserve">. 16/2016, 49/2016, 107/2016, 46/2017, 114/2017, 20/2018, 36/2018, 93/2018, 104/2018, 14/2019, 33/2019, 68/2019 </w:t>
      </w:r>
      <w:r w:rsidRPr="00E16797">
        <w:rPr>
          <w:rFonts w:ascii="Tahoma" w:hAnsi="Tahoma" w:cs="Tahoma"/>
          <w:i/>
          <w:sz w:val="16"/>
          <w:szCs w:val="16"/>
          <w:lang w:val="sr-Cyrl-RS"/>
        </w:rPr>
        <w:t>и</w:t>
      </w:r>
      <w:r w:rsidRPr="00E16797">
        <w:rPr>
          <w:rFonts w:ascii="Tahoma" w:hAnsi="Tahoma" w:cs="Tahoma"/>
          <w:i/>
          <w:sz w:val="16"/>
          <w:szCs w:val="16"/>
          <w:lang w:val="sr-Latn-RS"/>
        </w:rPr>
        <w:t xml:space="preserve"> 84/2019</w:t>
      </w:r>
    </w:p>
  </w:footnote>
  <w:footnote w:id="25">
    <w:p w14:paraId="0C0AABD9" w14:textId="64E558BA" w:rsidR="001202A6" w:rsidRPr="001202A6" w:rsidRDefault="001202A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1202A6">
        <w:rPr>
          <w:rFonts w:ascii="Tahoma" w:hAnsi="Tahoma" w:cs="Tahoma"/>
          <w:i/>
          <w:sz w:val="16"/>
          <w:szCs w:val="16"/>
          <w:lang w:val="sr-Cyrl-RS"/>
        </w:rPr>
        <w:t>,,Сл. гласник РС</w:t>
      </w:r>
      <w:r w:rsidRPr="001202A6">
        <w:rPr>
          <w:rFonts w:ascii="Tahoma" w:hAnsi="Tahoma" w:cs="Tahoma"/>
          <w:i/>
          <w:sz w:val="16"/>
          <w:szCs w:val="16"/>
          <w:lang w:val="sr-Latn-RS"/>
        </w:rPr>
        <w:t xml:space="preserve">", </w:t>
      </w:r>
      <w:r w:rsidRPr="001202A6">
        <w:rPr>
          <w:rFonts w:ascii="Tahoma" w:hAnsi="Tahoma" w:cs="Tahoma"/>
          <w:i/>
          <w:sz w:val="16"/>
          <w:szCs w:val="16"/>
          <w:lang w:val="sr-Cyrl-RS"/>
        </w:rPr>
        <w:t>бр</w:t>
      </w:r>
      <w:r w:rsidRPr="001202A6">
        <w:rPr>
          <w:rFonts w:ascii="Tahoma" w:hAnsi="Tahoma" w:cs="Tahoma"/>
          <w:i/>
          <w:sz w:val="16"/>
          <w:szCs w:val="16"/>
          <w:lang w:val="sr-Latn-RS"/>
        </w:rPr>
        <w:t xml:space="preserve">. 70/2014, 19/2015, 83/2015 </w:t>
      </w:r>
      <w:r w:rsidRPr="001202A6">
        <w:rPr>
          <w:rFonts w:ascii="Tahoma" w:hAnsi="Tahoma" w:cs="Tahoma"/>
          <w:i/>
          <w:sz w:val="16"/>
          <w:szCs w:val="16"/>
          <w:lang w:val="sr-Cyrl-RS"/>
        </w:rPr>
        <w:t>и</w:t>
      </w:r>
      <w:r w:rsidRPr="001202A6">
        <w:rPr>
          <w:rFonts w:ascii="Tahoma" w:hAnsi="Tahoma" w:cs="Tahoma"/>
          <w:i/>
          <w:sz w:val="16"/>
          <w:szCs w:val="16"/>
          <w:lang w:val="sr-Latn-RS"/>
        </w:rPr>
        <w:t xml:space="preserve"> 13/2017</w:t>
      </w:r>
    </w:p>
  </w:footnote>
  <w:footnote w:id="26">
    <w:p w14:paraId="5CF99A9D" w14:textId="3B0EB3BF" w:rsidR="00115CDD" w:rsidRPr="00FA2D3F" w:rsidRDefault="00115CDD" w:rsidP="00FA2D3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115CDD">
        <w:rPr>
          <w:rFonts w:ascii="Tahoma" w:hAnsi="Tahoma" w:cs="Tahoma"/>
          <w:i/>
          <w:sz w:val="16"/>
          <w:szCs w:val="16"/>
          <w:lang w:val="sr-Latn-RS"/>
        </w:rPr>
        <w:t>,,Сл. гласник РС", бр. 33/2015 и 101/2018)</w:t>
      </w:r>
      <w:r w:rsidR="00FA2D3F" w:rsidRPr="00FA2D3F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</w:p>
  </w:footnote>
  <w:footnote w:id="27">
    <w:p w14:paraId="0D3ED8FC" w14:textId="39BF1C03" w:rsidR="00FA2D3F" w:rsidRPr="00FA2D3F" w:rsidRDefault="00FA2D3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A2D3F">
        <w:rPr>
          <w:rFonts w:ascii="Tahoma" w:hAnsi="Tahoma" w:cs="Tahoma"/>
          <w:i/>
          <w:sz w:val="16"/>
          <w:szCs w:val="16"/>
          <w:lang w:val="sr-Cyrl-RS"/>
        </w:rPr>
        <w:t>,,Сл. лист града Београда", бр. 114/2016, 67/2017, 64/2018, 109/2018 и 114/2019</w:t>
      </w:r>
    </w:p>
  </w:footnote>
  <w:footnote w:id="28">
    <w:p w14:paraId="53D39119" w14:textId="41D13A84" w:rsidR="00FA2D3F" w:rsidRPr="00FA2D3F" w:rsidRDefault="00FA2D3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A2D3F">
        <w:rPr>
          <w:rFonts w:ascii="Tahoma" w:hAnsi="Tahoma" w:cs="Tahoma"/>
          <w:i/>
          <w:sz w:val="16"/>
          <w:szCs w:val="16"/>
          <w:lang w:val="sr-Cyrl-RS"/>
        </w:rPr>
        <w:t xml:space="preserve">,,Сл. лист града Београда", бр. </w:t>
      </w:r>
      <w:r w:rsidRPr="00FA2D3F">
        <w:rPr>
          <w:rFonts w:ascii="Tahoma" w:hAnsi="Tahoma" w:cs="Tahoma"/>
          <w:i/>
          <w:sz w:val="16"/>
          <w:szCs w:val="16"/>
          <w:lang w:val="sr-Latn-RS"/>
        </w:rPr>
        <w:t>24/2019</w:t>
      </w:r>
    </w:p>
  </w:footnote>
  <w:footnote w:id="29">
    <w:p w14:paraId="4CCA11A9" w14:textId="4EFC40CE" w:rsidR="00FA2D3F" w:rsidRPr="00FA2D3F" w:rsidRDefault="00FA2D3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A2D3F">
        <w:rPr>
          <w:rFonts w:ascii="Tahoma" w:hAnsi="Tahoma" w:cs="Tahoma"/>
          <w:i/>
          <w:sz w:val="16"/>
          <w:szCs w:val="16"/>
          <w:lang w:val="sr-Cyrl-RS"/>
        </w:rPr>
        <w:t>,,Сл. лист града Београда", бр.</w:t>
      </w:r>
      <w:r w:rsidRPr="00FA2D3F">
        <w:rPr>
          <w:rFonts w:ascii="Tahoma" w:hAnsi="Tahoma" w:cs="Tahoma"/>
          <w:i/>
          <w:sz w:val="16"/>
          <w:szCs w:val="16"/>
          <w:lang w:val="sr-Latn-RS"/>
        </w:rPr>
        <w:t xml:space="preserve"> </w:t>
      </w:r>
      <w:r w:rsidRPr="00FA2D3F">
        <w:rPr>
          <w:rFonts w:ascii="Tahoma" w:hAnsi="Tahoma" w:cs="Tahoma"/>
          <w:i/>
          <w:sz w:val="16"/>
          <w:szCs w:val="16"/>
          <w:lang w:val="sr-Cyrl-RS"/>
        </w:rPr>
        <w:t>64/2012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1798A"/>
    <w:multiLevelType w:val="hybridMultilevel"/>
    <w:tmpl w:val="8EDC1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42A62"/>
    <w:multiLevelType w:val="multilevel"/>
    <w:tmpl w:val="F6525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E3A27AC"/>
    <w:multiLevelType w:val="hybridMultilevel"/>
    <w:tmpl w:val="E4B4561A"/>
    <w:lvl w:ilvl="0" w:tplc="E54A09E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CA66D4"/>
    <w:multiLevelType w:val="hybridMultilevel"/>
    <w:tmpl w:val="15BAEDDE"/>
    <w:lvl w:ilvl="0" w:tplc="30EE805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264609"/>
    <w:multiLevelType w:val="hybridMultilevel"/>
    <w:tmpl w:val="6AFE1394"/>
    <w:lvl w:ilvl="0" w:tplc="E6A4E7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30"/>
    <w:rsid w:val="00007AB1"/>
    <w:rsid w:val="000374A7"/>
    <w:rsid w:val="00054DAA"/>
    <w:rsid w:val="0009681F"/>
    <w:rsid w:val="000C5A38"/>
    <w:rsid w:val="000E0B25"/>
    <w:rsid w:val="000F6BA2"/>
    <w:rsid w:val="001133CF"/>
    <w:rsid w:val="00115CDD"/>
    <w:rsid w:val="001202A6"/>
    <w:rsid w:val="00151E3E"/>
    <w:rsid w:val="00175055"/>
    <w:rsid w:val="001C18EA"/>
    <w:rsid w:val="00202A4C"/>
    <w:rsid w:val="00224EEF"/>
    <w:rsid w:val="00230BA2"/>
    <w:rsid w:val="00234A0C"/>
    <w:rsid w:val="00235329"/>
    <w:rsid w:val="00247CC7"/>
    <w:rsid w:val="00271FF0"/>
    <w:rsid w:val="00281DFF"/>
    <w:rsid w:val="00284279"/>
    <w:rsid w:val="00284B1E"/>
    <w:rsid w:val="00295906"/>
    <w:rsid w:val="00302C4F"/>
    <w:rsid w:val="00303265"/>
    <w:rsid w:val="00306FEC"/>
    <w:rsid w:val="00310582"/>
    <w:rsid w:val="00333D11"/>
    <w:rsid w:val="00361D36"/>
    <w:rsid w:val="003811A5"/>
    <w:rsid w:val="00383BF6"/>
    <w:rsid w:val="00385318"/>
    <w:rsid w:val="00387A13"/>
    <w:rsid w:val="003B79FB"/>
    <w:rsid w:val="003F08DE"/>
    <w:rsid w:val="00422094"/>
    <w:rsid w:val="004275C3"/>
    <w:rsid w:val="00472E01"/>
    <w:rsid w:val="00476503"/>
    <w:rsid w:val="004A4825"/>
    <w:rsid w:val="004A4DFE"/>
    <w:rsid w:val="004E6265"/>
    <w:rsid w:val="00507BCB"/>
    <w:rsid w:val="005357E5"/>
    <w:rsid w:val="00561F8D"/>
    <w:rsid w:val="00574151"/>
    <w:rsid w:val="00582BF8"/>
    <w:rsid w:val="005A1B98"/>
    <w:rsid w:val="005A3C29"/>
    <w:rsid w:val="005A512D"/>
    <w:rsid w:val="00603BBF"/>
    <w:rsid w:val="006456EC"/>
    <w:rsid w:val="00662230"/>
    <w:rsid w:val="00662783"/>
    <w:rsid w:val="00686B09"/>
    <w:rsid w:val="006921F1"/>
    <w:rsid w:val="00694745"/>
    <w:rsid w:val="00696A9B"/>
    <w:rsid w:val="006A1A27"/>
    <w:rsid w:val="006B4CA8"/>
    <w:rsid w:val="006D4016"/>
    <w:rsid w:val="006E4492"/>
    <w:rsid w:val="0072711E"/>
    <w:rsid w:val="00736879"/>
    <w:rsid w:val="0074426A"/>
    <w:rsid w:val="00745D5C"/>
    <w:rsid w:val="007D2276"/>
    <w:rsid w:val="007E3B66"/>
    <w:rsid w:val="007E3CA1"/>
    <w:rsid w:val="00822F60"/>
    <w:rsid w:val="008813BD"/>
    <w:rsid w:val="00887481"/>
    <w:rsid w:val="008A2B92"/>
    <w:rsid w:val="008B5823"/>
    <w:rsid w:val="008D68FD"/>
    <w:rsid w:val="008D6BDF"/>
    <w:rsid w:val="00903B1C"/>
    <w:rsid w:val="0090736B"/>
    <w:rsid w:val="009142E2"/>
    <w:rsid w:val="009365AF"/>
    <w:rsid w:val="009668FD"/>
    <w:rsid w:val="009E36FE"/>
    <w:rsid w:val="009F39F8"/>
    <w:rsid w:val="00A50969"/>
    <w:rsid w:val="00A53DE9"/>
    <w:rsid w:val="00A972D8"/>
    <w:rsid w:val="00AB1498"/>
    <w:rsid w:val="00AC076D"/>
    <w:rsid w:val="00AC5ED3"/>
    <w:rsid w:val="00AF5A9C"/>
    <w:rsid w:val="00B06556"/>
    <w:rsid w:val="00B26330"/>
    <w:rsid w:val="00B329AE"/>
    <w:rsid w:val="00B80F6F"/>
    <w:rsid w:val="00B9503C"/>
    <w:rsid w:val="00BD1D32"/>
    <w:rsid w:val="00BD4457"/>
    <w:rsid w:val="00BE235E"/>
    <w:rsid w:val="00BE52E6"/>
    <w:rsid w:val="00C14C2A"/>
    <w:rsid w:val="00C206CA"/>
    <w:rsid w:val="00C844E1"/>
    <w:rsid w:val="00C937E2"/>
    <w:rsid w:val="00CE0DB1"/>
    <w:rsid w:val="00CE371B"/>
    <w:rsid w:val="00CF0023"/>
    <w:rsid w:val="00CF005F"/>
    <w:rsid w:val="00CF630A"/>
    <w:rsid w:val="00D004F5"/>
    <w:rsid w:val="00D021C5"/>
    <w:rsid w:val="00D47F52"/>
    <w:rsid w:val="00D53B1F"/>
    <w:rsid w:val="00D55555"/>
    <w:rsid w:val="00D61603"/>
    <w:rsid w:val="00D67BB5"/>
    <w:rsid w:val="00D84EE6"/>
    <w:rsid w:val="00DA3829"/>
    <w:rsid w:val="00DA48FF"/>
    <w:rsid w:val="00DE5C50"/>
    <w:rsid w:val="00E16797"/>
    <w:rsid w:val="00E224A5"/>
    <w:rsid w:val="00E3163A"/>
    <w:rsid w:val="00E600D7"/>
    <w:rsid w:val="00E827A9"/>
    <w:rsid w:val="00E8324A"/>
    <w:rsid w:val="00EA437F"/>
    <w:rsid w:val="00EC19BA"/>
    <w:rsid w:val="00EF1682"/>
    <w:rsid w:val="00EF40DB"/>
    <w:rsid w:val="00EF5932"/>
    <w:rsid w:val="00F13486"/>
    <w:rsid w:val="00F2194F"/>
    <w:rsid w:val="00F4000D"/>
    <w:rsid w:val="00F465A5"/>
    <w:rsid w:val="00F9072C"/>
    <w:rsid w:val="00FA2D3F"/>
    <w:rsid w:val="00FA64ED"/>
    <w:rsid w:val="00FC34A7"/>
    <w:rsid w:val="00FD3F67"/>
    <w:rsid w:val="00FE1E3E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D6BD3"/>
  <w15:chartTrackingRefBased/>
  <w15:docId w15:val="{87ED632D-F424-4C32-A2C8-430326A6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3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0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5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82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68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68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681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00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fin.gov.rs/dokumenti/uputstvo-za-pripremu-odluke-o-budzetu-lokalne-vlasti-za-2020-godinu-i-projekcija-za-2021-i-2022-godinu/" TargetMode="External"/><Relationship Id="rId1" Type="http://schemas.openxmlformats.org/officeDocument/2006/relationships/hyperlink" Target="https://www.mfin.gov.rs/dokumenti/uputstvo-za-pripremu-budzeta-za-2020-godinu-i-projekcija-za-2021-i-2022-godin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FECEC-AB84-4854-9066-41C71DE2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3543</Words>
  <Characters>20197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Plačić</dc:creator>
  <cp:keywords/>
  <dc:description/>
  <cp:lastModifiedBy>Gordana Stanković</cp:lastModifiedBy>
  <cp:revision>2</cp:revision>
  <dcterms:created xsi:type="dcterms:W3CDTF">2024-06-25T12:56:00Z</dcterms:created>
  <dcterms:modified xsi:type="dcterms:W3CDTF">2024-06-25T12:56:00Z</dcterms:modified>
</cp:coreProperties>
</file>