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B51B" w14:textId="77777777" w:rsidR="004A35C1" w:rsidRPr="00AE5B0E" w:rsidRDefault="00CC0654" w:rsidP="00424F08">
      <w:pPr>
        <w:jc w:val="center"/>
        <w:rPr>
          <w:rFonts w:cstheme="minorHAnsi"/>
          <w:b/>
          <w:bCs/>
          <w:color w:val="2F5496" w:themeColor="accent1" w:themeShade="BF"/>
          <w:lang w:val="bs-Latn-BA"/>
        </w:rPr>
      </w:pPr>
      <w:proofErr w:type="spellStart"/>
      <w:r w:rsidRPr="00AE5B0E">
        <w:rPr>
          <w:rFonts w:cstheme="minorHAnsi"/>
          <w:b/>
          <w:bCs/>
          <w:color w:val="2F5496" w:themeColor="accent1" w:themeShade="BF"/>
          <w:lang w:val="bs-Latn-BA"/>
        </w:rPr>
        <w:t>Improving</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Public</w:t>
      </w:r>
      <w:proofErr w:type="spellEnd"/>
      <w:r w:rsidRPr="00AE5B0E">
        <w:rPr>
          <w:rFonts w:cstheme="minorHAnsi"/>
          <w:b/>
          <w:bCs/>
          <w:color w:val="2F5496" w:themeColor="accent1" w:themeShade="BF"/>
          <w:lang w:val="bs-Latn-BA"/>
        </w:rPr>
        <w:t xml:space="preserve"> Financial Management </w:t>
      </w:r>
      <w:proofErr w:type="spellStart"/>
      <w:r w:rsidRPr="00AE5B0E">
        <w:rPr>
          <w:rFonts w:cstheme="minorHAnsi"/>
          <w:b/>
          <w:bCs/>
          <w:color w:val="2F5496" w:themeColor="accent1" w:themeShade="BF"/>
          <w:lang w:val="bs-Latn-BA"/>
        </w:rPr>
        <w:t>for</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the</w:t>
      </w:r>
      <w:proofErr w:type="spellEnd"/>
      <w:r w:rsidRPr="00AE5B0E">
        <w:rPr>
          <w:rFonts w:cstheme="minorHAnsi"/>
          <w:b/>
          <w:bCs/>
          <w:color w:val="2F5496" w:themeColor="accent1" w:themeShade="BF"/>
          <w:lang w:val="bs-Latn-BA"/>
        </w:rPr>
        <w:t xml:space="preserve"> Green </w:t>
      </w:r>
      <w:proofErr w:type="spellStart"/>
      <w:r w:rsidRPr="00AE5B0E">
        <w:rPr>
          <w:rFonts w:cstheme="minorHAnsi"/>
          <w:b/>
          <w:bCs/>
          <w:color w:val="2F5496" w:themeColor="accent1" w:themeShade="BF"/>
          <w:lang w:val="bs-Latn-BA"/>
        </w:rPr>
        <w:t>Transition</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Serbia</w:t>
      </w:r>
      <w:proofErr w:type="spellEnd"/>
    </w:p>
    <w:p w14:paraId="7071A645" w14:textId="77777777" w:rsidR="00AC10C6" w:rsidRPr="00AE5B0E" w:rsidRDefault="00AE536F" w:rsidP="00424F08">
      <w:pPr>
        <w:jc w:val="center"/>
        <w:rPr>
          <w:rFonts w:cstheme="minorHAnsi"/>
          <w:b/>
          <w:bCs/>
          <w:color w:val="2F5496" w:themeColor="accent1" w:themeShade="BF"/>
          <w:lang w:val="bs-Latn-BA"/>
        </w:rPr>
      </w:pPr>
      <w:proofErr w:type="spellStart"/>
      <w:r w:rsidRPr="00AE5B0E">
        <w:rPr>
          <w:rFonts w:cstheme="minorHAnsi"/>
          <w:b/>
          <w:bCs/>
          <w:color w:val="2F5496" w:themeColor="accent1" w:themeShade="BF"/>
          <w:lang w:val="bs-Latn-BA"/>
        </w:rPr>
        <w:t>Main</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prov</w:t>
      </w:r>
      <w:r w:rsidR="00BB4D2A" w:rsidRPr="00AE5B0E">
        <w:rPr>
          <w:rFonts w:cstheme="minorHAnsi"/>
          <w:b/>
          <w:bCs/>
          <w:color w:val="2F5496" w:themeColor="accent1" w:themeShade="BF"/>
          <w:lang w:val="bs-Latn-BA"/>
        </w:rPr>
        <w:t>i</w:t>
      </w:r>
      <w:r w:rsidRPr="00AE5B0E">
        <w:rPr>
          <w:rFonts w:cstheme="minorHAnsi"/>
          <w:b/>
          <w:bCs/>
          <w:color w:val="2F5496" w:themeColor="accent1" w:themeShade="BF"/>
          <w:lang w:val="bs-Latn-BA"/>
        </w:rPr>
        <w:t>sions</w:t>
      </w:r>
      <w:proofErr w:type="spellEnd"/>
      <w:r w:rsidRPr="00AE5B0E">
        <w:rPr>
          <w:rFonts w:cstheme="minorHAnsi"/>
          <w:b/>
          <w:bCs/>
          <w:color w:val="2F5496" w:themeColor="accent1" w:themeShade="BF"/>
          <w:lang w:val="bs-Latn-BA"/>
        </w:rPr>
        <w:t xml:space="preserve"> o</w:t>
      </w:r>
      <w:r w:rsidR="00352BEF" w:rsidRPr="00AE5B0E">
        <w:rPr>
          <w:rFonts w:cstheme="minorHAnsi"/>
          <w:b/>
          <w:bCs/>
          <w:color w:val="2F5496" w:themeColor="accent1" w:themeShade="BF"/>
          <w:lang w:val="sr-Cyrl-RS"/>
        </w:rPr>
        <w:t>f</w:t>
      </w:r>
      <w:r w:rsidRPr="00AE5B0E">
        <w:rPr>
          <w:rFonts w:cstheme="minorHAnsi"/>
          <w:b/>
          <w:bCs/>
          <w:color w:val="2F5496" w:themeColor="accent1" w:themeShade="BF"/>
          <w:lang w:val="bs-Latn-BA"/>
        </w:rPr>
        <w:t xml:space="preserve"> SEP </w:t>
      </w:r>
      <w:proofErr w:type="spellStart"/>
      <w:r w:rsidRPr="00AE5B0E">
        <w:rPr>
          <w:rFonts w:cstheme="minorHAnsi"/>
          <w:b/>
          <w:bCs/>
          <w:color w:val="2F5496" w:themeColor="accent1" w:themeShade="BF"/>
          <w:lang w:val="bs-Latn-BA"/>
        </w:rPr>
        <w:t>and</w:t>
      </w:r>
      <w:proofErr w:type="spellEnd"/>
      <w:r w:rsidRPr="00AE5B0E">
        <w:rPr>
          <w:rFonts w:cstheme="minorHAnsi"/>
          <w:b/>
          <w:bCs/>
          <w:color w:val="2F5496" w:themeColor="accent1" w:themeShade="BF"/>
          <w:lang w:val="bs-Latn-BA"/>
        </w:rPr>
        <w:t xml:space="preserve"> LMP</w:t>
      </w:r>
      <w:r w:rsidR="00AC10C6" w:rsidRPr="00AE5B0E">
        <w:rPr>
          <w:rFonts w:cstheme="minorHAnsi"/>
          <w:b/>
          <w:bCs/>
          <w:color w:val="2F5496" w:themeColor="accent1" w:themeShade="BF"/>
          <w:lang w:val="bs-Latn-BA"/>
        </w:rPr>
        <w:t xml:space="preserve"> </w:t>
      </w:r>
    </w:p>
    <w:p w14:paraId="5304A09F" w14:textId="77777777" w:rsidR="00CC0654" w:rsidRPr="00AE5B0E" w:rsidRDefault="00AC10C6" w:rsidP="00424F08">
      <w:pPr>
        <w:jc w:val="center"/>
        <w:rPr>
          <w:rFonts w:cstheme="minorHAnsi"/>
          <w:b/>
          <w:bCs/>
          <w:color w:val="2F5496" w:themeColor="accent1" w:themeShade="BF"/>
          <w:lang w:val="bs-Latn-BA"/>
        </w:rPr>
      </w:pPr>
      <w:r w:rsidRPr="00AE5B0E">
        <w:rPr>
          <w:rFonts w:cstheme="minorHAnsi"/>
          <w:b/>
          <w:bCs/>
          <w:color w:val="2F5496" w:themeColor="accent1" w:themeShade="BF"/>
          <w:lang w:val="bs-Latn-BA"/>
        </w:rPr>
        <w:t xml:space="preserve">(Draft </w:t>
      </w:r>
      <w:proofErr w:type="spellStart"/>
      <w:r w:rsidRPr="00AE5B0E">
        <w:rPr>
          <w:rFonts w:cstheme="minorHAnsi"/>
          <w:b/>
          <w:bCs/>
          <w:color w:val="2F5496" w:themeColor="accent1" w:themeShade="BF"/>
          <w:lang w:val="bs-Latn-BA"/>
        </w:rPr>
        <w:t>document</w:t>
      </w:r>
      <w:proofErr w:type="spellEnd"/>
      <w:r w:rsidRPr="00AE5B0E">
        <w:rPr>
          <w:rFonts w:cstheme="minorHAnsi"/>
          <w:b/>
          <w:bCs/>
          <w:color w:val="2F5496" w:themeColor="accent1" w:themeShade="BF"/>
        </w:rPr>
        <w:t>)</w:t>
      </w:r>
      <w:r w:rsidR="00AE536F" w:rsidRPr="00AE5B0E">
        <w:rPr>
          <w:rFonts w:cstheme="minorHAnsi"/>
          <w:b/>
          <w:bCs/>
          <w:color w:val="2F5496" w:themeColor="accent1" w:themeShade="BF"/>
          <w:lang w:val="bs-Latn-BA"/>
        </w:rPr>
        <w:t xml:space="preserve"> </w:t>
      </w:r>
    </w:p>
    <w:p w14:paraId="7392E1D4" w14:textId="77777777" w:rsidR="00133CB5" w:rsidRPr="00AE5B0E" w:rsidRDefault="003608A4" w:rsidP="00BB4D2A">
      <w:pPr>
        <w:jc w:val="both"/>
        <w:rPr>
          <w:rFonts w:cstheme="minorHAnsi"/>
          <w:i/>
          <w:iCs/>
          <w:color w:val="2F5496" w:themeColor="accent1" w:themeShade="BF"/>
          <w:lang w:val="bs-Latn-BA"/>
        </w:rPr>
      </w:pPr>
      <w:proofErr w:type="spellStart"/>
      <w:r w:rsidRPr="00AE5B0E">
        <w:rPr>
          <w:rFonts w:cstheme="minorHAnsi"/>
          <w:i/>
          <w:iCs/>
          <w:color w:val="2F5496" w:themeColor="accent1" w:themeShade="BF"/>
          <w:lang w:val="bs-Latn-BA"/>
        </w:rPr>
        <w:t>This</w:t>
      </w:r>
      <w:proofErr w:type="spellEnd"/>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document</w:t>
      </w:r>
      <w:proofErr w:type="spellEnd"/>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is</w:t>
      </w:r>
      <w:proofErr w:type="spellEnd"/>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meant</w:t>
      </w:r>
      <w:proofErr w:type="spellEnd"/>
      <w:r w:rsidRPr="00AE5B0E">
        <w:rPr>
          <w:rFonts w:cstheme="minorHAnsi"/>
          <w:i/>
          <w:iCs/>
          <w:color w:val="2F5496" w:themeColor="accent1" w:themeShade="BF"/>
          <w:lang w:val="bs-Latn-BA"/>
        </w:rPr>
        <w:t xml:space="preserve"> to </w:t>
      </w:r>
      <w:proofErr w:type="spellStart"/>
      <w:r w:rsidRPr="00AE5B0E">
        <w:rPr>
          <w:rFonts w:cstheme="minorHAnsi"/>
          <w:i/>
          <w:iCs/>
          <w:color w:val="2F5496" w:themeColor="accent1" w:themeShade="BF"/>
          <w:lang w:val="bs-Latn-BA"/>
        </w:rPr>
        <w:t>represent</w:t>
      </w:r>
      <w:proofErr w:type="spellEnd"/>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the</w:t>
      </w:r>
      <w:proofErr w:type="spellEnd"/>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social</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risk</w:t>
      </w:r>
      <w:proofErr w:type="spellEnd"/>
      <w:r w:rsidR="00C77A8A" w:rsidRPr="00AE5B0E">
        <w:rPr>
          <w:rFonts w:cstheme="minorHAnsi"/>
          <w:i/>
          <w:iCs/>
          <w:color w:val="2F5496" w:themeColor="accent1" w:themeShade="BF"/>
          <w:lang w:val="bs-Latn-BA"/>
        </w:rPr>
        <w:t xml:space="preserve"> management</w:t>
      </w:r>
      <w:r w:rsidRPr="00AE5B0E">
        <w:rPr>
          <w:rFonts w:cstheme="minorHAnsi"/>
          <w:i/>
          <w:iCs/>
          <w:color w:val="2F5496" w:themeColor="accent1" w:themeShade="BF"/>
          <w:lang w:val="bs-Latn-BA"/>
        </w:rPr>
        <w:t xml:space="preserve"> </w:t>
      </w:r>
      <w:proofErr w:type="spellStart"/>
      <w:r w:rsidRPr="00AE5B0E">
        <w:rPr>
          <w:rFonts w:cstheme="minorHAnsi"/>
          <w:i/>
          <w:iCs/>
          <w:color w:val="2F5496" w:themeColor="accent1" w:themeShade="BF"/>
          <w:lang w:val="bs-Latn-BA"/>
        </w:rPr>
        <w:t>section</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of</w:t>
      </w:r>
      <w:proofErr w:type="spellEnd"/>
      <w:r w:rsidR="00C77A8A" w:rsidRPr="00AE5B0E">
        <w:rPr>
          <w:rFonts w:cstheme="minorHAnsi"/>
          <w:i/>
          <w:iCs/>
          <w:color w:val="2F5496" w:themeColor="accent1" w:themeShade="BF"/>
          <w:lang w:val="bs-Latn-BA"/>
        </w:rPr>
        <w:t xml:space="preserve"> a </w:t>
      </w:r>
      <w:proofErr w:type="spellStart"/>
      <w:r w:rsidR="00C77A8A" w:rsidRPr="00AE5B0E">
        <w:rPr>
          <w:rFonts w:cstheme="minorHAnsi"/>
          <w:i/>
          <w:iCs/>
          <w:color w:val="2F5496" w:themeColor="accent1" w:themeShade="BF"/>
          <w:lang w:val="bs-Latn-BA"/>
        </w:rPr>
        <w:t>broader</w:t>
      </w:r>
      <w:proofErr w:type="spellEnd"/>
      <w:r w:rsidR="00C77A8A" w:rsidRPr="00AE5B0E">
        <w:rPr>
          <w:rFonts w:cstheme="minorHAnsi"/>
          <w:i/>
          <w:iCs/>
          <w:color w:val="2F5496" w:themeColor="accent1" w:themeShade="BF"/>
          <w:lang w:val="bs-Latn-BA"/>
        </w:rPr>
        <w:t xml:space="preserve"> Project </w:t>
      </w:r>
      <w:proofErr w:type="spellStart"/>
      <w:r w:rsidR="00C77A8A" w:rsidRPr="00AE5B0E">
        <w:rPr>
          <w:rFonts w:cstheme="minorHAnsi"/>
          <w:i/>
          <w:iCs/>
          <w:color w:val="2F5496" w:themeColor="accent1" w:themeShade="BF"/>
          <w:lang w:val="bs-Latn-BA"/>
        </w:rPr>
        <w:t>Operational</w:t>
      </w:r>
      <w:proofErr w:type="spellEnd"/>
      <w:r w:rsidR="00C77A8A" w:rsidRPr="00AE5B0E">
        <w:rPr>
          <w:rFonts w:cstheme="minorHAnsi"/>
          <w:i/>
          <w:iCs/>
          <w:color w:val="2F5496" w:themeColor="accent1" w:themeShade="BF"/>
          <w:lang w:val="bs-Latn-BA"/>
        </w:rPr>
        <w:t xml:space="preserve"> Manual (POM) </w:t>
      </w:r>
      <w:proofErr w:type="spellStart"/>
      <w:r w:rsidR="00C77A8A" w:rsidRPr="00AE5B0E">
        <w:rPr>
          <w:rFonts w:cstheme="minorHAnsi"/>
          <w:i/>
          <w:iCs/>
          <w:color w:val="2F5496" w:themeColor="accent1" w:themeShade="BF"/>
          <w:lang w:val="bs-Latn-BA"/>
        </w:rPr>
        <w:t>that</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will</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be</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further</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developed</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subject</w:t>
      </w:r>
      <w:proofErr w:type="spellEnd"/>
      <w:r w:rsidR="00C77A8A" w:rsidRPr="00AE5B0E">
        <w:rPr>
          <w:rFonts w:cstheme="minorHAnsi"/>
          <w:i/>
          <w:iCs/>
          <w:color w:val="2F5496" w:themeColor="accent1" w:themeShade="BF"/>
          <w:lang w:val="bs-Latn-BA"/>
        </w:rPr>
        <w:t xml:space="preserve"> to </w:t>
      </w:r>
      <w:proofErr w:type="spellStart"/>
      <w:r w:rsidR="00C77A8A" w:rsidRPr="00AE5B0E">
        <w:rPr>
          <w:rFonts w:cstheme="minorHAnsi"/>
          <w:i/>
          <w:iCs/>
          <w:color w:val="2F5496" w:themeColor="accent1" w:themeShade="BF"/>
          <w:lang w:val="bs-Latn-BA"/>
        </w:rPr>
        <w:t>the</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preparation</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of</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the</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overall</w:t>
      </w:r>
      <w:proofErr w:type="spellEnd"/>
      <w:r w:rsidR="00C77A8A" w:rsidRPr="00AE5B0E">
        <w:rPr>
          <w:rFonts w:cstheme="minorHAnsi"/>
          <w:i/>
          <w:iCs/>
          <w:color w:val="2F5496" w:themeColor="accent1" w:themeShade="BF"/>
          <w:lang w:val="bs-Latn-BA"/>
        </w:rPr>
        <w:t xml:space="preserve"> POM </w:t>
      </w:r>
      <w:proofErr w:type="spellStart"/>
      <w:r w:rsidR="00C77A8A" w:rsidRPr="00AE5B0E">
        <w:rPr>
          <w:rFonts w:cstheme="minorHAnsi"/>
          <w:i/>
          <w:iCs/>
          <w:color w:val="2F5496" w:themeColor="accent1" w:themeShade="BF"/>
          <w:lang w:val="bs-Latn-BA"/>
        </w:rPr>
        <w:t>for</w:t>
      </w:r>
      <w:proofErr w:type="spellEnd"/>
      <w:r w:rsidR="00C77A8A" w:rsidRPr="00AE5B0E">
        <w:rPr>
          <w:rFonts w:cstheme="minorHAnsi"/>
          <w:i/>
          <w:iCs/>
          <w:color w:val="2F5496" w:themeColor="accent1" w:themeShade="BF"/>
          <w:lang w:val="bs-Latn-BA"/>
        </w:rPr>
        <w:t xml:space="preserve"> </w:t>
      </w:r>
      <w:proofErr w:type="spellStart"/>
      <w:r w:rsidR="00C77A8A" w:rsidRPr="00AE5B0E">
        <w:rPr>
          <w:rFonts w:cstheme="minorHAnsi"/>
          <w:i/>
          <w:iCs/>
          <w:color w:val="2F5496" w:themeColor="accent1" w:themeShade="BF"/>
          <w:lang w:val="bs-Latn-BA"/>
        </w:rPr>
        <w:t>the</w:t>
      </w:r>
      <w:proofErr w:type="spellEnd"/>
      <w:r w:rsidR="00C77A8A" w:rsidRPr="00AE5B0E">
        <w:rPr>
          <w:rFonts w:cstheme="minorHAnsi"/>
          <w:i/>
          <w:iCs/>
          <w:color w:val="2F5496" w:themeColor="accent1" w:themeShade="BF"/>
          <w:lang w:val="bs-Latn-BA"/>
        </w:rPr>
        <w:t xml:space="preserve"> </w:t>
      </w:r>
      <w:r w:rsidR="00133CB5" w:rsidRPr="00AE5B0E">
        <w:rPr>
          <w:rFonts w:cstheme="minorHAnsi"/>
          <w:i/>
          <w:iCs/>
          <w:color w:val="2F5496" w:themeColor="accent1" w:themeShade="BF"/>
          <w:lang w:val="bs-Latn-BA"/>
        </w:rPr>
        <w:t xml:space="preserve">IPF </w:t>
      </w:r>
      <w:proofErr w:type="spellStart"/>
      <w:r w:rsidR="00133CB5" w:rsidRPr="00AE5B0E">
        <w:rPr>
          <w:rFonts w:cstheme="minorHAnsi"/>
          <w:i/>
          <w:iCs/>
          <w:color w:val="2F5496" w:themeColor="accent1" w:themeShade="BF"/>
          <w:lang w:val="bs-Latn-BA"/>
        </w:rPr>
        <w:t>Component</w:t>
      </w:r>
      <w:proofErr w:type="spellEnd"/>
      <w:r w:rsidR="00133CB5" w:rsidRPr="00AE5B0E">
        <w:rPr>
          <w:rFonts w:cstheme="minorHAnsi"/>
          <w:i/>
          <w:iCs/>
          <w:color w:val="2F5496" w:themeColor="accent1" w:themeShade="BF"/>
          <w:lang w:val="bs-Latn-BA"/>
        </w:rPr>
        <w:t xml:space="preserve"> </w:t>
      </w:r>
      <w:proofErr w:type="spellStart"/>
      <w:r w:rsidR="00133CB5" w:rsidRPr="00AE5B0E">
        <w:rPr>
          <w:rFonts w:cstheme="minorHAnsi"/>
          <w:i/>
          <w:iCs/>
          <w:color w:val="2F5496" w:themeColor="accent1" w:themeShade="BF"/>
          <w:lang w:val="bs-Latn-BA"/>
        </w:rPr>
        <w:t>of</w:t>
      </w:r>
      <w:proofErr w:type="spellEnd"/>
      <w:r w:rsidR="00133CB5" w:rsidRPr="00AE5B0E">
        <w:rPr>
          <w:rFonts w:cstheme="minorHAnsi"/>
          <w:i/>
          <w:iCs/>
          <w:color w:val="2F5496" w:themeColor="accent1" w:themeShade="BF"/>
          <w:lang w:val="bs-Latn-BA"/>
        </w:rPr>
        <w:t xml:space="preserve"> </w:t>
      </w:r>
      <w:proofErr w:type="spellStart"/>
      <w:r w:rsidR="00133CB5" w:rsidRPr="00AE5B0E">
        <w:rPr>
          <w:rFonts w:cstheme="minorHAnsi"/>
          <w:i/>
          <w:iCs/>
          <w:color w:val="2F5496" w:themeColor="accent1" w:themeShade="BF"/>
          <w:lang w:val="bs-Latn-BA"/>
        </w:rPr>
        <w:t>the</w:t>
      </w:r>
      <w:proofErr w:type="spellEnd"/>
      <w:r w:rsidR="00133CB5" w:rsidRPr="00AE5B0E">
        <w:rPr>
          <w:rFonts w:cstheme="minorHAnsi"/>
          <w:i/>
          <w:iCs/>
          <w:color w:val="2F5496" w:themeColor="accent1" w:themeShade="BF"/>
          <w:lang w:val="bs-Latn-BA"/>
        </w:rPr>
        <w:t xml:space="preserve"> </w:t>
      </w:r>
      <w:proofErr w:type="spellStart"/>
      <w:r w:rsidR="00133CB5" w:rsidRPr="00AE5B0E">
        <w:rPr>
          <w:rFonts w:cstheme="minorHAnsi"/>
          <w:i/>
          <w:iCs/>
          <w:color w:val="2F5496" w:themeColor="accent1" w:themeShade="BF"/>
          <w:lang w:val="bs-Latn-BA"/>
        </w:rPr>
        <w:t>project</w:t>
      </w:r>
      <w:proofErr w:type="spellEnd"/>
      <w:r w:rsidR="00C77A8A" w:rsidRPr="00AE5B0E">
        <w:rPr>
          <w:rFonts w:cstheme="minorHAnsi"/>
          <w:i/>
          <w:iCs/>
          <w:color w:val="2F5496" w:themeColor="accent1" w:themeShade="BF"/>
          <w:lang w:val="bs-Latn-BA"/>
        </w:rPr>
        <w:t xml:space="preserve">. </w:t>
      </w:r>
      <w:r w:rsidR="00094791" w:rsidRPr="00AE5B0E">
        <w:rPr>
          <w:rFonts w:cstheme="minorHAnsi"/>
          <w:i/>
          <w:iCs/>
          <w:color w:val="2F5496" w:themeColor="accent1" w:themeShade="BF"/>
          <w:lang w:val="bs-Latn-BA"/>
        </w:rPr>
        <w:t xml:space="preserve">POM </w:t>
      </w:r>
      <w:proofErr w:type="spellStart"/>
      <w:r w:rsidR="00094791" w:rsidRPr="00AE5B0E">
        <w:rPr>
          <w:rFonts w:cstheme="minorHAnsi"/>
          <w:i/>
          <w:iCs/>
          <w:color w:val="2F5496" w:themeColor="accent1" w:themeShade="BF"/>
          <w:lang w:val="bs-Latn-BA"/>
        </w:rPr>
        <w:t>will</w:t>
      </w:r>
      <w:proofErr w:type="spellEnd"/>
      <w:r w:rsidR="00094791" w:rsidRPr="00AE5B0E">
        <w:rPr>
          <w:rFonts w:cstheme="minorHAnsi"/>
          <w:i/>
          <w:iCs/>
          <w:color w:val="2F5496" w:themeColor="accent1" w:themeShade="BF"/>
          <w:lang w:val="bs-Latn-BA"/>
        </w:rPr>
        <w:t xml:space="preserve"> provide </w:t>
      </w:r>
      <w:proofErr w:type="spellStart"/>
      <w:r w:rsidR="00094791" w:rsidRPr="00AE5B0E">
        <w:rPr>
          <w:rFonts w:cstheme="minorHAnsi"/>
          <w:i/>
          <w:iCs/>
          <w:color w:val="2F5496" w:themeColor="accent1" w:themeShade="BF"/>
          <w:lang w:val="bs-Latn-BA"/>
        </w:rPr>
        <w:t>basic</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guidelines</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for</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the</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implementation</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of</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the</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project</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and</w:t>
      </w:r>
      <w:proofErr w:type="spellEnd"/>
      <w:r w:rsidR="00094791" w:rsidRPr="00AE5B0E">
        <w:rPr>
          <w:rFonts w:cstheme="minorHAnsi"/>
          <w:i/>
          <w:iCs/>
          <w:color w:val="2F5496" w:themeColor="accent1" w:themeShade="BF"/>
          <w:lang w:val="bs-Latn-BA"/>
        </w:rPr>
        <w:t xml:space="preserve"> in </w:t>
      </w:r>
      <w:proofErr w:type="spellStart"/>
      <w:r w:rsidR="00094791" w:rsidRPr="00AE5B0E">
        <w:rPr>
          <w:rFonts w:cstheme="minorHAnsi"/>
          <w:i/>
          <w:iCs/>
          <w:color w:val="2F5496" w:themeColor="accent1" w:themeShade="BF"/>
          <w:lang w:val="bs-Latn-BA"/>
        </w:rPr>
        <w:t>terms</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of</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social</w:t>
      </w:r>
      <w:proofErr w:type="spellEnd"/>
      <w:r w:rsidR="00094791" w:rsidRPr="00AE5B0E">
        <w:rPr>
          <w:rFonts w:cstheme="minorHAnsi"/>
          <w:i/>
          <w:iCs/>
          <w:color w:val="2F5496" w:themeColor="accent1" w:themeShade="BF"/>
          <w:lang w:val="bs-Latn-BA"/>
        </w:rPr>
        <w:t xml:space="preserve"> </w:t>
      </w:r>
      <w:proofErr w:type="spellStart"/>
      <w:r w:rsidR="009D04D9" w:rsidRPr="00AE5B0E">
        <w:rPr>
          <w:rFonts w:cstheme="minorHAnsi"/>
          <w:i/>
          <w:iCs/>
          <w:color w:val="2F5496" w:themeColor="accent1" w:themeShade="BF"/>
          <w:lang w:val="bs-Latn-BA"/>
        </w:rPr>
        <w:t>risk</w:t>
      </w:r>
      <w:proofErr w:type="spellEnd"/>
      <w:r w:rsidR="009D04D9" w:rsidRPr="00AE5B0E">
        <w:rPr>
          <w:rFonts w:cstheme="minorHAnsi"/>
          <w:i/>
          <w:iCs/>
          <w:color w:val="2F5496" w:themeColor="accent1" w:themeShade="BF"/>
          <w:lang w:val="bs-Latn-BA"/>
        </w:rPr>
        <w:t xml:space="preserve"> management</w:t>
      </w:r>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it</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will</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follow</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the</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provisions</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of</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this</w:t>
      </w:r>
      <w:proofErr w:type="spellEnd"/>
      <w:r w:rsidR="00094791" w:rsidRPr="00AE5B0E">
        <w:rPr>
          <w:rFonts w:cstheme="minorHAnsi"/>
          <w:i/>
          <w:iCs/>
          <w:color w:val="2F5496" w:themeColor="accent1" w:themeShade="BF"/>
          <w:lang w:val="bs-Latn-BA"/>
        </w:rPr>
        <w:t xml:space="preserve"> </w:t>
      </w:r>
      <w:proofErr w:type="spellStart"/>
      <w:r w:rsidR="00094791" w:rsidRPr="00AE5B0E">
        <w:rPr>
          <w:rFonts w:cstheme="minorHAnsi"/>
          <w:i/>
          <w:iCs/>
          <w:color w:val="2F5496" w:themeColor="accent1" w:themeShade="BF"/>
          <w:lang w:val="bs-Latn-BA"/>
        </w:rPr>
        <w:t>document</w:t>
      </w:r>
      <w:proofErr w:type="spellEnd"/>
      <w:r w:rsidR="00094791" w:rsidRPr="00AE5B0E">
        <w:rPr>
          <w:rFonts w:cstheme="minorHAnsi"/>
          <w:i/>
          <w:iCs/>
          <w:color w:val="2F5496" w:themeColor="accent1" w:themeShade="BF"/>
          <w:lang w:val="bs-Latn-BA"/>
        </w:rPr>
        <w:t>.</w:t>
      </w:r>
    </w:p>
    <w:p w14:paraId="64EE7BB2" w14:textId="77777777" w:rsidR="00214A99" w:rsidRPr="00AE5B0E" w:rsidRDefault="00214A99" w:rsidP="002E6536">
      <w:pPr>
        <w:autoSpaceDE w:val="0"/>
        <w:autoSpaceDN w:val="0"/>
        <w:adjustRightInd w:val="0"/>
        <w:spacing w:after="0" w:line="240" w:lineRule="auto"/>
        <w:rPr>
          <w:rFonts w:cstheme="minorHAnsi"/>
        </w:rPr>
      </w:pPr>
    </w:p>
    <w:p w14:paraId="2C0C5B45" w14:textId="5E4EBAF2" w:rsidR="00F80347" w:rsidRPr="00AE5B0E" w:rsidRDefault="002E6536" w:rsidP="00F80347">
      <w:pPr>
        <w:autoSpaceDE w:val="0"/>
        <w:autoSpaceDN w:val="0"/>
        <w:adjustRightInd w:val="0"/>
        <w:spacing w:after="0" w:line="240" w:lineRule="auto"/>
        <w:rPr>
          <w:rFonts w:cstheme="minorHAnsi"/>
          <w:b/>
          <w:bCs/>
        </w:rPr>
      </w:pPr>
      <w:r w:rsidRPr="00AE5B0E">
        <w:rPr>
          <w:rFonts w:cstheme="minorHAnsi"/>
          <w:b/>
          <w:bCs/>
        </w:rPr>
        <w:t>Project Description</w:t>
      </w:r>
      <w:r w:rsidR="00313885" w:rsidRPr="00AE5B0E">
        <w:rPr>
          <w:rFonts w:cstheme="minorHAnsi"/>
          <w:b/>
          <w:bCs/>
        </w:rPr>
        <w:t xml:space="preserve"> </w:t>
      </w:r>
      <w:r w:rsidR="00AE5B0E" w:rsidRPr="00AE5B0E">
        <w:rPr>
          <w:rFonts w:cstheme="minorHAnsi"/>
          <w:b/>
          <w:bCs/>
        </w:rPr>
        <w:t>and Social</w:t>
      </w:r>
      <w:r w:rsidR="00313885" w:rsidRPr="00AE5B0E">
        <w:rPr>
          <w:rFonts w:cstheme="minorHAnsi"/>
          <w:b/>
          <w:bCs/>
        </w:rPr>
        <w:t xml:space="preserve"> Risk Management </w:t>
      </w:r>
    </w:p>
    <w:p w14:paraId="7116265A" w14:textId="77777777" w:rsidR="002E59CF" w:rsidRPr="00AE5B0E" w:rsidRDefault="002E59CF" w:rsidP="00F80347">
      <w:pPr>
        <w:autoSpaceDE w:val="0"/>
        <w:autoSpaceDN w:val="0"/>
        <w:adjustRightInd w:val="0"/>
        <w:spacing w:after="0" w:line="240" w:lineRule="auto"/>
        <w:rPr>
          <w:rFonts w:cstheme="minorHAnsi"/>
          <w:b/>
          <w:bCs/>
        </w:rPr>
      </w:pPr>
    </w:p>
    <w:p w14:paraId="79CA450D" w14:textId="332BC9F7" w:rsidR="00F90DBA" w:rsidRPr="00AE5B0E" w:rsidRDefault="002C4AC1" w:rsidP="002C4AC1">
      <w:pPr>
        <w:autoSpaceDE w:val="0"/>
        <w:autoSpaceDN w:val="0"/>
        <w:adjustRightInd w:val="0"/>
        <w:spacing w:after="0" w:line="240" w:lineRule="auto"/>
        <w:jc w:val="both"/>
        <w:rPr>
          <w:rFonts w:cstheme="minorHAnsi"/>
          <w:b/>
          <w:bCs/>
          <w:lang w:val="sr-Latn-RS"/>
        </w:rPr>
      </w:pPr>
      <w:r w:rsidRPr="00AE5B0E">
        <w:rPr>
          <w:rFonts w:cstheme="minorHAnsi"/>
          <w:shd w:val="clear" w:color="auto" w:fill="FFFFFF"/>
        </w:rPr>
        <w:t>Improving Public Finance Management for the Green Transition in</w:t>
      </w:r>
      <w:r w:rsidR="002E59CF" w:rsidRPr="00AE5B0E">
        <w:rPr>
          <w:rFonts w:cstheme="minorHAnsi"/>
        </w:rPr>
        <w:t xml:space="preserve"> </w:t>
      </w:r>
      <w:r w:rsidR="002E59CF" w:rsidRPr="00AE5B0E">
        <w:rPr>
          <w:rFonts w:cstheme="minorHAnsi"/>
          <w:shd w:val="clear" w:color="auto" w:fill="FFFFFF"/>
        </w:rPr>
        <w:t>the Republic of</w:t>
      </w:r>
      <w:r w:rsidRPr="00AE5B0E">
        <w:rPr>
          <w:rFonts w:cstheme="minorHAnsi"/>
          <w:shd w:val="clear" w:color="auto" w:fill="FFFFFF"/>
        </w:rPr>
        <w:t xml:space="preserve"> Serbia is a four-year pro</w:t>
      </w:r>
      <w:r w:rsidR="00247473" w:rsidRPr="00AE5B0E">
        <w:rPr>
          <w:rFonts w:cstheme="minorHAnsi"/>
          <w:shd w:val="clear" w:color="auto" w:fill="FFFFFF"/>
          <w:lang w:val="sr-Latn-RS"/>
        </w:rPr>
        <w:t>gram</w:t>
      </w:r>
      <w:r w:rsidRPr="00AE5B0E">
        <w:rPr>
          <w:rFonts w:cstheme="minorHAnsi"/>
          <w:shd w:val="clear" w:color="auto" w:fill="FFFFFF"/>
        </w:rPr>
        <w:t xml:space="preserve"> supported by the World Bank, which aims to help the Government of </w:t>
      </w:r>
      <w:r w:rsidR="002E59CF" w:rsidRPr="00AE5B0E">
        <w:rPr>
          <w:rFonts w:cstheme="minorHAnsi"/>
          <w:shd w:val="clear" w:color="auto" w:fill="FFFFFF"/>
        </w:rPr>
        <w:t xml:space="preserve">the Republic of </w:t>
      </w:r>
      <w:r w:rsidRPr="00AE5B0E">
        <w:rPr>
          <w:rFonts w:cstheme="minorHAnsi"/>
          <w:shd w:val="clear" w:color="auto" w:fill="FFFFFF"/>
        </w:rPr>
        <w:t xml:space="preserve">Serbia in strengthening </w:t>
      </w:r>
      <w:r w:rsidR="00E80121" w:rsidRPr="00AE5B0E">
        <w:rPr>
          <w:rFonts w:cstheme="minorHAnsi"/>
          <w:shd w:val="clear" w:color="auto" w:fill="FFFFFF"/>
        </w:rPr>
        <w:t>its</w:t>
      </w:r>
      <w:r w:rsidRPr="00AE5B0E">
        <w:rPr>
          <w:rFonts w:cstheme="minorHAnsi"/>
          <w:shd w:val="clear" w:color="auto" w:fill="FFFFFF"/>
        </w:rPr>
        <w:t xml:space="preserve"> capacity to manage public finances and implement green investments.</w:t>
      </w:r>
      <w:r w:rsidR="002937E3" w:rsidRPr="00AE5B0E">
        <w:rPr>
          <w:rFonts w:cstheme="minorHAnsi"/>
          <w:shd w:val="clear" w:color="auto" w:fill="FFFFFF"/>
        </w:rPr>
        <w:t xml:space="preserve"> </w:t>
      </w:r>
      <w:r w:rsidR="00F90DBA" w:rsidRPr="00AE5B0E">
        <w:rPr>
          <w:rFonts w:cstheme="minorHAnsi"/>
          <w:shd w:val="clear" w:color="auto" w:fill="FFFFFF"/>
        </w:rPr>
        <w:t>Key impl</w:t>
      </w:r>
      <w:r w:rsidR="002937E3" w:rsidRPr="00AE5B0E">
        <w:rPr>
          <w:rFonts w:cstheme="minorHAnsi"/>
          <w:shd w:val="clear" w:color="auto" w:fill="FFFFFF"/>
        </w:rPr>
        <w:t>ementi</w:t>
      </w:r>
      <w:r w:rsidR="004A27D2" w:rsidRPr="00AE5B0E">
        <w:rPr>
          <w:rFonts w:cstheme="minorHAnsi"/>
          <w:shd w:val="clear" w:color="auto" w:fill="FFFFFF"/>
        </w:rPr>
        <w:t>ng</w:t>
      </w:r>
      <w:r w:rsidR="00F90DBA" w:rsidRPr="00AE5B0E">
        <w:rPr>
          <w:rFonts w:cstheme="minorHAnsi"/>
          <w:shd w:val="clear" w:color="auto" w:fill="FFFFFF"/>
        </w:rPr>
        <w:t xml:space="preserve"> institution</w:t>
      </w:r>
      <w:r w:rsidR="002937E3" w:rsidRPr="00AE5B0E">
        <w:rPr>
          <w:rFonts w:cstheme="minorHAnsi"/>
          <w:shd w:val="clear" w:color="auto" w:fill="FFFFFF"/>
        </w:rPr>
        <w:t>s</w:t>
      </w:r>
      <w:r w:rsidR="00F90DBA" w:rsidRPr="00AE5B0E">
        <w:rPr>
          <w:rFonts w:cstheme="minorHAnsi"/>
          <w:shd w:val="clear" w:color="auto" w:fill="FFFFFF"/>
        </w:rPr>
        <w:t xml:space="preserve"> beside</w:t>
      </w:r>
      <w:r w:rsidR="002937E3" w:rsidRPr="00AE5B0E">
        <w:rPr>
          <w:rFonts w:cstheme="minorHAnsi"/>
          <w:shd w:val="clear" w:color="auto" w:fill="FFFFFF"/>
        </w:rPr>
        <w:t>s</w:t>
      </w:r>
      <w:r w:rsidR="00F90DBA" w:rsidRPr="00AE5B0E">
        <w:rPr>
          <w:rFonts w:cstheme="minorHAnsi"/>
          <w:shd w:val="clear" w:color="auto" w:fill="FFFFFF"/>
        </w:rPr>
        <w:t xml:space="preserve"> </w:t>
      </w:r>
      <w:r w:rsidR="002937E3" w:rsidRPr="00AE5B0E">
        <w:rPr>
          <w:rFonts w:cstheme="minorHAnsi"/>
          <w:shd w:val="clear" w:color="auto" w:fill="FFFFFF"/>
        </w:rPr>
        <w:t xml:space="preserve">the </w:t>
      </w:r>
      <w:r w:rsidR="00F90DBA" w:rsidRPr="00AE5B0E">
        <w:rPr>
          <w:rFonts w:cstheme="minorHAnsi"/>
          <w:shd w:val="clear" w:color="auto" w:fill="FFFFFF"/>
        </w:rPr>
        <w:t xml:space="preserve">Ministry </w:t>
      </w:r>
      <w:r w:rsidR="002E59CF" w:rsidRPr="00AE5B0E">
        <w:rPr>
          <w:rFonts w:cstheme="minorHAnsi"/>
          <w:shd w:val="clear" w:color="auto" w:fill="FFFFFF"/>
        </w:rPr>
        <w:t>of Finance</w:t>
      </w:r>
      <w:r w:rsidR="00F90DBA" w:rsidRPr="00AE5B0E">
        <w:rPr>
          <w:rFonts w:cstheme="minorHAnsi"/>
          <w:shd w:val="clear" w:color="auto" w:fill="FFFFFF"/>
        </w:rPr>
        <w:t xml:space="preserve"> are </w:t>
      </w:r>
      <w:r w:rsidR="005F24C7" w:rsidRPr="00AE5B0E">
        <w:rPr>
          <w:rFonts w:cstheme="minorHAnsi"/>
          <w:shd w:val="clear" w:color="auto" w:fill="FFFFFF"/>
        </w:rPr>
        <w:t xml:space="preserve">the Ministry of Environmental Protection, </w:t>
      </w:r>
      <w:r w:rsidR="002937E3" w:rsidRPr="00AE5B0E">
        <w:rPr>
          <w:rFonts w:cstheme="minorHAnsi"/>
          <w:shd w:val="clear" w:color="auto" w:fill="FFFFFF"/>
        </w:rPr>
        <w:t xml:space="preserve">the </w:t>
      </w:r>
      <w:r w:rsidR="00F90DBA" w:rsidRPr="00AE5B0E">
        <w:rPr>
          <w:rFonts w:cstheme="minorHAnsi"/>
          <w:shd w:val="clear" w:color="auto" w:fill="FFFFFF"/>
        </w:rPr>
        <w:t xml:space="preserve">Ministry of Construction, Transport and Infrastructure, </w:t>
      </w:r>
      <w:r w:rsidR="002937E3" w:rsidRPr="00AE5B0E">
        <w:rPr>
          <w:rFonts w:cstheme="minorHAnsi"/>
          <w:shd w:val="clear" w:color="auto" w:fill="FFFFFF"/>
        </w:rPr>
        <w:t xml:space="preserve">the </w:t>
      </w:r>
      <w:r w:rsidR="00F90DBA" w:rsidRPr="00AE5B0E">
        <w:rPr>
          <w:rFonts w:cstheme="minorHAnsi"/>
          <w:shd w:val="clear" w:color="auto" w:fill="FFFFFF"/>
        </w:rPr>
        <w:t>Ministry of Mining and Energy, the Public Policy Secretariat, the Public Procurement Office.</w:t>
      </w:r>
    </w:p>
    <w:p w14:paraId="5FC7F563" w14:textId="77777777" w:rsidR="003B0049" w:rsidRPr="00AE5B0E" w:rsidRDefault="00F90DBA" w:rsidP="002C4AC1">
      <w:pPr>
        <w:jc w:val="both"/>
        <w:rPr>
          <w:rFonts w:cstheme="minorHAnsi"/>
          <w:shd w:val="clear" w:color="auto" w:fill="FFFFFF"/>
        </w:rPr>
      </w:pPr>
      <w:r w:rsidRPr="00AE5B0E">
        <w:rPr>
          <w:rFonts w:cstheme="minorHAnsi"/>
          <w:shd w:val="clear" w:color="auto" w:fill="FFFFFF"/>
        </w:rPr>
        <w:t xml:space="preserve">The program consists of two components: </w:t>
      </w:r>
    </w:p>
    <w:p w14:paraId="151DC5F0" w14:textId="77777777" w:rsidR="00EB0003" w:rsidRPr="00AE5B0E" w:rsidRDefault="00EB0003" w:rsidP="00F90DBA">
      <w:pPr>
        <w:jc w:val="both"/>
        <w:rPr>
          <w:rFonts w:cstheme="minorHAnsi"/>
          <w:shd w:val="clear" w:color="auto" w:fill="FFFFFF"/>
        </w:rPr>
      </w:pPr>
      <w:r w:rsidRPr="00AE5B0E">
        <w:rPr>
          <w:rFonts w:cstheme="minorHAnsi"/>
          <w:shd w:val="clear" w:color="auto" w:fill="FFFFFF"/>
        </w:rPr>
        <w:t>1</w:t>
      </w:r>
      <w:r w:rsidR="00F90DBA" w:rsidRPr="00AE5B0E">
        <w:rPr>
          <w:rFonts w:cstheme="minorHAnsi"/>
          <w:shd w:val="clear" w:color="auto" w:fill="FFFFFF"/>
        </w:rPr>
        <w:t xml:space="preserve">) </w:t>
      </w:r>
      <w:r w:rsidR="00F90DBA" w:rsidRPr="00AE5B0E">
        <w:rPr>
          <w:rFonts w:cstheme="minorHAnsi"/>
          <w:b/>
          <w:bCs/>
          <w:shd w:val="clear" w:color="auto" w:fill="FFFFFF"/>
        </w:rPr>
        <w:t>Program for Results (</w:t>
      </w:r>
      <w:proofErr w:type="spellStart"/>
      <w:r w:rsidR="00F90DBA" w:rsidRPr="00AE5B0E">
        <w:rPr>
          <w:rFonts w:cstheme="minorHAnsi"/>
          <w:b/>
          <w:bCs/>
          <w:shd w:val="clear" w:color="auto" w:fill="FFFFFF"/>
        </w:rPr>
        <w:t>PforR</w:t>
      </w:r>
      <w:proofErr w:type="spellEnd"/>
      <w:r w:rsidR="00F90DBA" w:rsidRPr="00AE5B0E">
        <w:rPr>
          <w:rFonts w:cstheme="minorHAnsi"/>
          <w:b/>
          <w:bCs/>
          <w:shd w:val="clear" w:color="auto" w:fill="FFFFFF"/>
        </w:rPr>
        <w:t>) component</w:t>
      </w:r>
      <w:r w:rsidR="002F68ED" w:rsidRPr="00AE5B0E">
        <w:rPr>
          <w:rFonts w:cstheme="minorHAnsi"/>
          <w:shd w:val="clear" w:color="auto" w:fill="FFFFFF"/>
        </w:rPr>
        <w:t xml:space="preserve"> </w:t>
      </w:r>
      <w:r w:rsidR="00F90DBA" w:rsidRPr="00AE5B0E">
        <w:rPr>
          <w:rFonts w:cstheme="minorHAnsi"/>
          <w:shd w:val="clear" w:color="auto" w:fill="FFFFFF"/>
        </w:rPr>
        <w:t xml:space="preserve">comprising two results areas: </w:t>
      </w:r>
    </w:p>
    <w:p w14:paraId="323F3C0A" w14:textId="77777777" w:rsidR="00EB0003" w:rsidRPr="00AE5B0E" w:rsidRDefault="00F90DBA" w:rsidP="0050160D">
      <w:pPr>
        <w:pStyle w:val="ListParagraph"/>
        <w:numPr>
          <w:ilvl w:val="0"/>
          <w:numId w:val="19"/>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Strengthen fiscal resilience, transparency, and spending effectiveness</w:t>
      </w:r>
      <w:r w:rsidR="0050160D" w:rsidRPr="00AE5B0E">
        <w:rPr>
          <w:rFonts w:asciiTheme="minorHAnsi" w:hAnsiTheme="minorHAnsi" w:cstheme="minorHAnsi"/>
          <w:szCs w:val="22"/>
          <w:shd w:val="clear" w:color="auto" w:fill="FFFFFF"/>
          <w:lang w:val="en-US"/>
        </w:rPr>
        <w:t>-</w:t>
      </w:r>
      <w:r w:rsidR="00CC4429" w:rsidRPr="00AE5B0E">
        <w:rPr>
          <w:rFonts w:asciiTheme="minorHAnsi" w:hAnsiTheme="minorHAnsi" w:cstheme="minorHAnsi"/>
          <w:szCs w:val="22"/>
          <w:shd w:val="clear" w:color="auto" w:fill="FFFFFF"/>
        </w:rPr>
        <w:t>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3EEF19C9" w14:textId="77777777" w:rsidR="00CC4429" w:rsidRPr="00AE5B0E" w:rsidRDefault="00F90DBA" w:rsidP="0050160D">
      <w:pPr>
        <w:pStyle w:val="ListParagraph"/>
        <w:numPr>
          <w:ilvl w:val="0"/>
          <w:numId w:val="19"/>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Greening Serbia’s expenditure cycle and developing selected other institutions for greater environmental resilience</w:t>
      </w:r>
      <w:r w:rsidR="0050160D" w:rsidRPr="00AE5B0E">
        <w:rPr>
          <w:rFonts w:asciiTheme="minorHAnsi" w:hAnsiTheme="minorHAnsi" w:cstheme="minorHAnsi"/>
          <w:szCs w:val="22"/>
          <w:shd w:val="clear" w:color="auto" w:fill="FFFFFF"/>
          <w:lang w:val="en-US"/>
        </w:rPr>
        <w:t xml:space="preserve">- </w:t>
      </w:r>
      <w:r w:rsidR="0058316C" w:rsidRPr="00AE5B0E">
        <w:rPr>
          <w:rFonts w:asciiTheme="minorHAnsi" w:hAnsiTheme="minorHAnsi" w:cstheme="minorHAnsi"/>
          <w:szCs w:val="22"/>
          <w:shd w:val="clear" w:color="auto" w:fill="FFFFFF"/>
        </w:rPr>
        <w:t>focused on introducing and utilizing green criteria in PFM, PIM, and public procurement, and on strengthening systems for monitoring and reporting on GHG emissions from installations.</w:t>
      </w:r>
    </w:p>
    <w:p w14:paraId="75BCF8CD" w14:textId="31EFC859" w:rsidR="003B0049" w:rsidRPr="00AE5B0E" w:rsidRDefault="002F68ED" w:rsidP="00F90DBA">
      <w:pPr>
        <w:jc w:val="both"/>
        <w:rPr>
          <w:rFonts w:cstheme="minorHAnsi"/>
          <w:shd w:val="clear" w:color="auto" w:fill="FFFFFF"/>
        </w:rPr>
      </w:pPr>
      <w:r w:rsidRPr="00AE5B0E">
        <w:rPr>
          <w:rFonts w:cstheme="minorHAnsi"/>
          <w:shd w:val="clear" w:color="auto" w:fill="FFFFFF"/>
        </w:rPr>
        <w:t>2</w:t>
      </w:r>
      <w:r w:rsidR="00F90DBA" w:rsidRPr="00AE5B0E">
        <w:rPr>
          <w:rFonts w:cstheme="minorHAnsi"/>
          <w:shd w:val="clear" w:color="auto" w:fill="FFFFFF"/>
        </w:rPr>
        <w:t xml:space="preserve">) </w:t>
      </w:r>
      <w:r w:rsidR="00F90DBA" w:rsidRPr="00AE5B0E">
        <w:rPr>
          <w:rFonts w:cstheme="minorHAnsi"/>
          <w:b/>
          <w:bCs/>
          <w:shd w:val="clear" w:color="auto" w:fill="FFFFFF"/>
        </w:rPr>
        <w:t>Investment Project Financing (IPF)</w:t>
      </w:r>
      <w:r w:rsidR="00F90DBA" w:rsidRPr="00AE5B0E">
        <w:rPr>
          <w:rFonts w:cstheme="minorHAnsi"/>
          <w:shd w:val="clear" w:color="auto" w:fill="FFFFFF"/>
        </w:rPr>
        <w:t xml:space="preserve"> </w:t>
      </w:r>
      <w:r w:rsidR="00F90DBA" w:rsidRPr="00AE5B0E">
        <w:rPr>
          <w:rFonts w:cstheme="minorHAnsi"/>
          <w:b/>
          <w:bCs/>
          <w:shd w:val="clear" w:color="auto" w:fill="FFFFFF"/>
        </w:rPr>
        <w:t xml:space="preserve">component </w:t>
      </w:r>
      <w:r w:rsidR="00F90DBA" w:rsidRPr="00AE5B0E">
        <w:rPr>
          <w:rFonts w:cstheme="minorHAnsi"/>
          <w:shd w:val="clear" w:color="auto" w:fill="FFFFFF"/>
        </w:rPr>
        <w:t>consisting of technical assistance to support the implementing entities</w:t>
      </w:r>
      <w:r w:rsidR="00DD438E" w:rsidRPr="00AE5B0E">
        <w:rPr>
          <w:rFonts w:cstheme="minorHAnsi"/>
          <w:shd w:val="clear" w:color="auto" w:fill="FFFFFF"/>
          <w:lang w:val="sr-Cyrl-RS"/>
        </w:rPr>
        <w:t xml:space="preserve"> </w:t>
      </w:r>
      <w:r w:rsidR="00DD438E" w:rsidRPr="00AE5B0E">
        <w:rPr>
          <w:rFonts w:cstheme="minorHAnsi"/>
          <w:shd w:val="clear" w:color="auto" w:fill="FFFFFF"/>
          <w:lang w:val="sr-Latn-RS"/>
        </w:rPr>
        <w:t xml:space="preserve">in </w:t>
      </w:r>
      <w:proofErr w:type="spellStart"/>
      <w:r w:rsidR="00DD438E" w:rsidRPr="00AE5B0E">
        <w:rPr>
          <w:rFonts w:cstheme="minorHAnsi"/>
          <w:shd w:val="clear" w:color="auto" w:fill="FFFFFF"/>
          <w:lang w:val="sr-Latn-RS"/>
        </w:rPr>
        <w:t>delivereing</w:t>
      </w:r>
      <w:proofErr w:type="spellEnd"/>
      <w:r w:rsidR="00DD438E" w:rsidRPr="00AE5B0E">
        <w:rPr>
          <w:rFonts w:cstheme="minorHAnsi"/>
          <w:shd w:val="clear" w:color="auto" w:fill="FFFFFF"/>
          <w:lang w:val="sr-Latn-RS"/>
        </w:rPr>
        <w:t xml:space="preserve"> </w:t>
      </w:r>
      <w:proofErr w:type="spellStart"/>
      <w:r w:rsidR="00DD438E" w:rsidRPr="00AE5B0E">
        <w:rPr>
          <w:rFonts w:cstheme="minorHAnsi"/>
          <w:shd w:val="clear" w:color="auto" w:fill="FFFFFF"/>
          <w:lang w:val="sr-Latn-RS"/>
        </w:rPr>
        <w:t>expected</w:t>
      </w:r>
      <w:proofErr w:type="spellEnd"/>
      <w:r w:rsidR="00DD438E" w:rsidRPr="00AE5B0E">
        <w:rPr>
          <w:rFonts w:cstheme="minorHAnsi"/>
          <w:shd w:val="clear" w:color="auto" w:fill="FFFFFF"/>
          <w:lang w:val="sr-Latn-RS"/>
        </w:rPr>
        <w:t xml:space="preserve"> </w:t>
      </w:r>
      <w:proofErr w:type="spellStart"/>
      <w:r w:rsidR="00DD438E" w:rsidRPr="00AE5B0E">
        <w:rPr>
          <w:rFonts w:cstheme="minorHAnsi"/>
          <w:shd w:val="clear" w:color="auto" w:fill="FFFFFF"/>
          <w:lang w:val="sr-Latn-RS"/>
        </w:rPr>
        <w:t>results</w:t>
      </w:r>
      <w:proofErr w:type="spellEnd"/>
      <w:r w:rsidR="00F90DBA" w:rsidRPr="00AE5B0E">
        <w:rPr>
          <w:rFonts w:cstheme="minorHAnsi"/>
          <w:shd w:val="clear" w:color="auto" w:fill="FFFFFF"/>
        </w:rPr>
        <w:t xml:space="preserve">. </w:t>
      </w:r>
      <w:r w:rsidR="00B12374" w:rsidRPr="00AE5B0E">
        <w:rPr>
          <w:rFonts w:cstheme="minorHAnsi"/>
          <w:shd w:val="clear" w:color="auto" w:fill="FFFFFF"/>
        </w:rPr>
        <w:t>The IPF component will consist of TA -- including training</w:t>
      </w:r>
      <w:r w:rsidR="005F24C7" w:rsidRPr="00AE5B0E">
        <w:rPr>
          <w:rFonts w:cstheme="minorHAnsi"/>
          <w:shd w:val="clear" w:color="auto" w:fill="FFFFFF"/>
        </w:rPr>
        <w:t>s</w:t>
      </w:r>
      <w:r w:rsidR="00A903D7" w:rsidRPr="00AE5B0E">
        <w:rPr>
          <w:rFonts w:cstheme="minorHAnsi"/>
          <w:shd w:val="clear" w:color="auto" w:fill="FFFFFF"/>
        </w:rPr>
        <w:t>, capacity building</w:t>
      </w:r>
      <w:r w:rsidR="00B12374" w:rsidRPr="00AE5B0E">
        <w:rPr>
          <w:rFonts w:cstheme="minorHAnsi"/>
          <w:shd w:val="clear" w:color="auto" w:fill="FFFFFF"/>
        </w:rPr>
        <w:t xml:space="preserve"> and peer learning, support for stakeholder engagement, and support for managing the Program. </w:t>
      </w:r>
    </w:p>
    <w:p w14:paraId="6DA1C6EF" w14:textId="77777777" w:rsidR="00214A99" w:rsidRPr="00AE5B0E" w:rsidRDefault="00F90DBA" w:rsidP="00050212">
      <w:pPr>
        <w:jc w:val="both"/>
        <w:rPr>
          <w:rFonts w:cstheme="minorHAnsi"/>
          <w:shd w:val="clear" w:color="auto" w:fill="FFFFFF"/>
        </w:rPr>
      </w:pPr>
      <w:r w:rsidRPr="00AE5B0E">
        <w:rPr>
          <w:rFonts w:cstheme="minorHAnsi"/>
          <w:shd w:val="clear" w:color="auto" w:fill="FFFFFF"/>
        </w:rPr>
        <w:t>This Stakeholder Engagement Plan</w:t>
      </w:r>
      <w:r w:rsidR="003B0049" w:rsidRPr="00AE5B0E">
        <w:rPr>
          <w:rFonts w:cstheme="minorHAnsi"/>
          <w:shd w:val="clear" w:color="auto" w:fill="FFFFFF"/>
        </w:rPr>
        <w:t xml:space="preserve"> </w:t>
      </w:r>
      <w:r w:rsidRPr="00AE5B0E">
        <w:rPr>
          <w:rFonts w:cstheme="minorHAnsi"/>
          <w:shd w:val="clear" w:color="auto" w:fill="FFFFFF"/>
        </w:rPr>
        <w:t>(SEP),</w:t>
      </w:r>
      <w:r w:rsidR="0032780E" w:rsidRPr="00AE5B0E">
        <w:rPr>
          <w:rFonts w:cstheme="minorHAnsi"/>
          <w:shd w:val="clear" w:color="auto" w:fill="FFFFFF"/>
        </w:rPr>
        <w:t xml:space="preserve"> and </w:t>
      </w:r>
      <w:proofErr w:type="spellStart"/>
      <w:r w:rsidR="0032780E" w:rsidRPr="00AE5B0E">
        <w:rPr>
          <w:rFonts w:cstheme="minorHAnsi"/>
          <w:shd w:val="clear" w:color="auto" w:fill="FFFFFF"/>
        </w:rPr>
        <w:t>Labour</w:t>
      </w:r>
      <w:proofErr w:type="spellEnd"/>
      <w:r w:rsidR="0032780E" w:rsidRPr="00AE5B0E">
        <w:rPr>
          <w:rFonts w:cstheme="minorHAnsi"/>
          <w:shd w:val="clear" w:color="auto" w:fill="FFFFFF"/>
        </w:rPr>
        <w:t xml:space="preserve"> management procedures</w:t>
      </w:r>
      <w:r w:rsidRPr="00AE5B0E">
        <w:rPr>
          <w:rFonts w:cstheme="minorHAnsi"/>
          <w:shd w:val="clear" w:color="auto" w:fill="FFFFFF"/>
        </w:rPr>
        <w:t xml:space="preserve"> developed</w:t>
      </w:r>
      <w:r w:rsidR="00C14B88" w:rsidRPr="00AE5B0E">
        <w:rPr>
          <w:rFonts w:cstheme="minorHAnsi"/>
          <w:shd w:val="clear" w:color="auto" w:fill="FFFFFF"/>
        </w:rPr>
        <w:t xml:space="preserve"> </w:t>
      </w:r>
      <w:r w:rsidRPr="00AE5B0E">
        <w:rPr>
          <w:rFonts w:cstheme="minorHAnsi"/>
          <w:shd w:val="clear" w:color="auto" w:fill="FFFFFF"/>
        </w:rPr>
        <w:t>by the Implementing Partner, pertain to the IPF component of the program only.</w:t>
      </w:r>
    </w:p>
    <w:p w14:paraId="72599F67" w14:textId="3BD21272" w:rsidR="00637897" w:rsidRPr="00AE5B0E" w:rsidRDefault="00637897" w:rsidP="00050212">
      <w:pPr>
        <w:jc w:val="both"/>
        <w:rPr>
          <w:rFonts w:cstheme="minorHAnsi"/>
          <w:color w:val="000000" w:themeColor="text1"/>
          <w:shd w:val="clear" w:color="auto" w:fill="FFFFFF"/>
        </w:rPr>
      </w:pPr>
      <w:r w:rsidRPr="00AE5B0E">
        <w:rPr>
          <w:rFonts w:cstheme="minorHAnsi"/>
          <w:color w:val="000000" w:themeColor="text1"/>
          <w:shd w:val="clear" w:color="auto" w:fill="FFFFFF"/>
        </w:rPr>
        <w:t xml:space="preserve">The </w:t>
      </w:r>
      <w:proofErr w:type="spellStart"/>
      <w:r w:rsidR="00516920" w:rsidRPr="00AE5B0E">
        <w:rPr>
          <w:rFonts w:cstheme="minorHAnsi"/>
          <w:color w:val="000000" w:themeColor="text1"/>
          <w:shd w:val="clear" w:color="auto" w:fill="FFFFFF"/>
          <w:lang w:val="sr-Latn-RS"/>
        </w:rPr>
        <w:t>project</w:t>
      </w:r>
      <w:proofErr w:type="spellEnd"/>
      <w:r w:rsidR="00516920" w:rsidRPr="00AE5B0E">
        <w:rPr>
          <w:rFonts w:cstheme="minorHAnsi"/>
          <w:color w:val="000000" w:themeColor="text1"/>
          <w:shd w:val="clear" w:color="auto" w:fill="FFFFFF"/>
          <w:lang w:val="sr-Latn-RS"/>
        </w:rPr>
        <w:t xml:space="preserve"> </w:t>
      </w:r>
      <w:proofErr w:type="spellStart"/>
      <w:r w:rsidR="005F537B" w:rsidRPr="00AE5B0E">
        <w:rPr>
          <w:rFonts w:cstheme="minorHAnsi"/>
          <w:b/>
          <w:bCs/>
          <w:color w:val="000000" w:themeColor="text1"/>
          <w:lang w:val="bs-Latn-BA"/>
        </w:rPr>
        <w:t>Improving</w:t>
      </w:r>
      <w:proofErr w:type="spellEnd"/>
      <w:r w:rsidR="005F537B" w:rsidRPr="00AE5B0E">
        <w:rPr>
          <w:rFonts w:cstheme="minorHAnsi"/>
          <w:b/>
          <w:bCs/>
          <w:color w:val="000000" w:themeColor="text1"/>
          <w:lang w:val="bs-Latn-BA"/>
        </w:rPr>
        <w:t xml:space="preserve"> </w:t>
      </w:r>
      <w:proofErr w:type="spellStart"/>
      <w:r w:rsidR="005F537B" w:rsidRPr="00AE5B0E">
        <w:rPr>
          <w:rFonts w:cstheme="minorHAnsi"/>
          <w:b/>
          <w:bCs/>
          <w:color w:val="000000" w:themeColor="text1"/>
          <w:lang w:val="bs-Latn-BA"/>
        </w:rPr>
        <w:t>Public</w:t>
      </w:r>
      <w:proofErr w:type="spellEnd"/>
      <w:r w:rsidR="005F537B" w:rsidRPr="00AE5B0E">
        <w:rPr>
          <w:rFonts w:cstheme="minorHAnsi"/>
          <w:b/>
          <w:bCs/>
          <w:color w:val="000000" w:themeColor="text1"/>
          <w:lang w:val="bs-Latn-BA"/>
        </w:rPr>
        <w:t xml:space="preserve"> Financial Management </w:t>
      </w:r>
      <w:proofErr w:type="spellStart"/>
      <w:r w:rsidR="005F537B" w:rsidRPr="00AE5B0E">
        <w:rPr>
          <w:rFonts w:cstheme="minorHAnsi"/>
          <w:b/>
          <w:bCs/>
          <w:color w:val="000000" w:themeColor="text1"/>
          <w:lang w:val="bs-Latn-BA"/>
        </w:rPr>
        <w:t>for</w:t>
      </w:r>
      <w:proofErr w:type="spellEnd"/>
      <w:r w:rsidR="005F537B" w:rsidRPr="00AE5B0E">
        <w:rPr>
          <w:rFonts w:cstheme="minorHAnsi"/>
          <w:b/>
          <w:bCs/>
          <w:color w:val="000000" w:themeColor="text1"/>
          <w:lang w:val="bs-Latn-BA"/>
        </w:rPr>
        <w:t xml:space="preserve"> </w:t>
      </w:r>
      <w:proofErr w:type="spellStart"/>
      <w:r w:rsidR="005F537B" w:rsidRPr="00AE5B0E">
        <w:rPr>
          <w:rFonts w:cstheme="minorHAnsi"/>
          <w:b/>
          <w:bCs/>
          <w:color w:val="000000" w:themeColor="text1"/>
          <w:lang w:val="bs-Latn-BA"/>
        </w:rPr>
        <w:t>the</w:t>
      </w:r>
      <w:proofErr w:type="spellEnd"/>
      <w:r w:rsidR="005F537B" w:rsidRPr="00AE5B0E">
        <w:rPr>
          <w:rFonts w:cstheme="minorHAnsi"/>
          <w:b/>
          <w:bCs/>
          <w:color w:val="000000" w:themeColor="text1"/>
          <w:lang w:val="bs-Latn-BA"/>
        </w:rPr>
        <w:t xml:space="preserve"> Green </w:t>
      </w:r>
      <w:proofErr w:type="spellStart"/>
      <w:r w:rsidR="005F537B" w:rsidRPr="00AE5B0E">
        <w:rPr>
          <w:rFonts w:cstheme="minorHAnsi"/>
          <w:b/>
          <w:bCs/>
          <w:color w:val="000000" w:themeColor="text1"/>
          <w:lang w:val="bs-Latn-BA"/>
        </w:rPr>
        <w:t>Transition</w:t>
      </w:r>
      <w:proofErr w:type="spellEnd"/>
      <w:r w:rsidR="005F537B" w:rsidRPr="00AE5B0E">
        <w:rPr>
          <w:rFonts w:cstheme="minorHAnsi"/>
          <w:color w:val="000000" w:themeColor="text1"/>
          <w:shd w:val="clear" w:color="auto" w:fill="FFFFFF"/>
        </w:rPr>
        <w:t xml:space="preserve"> </w:t>
      </w:r>
      <w:r w:rsidRPr="00AE5B0E">
        <w:rPr>
          <w:rFonts w:cstheme="minorHAnsi"/>
          <w:color w:val="000000" w:themeColor="text1"/>
          <w:shd w:val="clear" w:color="auto" w:fill="FFFFFF"/>
        </w:rPr>
        <w:t xml:space="preserve">is </w:t>
      </w:r>
      <w:r w:rsidR="001C323F" w:rsidRPr="00AE5B0E">
        <w:rPr>
          <w:rFonts w:cstheme="minorHAnsi"/>
          <w:color w:val="000000" w:themeColor="text1"/>
          <w:shd w:val="clear" w:color="auto" w:fill="FFFFFF"/>
        </w:rPr>
        <w:t>assess</w:t>
      </w:r>
      <w:r w:rsidR="00BB4D2A" w:rsidRPr="00AE5B0E">
        <w:rPr>
          <w:rFonts w:cstheme="minorHAnsi"/>
          <w:color w:val="000000" w:themeColor="text1"/>
          <w:shd w:val="clear" w:color="auto" w:fill="FFFFFF"/>
        </w:rPr>
        <w:t>e</w:t>
      </w:r>
      <w:r w:rsidR="001C323F" w:rsidRPr="00AE5B0E">
        <w:rPr>
          <w:rFonts w:cstheme="minorHAnsi"/>
          <w:color w:val="000000" w:themeColor="text1"/>
          <w:shd w:val="clear" w:color="auto" w:fill="FFFFFF"/>
        </w:rPr>
        <w:t>d as having</w:t>
      </w:r>
      <w:r w:rsidR="009D04D9" w:rsidRPr="00AE5B0E">
        <w:rPr>
          <w:rFonts w:cstheme="minorHAnsi"/>
          <w:color w:val="000000" w:themeColor="text1"/>
          <w:shd w:val="clear" w:color="auto" w:fill="FFFFFF"/>
        </w:rPr>
        <w:t xml:space="preserve"> low risk</w:t>
      </w:r>
      <w:r w:rsidRPr="00AE5B0E">
        <w:rPr>
          <w:rFonts w:cstheme="minorHAnsi"/>
          <w:color w:val="000000" w:themeColor="text1"/>
          <w:shd w:val="clear" w:color="auto" w:fill="FFFFFF"/>
        </w:rPr>
        <w:t xml:space="preserve">. Nonetheless, the </w:t>
      </w:r>
      <w:r w:rsidR="000F28D0" w:rsidRPr="00AE5B0E">
        <w:rPr>
          <w:rFonts w:cstheme="minorHAnsi"/>
          <w:color w:val="000000" w:themeColor="text1"/>
          <w:shd w:val="clear" w:color="auto" w:fill="FFFFFF"/>
        </w:rPr>
        <w:t>Project Coordination Unit (PCU)</w:t>
      </w:r>
      <w:r w:rsidRPr="00AE5B0E">
        <w:rPr>
          <w:rFonts w:cstheme="minorHAnsi"/>
          <w:color w:val="000000" w:themeColor="text1"/>
          <w:shd w:val="clear" w:color="auto" w:fill="FFFFFF"/>
        </w:rPr>
        <w:t xml:space="preserve"> will appoint </w:t>
      </w:r>
      <w:r w:rsidR="00291C20" w:rsidRPr="00AE5B0E">
        <w:rPr>
          <w:rFonts w:cstheme="minorHAnsi"/>
          <w:color w:val="000000" w:themeColor="text1"/>
          <w:shd w:val="clear" w:color="auto" w:fill="FFFFFF"/>
        </w:rPr>
        <w:t>a</w:t>
      </w:r>
      <w:r w:rsidR="001B7EAE" w:rsidRPr="00AE5B0E">
        <w:rPr>
          <w:rFonts w:cstheme="minorHAnsi"/>
          <w:color w:val="000000" w:themeColor="text1"/>
          <w:shd w:val="clear" w:color="auto" w:fill="FFFFFF"/>
        </w:rPr>
        <w:t xml:space="preserve"> </w:t>
      </w:r>
      <w:r w:rsidR="002E59CF" w:rsidRPr="00AE5B0E">
        <w:rPr>
          <w:rFonts w:cstheme="minorHAnsi"/>
          <w:color w:val="000000" w:themeColor="text1"/>
          <w:shd w:val="clear" w:color="auto" w:fill="FFFFFF"/>
        </w:rPr>
        <w:t xml:space="preserve">part-time </w:t>
      </w:r>
      <w:r w:rsidR="000F28D0" w:rsidRPr="00AE5B0E">
        <w:rPr>
          <w:rFonts w:cstheme="minorHAnsi"/>
          <w:color w:val="000000" w:themeColor="text1"/>
          <w:shd w:val="clear" w:color="auto" w:fill="FFFFFF"/>
        </w:rPr>
        <w:t>E</w:t>
      </w:r>
      <w:r w:rsidRPr="00AE5B0E">
        <w:rPr>
          <w:rFonts w:cstheme="minorHAnsi"/>
          <w:color w:val="000000" w:themeColor="text1"/>
          <w:shd w:val="clear" w:color="auto" w:fill="FFFFFF"/>
        </w:rPr>
        <w:t>nvironmental</w:t>
      </w:r>
      <w:r w:rsidR="0086215C" w:rsidRPr="00AE5B0E">
        <w:rPr>
          <w:rFonts w:cstheme="minorHAnsi"/>
          <w:color w:val="000000" w:themeColor="text1"/>
          <w:shd w:val="clear" w:color="auto" w:fill="FFFFFF"/>
        </w:rPr>
        <w:t>/</w:t>
      </w:r>
      <w:r w:rsidR="000F28D0" w:rsidRPr="00AE5B0E">
        <w:rPr>
          <w:rFonts w:cstheme="minorHAnsi"/>
          <w:color w:val="000000" w:themeColor="text1"/>
          <w:shd w:val="clear" w:color="auto" w:fill="FFFFFF"/>
        </w:rPr>
        <w:t>S</w:t>
      </w:r>
      <w:r w:rsidRPr="00AE5B0E">
        <w:rPr>
          <w:rFonts w:cstheme="minorHAnsi"/>
          <w:color w:val="000000" w:themeColor="text1"/>
          <w:shd w:val="clear" w:color="auto" w:fill="FFFFFF"/>
        </w:rPr>
        <w:t xml:space="preserve">ocial </w:t>
      </w:r>
      <w:r w:rsidR="0086215C" w:rsidRPr="00AE5B0E">
        <w:rPr>
          <w:rFonts w:cstheme="minorHAnsi"/>
          <w:color w:val="000000" w:themeColor="text1"/>
          <w:shd w:val="clear" w:color="auto" w:fill="FFFFFF"/>
        </w:rPr>
        <w:t>/</w:t>
      </w:r>
      <w:r w:rsidR="001B7EAE" w:rsidRPr="00AE5B0E">
        <w:rPr>
          <w:rFonts w:cstheme="minorHAnsi"/>
          <w:color w:val="000000" w:themeColor="text1"/>
          <w:shd w:val="clear" w:color="auto" w:fill="FFFFFF"/>
        </w:rPr>
        <w:t xml:space="preserve">CE </w:t>
      </w:r>
      <w:r w:rsidR="002E59CF" w:rsidRPr="00AE5B0E">
        <w:rPr>
          <w:rFonts w:cstheme="minorHAnsi"/>
          <w:color w:val="000000" w:themeColor="text1"/>
          <w:shd w:val="clear" w:color="auto" w:fill="FFFFFF"/>
        </w:rPr>
        <w:t>expert</w:t>
      </w:r>
      <w:r w:rsidR="0086215C" w:rsidRPr="00AE5B0E">
        <w:rPr>
          <w:rFonts w:cstheme="minorHAnsi"/>
          <w:color w:val="000000" w:themeColor="text1"/>
          <w:shd w:val="clear" w:color="auto" w:fill="FFFFFF"/>
        </w:rPr>
        <w:t>(</w:t>
      </w:r>
      <w:proofErr w:type="gramStart"/>
      <w:r w:rsidR="002E59CF" w:rsidRPr="00AE5B0E">
        <w:rPr>
          <w:rFonts w:cstheme="minorHAnsi"/>
          <w:color w:val="000000" w:themeColor="text1"/>
          <w:shd w:val="clear" w:color="auto" w:fill="FFFFFF"/>
        </w:rPr>
        <w:t>s</w:t>
      </w:r>
      <w:r w:rsidR="0086215C" w:rsidRPr="00AE5B0E">
        <w:rPr>
          <w:rFonts w:cstheme="minorHAnsi"/>
          <w:color w:val="000000" w:themeColor="text1"/>
          <w:shd w:val="clear" w:color="auto" w:fill="FFFFFF"/>
        </w:rPr>
        <w:t xml:space="preserve">) </w:t>
      </w:r>
      <w:r w:rsidR="002E59CF" w:rsidRPr="00AE5B0E">
        <w:rPr>
          <w:rFonts w:cstheme="minorHAnsi"/>
          <w:color w:val="000000" w:themeColor="text1"/>
          <w:shd w:val="clear" w:color="auto" w:fill="FFFFFF"/>
        </w:rPr>
        <w:t xml:space="preserve"> </w:t>
      </w:r>
      <w:r w:rsidR="000F28D0" w:rsidRPr="00AE5B0E">
        <w:rPr>
          <w:rFonts w:cstheme="minorHAnsi"/>
          <w:color w:val="000000" w:themeColor="text1"/>
          <w:shd w:val="clear" w:color="auto" w:fill="FFFFFF"/>
        </w:rPr>
        <w:t>who</w:t>
      </w:r>
      <w:proofErr w:type="gramEnd"/>
      <w:r w:rsidRPr="00AE5B0E">
        <w:rPr>
          <w:rFonts w:cstheme="minorHAnsi"/>
          <w:color w:val="000000" w:themeColor="text1"/>
          <w:shd w:val="clear" w:color="auto" w:fill="FFFFFF"/>
        </w:rPr>
        <w:t xml:space="preserve"> shall ensure </w:t>
      </w:r>
      <w:r w:rsidR="003F0104" w:rsidRPr="00AE5B0E">
        <w:rPr>
          <w:rFonts w:cstheme="minorHAnsi"/>
          <w:color w:val="000000" w:themeColor="text1"/>
          <w:shd w:val="clear" w:color="auto" w:fill="FFFFFF"/>
        </w:rPr>
        <w:t xml:space="preserve">the </w:t>
      </w:r>
      <w:r w:rsidRPr="00AE5B0E">
        <w:rPr>
          <w:rFonts w:cstheme="minorHAnsi"/>
          <w:color w:val="000000" w:themeColor="text1"/>
          <w:shd w:val="clear" w:color="auto" w:fill="FFFFFF"/>
        </w:rPr>
        <w:t>implementation of the Project in line with the provisions of the Environmental and Social Commitment Plan (ESCP) but also in line with the Environmental and Social Framework of the World Bank</w:t>
      </w:r>
      <w:r w:rsidR="00867310" w:rsidRPr="00AE5B0E">
        <w:rPr>
          <w:rFonts w:cstheme="minorHAnsi"/>
          <w:color w:val="000000" w:themeColor="text1"/>
          <w:shd w:val="clear" w:color="auto" w:fill="FFFFFF"/>
        </w:rPr>
        <w:t xml:space="preserve"> and applicable</w:t>
      </w:r>
      <w:r w:rsidR="00FF16CD" w:rsidRPr="00AE5B0E">
        <w:rPr>
          <w:rFonts w:cstheme="minorHAnsi"/>
          <w:color w:val="000000" w:themeColor="text1"/>
          <w:shd w:val="clear" w:color="auto" w:fill="FFFFFF"/>
        </w:rPr>
        <w:t xml:space="preserve"> E&amp;S</w:t>
      </w:r>
      <w:r w:rsidR="00867310" w:rsidRPr="00AE5B0E">
        <w:rPr>
          <w:rFonts w:cstheme="minorHAnsi"/>
          <w:color w:val="000000" w:themeColor="text1"/>
          <w:shd w:val="clear" w:color="auto" w:fill="FFFFFF"/>
        </w:rPr>
        <w:t xml:space="preserve"> standards</w:t>
      </w:r>
      <w:r w:rsidR="005F537B" w:rsidRPr="00AE5B0E">
        <w:rPr>
          <w:rFonts w:cstheme="minorHAnsi"/>
          <w:color w:val="000000" w:themeColor="text1"/>
          <w:shd w:val="clear" w:color="auto" w:fill="FFFFFF"/>
        </w:rPr>
        <w:t>.</w:t>
      </w:r>
      <w:r w:rsidR="00F505F5" w:rsidRPr="00AE5B0E">
        <w:rPr>
          <w:rFonts w:cstheme="minorHAnsi"/>
          <w:i/>
          <w:iCs/>
          <w:color w:val="000000" w:themeColor="text1"/>
          <w:lang w:val="bs-Latn-BA"/>
        </w:rPr>
        <w:t xml:space="preserve"> </w:t>
      </w:r>
      <w:r w:rsidR="00C06450" w:rsidRPr="00AE5B0E">
        <w:rPr>
          <w:rFonts w:cstheme="minorHAnsi"/>
          <w:i/>
          <w:iCs/>
          <w:color w:val="000000" w:themeColor="text1"/>
          <w:lang w:val="bs-Latn-BA"/>
        </w:rPr>
        <w:t xml:space="preserve"> </w:t>
      </w:r>
    </w:p>
    <w:p w14:paraId="734537DD" w14:textId="77777777" w:rsidR="004675F5" w:rsidRPr="00AE5B0E" w:rsidRDefault="0029788B" w:rsidP="0029788B">
      <w:pPr>
        <w:jc w:val="both"/>
        <w:rPr>
          <w:rFonts w:cstheme="minorHAnsi"/>
          <w:b/>
          <w:bCs/>
          <w:color w:val="2F5496" w:themeColor="accent1" w:themeShade="BF"/>
          <w:lang w:val="bs-Latn-BA"/>
        </w:rPr>
      </w:pPr>
      <w:proofErr w:type="spellStart"/>
      <w:r w:rsidRPr="00AE5B0E">
        <w:rPr>
          <w:rFonts w:cstheme="minorHAnsi"/>
          <w:b/>
          <w:bCs/>
          <w:color w:val="2F5496" w:themeColor="accent1" w:themeShade="BF"/>
          <w:lang w:val="bs-Latn-BA"/>
        </w:rPr>
        <w:t>Social</w:t>
      </w:r>
      <w:proofErr w:type="spellEnd"/>
      <w:r w:rsidRPr="00AE5B0E">
        <w:rPr>
          <w:rFonts w:cstheme="minorHAnsi"/>
          <w:b/>
          <w:bCs/>
          <w:color w:val="2F5496" w:themeColor="accent1" w:themeShade="BF"/>
          <w:lang w:val="bs-Latn-BA"/>
        </w:rPr>
        <w:t xml:space="preserve"> </w:t>
      </w:r>
      <w:proofErr w:type="spellStart"/>
      <w:r w:rsidR="00F522CA" w:rsidRPr="00AE5B0E">
        <w:rPr>
          <w:rFonts w:cstheme="minorHAnsi"/>
          <w:b/>
          <w:bCs/>
          <w:color w:val="2F5496" w:themeColor="accent1" w:themeShade="BF"/>
          <w:lang w:val="bs-Latn-BA"/>
        </w:rPr>
        <w:t>Risk</w:t>
      </w:r>
      <w:proofErr w:type="spellEnd"/>
      <w:r w:rsidR="00F522CA" w:rsidRPr="00AE5B0E">
        <w:rPr>
          <w:rFonts w:cstheme="minorHAnsi"/>
          <w:b/>
          <w:bCs/>
          <w:color w:val="2F5496" w:themeColor="accent1" w:themeShade="BF"/>
          <w:lang w:val="bs-Latn-BA"/>
        </w:rPr>
        <w:t xml:space="preserve"> </w:t>
      </w:r>
      <w:r w:rsidR="00FF16CD" w:rsidRPr="00AE5B0E">
        <w:rPr>
          <w:rFonts w:cstheme="minorHAnsi"/>
          <w:b/>
          <w:bCs/>
          <w:color w:val="2F5496" w:themeColor="accent1" w:themeShade="BF"/>
          <w:lang w:val="bs-Latn-BA"/>
        </w:rPr>
        <w:t xml:space="preserve">Management </w:t>
      </w:r>
      <w:r w:rsidR="0042670A" w:rsidRPr="00AE5B0E">
        <w:rPr>
          <w:rFonts w:cstheme="minorHAnsi"/>
          <w:b/>
          <w:bCs/>
          <w:color w:val="2F5496" w:themeColor="accent1" w:themeShade="BF"/>
          <w:lang w:val="bs-Latn-BA"/>
        </w:rPr>
        <w:t xml:space="preserve"> </w:t>
      </w:r>
    </w:p>
    <w:p w14:paraId="417D0675" w14:textId="77777777" w:rsidR="009A1BA5" w:rsidRPr="00AE5B0E" w:rsidRDefault="0094188F" w:rsidP="004675F5">
      <w:pPr>
        <w:jc w:val="both"/>
        <w:rPr>
          <w:rFonts w:cstheme="minorHAnsi"/>
          <w:shd w:val="clear" w:color="auto" w:fill="FFFFFF"/>
        </w:rPr>
      </w:pPr>
      <w:r w:rsidRPr="00AE5B0E">
        <w:rPr>
          <w:rFonts w:cstheme="minorHAnsi"/>
          <w:shd w:val="clear" w:color="auto" w:fill="FFFFFF"/>
        </w:rPr>
        <w:lastRenderedPageBreak/>
        <w:t xml:space="preserve">For the IPF </w:t>
      </w:r>
      <w:r w:rsidR="00341D21" w:rsidRPr="00AE5B0E">
        <w:rPr>
          <w:rFonts w:cstheme="minorHAnsi"/>
          <w:shd w:val="clear" w:color="auto" w:fill="FFFFFF"/>
        </w:rPr>
        <w:t xml:space="preserve">component of the </w:t>
      </w:r>
      <w:proofErr w:type="spellStart"/>
      <w:r w:rsidR="00341D21" w:rsidRPr="00AE5B0E">
        <w:rPr>
          <w:rFonts w:cstheme="minorHAnsi"/>
          <w:shd w:val="clear" w:color="auto" w:fill="FFFFFF"/>
        </w:rPr>
        <w:t>PfoR</w:t>
      </w:r>
      <w:proofErr w:type="spellEnd"/>
      <w:r w:rsidR="00341D21" w:rsidRPr="00AE5B0E">
        <w:rPr>
          <w:rFonts w:cstheme="minorHAnsi"/>
          <w:shd w:val="clear" w:color="auto" w:fill="FFFFFF"/>
        </w:rPr>
        <w:t xml:space="preserve"> </w:t>
      </w:r>
      <w:r w:rsidR="00023712" w:rsidRPr="00AE5B0E">
        <w:rPr>
          <w:rFonts w:cstheme="minorHAnsi"/>
          <w:shd w:val="clear" w:color="auto" w:fill="FFFFFF"/>
        </w:rPr>
        <w:t>-</w:t>
      </w:r>
      <w:proofErr w:type="spellStart"/>
      <w:r w:rsidR="00341D21" w:rsidRPr="00AE5B0E">
        <w:rPr>
          <w:rFonts w:cstheme="minorHAnsi"/>
          <w:lang w:val="bs-Latn-BA"/>
        </w:rPr>
        <w:t>Improving</w:t>
      </w:r>
      <w:proofErr w:type="spellEnd"/>
      <w:r w:rsidR="00341D21" w:rsidRPr="00AE5B0E">
        <w:rPr>
          <w:rFonts w:cstheme="minorHAnsi"/>
          <w:lang w:val="bs-Latn-BA"/>
        </w:rPr>
        <w:t xml:space="preserve"> </w:t>
      </w:r>
      <w:proofErr w:type="spellStart"/>
      <w:r w:rsidR="00341D21" w:rsidRPr="00AE5B0E">
        <w:rPr>
          <w:rFonts w:cstheme="minorHAnsi"/>
          <w:lang w:val="bs-Latn-BA"/>
        </w:rPr>
        <w:t>Public</w:t>
      </w:r>
      <w:proofErr w:type="spellEnd"/>
      <w:r w:rsidR="00341D21" w:rsidRPr="00AE5B0E">
        <w:rPr>
          <w:rFonts w:cstheme="minorHAnsi"/>
          <w:lang w:val="bs-Latn-BA"/>
        </w:rPr>
        <w:t xml:space="preserve"> Financial Management </w:t>
      </w:r>
      <w:proofErr w:type="spellStart"/>
      <w:r w:rsidR="00341D21" w:rsidRPr="00AE5B0E">
        <w:rPr>
          <w:rFonts w:cstheme="minorHAnsi"/>
          <w:lang w:val="bs-Latn-BA"/>
        </w:rPr>
        <w:t>for</w:t>
      </w:r>
      <w:proofErr w:type="spellEnd"/>
      <w:r w:rsidR="00341D21" w:rsidRPr="00AE5B0E">
        <w:rPr>
          <w:rFonts w:cstheme="minorHAnsi"/>
          <w:lang w:val="bs-Latn-BA"/>
        </w:rPr>
        <w:t xml:space="preserve"> </w:t>
      </w:r>
      <w:proofErr w:type="spellStart"/>
      <w:r w:rsidR="00341D21" w:rsidRPr="00AE5B0E">
        <w:rPr>
          <w:rFonts w:cstheme="minorHAnsi"/>
          <w:lang w:val="bs-Latn-BA"/>
        </w:rPr>
        <w:t>the</w:t>
      </w:r>
      <w:proofErr w:type="spellEnd"/>
      <w:r w:rsidR="00341D21" w:rsidRPr="00AE5B0E">
        <w:rPr>
          <w:rFonts w:cstheme="minorHAnsi"/>
          <w:lang w:val="bs-Latn-BA"/>
        </w:rPr>
        <w:t xml:space="preserve"> Green </w:t>
      </w:r>
      <w:proofErr w:type="spellStart"/>
      <w:r w:rsidR="00341D21" w:rsidRPr="00AE5B0E">
        <w:rPr>
          <w:rFonts w:cstheme="minorHAnsi"/>
          <w:lang w:val="bs-Latn-BA"/>
        </w:rPr>
        <w:t>Transition</w:t>
      </w:r>
      <w:proofErr w:type="spellEnd"/>
      <w:r w:rsidR="00341D21" w:rsidRPr="00AE5B0E">
        <w:rPr>
          <w:rFonts w:cstheme="minorHAnsi"/>
          <w:lang w:val="bs-Latn-BA"/>
        </w:rPr>
        <w:t xml:space="preserve">, </w:t>
      </w:r>
      <w:r w:rsidR="00341D21" w:rsidRPr="00AE5B0E">
        <w:rPr>
          <w:rFonts w:cstheme="minorHAnsi"/>
          <w:shd w:val="clear" w:color="auto" w:fill="FFFFFF"/>
        </w:rPr>
        <w:t>t</w:t>
      </w:r>
      <w:r w:rsidR="0029788B" w:rsidRPr="00AE5B0E">
        <w:rPr>
          <w:rFonts w:cstheme="minorHAnsi"/>
          <w:shd w:val="clear" w:color="auto" w:fill="FFFFFF"/>
        </w:rPr>
        <w:t xml:space="preserve">he Social risk is </w:t>
      </w:r>
      <w:r w:rsidR="00023712" w:rsidRPr="00AE5B0E">
        <w:rPr>
          <w:rFonts w:cstheme="minorHAnsi"/>
          <w:shd w:val="clear" w:color="auto" w:fill="FFFFFF"/>
        </w:rPr>
        <w:t>estimated to be</w:t>
      </w:r>
      <w:r w:rsidR="0029788B" w:rsidRPr="00AE5B0E">
        <w:rPr>
          <w:rFonts w:cstheme="minorHAnsi"/>
          <w:shd w:val="clear" w:color="auto" w:fill="FFFFFF"/>
        </w:rPr>
        <w:t xml:space="preserve"> </w:t>
      </w:r>
      <w:r w:rsidR="007D41FE" w:rsidRPr="00AE5B0E">
        <w:rPr>
          <w:rFonts w:cstheme="minorHAnsi"/>
          <w:shd w:val="clear" w:color="auto" w:fill="FFFFFF"/>
        </w:rPr>
        <w:t>low</w:t>
      </w:r>
      <w:r w:rsidR="0029788B" w:rsidRPr="00AE5B0E">
        <w:rPr>
          <w:rFonts w:cstheme="minorHAnsi"/>
          <w:shd w:val="clear" w:color="auto" w:fill="FFFFFF"/>
        </w:rPr>
        <w:t xml:space="preserve">. The </w:t>
      </w:r>
      <w:r w:rsidR="00D579BD" w:rsidRPr="00AE5B0E">
        <w:rPr>
          <w:rFonts w:cstheme="minorHAnsi"/>
          <w:shd w:val="clear" w:color="auto" w:fill="FFFFFF"/>
        </w:rPr>
        <w:t xml:space="preserve">IPF component will </w:t>
      </w:r>
      <w:r w:rsidR="0029788B" w:rsidRPr="00AE5B0E">
        <w:rPr>
          <w:rFonts w:cstheme="minorHAnsi"/>
          <w:shd w:val="clear" w:color="auto" w:fill="FFFFFF"/>
        </w:rPr>
        <w:t xml:space="preserve">result </w:t>
      </w:r>
      <w:r w:rsidR="00CF07A6" w:rsidRPr="00AE5B0E">
        <w:rPr>
          <w:rFonts w:cstheme="minorHAnsi"/>
          <w:shd w:val="clear" w:color="auto" w:fill="FFFFFF"/>
        </w:rPr>
        <w:t>in improved efficiency, fiscal transparency, better gender-informed budgeting and green investment reporting and</w:t>
      </w:r>
      <w:r w:rsidR="00DD6561" w:rsidRPr="00AE5B0E">
        <w:rPr>
          <w:rFonts w:cstheme="minorHAnsi"/>
          <w:shd w:val="clear" w:color="auto" w:fill="FFFFFF"/>
        </w:rPr>
        <w:t xml:space="preserve"> </w:t>
      </w:r>
      <w:r w:rsidR="0029788B" w:rsidRPr="00AE5B0E">
        <w:rPr>
          <w:rFonts w:cstheme="minorHAnsi"/>
          <w:shd w:val="clear" w:color="auto" w:fill="FFFFFF"/>
        </w:rPr>
        <w:t>will therefore benefit the broader community</w:t>
      </w:r>
      <w:r w:rsidR="00DD747E" w:rsidRPr="00AE5B0E">
        <w:rPr>
          <w:rFonts w:cstheme="minorHAnsi"/>
          <w:shd w:val="clear" w:color="auto" w:fill="FFFFFF"/>
        </w:rPr>
        <w:t xml:space="preserve"> in</w:t>
      </w:r>
      <w:r w:rsidR="00DD6561" w:rsidRPr="00AE5B0E">
        <w:rPr>
          <w:rFonts w:cstheme="minorHAnsi"/>
          <w:shd w:val="clear" w:color="auto" w:fill="FFFFFF"/>
        </w:rPr>
        <w:t xml:space="preserve"> Serbia</w:t>
      </w:r>
      <w:r w:rsidR="00CF781B" w:rsidRPr="00AE5B0E">
        <w:rPr>
          <w:rFonts w:cstheme="minorHAnsi"/>
          <w:shd w:val="clear" w:color="auto" w:fill="FFFFFF"/>
        </w:rPr>
        <w:t>.</w:t>
      </w:r>
      <w:r w:rsidR="00DD6561" w:rsidRPr="00AE5B0E">
        <w:rPr>
          <w:rFonts w:cstheme="minorHAnsi"/>
          <w:shd w:val="clear" w:color="auto" w:fill="FFFFFF"/>
        </w:rPr>
        <w:t xml:space="preserve"> </w:t>
      </w:r>
      <w:r w:rsidR="0029788B" w:rsidRPr="00AE5B0E">
        <w:rPr>
          <w:rFonts w:cstheme="minorHAnsi"/>
          <w:shd w:val="clear" w:color="auto" w:fill="FFFFFF"/>
        </w:rPr>
        <w:t xml:space="preserve"> </w:t>
      </w:r>
      <w:r w:rsidR="009A1BA5" w:rsidRPr="00AE5B0E">
        <w:rPr>
          <w:rFonts w:cstheme="minorHAnsi"/>
          <w:shd w:val="clear" w:color="auto" w:fill="FFFFFF"/>
        </w:rPr>
        <w:t xml:space="preserve">The main social issues to be addressed appropriately and timely during project implementation relate to </w:t>
      </w:r>
      <w:r w:rsidR="00354C87" w:rsidRPr="00AE5B0E">
        <w:rPr>
          <w:rFonts w:cstheme="minorHAnsi"/>
          <w:shd w:val="clear" w:color="auto" w:fill="FFFFFF"/>
        </w:rPr>
        <w:t>labor</w:t>
      </w:r>
      <w:r w:rsidR="009A1BA5" w:rsidRPr="00AE5B0E">
        <w:rPr>
          <w:rFonts w:cstheme="minorHAnsi"/>
          <w:shd w:val="clear" w:color="auto" w:fill="FFFFFF"/>
        </w:rPr>
        <w:t xml:space="preserve"> and working conditions (ensuring safe and adequate working conditions for workers who will be implementing TA</w:t>
      </w:r>
      <w:r w:rsidR="004F1359" w:rsidRPr="00AE5B0E">
        <w:rPr>
          <w:rFonts w:cstheme="minorHAnsi"/>
          <w:shd w:val="clear" w:color="auto" w:fill="FFFFFF"/>
        </w:rPr>
        <w:t xml:space="preserve"> under IPF component</w:t>
      </w:r>
      <w:r w:rsidR="00354C87" w:rsidRPr="00AE5B0E">
        <w:rPr>
          <w:rFonts w:cstheme="minorHAnsi"/>
          <w:shd w:val="clear" w:color="auto" w:fill="FFFFFF"/>
        </w:rPr>
        <w:t>)</w:t>
      </w:r>
      <w:r w:rsidR="001608A6" w:rsidRPr="00AE5B0E">
        <w:rPr>
          <w:rFonts w:cstheme="minorHAnsi"/>
          <w:shd w:val="clear" w:color="auto" w:fill="FFFFFF"/>
        </w:rPr>
        <w:t xml:space="preserve"> </w:t>
      </w:r>
      <w:r w:rsidR="009A1BA5" w:rsidRPr="00AE5B0E">
        <w:rPr>
          <w:rFonts w:cstheme="minorHAnsi"/>
          <w:shd w:val="clear" w:color="auto" w:fill="FFFFFF"/>
        </w:rPr>
        <w:t xml:space="preserve">and stakeholder engagement and information disclosure. </w:t>
      </w:r>
    </w:p>
    <w:p w14:paraId="746D8301" w14:textId="240B1793" w:rsidR="00354C87" w:rsidRPr="00AE5B0E" w:rsidRDefault="0029788B" w:rsidP="00802127">
      <w:pPr>
        <w:widowControl w:val="0"/>
        <w:tabs>
          <w:tab w:val="left" w:pos="520"/>
        </w:tabs>
        <w:autoSpaceDE w:val="0"/>
        <w:autoSpaceDN w:val="0"/>
        <w:adjustRightInd w:val="0"/>
        <w:spacing w:after="0"/>
        <w:jc w:val="both"/>
        <w:rPr>
          <w:rFonts w:cstheme="minorHAnsi"/>
          <w:shd w:val="clear" w:color="auto" w:fill="FFFFFF"/>
        </w:rPr>
      </w:pPr>
      <w:r w:rsidRPr="00AE5B0E">
        <w:rPr>
          <w:rFonts w:cstheme="minorHAnsi"/>
          <w:shd w:val="clear" w:color="auto" w:fill="FFFFFF"/>
        </w:rPr>
        <w:t xml:space="preserve">The Project does not envisage any </w:t>
      </w:r>
      <w:r w:rsidR="00CF07A6" w:rsidRPr="00AE5B0E">
        <w:rPr>
          <w:rFonts w:cstheme="minorHAnsi"/>
          <w:shd w:val="clear" w:color="auto" w:fill="FFFFFF"/>
        </w:rPr>
        <w:t>large</w:t>
      </w:r>
      <w:r w:rsidR="00925D76" w:rsidRPr="00AE5B0E">
        <w:rPr>
          <w:rFonts w:cstheme="minorHAnsi"/>
          <w:shd w:val="clear" w:color="auto" w:fill="FFFFFF"/>
        </w:rPr>
        <w:t>-</w:t>
      </w:r>
      <w:r w:rsidR="00CF07A6" w:rsidRPr="00AE5B0E">
        <w:rPr>
          <w:rFonts w:cstheme="minorHAnsi"/>
          <w:shd w:val="clear" w:color="auto" w:fill="FFFFFF"/>
        </w:rPr>
        <w:t>scale construction works</w:t>
      </w:r>
      <w:r w:rsidR="001E103B" w:rsidRPr="00AE5B0E">
        <w:rPr>
          <w:rFonts w:cstheme="minorHAnsi"/>
          <w:shd w:val="clear" w:color="auto" w:fill="FFFFFF"/>
        </w:rPr>
        <w:t xml:space="preserve">, though the engagement of TA consultants and possible engagement of contracted workers </w:t>
      </w:r>
      <w:r w:rsidR="00620F90" w:rsidRPr="00AE5B0E">
        <w:rPr>
          <w:rFonts w:cstheme="minorHAnsi"/>
          <w:shd w:val="clear" w:color="auto" w:fill="FFFFFF"/>
        </w:rPr>
        <w:t xml:space="preserve">for </w:t>
      </w:r>
      <w:r w:rsidR="00565DCB" w:rsidRPr="00AE5B0E">
        <w:rPr>
          <w:rFonts w:cstheme="minorHAnsi"/>
          <w:shd w:val="clear" w:color="auto" w:fill="FFFFFF"/>
        </w:rPr>
        <w:t>softw</w:t>
      </w:r>
      <w:r w:rsidR="00620F90" w:rsidRPr="00AE5B0E">
        <w:rPr>
          <w:rFonts w:cstheme="minorHAnsi"/>
          <w:shd w:val="clear" w:color="auto" w:fill="FFFFFF"/>
        </w:rPr>
        <w:t>are</w:t>
      </w:r>
      <w:r w:rsidR="00565DCB" w:rsidRPr="00AE5B0E">
        <w:rPr>
          <w:rFonts w:cstheme="minorHAnsi"/>
          <w:shd w:val="clear" w:color="auto" w:fill="FFFFFF"/>
        </w:rPr>
        <w:t xml:space="preserve"> installation works </w:t>
      </w:r>
      <w:r w:rsidR="001E103B" w:rsidRPr="00AE5B0E">
        <w:rPr>
          <w:rFonts w:cstheme="minorHAnsi"/>
          <w:shd w:val="clear" w:color="auto" w:fill="FFFFFF"/>
        </w:rPr>
        <w:t>still require WB E</w:t>
      </w:r>
      <w:r w:rsidR="00620F90" w:rsidRPr="00AE5B0E">
        <w:rPr>
          <w:rFonts w:cstheme="minorHAnsi"/>
          <w:shd w:val="clear" w:color="auto" w:fill="FFFFFF"/>
        </w:rPr>
        <w:t>&amp;</w:t>
      </w:r>
      <w:r w:rsidR="001E103B" w:rsidRPr="00AE5B0E">
        <w:rPr>
          <w:rFonts w:cstheme="minorHAnsi"/>
          <w:shd w:val="clear" w:color="auto" w:fill="FFFFFF"/>
        </w:rPr>
        <w:t>S Policy and standards to be applied</w:t>
      </w:r>
      <w:r w:rsidR="0005550A" w:rsidRPr="00AE5B0E">
        <w:rPr>
          <w:rFonts w:cstheme="minorHAnsi"/>
          <w:shd w:val="clear" w:color="auto" w:fill="FFFFFF"/>
        </w:rPr>
        <w:t xml:space="preserve">. </w:t>
      </w:r>
      <w:r w:rsidR="00F74250" w:rsidRPr="00AE5B0E">
        <w:rPr>
          <w:rFonts w:cstheme="minorHAnsi"/>
          <w:shd w:val="clear" w:color="auto" w:fill="FFFFFF"/>
        </w:rPr>
        <w:t>Consequently</w:t>
      </w:r>
      <w:r w:rsidR="002E59CF" w:rsidRPr="00AE5B0E">
        <w:rPr>
          <w:rFonts w:cstheme="minorHAnsi"/>
          <w:shd w:val="clear" w:color="auto" w:fill="FFFFFF"/>
        </w:rPr>
        <w:t>, the</w:t>
      </w:r>
      <w:r w:rsidR="005C1616" w:rsidRPr="00AE5B0E">
        <w:rPr>
          <w:rFonts w:cstheme="minorHAnsi"/>
          <w:shd w:val="clear" w:color="auto" w:fill="FFFFFF"/>
        </w:rPr>
        <w:t xml:space="preserve"> POM will </w:t>
      </w:r>
      <w:r w:rsidR="00354C87" w:rsidRPr="00AE5B0E">
        <w:rPr>
          <w:rFonts w:cstheme="minorHAnsi"/>
          <w:shd w:val="clear" w:color="auto" w:fill="FFFFFF"/>
        </w:rPr>
        <w:t>entail adequate provisions and proportionate mitigation measures that will ensure compliance with the ESS2 on Labor and Working Conditions</w:t>
      </w:r>
      <w:r w:rsidR="00A33B05" w:rsidRPr="00AE5B0E">
        <w:rPr>
          <w:rFonts w:cstheme="minorHAnsi"/>
          <w:shd w:val="clear" w:color="auto" w:fill="FFFFFF"/>
        </w:rPr>
        <w:t>.</w:t>
      </w:r>
    </w:p>
    <w:p w14:paraId="2847A8AA" w14:textId="4D70C304" w:rsidR="00820C84" w:rsidRPr="00AE5B0E" w:rsidRDefault="00A23CCF" w:rsidP="00802127">
      <w:pPr>
        <w:widowControl w:val="0"/>
        <w:tabs>
          <w:tab w:val="left" w:pos="520"/>
        </w:tabs>
        <w:autoSpaceDE w:val="0"/>
        <w:autoSpaceDN w:val="0"/>
        <w:adjustRightInd w:val="0"/>
        <w:spacing w:after="0"/>
        <w:jc w:val="both"/>
        <w:rPr>
          <w:rFonts w:cstheme="minorHAnsi"/>
        </w:rPr>
      </w:pPr>
      <w:r w:rsidRPr="00AE5B0E">
        <w:rPr>
          <w:rFonts w:cstheme="minorHAnsi"/>
          <w:shd w:val="clear" w:color="auto" w:fill="FFFFFF"/>
        </w:rPr>
        <w:t xml:space="preserve">Furthermore, for the </w:t>
      </w:r>
      <w:r w:rsidR="009915F0" w:rsidRPr="00AE5B0E">
        <w:rPr>
          <w:rFonts w:cstheme="minorHAnsi"/>
          <w:shd w:val="clear" w:color="auto" w:fill="FFFFFF"/>
        </w:rPr>
        <w:t>efficient and effective</w:t>
      </w:r>
      <w:r w:rsidRPr="00AE5B0E">
        <w:rPr>
          <w:rFonts w:cstheme="minorHAnsi"/>
          <w:shd w:val="clear" w:color="auto" w:fill="FFFFFF"/>
        </w:rPr>
        <w:t xml:space="preserve"> implementation of project activities, it is crucial to properly</w:t>
      </w:r>
      <w:r w:rsidR="007A7274" w:rsidRPr="00AE5B0E">
        <w:rPr>
          <w:rFonts w:cstheme="minorHAnsi"/>
          <w:shd w:val="clear" w:color="auto" w:fill="FFFFFF"/>
        </w:rPr>
        <w:t xml:space="preserve"> define</w:t>
      </w:r>
      <w:r w:rsidRPr="00AE5B0E">
        <w:rPr>
          <w:rFonts w:cstheme="minorHAnsi"/>
          <w:shd w:val="clear" w:color="auto" w:fill="FFFFFF"/>
        </w:rPr>
        <w:t xml:space="preserve"> and adequately implement the process of</w:t>
      </w:r>
      <w:r w:rsidR="007A7274" w:rsidRPr="00AE5B0E">
        <w:rPr>
          <w:rFonts w:cstheme="minorHAnsi"/>
          <w:shd w:val="clear" w:color="auto" w:fill="FFFFFF"/>
        </w:rPr>
        <w:t xml:space="preserve"> stakeholder and citizen </w:t>
      </w:r>
      <w:r w:rsidRPr="00AE5B0E">
        <w:rPr>
          <w:rFonts w:cstheme="minorHAnsi"/>
          <w:shd w:val="clear" w:color="auto" w:fill="FFFFFF"/>
        </w:rPr>
        <w:t>engagement.</w:t>
      </w:r>
      <w:r w:rsidR="007A7274" w:rsidRPr="00AE5B0E">
        <w:rPr>
          <w:rFonts w:cstheme="minorHAnsi"/>
          <w:shd w:val="clear" w:color="auto" w:fill="FFFFFF"/>
        </w:rPr>
        <w:t xml:space="preserve"> </w:t>
      </w:r>
      <w:r w:rsidR="00546232" w:rsidRPr="00AE5B0E">
        <w:rPr>
          <w:rFonts w:cstheme="minorHAnsi"/>
          <w:shd w:val="clear" w:color="auto" w:fill="FFFFFF"/>
        </w:rPr>
        <w:t xml:space="preserve">Failure to do this carries </w:t>
      </w:r>
      <w:r w:rsidR="00F12C58" w:rsidRPr="00AE5B0E">
        <w:rPr>
          <w:rFonts w:cstheme="minorHAnsi"/>
          <w:shd w:val="clear" w:color="auto" w:fill="FFFFFF"/>
        </w:rPr>
        <w:t xml:space="preserve">a </w:t>
      </w:r>
      <w:r w:rsidR="00546232" w:rsidRPr="00AE5B0E">
        <w:rPr>
          <w:rFonts w:cstheme="minorHAnsi"/>
          <w:shd w:val="clear" w:color="auto" w:fill="FFFFFF"/>
        </w:rPr>
        <w:t>significant social risk that the Project may not deliver on its objective</w:t>
      </w:r>
      <w:r w:rsidR="0029788B" w:rsidRPr="00AE5B0E">
        <w:rPr>
          <w:rFonts w:cstheme="minorHAnsi"/>
          <w:shd w:val="clear" w:color="auto" w:fill="FFFFFF"/>
        </w:rPr>
        <w:t xml:space="preserve">. </w:t>
      </w:r>
      <w:r w:rsidR="00820C84" w:rsidRPr="00AE5B0E">
        <w:rPr>
          <w:rFonts w:cstheme="minorHAnsi"/>
        </w:rPr>
        <w:t>Therefore</w:t>
      </w:r>
      <w:r w:rsidR="005F24C7" w:rsidRPr="00AE5B0E">
        <w:rPr>
          <w:rFonts w:cstheme="minorHAnsi"/>
        </w:rPr>
        <w:t>,</w:t>
      </w:r>
      <w:r w:rsidR="00820C84" w:rsidRPr="00AE5B0E">
        <w:rPr>
          <w:rFonts w:cstheme="minorHAnsi"/>
        </w:rPr>
        <w:t xml:space="preserve"> the</w:t>
      </w:r>
      <w:r w:rsidR="00EB3284" w:rsidRPr="00AE5B0E">
        <w:rPr>
          <w:rFonts w:cstheme="minorHAnsi"/>
        </w:rPr>
        <w:t xml:space="preserve"> Program foresees continuous stakeholder engagement</w:t>
      </w:r>
      <w:r w:rsidR="00291C20" w:rsidRPr="00AE5B0E">
        <w:rPr>
          <w:rFonts w:cstheme="minorHAnsi"/>
        </w:rPr>
        <w:t xml:space="preserve"> </w:t>
      </w:r>
      <w:r w:rsidR="00EB3284" w:rsidRPr="00AE5B0E">
        <w:rPr>
          <w:rFonts w:cstheme="minorHAnsi"/>
        </w:rPr>
        <w:t>between citizens, the private sector, and the</w:t>
      </w:r>
      <w:r w:rsidR="002E59CF" w:rsidRPr="00AE5B0E">
        <w:rPr>
          <w:rFonts w:cstheme="minorHAnsi"/>
        </w:rPr>
        <w:t xml:space="preserve"> Government of the Republic of Serbia</w:t>
      </w:r>
      <w:r w:rsidR="00EB3284" w:rsidRPr="00AE5B0E">
        <w:rPr>
          <w:rFonts w:cstheme="minorHAnsi"/>
        </w:rPr>
        <w:t xml:space="preserve"> on the reforms being addressed</w:t>
      </w:r>
      <w:r w:rsidR="002E59CF" w:rsidRPr="00AE5B0E">
        <w:rPr>
          <w:rFonts w:cstheme="minorHAnsi"/>
        </w:rPr>
        <w:t xml:space="preserve">, in </w:t>
      </w:r>
      <w:r w:rsidR="005F24C7" w:rsidRPr="00AE5B0E">
        <w:rPr>
          <w:rFonts w:cstheme="minorHAnsi"/>
        </w:rPr>
        <w:t>line</w:t>
      </w:r>
      <w:r w:rsidR="002E59CF" w:rsidRPr="00AE5B0E">
        <w:rPr>
          <w:rFonts w:cstheme="minorHAnsi"/>
        </w:rPr>
        <w:t xml:space="preserve"> with the </w:t>
      </w:r>
      <w:r w:rsidR="00332ACD" w:rsidRPr="00AE5B0E">
        <w:rPr>
          <w:rFonts w:cstheme="minorHAnsi"/>
        </w:rPr>
        <w:t>already established</w:t>
      </w:r>
      <w:r w:rsidR="002E59CF" w:rsidRPr="00AE5B0E">
        <w:rPr>
          <w:rFonts w:cstheme="minorHAnsi"/>
        </w:rPr>
        <w:t xml:space="preserve"> national practice</w:t>
      </w:r>
      <w:r w:rsidR="00291C20" w:rsidRPr="00AE5B0E">
        <w:rPr>
          <w:rFonts w:cstheme="minorHAnsi"/>
        </w:rPr>
        <w:t xml:space="preserve"> </w:t>
      </w:r>
      <w:r w:rsidR="002E59CF" w:rsidRPr="00AE5B0E">
        <w:rPr>
          <w:rFonts w:cstheme="minorHAnsi"/>
        </w:rPr>
        <w:t xml:space="preserve">and </w:t>
      </w:r>
      <w:r w:rsidR="005F24C7" w:rsidRPr="00AE5B0E">
        <w:rPr>
          <w:rFonts w:cstheme="minorHAnsi"/>
        </w:rPr>
        <w:t xml:space="preserve">the </w:t>
      </w:r>
      <w:r w:rsidR="002E59CF" w:rsidRPr="00AE5B0E">
        <w:rPr>
          <w:rFonts w:cstheme="minorHAnsi"/>
        </w:rPr>
        <w:t>Law on Planning System</w:t>
      </w:r>
      <w:r w:rsidR="00291C20" w:rsidRPr="00AE5B0E">
        <w:rPr>
          <w:rFonts w:cstheme="minorHAnsi"/>
        </w:rPr>
        <w:t xml:space="preserve"> </w:t>
      </w:r>
      <w:r w:rsidR="005F24C7" w:rsidRPr="00AE5B0E">
        <w:rPr>
          <w:rFonts w:cstheme="minorHAnsi"/>
        </w:rPr>
        <w:t>and other regulation in this area</w:t>
      </w:r>
      <w:r w:rsidR="00291C20" w:rsidRPr="00AE5B0E">
        <w:rPr>
          <w:rFonts w:cstheme="minorHAnsi"/>
        </w:rPr>
        <w:t xml:space="preserve">, as well as in line with provisions of the </w:t>
      </w:r>
      <w:r w:rsidR="005F24C7" w:rsidRPr="00AE5B0E">
        <w:rPr>
          <w:rFonts w:cstheme="minorHAnsi"/>
        </w:rPr>
        <w:t>S</w:t>
      </w:r>
      <w:r w:rsidR="00291C20" w:rsidRPr="00AE5B0E">
        <w:rPr>
          <w:rFonts w:cstheme="minorHAnsi"/>
        </w:rPr>
        <w:t xml:space="preserve">trategy on cooperation with CSO and other interested stakeholders. </w:t>
      </w:r>
    </w:p>
    <w:p w14:paraId="601E396E" w14:textId="1D6988F7" w:rsidR="004E072F" w:rsidRPr="00AE5B0E" w:rsidRDefault="00261E0E" w:rsidP="00802127">
      <w:pPr>
        <w:jc w:val="both"/>
        <w:rPr>
          <w:rFonts w:cstheme="minorHAnsi"/>
          <w:shd w:val="clear" w:color="auto" w:fill="FFFFFF"/>
        </w:rPr>
      </w:pPr>
      <w:r w:rsidRPr="00AE5B0E">
        <w:rPr>
          <w:rFonts w:cstheme="minorHAnsi"/>
          <w:shd w:val="clear" w:color="auto" w:fill="FFFFFF"/>
        </w:rPr>
        <w:t xml:space="preserve">Stakeholder </w:t>
      </w:r>
      <w:r w:rsidR="00546232" w:rsidRPr="00AE5B0E">
        <w:rPr>
          <w:rFonts w:cstheme="minorHAnsi"/>
          <w:shd w:val="clear" w:color="auto" w:fill="FFFFFF"/>
        </w:rPr>
        <w:t>engagement assumes</w:t>
      </w:r>
      <w:r w:rsidR="0029788B" w:rsidRPr="00AE5B0E">
        <w:rPr>
          <w:rFonts w:cstheme="minorHAnsi"/>
          <w:shd w:val="clear" w:color="auto" w:fill="FFFFFF"/>
        </w:rPr>
        <w:t xml:space="preserve"> engagement and communication between new and existing </w:t>
      </w:r>
      <w:r w:rsidR="008F0A9B" w:rsidRPr="00AE5B0E">
        <w:rPr>
          <w:rFonts w:cstheme="minorHAnsi"/>
          <w:shd w:val="clear" w:color="auto" w:fill="FFFFFF"/>
        </w:rPr>
        <w:t xml:space="preserve">governmental </w:t>
      </w:r>
      <w:r w:rsidR="0029788B" w:rsidRPr="00AE5B0E">
        <w:rPr>
          <w:rFonts w:cstheme="minorHAnsi"/>
          <w:shd w:val="clear" w:color="auto" w:fill="FFFFFF"/>
        </w:rPr>
        <w:t>stakeholders</w:t>
      </w:r>
      <w:r w:rsidR="006B55F9" w:rsidRPr="00AE5B0E">
        <w:rPr>
          <w:rFonts w:cstheme="minorHAnsi"/>
          <w:shd w:val="clear" w:color="auto" w:fill="FFFFFF"/>
        </w:rPr>
        <w:t xml:space="preserve"> </w:t>
      </w:r>
      <w:r w:rsidR="00AE5B0E" w:rsidRPr="00AE5B0E">
        <w:rPr>
          <w:rFonts w:cstheme="minorHAnsi"/>
          <w:shd w:val="clear" w:color="auto" w:fill="FFFFFF"/>
        </w:rPr>
        <w:t>(affected</w:t>
      </w:r>
      <w:r w:rsidR="006B55F9" w:rsidRPr="00AE5B0E">
        <w:rPr>
          <w:rFonts w:cstheme="minorHAnsi"/>
          <w:shd w:val="clear" w:color="auto" w:fill="FFFFFF"/>
        </w:rPr>
        <w:t xml:space="preserve"> parties)</w:t>
      </w:r>
      <w:r w:rsidR="008F0A9B" w:rsidRPr="00AE5B0E">
        <w:rPr>
          <w:rFonts w:cstheme="minorHAnsi"/>
          <w:shd w:val="clear" w:color="auto" w:fill="FFFFFF"/>
        </w:rPr>
        <w:t xml:space="preserve"> and</w:t>
      </w:r>
      <w:r w:rsidR="00EC2E37" w:rsidRPr="00AE5B0E">
        <w:rPr>
          <w:rFonts w:cstheme="minorHAnsi"/>
          <w:shd w:val="clear" w:color="auto" w:fill="FFFFFF"/>
        </w:rPr>
        <w:t xml:space="preserve"> stronger </w:t>
      </w:r>
      <w:r w:rsidR="00E2519B" w:rsidRPr="00AE5B0E">
        <w:rPr>
          <w:rFonts w:cstheme="minorHAnsi"/>
          <w:shd w:val="clear" w:color="auto" w:fill="FFFFFF"/>
        </w:rPr>
        <w:t xml:space="preserve">inclusion of </w:t>
      </w:r>
      <w:r w:rsidR="0063702E" w:rsidRPr="00AE5B0E">
        <w:rPr>
          <w:rFonts w:cstheme="minorHAnsi"/>
          <w:shd w:val="clear" w:color="auto" w:fill="FFFFFF"/>
        </w:rPr>
        <w:t xml:space="preserve">other </w:t>
      </w:r>
      <w:r w:rsidR="00EC2E37" w:rsidRPr="00AE5B0E">
        <w:rPr>
          <w:rFonts w:cstheme="minorHAnsi"/>
          <w:shd w:val="clear" w:color="auto" w:fill="FFFFFF"/>
        </w:rPr>
        <w:t>interested parties</w:t>
      </w:r>
      <w:r w:rsidR="00A578BF" w:rsidRPr="00AE5B0E">
        <w:rPr>
          <w:rFonts w:cstheme="minorHAnsi"/>
          <w:shd w:val="clear" w:color="auto" w:fill="FFFFFF"/>
        </w:rPr>
        <w:t xml:space="preserve"> </w:t>
      </w:r>
      <w:r w:rsidR="006B55F9" w:rsidRPr="00AE5B0E">
        <w:rPr>
          <w:rFonts w:cstheme="minorHAnsi"/>
          <w:shd w:val="clear" w:color="auto" w:fill="FFFFFF"/>
        </w:rPr>
        <w:t>(</w:t>
      </w:r>
      <w:r w:rsidR="00546232" w:rsidRPr="00AE5B0E">
        <w:rPr>
          <w:rFonts w:cstheme="minorHAnsi"/>
          <w:shd w:val="clear" w:color="auto" w:fill="FFFFFF"/>
        </w:rPr>
        <w:t>private sector</w:t>
      </w:r>
      <w:r w:rsidR="007C30B9" w:rsidRPr="00AE5B0E">
        <w:rPr>
          <w:rFonts w:cstheme="minorHAnsi"/>
          <w:shd w:val="clear" w:color="auto" w:fill="FFFFFF"/>
        </w:rPr>
        <w:t xml:space="preserve"> and</w:t>
      </w:r>
      <w:r w:rsidR="006B55F9" w:rsidRPr="00AE5B0E">
        <w:rPr>
          <w:rFonts w:cstheme="minorHAnsi"/>
          <w:shd w:val="clear" w:color="auto" w:fill="FFFFFF"/>
        </w:rPr>
        <w:t xml:space="preserve"> citizens</w:t>
      </w:r>
      <w:r w:rsidR="0029788B" w:rsidRPr="00AE5B0E">
        <w:rPr>
          <w:rFonts w:cstheme="minorHAnsi"/>
          <w:shd w:val="clear" w:color="auto" w:fill="FFFFFF"/>
        </w:rPr>
        <w:t xml:space="preserve">). </w:t>
      </w:r>
      <w:r w:rsidR="004E072F" w:rsidRPr="00AE5B0E">
        <w:rPr>
          <w:rFonts w:cstheme="minorHAnsi"/>
          <w:shd w:val="clear" w:color="auto" w:fill="FFFFFF"/>
        </w:rPr>
        <w:t xml:space="preserve">A good exchange of information between the ministries and agencies that will implement the entire program is essential for </w:t>
      </w:r>
      <w:r w:rsidR="004E59E4" w:rsidRPr="00AE5B0E">
        <w:rPr>
          <w:rFonts w:cstheme="minorHAnsi"/>
          <w:shd w:val="clear" w:color="auto" w:fill="FFFFFF"/>
        </w:rPr>
        <w:t>its</w:t>
      </w:r>
      <w:r w:rsidR="004E072F" w:rsidRPr="00AE5B0E">
        <w:rPr>
          <w:rFonts w:cstheme="minorHAnsi"/>
          <w:shd w:val="clear" w:color="auto" w:fill="FFFFFF"/>
        </w:rPr>
        <w:t xml:space="preserve"> smooth implementation, while the application of a well-adjusted engagement strategy with citizens and the private sector will help improve fiscal transparency and</w:t>
      </w:r>
      <w:r w:rsidR="00F32885" w:rsidRPr="00AE5B0E">
        <w:rPr>
          <w:rFonts w:cstheme="minorHAnsi"/>
          <w:shd w:val="clear" w:color="auto" w:fill="FFFFFF"/>
          <w:lang w:val="sr-Latn-RS"/>
        </w:rPr>
        <w:t xml:space="preserve"> </w:t>
      </w:r>
      <w:proofErr w:type="spellStart"/>
      <w:r w:rsidR="00F32885" w:rsidRPr="00AE5B0E">
        <w:rPr>
          <w:rFonts w:cstheme="minorHAnsi"/>
          <w:shd w:val="clear" w:color="auto" w:fill="FFFFFF"/>
          <w:lang w:val="sr-Latn-RS"/>
        </w:rPr>
        <w:t>will</w:t>
      </w:r>
      <w:proofErr w:type="spellEnd"/>
      <w:r w:rsidR="00F32885" w:rsidRPr="00AE5B0E">
        <w:rPr>
          <w:rFonts w:cstheme="minorHAnsi"/>
          <w:shd w:val="clear" w:color="auto" w:fill="FFFFFF"/>
          <w:lang w:val="sr-Latn-RS"/>
        </w:rPr>
        <w:t xml:space="preserve"> </w:t>
      </w:r>
      <w:proofErr w:type="spellStart"/>
      <w:r w:rsidR="00F32885" w:rsidRPr="00AE5B0E">
        <w:rPr>
          <w:rFonts w:cstheme="minorHAnsi"/>
          <w:shd w:val="clear" w:color="auto" w:fill="FFFFFF"/>
          <w:lang w:val="sr-Latn-RS"/>
        </w:rPr>
        <w:t>contribute</w:t>
      </w:r>
      <w:proofErr w:type="spellEnd"/>
      <w:r w:rsidR="00F32885" w:rsidRPr="00AE5B0E">
        <w:rPr>
          <w:rFonts w:cstheme="minorHAnsi"/>
          <w:shd w:val="clear" w:color="auto" w:fill="FFFFFF"/>
          <w:lang w:val="sr-Latn-RS"/>
        </w:rPr>
        <w:t xml:space="preserve"> to</w:t>
      </w:r>
      <w:r w:rsidR="004E072F" w:rsidRPr="00AE5B0E">
        <w:rPr>
          <w:rFonts w:cstheme="minorHAnsi"/>
          <w:shd w:val="clear" w:color="auto" w:fill="FFFFFF"/>
        </w:rPr>
        <w:t xml:space="preserve"> project sustainability.</w:t>
      </w:r>
    </w:p>
    <w:p w14:paraId="028E093B" w14:textId="77777777" w:rsidR="0029788B" w:rsidRPr="00AE5B0E" w:rsidRDefault="0029788B" w:rsidP="00802127">
      <w:pPr>
        <w:jc w:val="both"/>
        <w:rPr>
          <w:rFonts w:cstheme="minorHAnsi"/>
          <w:shd w:val="clear" w:color="auto" w:fill="FFFFFF"/>
        </w:rPr>
      </w:pPr>
      <w:r w:rsidRPr="00AE5B0E">
        <w:rPr>
          <w:rFonts w:cstheme="minorHAnsi"/>
          <w:shd w:val="clear" w:color="auto" w:fill="FFFFFF"/>
        </w:rPr>
        <w:t xml:space="preserve">The appropriate principles of the ESS10 are enshrined in the ESCP and </w:t>
      </w:r>
      <w:r w:rsidR="00EE0BCE" w:rsidRPr="00AE5B0E">
        <w:rPr>
          <w:rFonts w:cstheme="minorHAnsi"/>
          <w:shd w:val="clear" w:color="auto" w:fill="FFFFFF"/>
        </w:rPr>
        <w:t xml:space="preserve">will be </w:t>
      </w:r>
      <w:r w:rsidRPr="00AE5B0E">
        <w:rPr>
          <w:rFonts w:cstheme="minorHAnsi"/>
          <w:shd w:val="clear" w:color="auto" w:fill="FFFFFF"/>
        </w:rPr>
        <w:t xml:space="preserve">operationalized in the </w:t>
      </w:r>
      <w:r w:rsidR="0012474F" w:rsidRPr="00AE5B0E">
        <w:rPr>
          <w:rFonts w:cstheme="minorHAnsi"/>
          <w:shd w:val="clear" w:color="auto" w:fill="FFFFFF"/>
        </w:rPr>
        <w:t xml:space="preserve">activities to be performed </w:t>
      </w:r>
      <w:r w:rsidRPr="00AE5B0E">
        <w:rPr>
          <w:rFonts w:cstheme="minorHAnsi"/>
          <w:shd w:val="clear" w:color="auto" w:fill="FFFFFF"/>
        </w:rPr>
        <w:t xml:space="preserve">on the ground.  </w:t>
      </w:r>
      <w:r w:rsidR="00EA710B" w:rsidRPr="00AE5B0E">
        <w:rPr>
          <w:rFonts w:cstheme="minorHAnsi"/>
          <w:shd w:val="clear" w:color="auto" w:fill="FFFFFF"/>
        </w:rPr>
        <w:t xml:space="preserve">The proposed project will not </w:t>
      </w:r>
      <w:r w:rsidR="00642890" w:rsidRPr="00AE5B0E">
        <w:rPr>
          <w:rFonts w:cstheme="minorHAnsi"/>
          <w:shd w:val="clear" w:color="auto" w:fill="FFFFFF"/>
        </w:rPr>
        <w:t>produce</w:t>
      </w:r>
      <w:r w:rsidR="00EA710B" w:rsidRPr="00AE5B0E">
        <w:rPr>
          <w:rFonts w:cstheme="minorHAnsi"/>
          <w:shd w:val="clear" w:color="auto" w:fill="FFFFFF"/>
        </w:rPr>
        <w:t xml:space="preserve"> </w:t>
      </w:r>
      <w:r w:rsidR="00642890" w:rsidRPr="00AE5B0E">
        <w:rPr>
          <w:rFonts w:cstheme="minorHAnsi"/>
          <w:shd w:val="clear" w:color="auto" w:fill="FFFFFF"/>
        </w:rPr>
        <w:t>an adverse</w:t>
      </w:r>
      <w:r w:rsidR="00EA710B" w:rsidRPr="00AE5B0E">
        <w:rPr>
          <w:rFonts w:cstheme="minorHAnsi"/>
          <w:shd w:val="clear" w:color="auto" w:fill="FFFFFF"/>
        </w:rPr>
        <w:t xml:space="preserve"> impact on vulnerable groups and will not result in land acquisition or physical displacement.</w:t>
      </w:r>
    </w:p>
    <w:p w14:paraId="1E04CEDD" w14:textId="77777777" w:rsidR="0029788B" w:rsidRPr="00AE5B0E" w:rsidRDefault="0029788B" w:rsidP="00D07E5E">
      <w:pPr>
        <w:jc w:val="both"/>
        <w:rPr>
          <w:rFonts w:cstheme="minorHAnsi"/>
          <w:color w:val="3F4257"/>
          <w:shd w:val="clear" w:color="auto" w:fill="FFFFFF"/>
        </w:rPr>
      </w:pPr>
    </w:p>
    <w:p w14:paraId="3980B121" w14:textId="77777777" w:rsidR="0042670A" w:rsidRPr="00AE5B0E" w:rsidRDefault="0042670A" w:rsidP="0042670A">
      <w:pPr>
        <w:jc w:val="both"/>
        <w:rPr>
          <w:rFonts w:cstheme="minorHAnsi"/>
          <w:b/>
          <w:bCs/>
          <w:color w:val="2F5496" w:themeColor="accent1" w:themeShade="BF"/>
          <w:lang w:val="bs-Latn-BA"/>
        </w:rPr>
      </w:pPr>
      <w:bookmarkStart w:id="0" w:name="_Hlk11347940"/>
      <w:proofErr w:type="spellStart"/>
      <w:r w:rsidRPr="00AE5B0E">
        <w:rPr>
          <w:rFonts w:cstheme="minorHAnsi"/>
          <w:b/>
          <w:bCs/>
          <w:color w:val="2F5496" w:themeColor="accent1" w:themeShade="BF"/>
          <w:lang w:val="bs-Latn-BA"/>
        </w:rPr>
        <w:t>Environmental</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and</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Social</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Provisions</w:t>
      </w:r>
      <w:proofErr w:type="spellEnd"/>
      <w:r w:rsidRPr="00AE5B0E">
        <w:rPr>
          <w:rFonts w:cstheme="minorHAnsi"/>
          <w:b/>
          <w:bCs/>
          <w:color w:val="2F5496" w:themeColor="accent1" w:themeShade="BF"/>
          <w:lang w:val="bs-Latn-BA"/>
        </w:rPr>
        <w:t xml:space="preserve"> </w:t>
      </w:r>
      <w:proofErr w:type="spellStart"/>
      <w:r w:rsidRPr="00AE5B0E">
        <w:rPr>
          <w:rFonts w:cstheme="minorHAnsi"/>
          <w:b/>
          <w:bCs/>
          <w:color w:val="2F5496" w:themeColor="accent1" w:themeShade="BF"/>
          <w:lang w:val="bs-Latn-BA"/>
        </w:rPr>
        <w:t>applicable</w:t>
      </w:r>
      <w:proofErr w:type="spellEnd"/>
      <w:r w:rsidRPr="00AE5B0E">
        <w:rPr>
          <w:rFonts w:cstheme="minorHAnsi"/>
          <w:b/>
          <w:bCs/>
          <w:color w:val="2F5496" w:themeColor="accent1" w:themeShade="BF"/>
          <w:lang w:val="bs-Latn-BA"/>
        </w:rPr>
        <w:t xml:space="preserve"> to </w:t>
      </w:r>
      <w:proofErr w:type="spellStart"/>
      <w:r w:rsidRPr="00AE5B0E">
        <w:rPr>
          <w:rFonts w:cstheme="minorHAnsi"/>
          <w:b/>
          <w:bCs/>
          <w:color w:val="2F5496" w:themeColor="accent1" w:themeShade="BF"/>
          <w:lang w:val="bs-Latn-BA"/>
        </w:rPr>
        <w:t>the</w:t>
      </w:r>
      <w:proofErr w:type="spellEnd"/>
      <w:r w:rsidRPr="00AE5B0E">
        <w:rPr>
          <w:rFonts w:cstheme="minorHAnsi"/>
          <w:b/>
          <w:bCs/>
          <w:color w:val="2F5496" w:themeColor="accent1" w:themeShade="BF"/>
          <w:lang w:val="bs-Latn-BA"/>
        </w:rPr>
        <w:t xml:space="preserve"> </w:t>
      </w:r>
      <w:r w:rsidR="00A16A6C" w:rsidRPr="00AE5B0E">
        <w:rPr>
          <w:rFonts w:cstheme="minorHAnsi"/>
          <w:b/>
          <w:bCs/>
          <w:color w:val="2F5496" w:themeColor="accent1" w:themeShade="BF"/>
          <w:lang w:val="bs-Latn-BA"/>
        </w:rPr>
        <w:t xml:space="preserve">IPF </w:t>
      </w:r>
      <w:proofErr w:type="spellStart"/>
      <w:r w:rsidR="00A16A6C" w:rsidRPr="00AE5B0E">
        <w:rPr>
          <w:rFonts w:cstheme="minorHAnsi"/>
          <w:b/>
          <w:bCs/>
          <w:color w:val="2F5496" w:themeColor="accent1" w:themeShade="BF"/>
          <w:lang w:val="bs-Latn-BA"/>
        </w:rPr>
        <w:t>Component</w:t>
      </w:r>
      <w:proofErr w:type="spellEnd"/>
      <w:r w:rsidR="00A16A6C" w:rsidRPr="00AE5B0E">
        <w:rPr>
          <w:rFonts w:cstheme="minorHAnsi"/>
          <w:b/>
          <w:bCs/>
          <w:color w:val="2F5496" w:themeColor="accent1" w:themeShade="BF"/>
          <w:lang w:val="bs-Latn-BA"/>
        </w:rPr>
        <w:t xml:space="preserve"> </w:t>
      </w:r>
      <w:proofErr w:type="spellStart"/>
      <w:r w:rsidR="00A16A6C" w:rsidRPr="00AE5B0E">
        <w:rPr>
          <w:rFonts w:cstheme="minorHAnsi"/>
          <w:b/>
          <w:bCs/>
          <w:color w:val="2F5496" w:themeColor="accent1" w:themeShade="BF"/>
          <w:lang w:val="bs-Latn-BA"/>
        </w:rPr>
        <w:t>of</w:t>
      </w:r>
      <w:proofErr w:type="spellEnd"/>
      <w:r w:rsidR="00A16A6C" w:rsidRPr="00AE5B0E">
        <w:rPr>
          <w:rFonts w:cstheme="minorHAnsi"/>
          <w:b/>
          <w:bCs/>
          <w:color w:val="2F5496" w:themeColor="accent1" w:themeShade="BF"/>
          <w:lang w:val="bs-Latn-BA"/>
        </w:rPr>
        <w:t xml:space="preserve"> </w:t>
      </w:r>
      <w:proofErr w:type="spellStart"/>
      <w:r w:rsidR="00A16A6C" w:rsidRPr="00AE5B0E">
        <w:rPr>
          <w:rFonts w:cstheme="minorHAnsi"/>
          <w:b/>
          <w:bCs/>
          <w:color w:val="2F5496" w:themeColor="accent1" w:themeShade="BF"/>
          <w:lang w:val="bs-Latn-BA"/>
        </w:rPr>
        <w:t>the</w:t>
      </w:r>
      <w:proofErr w:type="spellEnd"/>
      <w:r w:rsidR="00A16A6C" w:rsidRPr="00AE5B0E">
        <w:rPr>
          <w:rFonts w:cstheme="minorHAnsi"/>
          <w:b/>
          <w:bCs/>
          <w:color w:val="2F5496" w:themeColor="accent1" w:themeShade="BF"/>
          <w:lang w:val="bs-Latn-BA"/>
        </w:rPr>
        <w:t xml:space="preserve"> </w:t>
      </w:r>
      <w:proofErr w:type="spellStart"/>
      <w:r w:rsidR="00A16A6C" w:rsidRPr="00AE5B0E">
        <w:rPr>
          <w:rFonts w:cstheme="minorHAnsi"/>
          <w:b/>
          <w:bCs/>
          <w:color w:val="2F5496" w:themeColor="accent1" w:themeShade="BF"/>
          <w:lang w:val="bs-Latn-BA"/>
        </w:rPr>
        <w:t>PfoR</w:t>
      </w:r>
      <w:proofErr w:type="spellEnd"/>
      <w:r w:rsidR="003B3A11" w:rsidRPr="00AE5B0E">
        <w:rPr>
          <w:rFonts w:cstheme="minorHAnsi"/>
          <w:b/>
          <w:bCs/>
          <w:color w:val="2F5496" w:themeColor="accent1" w:themeShade="BF"/>
          <w:lang w:val="bs-Latn-BA"/>
        </w:rPr>
        <w:t xml:space="preserve"> </w:t>
      </w:r>
      <w:proofErr w:type="spellStart"/>
      <w:r w:rsidR="003B3A11" w:rsidRPr="00AE5B0E">
        <w:rPr>
          <w:rFonts w:cstheme="minorHAnsi"/>
          <w:b/>
          <w:bCs/>
          <w:color w:val="2F5496" w:themeColor="accent1" w:themeShade="BF"/>
          <w:lang w:val="bs-Latn-BA"/>
        </w:rPr>
        <w:t>Improving</w:t>
      </w:r>
      <w:proofErr w:type="spellEnd"/>
      <w:r w:rsidR="003B3A11" w:rsidRPr="00AE5B0E">
        <w:rPr>
          <w:rFonts w:cstheme="minorHAnsi"/>
          <w:b/>
          <w:bCs/>
          <w:color w:val="2F5496" w:themeColor="accent1" w:themeShade="BF"/>
          <w:lang w:val="bs-Latn-BA"/>
        </w:rPr>
        <w:t xml:space="preserve"> </w:t>
      </w:r>
      <w:proofErr w:type="spellStart"/>
      <w:r w:rsidR="003B3A11" w:rsidRPr="00AE5B0E">
        <w:rPr>
          <w:rFonts w:cstheme="minorHAnsi"/>
          <w:b/>
          <w:bCs/>
          <w:color w:val="2F5496" w:themeColor="accent1" w:themeShade="BF"/>
          <w:lang w:val="bs-Latn-BA"/>
        </w:rPr>
        <w:t>Public</w:t>
      </w:r>
      <w:proofErr w:type="spellEnd"/>
      <w:r w:rsidR="003B3A11" w:rsidRPr="00AE5B0E">
        <w:rPr>
          <w:rFonts w:cstheme="minorHAnsi"/>
          <w:b/>
          <w:bCs/>
          <w:color w:val="2F5496" w:themeColor="accent1" w:themeShade="BF"/>
          <w:lang w:val="bs-Latn-BA"/>
        </w:rPr>
        <w:t xml:space="preserve"> Financial Management </w:t>
      </w:r>
      <w:proofErr w:type="spellStart"/>
      <w:r w:rsidR="003B3A11" w:rsidRPr="00AE5B0E">
        <w:rPr>
          <w:rFonts w:cstheme="minorHAnsi"/>
          <w:b/>
          <w:bCs/>
          <w:color w:val="2F5496" w:themeColor="accent1" w:themeShade="BF"/>
          <w:lang w:val="bs-Latn-BA"/>
        </w:rPr>
        <w:t>for</w:t>
      </w:r>
      <w:proofErr w:type="spellEnd"/>
      <w:r w:rsidR="003B3A11" w:rsidRPr="00AE5B0E">
        <w:rPr>
          <w:rFonts w:cstheme="minorHAnsi"/>
          <w:b/>
          <w:bCs/>
          <w:color w:val="2F5496" w:themeColor="accent1" w:themeShade="BF"/>
          <w:lang w:val="bs-Latn-BA"/>
        </w:rPr>
        <w:t xml:space="preserve"> </w:t>
      </w:r>
      <w:proofErr w:type="spellStart"/>
      <w:r w:rsidR="003B3A11" w:rsidRPr="00AE5B0E">
        <w:rPr>
          <w:rFonts w:cstheme="minorHAnsi"/>
          <w:b/>
          <w:bCs/>
          <w:color w:val="2F5496" w:themeColor="accent1" w:themeShade="BF"/>
          <w:lang w:val="bs-Latn-BA"/>
        </w:rPr>
        <w:t>the</w:t>
      </w:r>
      <w:proofErr w:type="spellEnd"/>
      <w:r w:rsidR="003B3A11" w:rsidRPr="00AE5B0E">
        <w:rPr>
          <w:rFonts w:cstheme="minorHAnsi"/>
          <w:b/>
          <w:bCs/>
          <w:color w:val="2F5496" w:themeColor="accent1" w:themeShade="BF"/>
          <w:lang w:val="bs-Latn-BA"/>
        </w:rPr>
        <w:t xml:space="preserve"> Green </w:t>
      </w:r>
      <w:proofErr w:type="spellStart"/>
      <w:r w:rsidR="003B3A11" w:rsidRPr="00AE5B0E">
        <w:rPr>
          <w:rFonts w:cstheme="minorHAnsi"/>
          <w:b/>
          <w:bCs/>
          <w:color w:val="2F5496" w:themeColor="accent1" w:themeShade="BF"/>
          <w:lang w:val="bs-Latn-BA"/>
        </w:rPr>
        <w:t>Transition</w:t>
      </w:r>
      <w:proofErr w:type="spellEnd"/>
    </w:p>
    <w:p w14:paraId="19181C5A" w14:textId="77777777" w:rsidR="0042670A" w:rsidRPr="00AE5B0E" w:rsidRDefault="0042670A" w:rsidP="0042670A">
      <w:pPr>
        <w:jc w:val="both"/>
        <w:rPr>
          <w:rFonts w:cstheme="minorHAnsi"/>
          <w:shd w:val="clear" w:color="auto" w:fill="FFFFFF"/>
        </w:rPr>
      </w:pPr>
      <w:r w:rsidRPr="00AE5B0E">
        <w:rPr>
          <w:rFonts w:cstheme="minorHAnsi"/>
          <w:shd w:val="clear" w:color="auto" w:fill="FFFFFF"/>
        </w:rPr>
        <w:t>The Bank is committed to supporting Borrowers in the development and implementation of projects that are environmentally and socially sustainable, and to enhancing the capacity of Borrowers</w:t>
      </w:r>
      <w:r w:rsidR="003B3A11" w:rsidRPr="00AE5B0E">
        <w:rPr>
          <w:rFonts w:cstheme="minorHAnsi"/>
          <w:shd w:val="clear" w:color="auto" w:fill="FFFFFF"/>
        </w:rPr>
        <w:t>'</w:t>
      </w:r>
      <w:r w:rsidRPr="00AE5B0E">
        <w:rPr>
          <w:rFonts w:cstheme="minorHAnsi"/>
          <w:shd w:val="clear" w:color="auto" w:fill="FFFFFF"/>
        </w:rPr>
        <w:t xml:space="preserve"> E&amp;S frameworks to assess and manage the E&amp;S risks and impacts of projects. To this end, the Bank has defined specific ESSs, which are designed to avoid, minimize, reduce or mitigate the adverse E&amp;S risks and impacts of projects. The projects supported by the Bank must comply with the ESSs. </w:t>
      </w:r>
      <w:r w:rsidRPr="00AE5B0E">
        <w:rPr>
          <w:rFonts w:cstheme="minorHAnsi"/>
          <w:shd w:val="clear" w:color="auto" w:fill="FFFFFF"/>
        </w:rPr>
        <w:fldChar w:fldCharType="begin"/>
      </w:r>
      <w:r w:rsidRPr="00AE5B0E">
        <w:rPr>
          <w:rFonts w:cstheme="minorHAnsi"/>
          <w:shd w:val="clear" w:color="auto" w:fill="FFFFFF"/>
        </w:rPr>
        <w:instrText xml:space="preserve"> REF _Ref50589685 \h  \* MERGEFORMAT </w:instrText>
      </w:r>
      <w:r w:rsidRPr="00AE5B0E">
        <w:rPr>
          <w:rFonts w:cstheme="minorHAnsi"/>
          <w:shd w:val="clear" w:color="auto" w:fill="FFFFFF"/>
        </w:rPr>
      </w:r>
      <w:r w:rsidRPr="00AE5B0E">
        <w:rPr>
          <w:rFonts w:cstheme="minorHAnsi"/>
          <w:shd w:val="clear" w:color="auto" w:fill="FFFFFF"/>
        </w:rPr>
        <w:fldChar w:fldCharType="separate"/>
      </w:r>
      <w:r w:rsidRPr="00AE5B0E">
        <w:rPr>
          <w:rFonts w:cstheme="minorHAnsi"/>
          <w:shd w:val="clear" w:color="auto" w:fill="FFFFFF"/>
        </w:rPr>
        <w:t>Table 3</w:t>
      </w:r>
      <w:r w:rsidRPr="00AE5B0E">
        <w:rPr>
          <w:rFonts w:cstheme="minorHAnsi"/>
          <w:shd w:val="clear" w:color="auto" w:fill="FFFFFF"/>
        </w:rPr>
        <w:fldChar w:fldCharType="end"/>
      </w:r>
      <w:r w:rsidRPr="00AE5B0E">
        <w:rPr>
          <w:rFonts w:cstheme="minorHAnsi"/>
          <w:shd w:val="clear" w:color="auto" w:fill="FFFFFF"/>
        </w:rPr>
        <w:t xml:space="preserve"> gives </w:t>
      </w:r>
      <w:r w:rsidR="003B3A11" w:rsidRPr="00AE5B0E">
        <w:rPr>
          <w:rFonts w:cstheme="minorHAnsi"/>
          <w:shd w:val="clear" w:color="auto" w:fill="FFFFFF"/>
        </w:rPr>
        <w:t xml:space="preserve">an </w:t>
      </w:r>
      <w:r w:rsidRPr="00AE5B0E">
        <w:rPr>
          <w:rFonts w:cstheme="minorHAnsi"/>
          <w:shd w:val="clear" w:color="auto" w:fill="FFFFFF"/>
        </w:rPr>
        <w:t xml:space="preserve">overview of the ESSs and their applicability to this project. </w:t>
      </w:r>
    </w:p>
    <w:p w14:paraId="4D04689C" w14:textId="77777777" w:rsidR="0042670A" w:rsidRPr="00AE5B0E" w:rsidRDefault="0042670A" w:rsidP="0042670A">
      <w:pPr>
        <w:spacing w:before="120" w:after="0"/>
        <w:ind w:left="851" w:hanging="851"/>
        <w:rPr>
          <w:rFonts w:eastAsia="Calibri" w:cstheme="minorHAnsi"/>
          <w:shd w:val="clear" w:color="auto" w:fill="FFFFFF"/>
        </w:rPr>
      </w:pPr>
    </w:p>
    <w:p w14:paraId="3D2E0030" w14:textId="77777777" w:rsidR="0042670A" w:rsidRPr="00AE5B0E" w:rsidRDefault="0042670A" w:rsidP="0042670A">
      <w:pPr>
        <w:pStyle w:val="Caption"/>
        <w:rPr>
          <w:rFonts w:asciiTheme="minorHAnsi" w:hAnsiTheme="minorHAnsi" w:cstheme="minorHAnsi"/>
          <w:b w:val="0"/>
          <w:bCs w:val="0"/>
          <w:sz w:val="22"/>
          <w:szCs w:val="22"/>
          <w:shd w:val="clear" w:color="auto" w:fill="FFFFFF"/>
          <w:lang w:val="en-US"/>
        </w:rPr>
      </w:pPr>
      <w:bookmarkStart w:id="1" w:name="_Ref50589685"/>
      <w:r w:rsidRPr="00AE5B0E">
        <w:rPr>
          <w:rFonts w:asciiTheme="minorHAnsi" w:hAnsiTheme="minorHAnsi" w:cstheme="minorHAnsi"/>
          <w:sz w:val="22"/>
          <w:szCs w:val="22"/>
          <w:lang w:val="en-US"/>
        </w:rPr>
        <w:lastRenderedPageBreak/>
        <w:t xml:space="preserve">Table </w:t>
      </w:r>
      <w:r w:rsidRPr="00AE5B0E">
        <w:rPr>
          <w:rFonts w:asciiTheme="minorHAnsi" w:hAnsiTheme="minorHAnsi" w:cstheme="minorHAnsi"/>
          <w:sz w:val="22"/>
          <w:szCs w:val="22"/>
          <w:lang w:val="en-US"/>
        </w:rPr>
        <w:fldChar w:fldCharType="begin"/>
      </w:r>
      <w:r w:rsidRPr="00AE5B0E">
        <w:rPr>
          <w:rFonts w:asciiTheme="minorHAnsi" w:hAnsiTheme="minorHAnsi" w:cstheme="minorHAnsi"/>
          <w:sz w:val="22"/>
          <w:szCs w:val="22"/>
          <w:lang w:val="en-US"/>
        </w:rPr>
        <w:instrText xml:space="preserve"> SEQ Table \* ARABIC </w:instrText>
      </w:r>
      <w:r w:rsidRPr="00AE5B0E">
        <w:rPr>
          <w:rFonts w:asciiTheme="minorHAnsi" w:hAnsiTheme="minorHAnsi" w:cstheme="minorHAnsi"/>
          <w:sz w:val="22"/>
          <w:szCs w:val="22"/>
          <w:lang w:val="en-US"/>
        </w:rPr>
        <w:fldChar w:fldCharType="separate"/>
      </w:r>
      <w:r w:rsidRPr="00AE5B0E">
        <w:rPr>
          <w:rFonts w:asciiTheme="minorHAnsi" w:hAnsiTheme="minorHAnsi" w:cstheme="minorHAnsi"/>
          <w:noProof/>
          <w:sz w:val="22"/>
          <w:szCs w:val="22"/>
          <w:lang w:val="en-US"/>
        </w:rPr>
        <w:t>3</w:t>
      </w:r>
      <w:r w:rsidRPr="00AE5B0E">
        <w:rPr>
          <w:rFonts w:asciiTheme="minorHAnsi" w:hAnsiTheme="minorHAnsi" w:cstheme="minorHAnsi"/>
          <w:sz w:val="22"/>
          <w:szCs w:val="22"/>
          <w:lang w:val="en-US"/>
        </w:rPr>
        <w:fldChar w:fldCharType="end"/>
      </w:r>
      <w:bookmarkEnd w:id="1"/>
      <w:r w:rsidRPr="00AE5B0E">
        <w:rPr>
          <w:rFonts w:asciiTheme="minorHAnsi" w:hAnsiTheme="minorHAnsi" w:cstheme="minorHAnsi"/>
          <w:sz w:val="22"/>
          <w:szCs w:val="22"/>
          <w:lang w:val="en-US"/>
        </w:rPr>
        <w:t xml:space="preserve">: </w:t>
      </w:r>
      <w:r w:rsidRPr="00AE5B0E">
        <w:rPr>
          <w:rFonts w:asciiTheme="minorHAnsi" w:hAnsiTheme="minorHAnsi" w:cstheme="minorHAnsi"/>
          <w:b w:val="0"/>
          <w:bCs w:val="0"/>
          <w:sz w:val="22"/>
          <w:szCs w:val="22"/>
          <w:lang w:val="en-US"/>
        </w:rPr>
        <w:t>ESSs relevant to the project</w:t>
      </w:r>
    </w:p>
    <w:tbl>
      <w:tblPr>
        <w:tblW w:w="4916" w:type="pct"/>
        <w:tblInd w:w="18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706"/>
        <w:gridCol w:w="6339"/>
        <w:gridCol w:w="2148"/>
      </w:tblGrid>
      <w:tr w:rsidR="00AE5B0E" w:rsidRPr="00AE5B0E" w14:paraId="49C4E9DF" w14:textId="77777777" w:rsidTr="00820C9B">
        <w:trPr>
          <w:trHeight w:val="499"/>
        </w:trPr>
        <w:tc>
          <w:tcPr>
            <w:tcW w:w="3814" w:type="pct"/>
            <w:gridSpan w:val="2"/>
            <w:shd w:val="clear" w:color="auto" w:fill="DBE5F1"/>
            <w:vAlign w:val="center"/>
          </w:tcPr>
          <w:p w14:paraId="28CA1146" w14:textId="77777777" w:rsidR="0042670A" w:rsidRPr="00AE5B0E" w:rsidRDefault="0042670A" w:rsidP="00A737AF">
            <w:pPr>
              <w:spacing w:after="60"/>
              <w:ind w:left="44"/>
              <w:rPr>
                <w:rFonts w:eastAsia="Calibri" w:cstheme="minorHAnsi"/>
              </w:rPr>
            </w:pPr>
            <w:r w:rsidRPr="00AE5B0E">
              <w:rPr>
                <w:rFonts w:eastAsia="Calibri" w:cstheme="minorHAnsi"/>
                <w:b/>
              </w:rPr>
              <w:t xml:space="preserve"> ESS</w:t>
            </w:r>
          </w:p>
        </w:tc>
        <w:tc>
          <w:tcPr>
            <w:tcW w:w="1186" w:type="pct"/>
            <w:shd w:val="clear" w:color="auto" w:fill="DBE5F1"/>
            <w:vAlign w:val="center"/>
          </w:tcPr>
          <w:p w14:paraId="6B056A1E" w14:textId="77777777" w:rsidR="0042670A" w:rsidRPr="00AE5B0E" w:rsidRDefault="0042670A" w:rsidP="00A737AF">
            <w:pPr>
              <w:spacing w:after="60"/>
              <w:ind w:left="44"/>
              <w:jc w:val="center"/>
              <w:rPr>
                <w:rFonts w:eastAsia="Calibri" w:cstheme="minorHAnsi"/>
                <w:b/>
              </w:rPr>
            </w:pPr>
            <w:r w:rsidRPr="00AE5B0E">
              <w:rPr>
                <w:rFonts w:eastAsia="Calibri" w:cstheme="minorHAnsi"/>
                <w:b/>
              </w:rPr>
              <w:t>Applicable to the project</w:t>
            </w:r>
          </w:p>
        </w:tc>
      </w:tr>
      <w:tr w:rsidR="00AE5B0E" w:rsidRPr="00AE5B0E" w14:paraId="3A632ED0" w14:textId="77777777" w:rsidTr="00820C9B">
        <w:trPr>
          <w:trHeight w:val="425"/>
        </w:trPr>
        <w:tc>
          <w:tcPr>
            <w:tcW w:w="348" w:type="pct"/>
            <w:shd w:val="clear" w:color="auto" w:fill="auto"/>
          </w:tcPr>
          <w:p w14:paraId="224CFC49" w14:textId="77777777" w:rsidR="0042670A" w:rsidRPr="00AE5B0E" w:rsidRDefault="0042670A" w:rsidP="00A737AF">
            <w:pPr>
              <w:spacing w:after="60"/>
              <w:rPr>
                <w:rFonts w:eastAsia="Calibri" w:cstheme="minorHAnsi"/>
              </w:rPr>
            </w:pPr>
            <w:r w:rsidRPr="00AE5B0E">
              <w:rPr>
                <w:rFonts w:eastAsia="Calibri" w:cstheme="minorHAnsi"/>
              </w:rPr>
              <w:t>ESS1</w:t>
            </w:r>
          </w:p>
        </w:tc>
        <w:tc>
          <w:tcPr>
            <w:tcW w:w="3466" w:type="pct"/>
            <w:shd w:val="clear" w:color="auto" w:fill="auto"/>
          </w:tcPr>
          <w:p w14:paraId="7E77420D" w14:textId="77777777" w:rsidR="0042670A" w:rsidRPr="00AE5B0E" w:rsidRDefault="0042670A" w:rsidP="00A737AF">
            <w:pPr>
              <w:spacing w:after="60"/>
              <w:rPr>
                <w:rFonts w:eastAsia="Calibri" w:cstheme="minorHAnsi"/>
              </w:rPr>
            </w:pPr>
            <w:r w:rsidRPr="00AE5B0E">
              <w:rPr>
                <w:rFonts w:eastAsia="Calibri" w:cstheme="minorHAnsi"/>
              </w:rPr>
              <w:t>Assessment and Management of Environmental and Social Risks and Impacts</w:t>
            </w:r>
          </w:p>
        </w:tc>
        <w:tc>
          <w:tcPr>
            <w:tcW w:w="1186" w:type="pct"/>
          </w:tcPr>
          <w:p w14:paraId="402DDC24"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r w:rsidR="00AE5B0E" w:rsidRPr="00AE5B0E" w14:paraId="651AA4BD" w14:textId="77777777" w:rsidTr="00820C9B">
        <w:trPr>
          <w:trHeight w:val="415"/>
        </w:trPr>
        <w:tc>
          <w:tcPr>
            <w:tcW w:w="348" w:type="pct"/>
            <w:shd w:val="clear" w:color="auto" w:fill="FBE4D5" w:themeFill="accent2" w:themeFillTint="33"/>
          </w:tcPr>
          <w:p w14:paraId="0A07C452" w14:textId="77777777" w:rsidR="0042670A" w:rsidRPr="00AE5B0E" w:rsidRDefault="0042670A" w:rsidP="00A737AF">
            <w:pPr>
              <w:spacing w:after="60"/>
              <w:rPr>
                <w:rFonts w:eastAsia="Calibri" w:cstheme="minorHAnsi"/>
              </w:rPr>
            </w:pPr>
            <w:r w:rsidRPr="00AE5B0E">
              <w:rPr>
                <w:rFonts w:eastAsia="Calibri" w:cstheme="minorHAnsi"/>
              </w:rPr>
              <w:t>ESS2</w:t>
            </w:r>
          </w:p>
        </w:tc>
        <w:tc>
          <w:tcPr>
            <w:tcW w:w="3466" w:type="pct"/>
            <w:shd w:val="clear" w:color="auto" w:fill="FBE4D5" w:themeFill="accent2" w:themeFillTint="33"/>
          </w:tcPr>
          <w:p w14:paraId="670340B3" w14:textId="77777777" w:rsidR="0042670A" w:rsidRPr="00AE5B0E" w:rsidRDefault="0042670A" w:rsidP="00A737AF">
            <w:pPr>
              <w:spacing w:after="60"/>
              <w:rPr>
                <w:rFonts w:eastAsia="Calibri" w:cstheme="minorHAnsi"/>
              </w:rPr>
            </w:pPr>
            <w:r w:rsidRPr="00AE5B0E">
              <w:rPr>
                <w:rFonts w:eastAsia="Calibri" w:cstheme="minorHAnsi"/>
              </w:rPr>
              <w:t>Labor and Working Conditions</w:t>
            </w:r>
          </w:p>
        </w:tc>
        <w:tc>
          <w:tcPr>
            <w:tcW w:w="1186" w:type="pct"/>
            <w:shd w:val="clear" w:color="auto" w:fill="FBE4D5" w:themeFill="accent2" w:themeFillTint="33"/>
          </w:tcPr>
          <w:p w14:paraId="02D5F4BD"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r w:rsidR="00AE5B0E" w:rsidRPr="00AE5B0E" w14:paraId="64A1B423" w14:textId="77777777" w:rsidTr="00820C9B">
        <w:trPr>
          <w:trHeight w:val="471"/>
        </w:trPr>
        <w:tc>
          <w:tcPr>
            <w:tcW w:w="348" w:type="pct"/>
            <w:shd w:val="clear" w:color="auto" w:fill="auto"/>
          </w:tcPr>
          <w:p w14:paraId="4A2EDBB3" w14:textId="77777777" w:rsidR="0042670A" w:rsidRPr="00AE5B0E" w:rsidRDefault="0042670A" w:rsidP="00A737AF">
            <w:pPr>
              <w:spacing w:after="60"/>
              <w:rPr>
                <w:rFonts w:eastAsia="Calibri" w:cstheme="minorHAnsi"/>
              </w:rPr>
            </w:pPr>
            <w:r w:rsidRPr="00AE5B0E">
              <w:rPr>
                <w:rFonts w:eastAsia="Calibri" w:cstheme="minorHAnsi"/>
              </w:rPr>
              <w:t>ESS3</w:t>
            </w:r>
          </w:p>
        </w:tc>
        <w:tc>
          <w:tcPr>
            <w:tcW w:w="3466" w:type="pct"/>
            <w:shd w:val="clear" w:color="auto" w:fill="auto"/>
          </w:tcPr>
          <w:p w14:paraId="02AF483C" w14:textId="77777777" w:rsidR="0042670A" w:rsidRPr="00AE5B0E" w:rsidRDefault="0042670A" w:rsidP="00A737AF">
            <w:pPr>
              <w:spacing w:after="60"/>
              <w:rPr>
                <w:rFonts w:eastAsia="Calibri" w:cstheme="minorHAnsi"/>
              </w:rPr>
            </w:pPr>
            <w:r w:rsidRPr="00AE5B0E">
              <w:rPr>
                <w:rFonts w:eastAsia="Calibri" w:cstheme="minorHAnsi"/>
              </w:rPr>
              <w:t>Resource Efficiency and Pollution Prevention and Management</w:t>
            </w:r>
          </w:p>
        </w:tc>
        <w:tc>
          <w:tcPr>
            <w:tcW w:w="1186" w:type="pct"/>
          </w:tcPr>
          <w:p w14:paraId="1972CFFC"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r w:rsidR="00AE5B0E" w:rsidRPr="00AE5B0E" w14:paraId="1ACE48AA" w14:textId="77777777" w:rsidTr="00820C9B">
        <w:trPr>
          <w:trHeight w:val="434"/>
        </w:trPr>
        <w:tc>
          <w:tcPr>
            <w:tcW w:w="348" w:type="pct"/>
            <w:shd w:val="clear" w:color="auto" w:fill="auto"/>
          </w:tcPr>
          <w:p w14:paraId="2A889F66" w14:textId="77777777" w:rsidR="0042670A" w:rsidRPr="00AE5B0E" w:rsidRDefault="0042670A" w:rsidP="00A737AF">
            <w:pPr>
              <w:spacing w:after="60"/>
              <w:rPr>
                <w:rFonts w:eastAsia="Calibri" w:cstheme="minorHAnsi"/>
              </w:rPr>
            </w:pPr>
            <w:r w:rsidRPr="00AE5B0E">
              <w:rPr>
                <w:rFonts w:eastAsia="Calibri" w:cstheme="minorHAnsi"/>
              </w:rPr>
              <w:t>ESS4</w:t>
            </w:r>
          </w:p>
        </w:tc>
        <w:tc>
          <w:tcPr>
            <w:tcW w:w="3466" w:type="pct"/>
            <w:shd w:val="clear" w:color="auto" w:fill="auto"/>
          </w:tcPr>
          <w:p w14:paraId="5657C91F" w14:textId="77777777" w:rsidR="0042670A" w:rsidRPr="00AE5B0E" w:rsidRDefault="0042670A" w:rsidP="00A737AF">
            <w:pPr>
              <w:spacing w:after="60"/>
              <w:rPr>
                <w:rFonts w:eastAsia="Calibri" w:cstheme="minorHAnsi"/>
              </w:rPr>
            </w:pPr>
            <w:r w:rsidRPr="00AE5B0E">
              <w:rPr>
                <w:rFonts w:eastAsia="Calibri" w:cstheme="minorHAnsi"/>
              </w:rPr>
              <w:t>Community Health and Safety</w:t>
            </w:r>
          </w:p>
        </w:tc>
        <w:tc>
          <w:tcPr>
            <w:tcW w:w="1186" w:type="pct"/>
          </w:tcPr>
          <w:p w14:paraId="00CB8587" w14:textId="77777777" w:rsidR="0042670A" w:rsidRPr="00AE5B0E" w:rsidRDefault="006873F2" w:rsidP="00A737AF">
            <w:pPr>
              <w:spacing w:after="60"/>
              <w:jc w:val="center"/>
              <w:rPr>
                <w:rFonts w:eastAsia="Calibri" w:cstheme="minorHAnsi"/>
              </w:rPr>
            </w:pPr>
            <w:r w:rsidRPr="00AE5B0E">
              <w:rPr>
                <w:rFonts w:eastAsia="Calibri" w:cstheme="minorHAnsi"/>
              </w:rPr>
              <w:t>No</w:t>
            </w:r>
          </w:p>
        </w:tc>
      </w:tr>
      <w:tr w:rsidR="00AE5B0E" w:rsidRPr="00AE5B0E" w14:paraId="71481E51" w14:textId="77777777" w:rsidTr="00820C9B">
        <w:trPr>
          <w:trHeight w:val="480"/>
        </w:trPr>
        <w:tc>
          <w:tcPr>
            <w:tcW w:w="348" w:type="pct"/>
            <w:shd w:val="clear" w:color="auto" w:fill="auto"/>
          </w:tcPr>
          <w:p w14:paraId="76C65335" w14:textId="77777777" w:rsidR="0042670A" w:rsidRPr="00AE5B0E" w:rsidRDefault="0042670A" w:rsidP="00A737AF">
            <w:pPr>
              <w:spacing w:after="60"/>
              <w:rPr>
                <w:rFonts w:eastAsia="Calibri" w:cstheme="minorHAnsi"/>
              </w:rPr>
            </w:pPr>
            <w:r w:rsidRPr="00AE5B0E">
              <w:rPr>
                <w:rFonts w:eastAsia="Calibri" w:cstheme="minorHAnsi"/>
              </w:rPr>
              <w:t>ESS5</w:t>
            </w:r>
          </w:p>
        </w:tc>
        <w:tc>
          <w:tcPr>
            <w:tcW w:w="3466" w:type="pct"/>
            <w:shd w:val="clear" w:color="auto" w:fill="auto"/>
          </w:tcPr>
          <w:p w14:paraId="31731F77" w14:textId="77777777" w:rsidR="0042670A" w:rsidRPr="00AE5B0E" w:rsidRDefault="0042670A" w:rsidP="00A737AF">
            <w:pPr>
              <w:spacing w:after="60"/>
              <w:rPr>
                <w:rFonts w:eastAsia="Calibri" w:cstheme="minorHAnsi"/>
              </w:rPr>
            </w:pPr>
            <w:r w:rsidRPr="00AE5B0E">
              <w:rPr>
                <w:rFonts w:eastAsia="Calibri" w:cstheme="minorHAnsi"/>
              </w:rPr>
              <w:t>Land Acquisition, Restrictions on Land Use and Involuntary Resettlement</w:t>
            </w:r>
          </w:p>
        </w:tc>
        <w:tc>
          <w:tcPr>
            <w:tcW w:w="1186" w:type="pct"/>
          </w:tcPr>
          <w:p w14:paraId="288AD633"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43AF583C" w14:textId="77777777" w:rsidTr="00820C9B">
        <w:trPr>
          <w:trHeight w:val="453"/>
        </w:trPr>
        <w:tc>
          <w:tcPr>
            <w:tcW w:w="348" w:type="pct"/>
            <w:shd w:val="clear" w:color="auto" w:fill="auto"/>
          </w:tcPr>
          <w:p w14:paraId="76C007AD" w14:textId="77777777" w:rsidR="0042670A" w:rsidRPr="00AE5B0E" w:rsidRDefault="0042670A" w:rsidP="00A737AF">
            <w:pPr>
              <w:spacing w:after="60"/>
              <w:rPr>
                <w:rFonts w:eastAsia="Calibri" w:cstheme="minorHAnsi"/>
              </w:rPr>
            </w:pPr>
            <w:r w:rsidRPr="00AE5B0E">
              <w:rPr>
                <w:rFonts w:eastAsia="Calibri" w:cstheme="minorHAnsi"/>
              </w:rPr>
              <w:t>ESS6</w:t>
            </w:r>
          </w:p>
        </w:tc>
        <w:tc>
          <w:tcPr>
            <w:tcW w:w="3466" w:type="pct"/>
            <w:shd w:val="clear" w:color="auto" w:fill="auto"/>
          </w:tcPr>
          <w:p w14:paraId="3FF37A99" w14:textId="77777777" w:rsidR="0042670A" w:rsidRPr="00AE5B0E" w:rsidRDefault="0042670A" w:rsidP="00A737AF">
            <w:pPr>
              <w:spacing w:after="60"/>
              <w:rPr>
                <w:rFonts w:eastAsia="Calibri" w:cstheme="minorHAnsi"/>
              </w:rPr>
            </w:pPr>
            <w:r w:rsidRPr="00AE5B0E">
              <w:rPr>
                <w:rFonts w:eastAsia="Calibri" w:cstheme="minorHAnsi"/>
              </w:rPr>
              <w:t>Biodiversity Conservation and Sustainable Management of Living Natural Resources</w:t>
            </w:r>
          </w:p>
        </w:tc>
        <w:tc>
          <w:tcPr>
            <w:tcW w:w="1186" w:type="pct"/>
          </w:tcPr>
          <w:p w14:paraId="7AB31812"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180D19C0" w14:textId="77777777" w:rsidTr="00820C9B">
        <w:trPr>
          <w:trHeight w:val="443"/>
        </w:trPr>
        <w:tc>
          <w:tcPr>
            <w:tcW w:w="348" w:type="pct"/>
            <w:shd w:val="clear" w:color="auto" w:fill="auto"/>
          </w:tcPr>
          <w:p w14:paraId="38D8CCA4" w14:textId="77777777" w:rsidR="0042670A" w:rsidRPr="00AE5B0E" w:rsidRDefault="0042670A" w:rsidP="00A737AF">
            <w:pPr>
              <w:spacing w:after="60"/>
              <w:rPr>
                <w:rFonts w:eastAsia="Calibri" w:cstheme="minorHAnsi"/>
              </w:rPr>
            </w:pPr>
            <w:r w:rsidRPr="00AE5B0E">
              <w:rPr>
                <w:rFonts w:eastAsia="Calibri" w:cstheme="minorHAnsi"/>
              </w:rPr>
              <w:t>ESS7</w:t>
            </w:r>
          </w:p>
        </w:tc>
        <w:tc>
          <w:tcPr>
            <w:tcW w:w="3466" w:type="pct"/>
            <w:shd w:val="clear" w:color="auto" w:fill="auto"/>
          </w:tcPr>
          <w:p w14:paraId="702F770F" w14:textId="77777777" w:rsidR="0042670A" w:rsidRPr="00AE5B0E" w:rsidRDefault="0042670A" w:rsidP="00A737AF">
            <w:pPr>
              <w:spacing w:after="60"/>
              <w:rPr>
                <w:rFonts w:eastAsia="Calibri" w:cstheme="minorHAnsi"/>
              </w:rPr>
            </w:pPr>
            <w:r w:rsidRPr="00AE5B0E">
              <w:rPr>
                <w:rFonts w:eastAsia="Calibri" w:cstheme="minorHAnsi"/>
              </w:rPr>
              <w:t>Indigenous People</w:t>
            </w:r>
          </w:p>
        </w:tc>
        <w:tc>
          <w:tcPr>
            <w:tcW w:w="1186" w:type="pct"/>
          </w:tcPr>
          <w:p w14:paraId="67F75F3A"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47A5539" w14:textId="77777777" w:rsidTr="00820C9B">
        <w:trPr>
          <w:trHeight w:val="490"/>
        </w:trPr>
        <w:tc>
          <w:tcPr>
            <w:tcW w:w="348" w:type="pct"/>
            <w:shd w:val="clear" w:color="auto" w:fill="auto"/>
          </w:tcPr>
          <w:p w14:paraId="49A1A0E2" w14:textId="77777777" w:rsidR="0042670A" w:rsidRPr="00AE5B0E" w:rsidRDefault="0042670A" w:rsidP="00A737AF">
            <w:pPr>
              <w:spacing w:after="60"/>
              <w:rPr>
                <w:rFonts w:eastAsia="Calibri" w:cstheme="minorHAnsi"/>
              </w:rPr>
            </w:pPr>
            <w:r w:rsidRPr="00AE5B0E">
              <w:rPr>
                <w:rFonts w:eastAsia="Calibri" w:cstheme="minorHAnsi"/>
              </w:rPr>
              <w:t>ESS8</w:t>
            </w:r>
          </w:p>
        </w:tc>
        <w:tc>
          <w:tcPr>
            <w:tcW w:w="3466" w:type="pct"/>
            <w:shd w:val="clear" w:color="auto" w:fill="auto"/>
          </w:tcPr>
          <w:p w14:paraId="58A5D88A" w14:textId="77777777" w:rsidR="0042670A" w:rsidRPr="00AE5B0E" w:rsidRDefault="0042670A" w:rsidP="00A737AF">
            <w:pPr>
              <w:spacing w:after="60"/>
              <w:rPr>
                <w:rFonts w:eastAsia="Calibri" w:cstheme="minorHAnsi"/>
              </w:rPr>
            </w:pPr>
            <w:r w:rsidRPr="00AE5B0E">
              <w:rPr>
                <w:rFonts w:eastAsia="Calibri" w:cstheme="minorHAnsi"/>
              </w:rPr>
              <w:t>Cultural Heritage</w:t>
            </w:r>
          </w:p>
        </w:tc>
        <w:tc>
          <w:tcPr>
            <w:tcW w:w="1186" w:type="pct"/>
          </w:tcPr>
          <w:p w14:paraId="6D710930"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BA0404C" w14:textId="77777777" w:rsidTr="00820C9B">
        <w:trPr>
          <w:trHeight w:val="453"/>
        </w:trPr>
        <w:tc>
          <w:tcPr>
            <w:tcW w:w="348" w:type="pct"/>
            <w:shd w:val="clear" w:color="auto" w:fill="auto"/>
          </w:tcPr>
          <w:p w14:paraId="04243D02" w14:textId="77777777" w:rsidR="0042670A" w:rsidRPr="00AE5B0E" w:rsidRDefault="0042670A" w:rsidP="00A737AF">
            <w:pPr>
              <w:spacing w:after="60"/>
              <w:rPr>
                <w:rFonts w:eastAsia="Calibri" w:cstheme="minorHAnsi"/>
              </w:rPr>
            </w:pPr>
            <w:r w:rsidRPr="00AE5B0E">
              <w:rPr>
                <w:rFonts w:eastAsia="Calibri" w:cstheme="minorHAnsi"/>
              </w:rPr>
              <w:t>ESS9</w:t>
            </w:r>
          </w:p>
        </w:tc>
        <w:tc>
          <w:tcPr>
            <w:tcW w:w="3466" w:type="pct"/>
            <w:shd w:val="clear" w:color="auto" w:fill="auto"/>
          </w:tcPr>
          <w:p w14:paraId="7D452C45" w14:textId="77777777" w:rsidR="0042670A" w:rsidRPr="00AE5B0E" w:rsidRDefault="0042670A" w:rsidP="00A737AF">
            <w:pPr>
              <w:spacing w:after="60"/>
              <w:rPr>
                <w:rFonts w:eastAsia="Calibri" w:cstheme="minorHAnsi"/>
              </w:rPr>
            </w:pPr>
            <w:r w:rsidRPr="00AE5B0E">
              <w:rPr>
                <w:rFonts w:eastAsia="Calibri" w:cstheme="minorHAnsi"/>
              </w:rPr>
              <w:t xml:space="preserve">Financial Intermediaries </w:t>
            </w:r>
          </w:p>
        </w:tc>
        <w:tc>
          <w:tcPr>
            <w:tcW w:w="1186" w:type="pct"/>
          </w:tcPr>
          <w:p w14:paraId="61C05C42" w14:textId="77777777" w:rsidR="0042670A" w:rsidRPr="00AE5B0E" w:rsidRDefault="0042670A" w:rsidP="00A737AF">
            <w:pPr>
              <w:spacing w:after="60"/>
              <w:jc w:val="center"/>
              <w:rPr>
                <w:rFonts w:eastAsia="Calibri" w:cstheme="minorHAnsi"/>
              </w:rPr>
            </w:pPr>
            <w:r w:rsidRPr="00AE5B0E">
              <w:rPr>
                <w:rFonts w:eastAsia="Calibri" w:cstheme="minorHAnsi"/>
              </w:rPr>
              <w:t>No</w:t>
            </w:r>
          </w:p>
        </w:tc>
      </w:tr>
      <w:tr w:rsidR="00AE5B0E" w:rsidRPr="00AE5B0E" w14:paraId="2E05EC07" w14:textId="77777777" w:rsidTr="00820C9B">
        <w:trPr>
          <w:trHeight w:val="499"/>
        </w:trPr>
        <w:tc>
          <w:tcPr>
            <w:tcW w:w="348" w:type="pct"/>
            <w:shd w:val="clear" w:color="auto" w:fill="FBE4D5" w:themeFill="accent2" w:themeFillTint="33"/>
          </w:tcPr>
          <w:p w14:paraId="3DCF61CD" w14:textId="77777777" w:rsidR="0042670A" w:rsidRPr="00AE5B0E" w:rsidRDefault="0042670A" w:rsidP="00A737AF">
            <w:pPr>
              <w:spacing w:after="60"/>
              <w:rPr>
                <w:rFonts w:eastAsia="Calibri" w:cstheme="minorHAnsi"/>
              </w:rPr>
            </w:pPr>
            <w:r w:rsidRPr="00AE5B0E">
              <w:rPr>
                <w:rFonts w:eastAsia="Calibri" w:cstheme="minorHAnsi"/>
              </w:rPr>
              <w:t>ESS10</w:t>
            </w:r>
          </w:p>
        </w:tc>
        <w:tc>
          <w:tcPr>
            <w:tcW w:w="3466" w:type="pct"/>
            <w:shd w:val="clear" w:color="auto" w:fill="FBE4D5" w:themeFill="accent2" w:themeFillTint="33"/>
          </w:tcPr>
          <w:p w14:paraId="57E7C62B" w14:textId="77777777" w:rsidR="0042670A" w:rsidRPr="00AE5B0E" w:rsidRDefault="0042670A" w:rsidP="00A737AF">
            <w:pPr>
              <w:spacing w:after="60"/>
              <w:rPr>
                <w:rFonts w:eastAsia="Calibri" w:cstheme="minorHAnsi"/>
              </w:rPr>
            </w:pPr>
            <w:r w:rsidRPr="00AE5B0E">
              <w:rPr>
                <w:rFonts w:eastAsia="Calibri" w:cstheme="minorHAnsi"/>
              </w:rPr>
              <w:t>Stakeholder Engagement and Information Disclosure</w:t>
            </w:r>
          </w:p>
        </w:tc>
        <w:tc>
          <w:tcPr>
            <w:tcW w:w="1186" w:type="pct"/>
            <w:shd w:val="clear" w:color="auto" w:fill="FBE4D5" w:themeFill="accent2" w:themeFillTint="33"/>
          </w:tcPr>
          <w:p w14:paraId="71AA5182" w14:textId="77777777" w:rsidR="0042670A" w:rsidRPr="00AE5B0E" w:rsidRDefault="0042670A" w:rsidP="00A737AF">
            <w:pPr>
              <w:spacing w:after="60"/>
              <w:jc w:val="center"/>
              <w:rPr>
                <w:rFonts w:eastAsia="Calibri" w:cstheme="minorHAnsi"/>
              </w:rPr>
            </w:pPr>
            <w:r w:rsidRPr="00AE5B0E">
              <w:rPr>
                <w:rFonts w:eastAsia="Calibri" w:cstheme="minorHAnsi"/>
              </w:rPr>
              <w:t>Yes</w:t>
            </w:r>
          </w:p>
        </w:tc>
      </w:tr>
    </w:tbl>
    <w:p w14:paraId="343C8F80" w14:textId="77777777" w:rsidR="0042670A" w:rsidRPr="00AE5B0E" w:rsidRDefault="0042670A" w:rsidP="0042670A">
      <w:pPr>
        <w:jc w:val="both"/>
        <w:rPr>
          <w:rFonts w:cstheme="minorHAnsi"/>
          <w:shd w:val="clear" w:color="auto" w:fill="FFFFFF"/>
        </w:rPr>
      </w:pPr>
    </w:p>
    <w:p w14:paraId="1259FBDE" w14:textId="77777777" w:rsidR="0042670A" w:rsidRPr="00AE5B0E" w:rsidRDefault="0042670A" w:rsidP="0042670A">
      <w:pPr>
        <w:jc w:val="both"/>
        <w:rPr>
          <w:rFonts w:cstheme="minorHAnsi"/>
          <w:shd w:val="clear" w:color="auto" w:fill="FFFFFF"/>
        </w:rPr>
      </w:pPr>
      <w:r w:rsidRPr="00AE5B0E">
        <w:rPr>
          <w:rFonts w:cstheme="minorHAnsi"/>
          <w:shd w:val="clear" w:color="auto" w:fill="FFFFFF"/>
        </w:rPr>
        <w:t>These ESSs are accompanied by non-binding Guidelines, Best Practice Notes, Templates and Checklists</w:t>
      </w:r>
      <w:r w:rsidRPr="00AE5B0E">
        <w:rPr>
          <w:rFonts w:cstheme="minorHAnsi"/>
          <w:shd w:val="clear" w:color="auto" w:fill="FFFFFF"/>
        </w:rPr>
        <w:footnoteReference w:id="1"/>
      </w:r>
      <w:r w:rsidRPr="00AE5B0E">
        <w:rPr>
          <w:rFonts w:cstheme="minorHAnsi"/>
          <w:shd w:val="clear" w:color="auto" w:fill="FFFFFF"/>
        </w:rPr>
        <w:t xml:space="preserve"> (Please refer to the section on the World Bank Group Environmental, Health and Safety Guidelines). </w:t>
      </w:r>
    </w:p>
    <w:p w14:paraId="21202960" w14:textId="7BBD8D89" w:rsidR="00427EC9" w:rsidRPr="00AE5B0E" w:rsidRDefault="00D97B39" w:rsidP="00427EC9">
      <w:pPr>
        <w:jc w:val="both"/>
        <w:rPr>
          <w:rFonts w:cstheme="minorHAnsi"/>
          <w:shd w:val="clear" w:color="auto" w:fill="FFFFFF"/>
        </w:rPr>
      </w:pPr>
      <w:r w:rsidRPr="00AE5B0E">
        <w:rPr>
          <w:rFonts w:cstheme="minorHAnsi"/>
          <w:shd w:val="clear" w:color="auto" w:fill="FFFFFF"/>
        </w:rPr>
        <w:t>The m</w:t>
      </w:r>
      <w:r w:rsidR="000E5E7A" w:rsidRPr="00AE5B0E">
        <w:rPr>
          <w:rFonts w:cstheme="minorHAnsi"/>
          <w:shd w:val="clear" w:color="auto" w:fill="FFFFFF"/>
        </w:rPr>
        <w:t>ain</w:t>
      </w:r>
      <w:r w:rsidR="00846130" w:rsidRPr="00AE5B0E">
        <w:rPr>
          <w:rFonts w:cstheme="minorHAnsi"/>
          <w:shd w:val="clear" w:color="auto" w:fill="FFFFFF"/>
        </w:rPr>
        <w:t xml:space="preserve"> provisions o</w:t>
      </w:r>
      <w:r w:rsidR="00D54B61" w:rsidRPr="00AE5B0E">
        <w:rPr>
          <w:rFonts w:cstheme="minorHAnsi"/>
          <w:shd w:val="clear" w:color="auto" w:fill="FFFFFF"/>
        </w:rPr>
        <w:t>f</w:t>
      </w:r>
      <w:r w:rsidR="00846130" w:rsidRPr="00AE5B0E">
        <w:rPr>
          <w:rFonts w:cstheme="minorHAnsi"/>
          <w:shd w:val="clear" w:color="auto" w:fill="FFFFFF"/>
        </w:rPr>
        <w:t xml:space="preserve"> ESS10 and ESS</w:t>
      </w:r>
      <w:r w:rsidR="00AE5B0E" w:rsidRPr="00AE5B0E">
        <w:rPr>
          <w:rFonts w:cstheme="minorHAnsi"/>
          <w:shd w:val="clear" w:color="auto" w:fill="FFFFFF"/>
        </w:rPr>
        <w:t>2 are</w:t>
      </w:r>
      <w:r w:rsidR="0042670A" w:rsidRPr="00AE5B0E">
        <w:rPr>
          <w:rFonts w:cstheme="minorHAnsi"/>
          <w:shd w:val="clear" w:color="auto" w:fill="FFFFFF"/>
        </w:rPr>
        <w:t xml:space="preserve"> described in more detail below. </w:t>
      </w:r>
    </w:p>
    <w:bookmarkEnd w:id="0"/>
    <w:p w14:paraId="69E0046A" w14:textId="77777777" w:rsidR="00F522CA" w:rsidRPr="00AE5B0E" w:rsidRDefault="00427EC9" w:rsidP="00EF6E6B">
      <w:pPr>
        <w:jc w:val="center"/>
        <w:rPr>
          <w:rFonts w:cstheme="minorHAnsi"/>
          <w:shd w:val="clear" w:color="auto" w:fill="FFFFFF"/>
        </w:rPr>
      </w:pPr>
      <w:r w:rsidRPr="00AE5B0E">
        <w:rPr>
          <w:rFonts w:cstheme="minorHAnsi"/>
          <w:b/>
          <w:bCs/>
          <w:u w:val="single"/>
          <w:shd w:val="clear" w:color="auto" w:fill="FFFFFF"/>
        </w:rPr>
        <w:t>Environmental and Social Standard 10 – Stakeholder Engagement and Information Disclosure</w:t>
      </w:r>
    </w:p>
    <w:p w14:paraId="52164DB8" w14:textId="77777777" w:rsidR="00427EC9" w:rsidRPr="00AE5B0E" w:rsidRDefault="00F522CA" w:rsidP="00427EC9">
      <w:pPr>
        <w:jc w:val="both"/>
        <w:rPr>
          <w:rFonts w:cstheme="minorHAnsi"/>
          <w:shd w:val="clear" w:color="auto" w:fill="FFFFFF"/>
        </w:rPr>
      </w:pPr>
      <w:r w:rsidRPr="00AE5B0E">
        <w:rPr>
          <w:rFonts w:cstheme="minorHAnsi"/>
          <w:shd w:val="clear" w:color="auto" w:fill="FFFFFF"/>
        </w:rPr>
        <w:t xml:space="preserve">This standard </w:t>
      </w:r>
      <w:r w:rsidR="00427EC9" w:rsidRPr="00AE5B0E">
        <w:rPr>
          <w:rFonts w:cstheme="minorHAnsi"/>
          <w:shd w:val="clear" w:color="auto" w:fill="FFFFFF"/>
        </w:rPr>
        <w:t xml:space="preserve">recognizes the importance of open and transparent </w:t>
      </w:r>
      <w:r w:rsidR="004C0E0A" w:rsidRPr="00AE5B0E">
        <w:rPr>
          <w:rFonts w:cstheme="minorHAnsi"/>
          <w:shd w:val="clear" w:color="auto" w:fill="FFFFFF"/>
        </w:rPr>
        <w:t xml:space="preserve">communication </w:t>
      </w:r>
      <w:r w:rsidR="00427EC9" w:rsidRPr="00AE5B0E">
        <w:rPr>
          <w:rFonts w:cstheme="minorHAnsi"/>
          <w:shd w:val="clear" w:color="auto" w:fill="FFFFFF"/>
        </w:rPr>
        <w:t xml:space="preserve">between the Borrower and project stakeholders as an essential element of good international practice. </w:t>
      </w:r>
      <w:r w:rsidR="0079403E" w:rsidRPr="00AE5B0E">
        <w:rPr>
          <w:rFonts w:cstheme="minorHAnsi"/>
          <w:shd w:val="clear" w:color="auto" w:fill="FFFFFF"/>
        </w:rPr>
        <w:t>St</w:t>
      </w:r>
      <w:r w:rsidR="00427EC9" w:rsidRPr="00AE5B0E">
        <w:rPr>
          <w:rFonts w:cstheme="minorHAnsi"/>
          <w:shd w:val="clear" w:color="auto" w:fill="FFFFFF"/>
        </w:rPr>
        <w:t xml:space="preserve">akeholder engagement can improve the environmental and social sustainability of projects, enhance project acceptance, and make a significant contribution to successful project design and implementation. </w:t>
      </w:r>
    </w:p>
    <w:p w14:paraId="3CB0654F" w14:textId="77777777" w:rsidR="00427EC9" w:rsidRPr="00AE5B0E" w:rsidRDefault="00427EC9" w:rsidP="00427EC9">
      <w:pPr>
        <w:jc w:val="both"/>
        <w:rPr>
          <w:rFonts w:cstheme="minorHAnsi"/>
          <w:shd w:val="clear" w:color="auto" w:fill="FFFFFF"/>
        </w:rPr>
      </w:pPr>
      <w:r w:rsidRPr="00AE5B0E">
        <w:rPr>
          <w:rFonts w:cstheme="minorHAnsi"/>
          <w:shd w:val="clear" w:color="auto" w:fill="FFFFFF"/>
        </w:rPr>
        <w:t xml:space="preserve">ESS10 objectives are the following: </w:t>
      </w:r>
    </w:p>
    <w:p w14:paraId="562B5CE4" w14:textId="77777777"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lastRenderedPageBreak/>
        <w:t xml:space="preserve">To establish a systematic approach </w:t>
      </w:r>
      <w:r w:rsidR="00EE62D7" w:rsidRPr="00AE5B0E">
        <w:rPr>
          <w:rFonts w:asciiTheme="minorHAnsi" w:hAnsiTheme="minorHAnsi" w:cstheme="minorHAnsi"/>
          <w:szCs w:val="22"/>
          <w:shd w:val="clear" w:color="auto" w:fill="FFFFFF"/>
          <w:lang w:val="en-US"/>
        </w:rPr>
        <w:t>in</w:t>
      </w:r>
      <w:r w:rsidRPr="00AE5B0E">
        <w:rPr>
          <w:rFonts w:asciiTheme="minorHAnsi" w:hAnsiTheme="minorHAnsi" w:cstheme="minorHAnsi"/>
          <w:szCs w:val="22"/>
          <w:shd w:val="clear" w:color="auto" w:fill="FFFFFF"/>
        </w:rPr>
        <w:t xml:space="preserve"> </w:t>
      </w:r>
      <w:r w:rsidR="002729B7" w:rsidRPr="00AE5B0E">
        <w:rPr>
          <w:rFonts w:asciiTheme="minorHAnsi" w:hAnsiTheme="minorHAnsi" w:cstheme="minorHAnsi"/>
          <w:szCs w:val="22"/>
          <w:shd w:val="clear" w:color="auto" w:fill="FFFFFF"/>
        </w:rPr>
        <w:t xml:space="preserve">the </w:t>
      </w:r>
      <w:r w:rsidRPr="00AE5B0E">
        <w:rPr>
          <w:rFonts w:asciiTheme="minorHAnsi" w:hAnsiTheme="minorHAnsi" w:cstheme="minorHAnsi"/>
          <w:szCs w:val="22"/>
          <w:shd w:val="clear" w:color="auto" w:fill="FFFFFF"/>
        </w:rPr>
        <w:t>engagement</w:t>
      </w:r>
      <w:r w:rsidR="00EE62D7" w:rsidRPr="00AE5B0E">
        <w:rPr>
          <w:rFonts w:asciiTheme="minorHAnsi" w:hAnsiTheme="minorHAnsi" w:cstheme="minorHAnsi"/>
          <w:szCs w:val="22"/>
          <w:shd w:val="clear" w:color="auto" w:fill="FFFFFF"/>
          <w:lang w:val="en-US"/>
        </w:rPr>
        <w:t xml:space="preserve"> of </w:t>
      </w:r>
      <w:r w:rsidR="00FD655D" w:rsidRPr="00AE5B0E">
        <w:rPr>
          <w:rFonts w:asciiTheme="minorHAnsi" w:hAnsiTheme="minorHAnsi" w:cstheme="minorHAnsi"/>
          <w:szCs w:val="22"/>
          <w:shd w:val="clear" w:color="auto" w:fill="FFFFFF"/>
          <w:lang w:val="en-US"/>
        </w:rPr>
        <w:t>project</w:t>
      </w:r>
      <w:r w:rsidR="00EE62D7" w:rsidRPr="00AE5B0E">
        <w:rPr>
          <w:rFonts w:asciiTheme="minorHAnsi" w:hAnsiTheme="minorHAnsi" w:cstheme="minorHAnsi"/>
          <w:szCs w:val="22"/>
          <w:shd w:val="clear" w:color="auto" w:fill="FFFFFF"/>
          <w:lang w:val="en-US"/>
        </w:rPr>
        <w:t xml:space="preserve"> stakeholders</w:t>
      </w:r>
      <w:r w:rsidRPr="00AE5B0E">
        <w:rPr>
          <w:rFonts w:asciiTheme="minorHAnsi" w:hAnsiTheme="minorHAnsi" w:cstheme="minorHAnsi"/>
          <w:szCs w:val="22"/>
          <w:shd w:val="clear" w:color="auto" w:fill="FFFFFF"/>
        </w:rPr>
        <w:t xml:space="preserve"> that will help </w:t>
      </w:r>
      <w:r w:rsidR="002729B7" w:rsidRPr="00AE5B0E">
        <w:rPr>
          <w:rFonts w:asciiTheme="minorHAnsi" w:hAnsiTheme="minorHAnsi" w:cstheme="minorHAnsi"/>
          <w:szCs w:val="22"/>
          <w:shd w:val="clear" w:color="auto" w:fill="FFFFFF"/>
        </w:rPr>
        <w:t xml:space="preserve">the </w:t>
      </w:r>
      <w:r w:rsidRPr="00AE5B0E">
        <w:rPr>
          <w:rFonts w:asciiTheme="minorHAnsi" w:hAnsiTheme="minorHAnsi" w:cstheme="minorHAnsi"/>
          <w:szCs w:val="22"/>
          <w:shd w:val="clear" w:color="auto" w:fill="FFFFFF"/>
        </w:rPr>
        <w:t>Borrower</w:t>
      </w:r>
      <w:r w:rsidR="00FD655D" w:rsidRPr="00AE5B0E">
        <w:rPr>
          <w:rFonts w:asciiTheme="minorHAnsi" w:hAnsiTheme="minorHAnsi" w:cstheme="minorHAnsi"/>
          <w:szCs w:val="22"/>
          <w:shd w:val="clear" w:color="auto" w:fill="FFFFFF"/>
          <w:lang w:val="en-US"/>
        </w:rPr>
        <w:t xml:space="preserve"> </w:t>
      </w:r>
      <w:r w:rsidR="00F83BC4" w:rsidRPr="00AE5B0E">
        <w:rPr>
          <w:rFonts w:asciiTheme="minorHAnsi" w:hAnsiTheme="minorHAnsi" w:cstheme="minorHAnsi"/>
          <w:szCs w:val="22"/>
          <w:shd w:val="clear" w:color="auto" w:fill="FFFFFF"/>
          <w:lang w:val="en-US"/>
        </w:rPr>
        <w:t>not only to</w:t>
      </w:r>
      <w:r w:rsidRPr="00AE5B0E">
        <w:rPr>
          <w:rFonts w:asciiTheme="minorHAnsi" w:hAnsiTheme="minorHAnsi" w:cstheme="minorHAnsi"/>
          <w:szCs w:val="22"/>
          <w:shd w:val="clear" w:color="auto" w:fill="FFFFFF"/>
        </w:rPr>
        <w:t xml:space="preserve"> identify stakeholders</w:t>
      </w:r>
      <w:r w:rsidR="00F83BC4" w:rsidRPr="00AE5B0E">
        <w:rPr>
          <w:rFonts w:asciiTheme="minorHAnsi" w:hAnsiTheme="minorHAnsi" w:cstheme="minorHAnsi"/>
          <w:szCs w:val="22"/>
          <w:shd w:val="clear" w:color="auto" w:fill="FFFFFF"/>
          <w:lang w:val="en-US"/>
        </w:rPr>
        <w:t xml:space="preserve"> but also to </w:t>
      </w:r>
      <w:r w:rsidRPr="00AE5B0E">
        <w:rPr>
          <w:rFonts w:asciiTheme="minorHAnsi" w:hAnsiTheme="minorHAnsi" w:cstheme="minorHAnsi"/>
          <w:szCs w:val="22"/>
          <w:shd w:val="clear" w:color="auto" w:fill="FFFFFF"/>
        </w:rPr>
        <w:t>build and maintain a constructive relationship with them</w:t>
      </w:r>
      <w:r w:rsidR="00F83BC4" w:rsidRPr="00AE5B0E">
        <w:rPr>
          <w:rFonts w:asciiTheme="minorHAnsi" w:hAnsiTheme="minorHAnsi" w:cstheme="minorHAnsi"/>
          <w:szCs w:val="22"/>
          <w:shd w:val="clear" w:color="auto" w:fill="FFFFFF"/>
          <w:lang w:val="en-US"/>
        </w:rPr>
        <w:t xml:space="preserve"> throughout project implementation</w:t>
      </w:r>
      <w:r w:rsidR="00E70F91" w:rsidRPr="00AE5B0E">
        <w:rPr>
          <w:rFonts w:asciiTheme="minorHAnsi" w:hAnsiTheme="minorHAnsi" w:cstheme="minorHAnsi"/>
          <w:szCs w:val="22"/>
          <w:shd w:val="clear" w:color="auto" w:fill="FFFFFF"/>
          <w:lang w:val="en-US"/>
        </w:rPr>
        <w:t>.</w:t>
      </w:r>
    </w:p>
    <w:p w14:paraId="589784D2" w14:textId="77777777" w:rsidR="00155E8C"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assess the level of stakeholder</w:t>
      </w:r>
      <w:r w:rsidR="00E86DB2"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xml:space="preserve"> </w:t>
      </w:r>
      <w:r w:rsidR="00895442" w:rsidRPr="00AE5B0E">
        <w:rPr>
          <w:rFonts w:asciiTheme="minorHAnsi" w:hAnsiTheme="minorHAnsi" w:cstheme="minorHAnsi"/>
          <w:szCs w:val="22"/>
          <w:shd w:val="clear" w:color="auto" w:fill="FFFFFF"/>
          <w:lang w:val="en-US"/>
        </w:rPr>
        <w:t xml:space="preserve"> influence and </w:t>
      </w:r>
      <w:r w:rsidRPr="00AE5B0E">
        <w:rPr>
          <w:rFonts w:asciiTheme="minorHAnsi" w:hAnsiTheme="minorHAnsi" w:cstheme="minorHAnsi"/>
          <w:szCs w:val="22"/>
          <w:shd w:val="clear" w:color="auto" w:fill="FFFFFF"/>
        </w:rPr>
        <w:t xml:space="preserve">interest </w:t>
      </w:r>
      <w:r w:rsidR="00895442" w:rsidRPr="00AE5B0E">
        <w:rPr>
          <w:rFonts w:asciiTheme="minorHAnsi" w:hAnsiTheme="minorHAnsi" w:cstheme="minorHAnsi"/>
          <w:szCs w:val="22"/>
          <w:shd w:val="clear" w:color="auto" w:fill="FFFFFF"/>
          <w:lang w:val="en-US"/>
        </w:rPr>
        <w:t>in the project</w:t>
      </w:r>
      <w:r w:rsidR="003D584E" w:rsidRPr="00AE5B0E">
        <w:rPr>
          <w:rFonts w:asciiTheme="minorHAnsi" w:hAnsiTheme="minorHAnsi" w:cstheme="minorHAnsi"/>
          <w:szCs w:val="22"/>
          <w:shd w:val="clear" w:color="auto" w:fill="FFFFFF"/>
          <w:lang w:val="en-US"/>
        </w:rPr>
        <w:t xml:space="preserve"> </w:t>
      </w:r>
      <w:r w:rsidR="003D584E" w:rsidRPr="00AE5B0E">
        <w:rPr>
          <w:rFonts w:asciiTheme="minorHAnsi" w:hAnsiTheme="minorHAnsi" w:cstheme="minorHAnsi"/>
          <w:szCs w:val="22"/>
          <w:shd w:val="clear" w:color="auto" w:fill="FFFFFF"/>
        </w:rPr>
        <w:t>and</w:t>
      </w:r>
      <w:r w:rsidR="003D584E" w:rsidRPr="00AE5B0E">
        <w:rPr>
          <w:rFonts w:asciiTheme="minorHAnsi" w:hAnsiTheme="minorHAnsi" w:cstheme="minorHAnsi"/>
          <w:szCs w:val="22"/>
          <w:shd w:val="clear" w:color="auto" w:fill="FFFFFF"/>
          <w:lang w:val="en-US"/>
        </w:rPr>
        <w:t xml:space="preserve"> ensure their</w:t>
      </w:r>
      <w:r w:rsidR="003D584E" w:rsidRPr="00AE5B0E">
        <w:rPr>
          <w:rFonts w:asciiTheme="minorHAnsi" w:hAnsiTheme="minorHAnsi" w:cstheme="minorHAnsi"/>
          <w:szCs w:val="22"/>
          <w:shd w:val="clear" w:color="auto" w:fill="FFFFFF"/>
        </w:rPr>
        <w:t xml:space="preserve"> support for the project</w:t>
      </w:r>
      <w:r w:rsidR="003D584E" w:rsidRPr="00AE5B0E">
        <w:rPr>
          <w:rFonts w:asciiTheme="minorHAnsi" w:hAnsiTheme="minorHAnsi" w:cstheme="minorHAnsi"/>
          <w:szCs w:val="22"/>
          <w:shd w:val="clear" w:color="auto" w:fill="FFFFFF"/>
          <w:lang w:val="en-US"/>
        </w:rPr>
        <w:t>.</w:t>
      </w:r>
    </w:p>
    <w:p w14:paraId="47CF5F01" w14:textId="77777777" w:rsidR="00907DD6" w:rsidRPr="00AE5B0E" w:rsidRDefault="00907DD6"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Enable stakeholder views to be taken into account in project design and environmental and social performance</w:t>
      </w:r>
      <w:r w:rsidR="00FF1F7D" w:rsidRPr="00AE5B0E">
        <w:rPr>
          <w:rFonts w:asciiTheme="minorHAnsi" w:hAnsiTheme="minorHAnsi" w:cstheme="minorHAnsi"/>
          <w:szCs w:val="22"/>
          <w:shd w:val="clear" w:color="auto" w:fill="FFFFFF"/>
          <w:lang w:val="en-US"/>
        </w:rPr>
        <w:t>.</w:t>
      </w:r>
    </w:p>
    <w:p w14:paraId="797C86B9" w14:textId="77777777"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and provide means for effective and inclusive engagement with project-affected parties throughout the project life cycle on issues that could potentially affect them</w:t>
      </w:r>
      <w:r w:rsidR="00FF1F7D" w:rsidRPr="00AE5B0E">
        <w:rPr>
          <w:rFonts w:asciiTheme="minorHAnsi" w:hAnsiTheme="minorHAnsi" w:cstheme="minorHAnsi"/>
          <w:szCs w:val="22"/>
          <w:shd w:val="clear" w:color="auto" w:fill="FFFFFF"/>
          <w:lang w:val="en-US"/>
        </w:rPr>
        <w:t>.</w:t>
      </w:r>
    </w:p>
    <w:p w14:paraId="39494D7C" w14:textId="77777777" w:rsidR="00427EC9" w:rsidRPr="00AE5B0E" w:rsidRDefault="00427EC9" w:rsidP="005B175C">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To ensure that appropriate project information on environmental and social risks and impacts </w:t>
      </w:r>
      <w:r w:rsidR="00FF1F7D" w:rsidRPr="00AE5B0E">
        <w:rPr>
          <w:rFonts w:asciiTheme="minorHAnsi" w:hAnsiTheme="minorHAnsi" w:cstheme="minorHAnsi"/>
          <w:szCs w:val="22"/>
          <w:shd w:val="clear" w:color="auto" w:fill="FFFFFF"/>
          <w:lang w:val="en-US"/>
        </w:rPr>
        <w:t>are</w:t>
      </w:r>
      <w:r w:rsidRPr="00AE5B0E">
        <w:rPr>
          <w:rFonts w:asciiTheme="minorHAnsi" w:hAnsiTheme="minorHAnsi" w:cstheme="minorHAnsi"/>
          <w:szCs w:val="22"/>
          <w:shd w:val="clear" w:color="auto" w:fill="FFFFFF"/>
        </w:rPr>
        <w:t xml:space="preserve"> disclosed to stakeholders in a timely, understandable, accessible and appropriate manner and format. </w:t>
      </w:r>
    </w:p>
    <w:p w14:paraId="4C2E65A3" w14:textId="77777777" w:rsidR="00127C6E" w:rsidRPr="00AE5B0E" w:rsidRDefault="00427EC9" w:rsidP="00127C6E">
      <w:pPr>
        <w:pStyle w:val="ListParagraph"/>
        <w:numPr>
          <w:ilvl w:val="0"/>
          <w:numId w:val="10"/>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To provide project-affected parties with accessible and inclusive means to raise </w:t>
      </w:r>
      <w:r w:rsidR="006E311A" w:rsidRPr="00AE5B0E">
        <w:rPr>
          <w:rFonts w:asciiTheme="minorHAnsi" w:hAnsiTheme="minorHAnsi" w:cstheme="minorHAnsi"/>
          <w:szCs w:val="22"/>
          <w:shd w:val="clear" w:color="auto" w:fill="FFFFFF"/>
          <w:lang w:val="en-US"/>
        </w:rPr>
        <w:t xml:space="preserve">any </w:t>
      </w:r>
      <w:r w:rsidRPr="00AE5B0E">
        <w:rPr>
          <w:rFonts w:asciiTheme="minorHAnsi" w:hAnsiTheme="minorHAnsi" w:cstheme="minorHAnsi"/>
          <w:szCs w:val="22"/>
          <w:shd w:val="clear" w:color="auto" w:fill="FFFFFF"/>
        </w:rPr>
        <w:t>issues and grievances and allow Borrowers to respond to and manage such grievances.</w:t>
      </w:r>
    </w:p>
    <w:p w14:paraId="2AFE0505" w14:textId="77777777" w:rsidR="00127C6E" w:rsidRPr="00AE5B0E" w:rsidRDefault="00127C6E" w:rsidP="00127C6E">
      <w:pPr>
        <w:rPr>
          <w:rFonts w:cstheme="minorHAnsi"/>
          <w:color w:val="3F4257"/>
          <w:shd w:val="clear" w:color="auto" w:fill="FFFFFF"/>
        </w:rPr>
      </w:pPr>
    </w:p>
    <w:p w14:paraId="6E134C62" w14:textId="77777777" w:rsidR="0071146D" w:rsidRPr="00AE5B0E" w:rsidRDefault="0056307F" w:rsidP="00833F10">
      <w:pPr>
        <w:jc w:val="both"/>
        <w:rPr>
          <w:rFonts w:cstheme="minorHAnsi"/>
          <w:shd w:val="clear" w:color="auto" w:fill="FFFFFF"/>
        </w:rPr>
      </w:pPr>
      <w:r w:rsidRPr="00AE5B0E">
        <w:rPr>
          <w:rFonts w:cstheme="minorHAnsi"/>
          <w:b/>
          <w:bCs/>
          <w:i/>
          <w:iCs/>
          <w:u w:val="single"/>
          <w:shd w:val="clear" w:color="auto" w:fill="FFFFFF"/>
        </w:rPr>
        <w:t xml:space="preserve">Relevance to the </w:t>
      </w:r>
      <w:r w:rsidR="00B4253A" w:rsidRPr="00AE5B0E">
        <w:rPr>
          <w:rFonts w:cstheme="minorHAnsi"/>
          <w:b/>
          <w:bCs/>
          <w:i/>
          <w:iCs/>
          <w:u w:val="single"/>
          <w:shd w:val="clear" w:color="auto" w:fill="FFFFFF"/>
        </w:rPr>
        <w:t>Project</w:t>
      </w:r>
      <w:r w:rsidRPr="00AE5B0E">
        <w:rPr>
          <w:rFonts w:cstheme="minorHAnsi"/>
          <w:b/>
          <w:bCs/>
          <w:i/>
          <w:iCs/>
          <w:u w:val="single"/>
          <w:shd w:val="clear" w:color="auto" w:fill="FFFFFF"/>
        </w:rPr>
        <w:t>:</w:t>
      </w:r>
      <w:r w:rsidR="002E57B2" w:rsidRPr="00AE5B0E">
        <w:rPr>
          <w:rStyle w:val="FootnoteReference"/>
          <w:rFonts w:cstheme="minorHAnsi"/>
          <w:b/>
          <w:bCs/>
          <w:i/>
          <w:iCs/>
          <w:u w:val="single"/>
          <w:shd w:val="clear" w:color="auto" w:fill="FFFFFF"/>
        </w:rPr>
        <w:footnoteReference w:id="2"/>
      </w:r>
      <w:r w:rsidRPr="00AE5B0E">
        <w:rPr>
          <w:rFonts w:cstheme="minorHAnsi"/>
          <w:shd w:val="clear" w:color="auto" w:fill="FFFFFF"/>
        </w:rPr>
        <w:t xml:space="preserve"> </w:t>
      </w:r>
      <w:r w:rsidR="00BA6E74" w:rsidRPr="00AE5B0E">
        <w:rPr>
          <w:rFonts w:cstheme="minorHAnsi"/>
          <w:shd w:val="clear" w:color="auto" w:fill="FFFFFF"/>
        </w:rPr>
        <w:t xml:space="preserve">Considering the nature of the Project, </w:t>
      </w:r>
      <w:r w:rsidR="00B74FF4" w:rsidRPr="00AE5B0E">
        <w:rPr>
          <w:rFonts w:cstheme="minorHAnsi"/>
          <w:shd w:val="clear" w:color="auto" w:fill="FFFFFF"/>
        </w:rPr>
        <w:t xml:space="preserve">strong </w:t>
      </w:r>
      <w:r w:rsidR="00BA6E74" w:rsidRPr="00AE5B0E">
        <w:rPr>
          <w:rFonts w:cstheme="minorHAnsi"/>
          <w:shd w:val="clear" w:color="auto" w:fill="FFFFFF"/>
        </w:rPr>
        <w:t xml:space="preserve">stakeholder engagement for the proposed activities is </w:t>
      </w:r>
      <w:r w:rsidR="00B74FF4" w:rsidRPr="00AE5B0E">
        <w:rPr>
          <w:rFonts w:cstheme="minorHAnsi"/>
          <w:shd w:val="clear" w:color="auto" w:fill="FFFFFF"/>
        </w:rPr>
        <w:t xml:space="preserve">the </w:t>
      </w:r>
      <w:r w:rsidR="00BA6E74" w:rsidRPr="00AE5B0E">
        <w:rPr>
          <w:rFonts w:cstheme="minorHAnsi"/>
          <w:shd w:val="clear" w:color="auto" w:fill="FFFFFF"/>
        </w:rPr>
        <w:t>key to Project success.</w:t>
      </w:r>
      <w:r w:rsidR="006D065C" w:rsidRPr="00AE5B0E">
        <w:rPr>
          <w:rFonts w:cstheme="minorHAnsi"/>
          <w:shd w:val="clear" w:color="auto" w:fill="FFFFFF"/>
        </w:rPr>
        <w:t xml:space="preserve"> </w:t>
      </w:r>
      <w:r w:rsidR="00685CBD" w:rsidRPr="00AE5B0E">
        <w:rPr>
          <w:rFonts w:cstheme="minorHAnsi"/>
          <w:shd w:val="clear" w:color="auto" w:fill="FFFFFF"/>
        </w:rPr>
        <w:t xml:space="preserve">The process of </w:t>
      </w:r>
      <w:r w:rsidR="00190AF1" w:rsidRPr="00AE5B0E">
        <w:rPr>
          <w:rFonts w:cstheme="minorHAnsi"/>
          <w:shd w:val="clear" w:color="auto" w:fill="FFFFFF"/>
        </w:rPr>
        <w:t>s</w:t>
      </w:r>
      <w:r w:rsidR="000C1B13" w:rsidRPr="00AE5B0E">
        <w:rPr>
          <w:rFonts w:cstheme="minorHAnsi"/>
          <w:shd w:val="clear" w:color="auto" w:fill="FFFFFF"/>
        </w:rPr>
        <w:t>takeholder</w:t>
      </w:r>
      <w:r w:rsidR="00685CBD" w:rsidRPr="00AE5B0E">
        <w:rPr>
          <w:rFonts w:cstheme="minorHAnsi"/>
          <w:shd w:val="clear" w:color="auto" w:fill="FFFFFF"/>
        </w:rPr>
        <w:t xml:space="preserve"> engagement </w:t>
      </w:r>
      <w:proofErr w:type="gramStart"/>
      <w:r w:rsidR="00685CBD" w:rsidRPr="00AE5B0E">
        <w:rPr>
          <w:rFonts w:cstheme="minorHAnsi"/>
          <w:shd w:val="clear" w:color="auto" w:fill="FFFFFF"/>
        </w:rPr>
        <w:t xml:space="preserve">will </w:t>
      </w:r>
      <w:r w:rsidR="00FE2AC3" w:rsidRPr="00AE5B0E">
        <w:rPr>
          <w:rFonts w:cstheme="minorHAnsi"/>
          <w:shd w:val="clear" w:color="auto" w:fill="FFFFFF"/>
        </w:rPr>
        <w:t xml:space="preserve"> be</w:t>
      </w:r>
      <w:proofErr w:type="gramEnd"/>
      <w:r w:rsidR="00FE2AC3" w:rsidRPr="00AE5B0E">
        <w:rPr>
          <w:rFonts w:cstheme="minorHAnsi"/>
          <w:shd w:val="clear" w:color="auto" w:fill="FFFFFF"/>
        </w:rPr>
        <w:t xml:space="preserve"> d</w:t>
      </w:r>
      <w:r w:rsidR="0096484B" w:rsidRPr="00AE5B0E">
        <w:rPr>
          <w:rFonts w:cstheme="minorHAnsi"/>
          <w:shd w:val="clear" w:color="auto" w:fill="FFFFFF"/>
        </w:rPr>
        <w:t>eta</w:t>
      </w:r>
      <w:r w:rsidR="00FE2AC3" w:rsidRPr="00AE5B0E">
        <w:rPr>
          <w:rFonts w:cstheme="minorHAnsi"/>
          <w:shd w:val="clear" w:color="auto" w:fill="FFFFFF"/>
        </w:rPr>
        <w:t xml:space="preserve">iled in the POM and will </w:t>
      </w:r>
      <w:r w:rsidR="00685CBD" w:rsidRPr="00AE5B0E">
        <w:rPr>
          <w:rFonts w:cstheme="minorHAnsi"/>
          <w:shd w:val="clear" w:color="auto" w:fill="FFFFFF"/>
        </w:rPr>
        <w:t xml:space="preserve">involve the following: </w:t>
      </w:r>
      <w:proofErr w:type="spellStart"/>
      <w:r w:rsidR="00262114" w:rsidRPr="00AE5B0E">
        <w:rPr>
          <w:rFonts w:cstheme="minorHAnsi"/>
          <w:shd w:val="clear" w:color="auto" w:fill="FFFFFF"/>
        </w:rPr>
        <w:t>i</w:t>
      </w:r>
      <w:proofErr w:type="spellEnd"/>
      <w:r w:rsidR="00262114" w:rsidRPr="00AE5B0E">
        <w:rPr>
          <w:rFonts w:cstheme="minorHAnsi"/>
          <w:shd w:val="clear" w:color="auto" w:fill="FFFFFF"/>
        </w:rPr>
        <w:t>) Stakeholders</w:t>
      </w:r>
      <w:r w:rsidR="007628CF" w:rsidRPr="00AE5B0E">
        <w:rPr>
          <w:rFonts w:cstheme="minorHAnsi"/>
          <w:shd w:val="clear" w:color="auto" w:fill="FFFFFF"/>
        </w:rPr>
        <w:t>’</w:t>
      </w:r>
      <w:r w:rsidR="00262114" w:rsidRPr="00AE5B0E">
        <w:rPr>
          <w:rFonts w:cstheme="minorHAnsi"/>
          <w:shd w:val="clear" w:color="auto" w:fill="FFFFFF"/>
        </w:rPr>
        <w:t xml:space="preserve"> identification and analysis</w:t>
      </w:r>
      <w:r w:rsidR="000C1B13" w:rsidRPr="00AE5B0E">
        <w:rPr>
          <w:rFonts w:cstheme="minorHAnsi"/>
          <w:shd w:val="clear" w:color="auto" w:fill="FFFFFF"/>
        </w:rPr>
        <w:t>;</w:t>
      </w:r>
      <w:r w:rsidR="00262114" w:rsidRPr="00AE5B0E">
        <w:rPr>
          <w:rFonts w:cstheme="minorHAnsi"/>
          <w:shd w:val="clear" w:color="auto" w:fill="FFFFFF"/>
        </w:rPr>
        <w:t xml:space="preserve"> </w:t>
      </w:r>
      <w:r w:rsidR="00386EDF" w:rsidRPr="00AE5B0E">
        <w:rPr>
          <w:rFonts w:cstheme="minorHAnsi"/>
          <w:shd w:val="clear" w:color="auto" w:fill="FFFFFF"/>
        </w:rPr>
        <w:t xml:space="preserve">ii) </w:t>
      </w:r>
      <w:r w:rsidR="000C1B13" w:rsidRPr="00AE5B0E">
        <w:rPr>
          <w:rFonts w:cstheme="minorHAnsi"/>
          <w:shd w:val="clear" w:color="auto" w:fill="FFFFFF"/>
        </w:rPr>
        <w:t>P</w:t>
      </w:r>
      <w:r w:rsidR="00386EDF" w:rsidRPr="00AE5B0E">
        <w:rPr>
          <w:rFonts w:cstheme="minorHAnsi"/>
          <w:shd w:val="clear" w:color="auto" w:fill="FFFFFF"/>
        </w:rPr>
        <w:t xml:space="preserve">lanning how the </w:t>
      </w:r>
      <w:r w:rsidR="00741607" w:rsidRPr="00AE5B0E">
        <w:rPr>
          <w:rFonts w:cstheme="minorHAnsi"/>
          <w:shd w:val="clear" w:color="auto" w:fill="FFFFFF"/>
        </w:rPr>
        <w:t>engagement</w:t>
      </w:r>
      <w:r w:rsidR="00386EDF" w:rsidRPr="00AE5B0E">
        <w:rPr>
          <w:rFonts w:cstheme="minorHAnsi"/>
          <w:shd w:val="clear" w:color="auto" w:fill="FFFFFF"/>
        </w:rPr>
        <w:t xml:space="preserve"> with stakeholders will take </w:t>
      </w:r>
      <w:r w:rsidR="000C1B13" w:rsidRPr="00AE5B0E">
        <w:rPr>
          <w:rFonts w:cstheme="minorHAnsi"/>
          <w:shd w:val="clear" w:color="auto" w:fill="FFFFFF"/>
        </w:rPr>
        <w:t>place;</w:t>
      </w:r>
      <w:r w:rsidR="00386EDF" w:rsidRPr="00AE5B0E">
        <w:rPr>
          <w:rFonts w:cstheme="minorHAnsi"/>
          <w:shd w:val="clear" w:color="auto" w:fill="FFFFFF"/>
        </w:rPr>
        <w:t xml:space="preserve"> iii) </w:t>
      </w:r>
      <w:r w:rsidR="007628CF" w:rsidRPr="00AE5B0E">
        <w:rPr>
          <w:rFonts w:cstheme="minorHAnsi"/>
          <w:shd w:val="clear" w:color="auto" w:fill="FFFFFF"/>
        </w:rPr>
        <w:t>D</w:t>
      </w:r>
      <w:r w:rsidR="00386EDF" w:rsidRPr="00AE5B0E">
        <w:rPr>
          <w:rFonts w:cstheme="minorHAnsi"/>
          <w:shd w:val="clear" w:color="auto" w:fill="FFFFFF"/>
        </w:rPr>
        <w:t xml:space="preserve">isclosure of </w:t>
      </w:r>
      <w:r w:rsidR="007C041F" w:rsidRPr="00AE5B0E">
        <w:rPr>
          <w:rFonts w:cstheme="minorHAnsi"/>
          <w:shd w:val="clear" w:color="auto" w:fill="FFFFFF"/>
        </w:rPr>
        <w:t xml:space="preserve">information; iv) </w:t>
      </w:r>
      <w:r w:rsidR="007628CF" w:rsidRPr="00AE5B0E">
        <w:rPr>
          <w:rFonts w:cstheme="minorHAnsi"/>
          <w:shd w:val="clear" w:color="auto" w:fill="FFFFFF"/>
        </w:rPr>
        <w:t>C</w:t>
      </w:r>
      <w:r w:rsidR="007C041F" w:rsidRPr="00AE5B0E">
        <w:rPr>
          <w:rFonts w:cstheme="minorHAnsi"/>
          <w:shd w:val="clear" w:color="auto" w:fill="FFFFFF"/>
        </w:rPr>
        <w:t>onsultation with stakeholders</w:t>
      </w:r>
      <w:r w:rsidR="000C7A03" w:rsidRPr="00AE5B0E">
        <w:rPr>
          <w:rFonts w:cstheme="minorHAnsi"/>
          <w:shd w:val="clear" w:color="auto" w:fill="FFFFFF"/>
        </w:rPr>
        <w:t>; v)</w:t>
      </w:r>
      <w:r w:rsidR="007628CF" w:rsidRPr="00AE5B0E">
        <w:rPr>
          <w:rFonts w:cstheme="minorHAnsi"/>
          <w:shd w:val="clear" w:color="auto" w:fill="FFFFFF"/>
        </w:rPr>
        <w:t>A</w:t>
      </w:r>
      <w:r w:rsidR="000C7A03" w:rsidRPr="00AE5B0E">
        <w:rPr>
          <w:rFonts w:cstheme="minorHAnsi"/>
          <w:shd w:val="clear" w:color="auto" w:fill="FFFFFF"/>
        </w:rPr>
        <w:t xml:space="preserve">ddressing and </w:t>
      </w:r>
      <w:r w:rsidR="00741607" w:rsidRPr="00AE5B0E">
        <w:rPr>
          <w:rFonts w:cstheme="minorHAnsi"/>
          <w:shd w:val="clear" w:color="auto" w:fill="FFFFFF"/>
        </w:rPr>
        <w:t>responding</w:t>
      </w:r>
      <w:r w:rsidR="000C7A03" w:rsidRPr="00AE5B0E">
        <w:rPr>
          <w:rFonts w:cstheme="minorHAnsi"/>
          <w:shd w:val="clear" w:color="auto" w:fill="FFFFFF"/>
        </w:rPr>
        <w:t xml:space="preserve"> to grievances</w:t>
      </w:r>
      <w:r w:rsidR="0096484B" w:rsidRPr="00AE5B0E">
        <w:rPr>
          <w:rFonts w:cstheme="minorHAnsi"/>
          <w:shd w:val="clear" w:color="auto" w:fill="FFFFFF"/>
        </w:rPr>
        <w:t>,</w:t>
      </w:r>
      <w:r w:rsidR="00741607" w:rsidRPr="00AE5B0E">
        <w:rPr>
          <w:rFonts w:cstheme="minorHAnsi"/>
          <w:shd w:val="clear" w:color="auto" w:fill="FFFFFF"/>
        </w:rPr>
        <w:t xml:space="preserve"> and vi) </w:t>
      </w:r>
      <w:r w:rsidR="007628CF" w:rsidRPr="00AE5B0E">
        <w:rPr>
          <w:rFonts w:cstheme="minorHAnsi"/>
          <w:shd w:val="clear" w:color="auto" w:fill="FFFFFF"/>
        </w:rPr>
        <w:t>R</w:t>
      </w:r>
      <w:r w:rsidR="00741607" w:rsidRPr="00AE5B0E">
        <w:rPr>
          <w:rFonts w:cstheme="minorHAnsi"/>
          <w:shd w:val="clear" w:color="auto" w:fill="FFFFFF"/>
        </w:rPr>
        <w:t>eporting to stakeholders</w:t>
      </w:r>
      <w:r w:rsidR="000C1B13" w:rsidRPr="00AE5B0E">
        <w:rPr>
          <w:rFonts w:cstheme="minorHAnsi"/>
          <w:shd w:val="clear" w:color="auto" w:fill="FFFFFF"/>
        </w:rPr>
        <w:t>.</w:t>
      </w:r>
      <w:r w:rsidR="00956CFF" w:rsidRPr="00AE5B0E">
        <w:rPr>
          <w:rFonts w:cstheme="minorHAnsi"/>
          <w:highlight w:val="cyan"/>
          <w:shd w:val="clear" w:color="auto" w:fill="FFFFFF"/>
        </w:rPr>
        <w:t xml:space="preserve"> </w:t>
      </w:r>
    </w:p>
    <w:p w14:paraId="756634F3" w14:textId="77777777" w:rsidR="0022407E" w:rsidRPr="00AE5B0E" w:rsidRDefault="0096484B" w:rsidP="00833F10">
      <w:pPr>
        <w:autoSpaceDE w:val="0"/>
        <w:autoSpaceDN w:val="0"/>
        <w:adjustRightInd w:val="0"/>
        <w:spacing w:after="0" w:line="240" w:lineRule="auto"/>
        <w:jc w:val="both"/>
        <w:rPr>
          <w:rFonts w:cstheme="minorHAnsi"/>
        </w:rPr>
      </w:pPr>
      <w:r w:rsidRPr="00AE5B0E">
        <w:rPr>
          <w:rFonts w:cstheme="minorHAnsi"/>
        </w:rPr>
        <w:t>Concerning</w:t>
      </w:r>
      <w:r w:rsidR="0022407E" w:rsidRPr="00AE5B0E">
        <w:rPr>
          <w:rFonts w:cstheme="minorHAnsi"/>
        </w:rPr>
        <w:t xml:space="preserve"> stakeholder identification and analysis, ESS-10 classifies project stakeholders into the</w:t>
      </w:r>
    </w:p>
    <w:p w14:paraId="6D0A3719" w14:textId="77777777" w:rsidR="0022407E" w:rsidRPr="00AE5B0E" w:rsidRDefault="0022407E" w:rsidP="00833F10">
      <w:pPr>
        <w:autoSpaceDE w:val="0"/>
        <w:autoSpaceDN w:val="0"/>
        <w:adjustRightInd w:val="0"/>
        <w:spacing w:after="0" w:line="240" w:lineRule="auto"/>
        <w:jc w:val="both"/>
        <w:rPr>
          <w:rFonts w:cstheme="minorHAnsi"/>
        </w:rPr>
      </w:pPr>
      <w:r w:rsidRPr="00AE5B0E">
        <w:rPr>
          <w:rFonts w:cstheme="minorHAnsi"/>
        </w:rPr>
        <w:t xml:space="preserve">following categories: </w:t>
      </w:r>
      <w:proofErr w:type="gramStart"/>
      <w:r w:rsidRPr="00AE5B0E">
        <w:rPr>
          <w:rFonts w:cstheme="minorHAnsi"/>
        </w:rPr>
        <w:t>a)Project</w:t>
      </w:r>
      <w:proofErr w:type="gramEnd"/>
      <w:r w:rsidRPr="00AE5B0E">
        <w:rPr>
          <w:rFonts w:cstheme="minorHAnsi"/>
        </w:rPr>
        <w:t>-affected Parties</w:t>
      </w:r>
      <w:r w:rsidR="00396FE4" w:rsidRPr="00AE5B0E">
        <w:rPr>
          <w:rFonts w:cstheme="minorHAnsi"/>
        </w:rPr>
        <w:t xml:space="preserve"> ( PAPs) </w:t>
      </w:r>
      <w:r w:rsidR="00C81DA4" w:rsidRPr="00AE5B0E">
        <w:rPr>
          <w:rFonts w:cstheme="minorHAnsi"/>
        </w:rPr>
        <w:t>–</w:t>
      </w:r>
      <w:r w:rsidRPr="00AE5B0E">
        <w:rPr>
          <w:rFonts w:cstheme="minorHAnsi"/>
        </w:rPr>
        <w:t>individuals or groups that are affected or likely to be</w:t>
      </w:r>
      <w:r w:rsidR="00C81DA4" w:rsidRPr="00AE5B0E">
        <w:rPr>
          <w:rFonts w:cstheme="minorHAnsi"/>
        </w:rPr>
        <w:t xml:space="preserve"> </w:t>
      </w:r>
      <w:r w:rsidRPr="00AE5B0E">
        <w:rPr>
          <w:rFonts w:cstheme="minorHAnsi"/>
        </w:rPr>
        <w:t>affected by the project); b) Disadvantaged/Vulnerable Groups or Individuals</w:t>
      </w:r>
      <w:r w:rsidRPr="00AE5B0E">
        <w:rPr>
          <w:rFonts w:cstheme="minorHAnsi"/>
          <w:b/>
          <w:bCs/>
        </w:rPr>
        <w:t xml:space="preserve"> </w:t>
      </w:r>
      <w:r w:rsidRPr="00AE5B0E">
        <w:rPr>
          <w:rFonts w:cstheme="minorHAnsi"/>
        </w:rPr>
        <w:t>(project-affected parties</w:t>
      </w:r>
      <w:r w:rsidR="00C81DA4" w:rsidRPr="00AE5B0E">
        <w:rPr>
          <w:rFonts w:cstheme="minorHAnsi"/>
        </w:rPr>
        <w:t xml:space="preserve"> </w:t>
      </w:r>
      <w:r w:rsidRPr="00AE5B0E">
        <w:rPr>
          <w:rFonts w:cstheme="minorHAnsi"/>
        </w:rPr>
        <w:t>which are more likely to be adversely affected by the project impacts and/or more limited than others in</w:t>
      </w:r>
      <w:r w:rsidR="00C81DA4" w:rsidRPr="00AE5B0E">
        <w:rPr>
          <w:rFonts w:cstheme="minorHAnsi"/>
        </w:rPr>
        <w:t xml:space="preserve"> </w:t>
      </w:r>
      <w:r w:rsidRPr="00AE5B0E">
        <w:rPr>
          <w:rFonts w:cstheme="minorHAnsi"/>
        </w:rPr>
        <w:t>their ability to take advantage of a project’s benefits</w:t>
      </w:r>
      <w:r w:rsidR="001C2263" w:rsidRPr="00AE5B0E">
        <w:rPr>
          <w:rFonts w:cstheme="minorHAnsi"/>
          <w:lang w:val="sr-Cyrl-RS"/>
        </w:rPr>
        <w:t xml:space="preserve"> </w:t>
      </w:r>
      <w:r w:rsidRPr="00AE5B0E">
        <w:rPr>
          <w:rFonts w:cstheme="minorHAnsi"/>
        </w:rPr>
        <w:t>and, c) Other interested parties</w:t>
      </w:r>
      <w:r w:rsidR="00396FE4" w:rsidRPr="00AE5B0E">
        <w:rPr>
          <w:rFonts w:cstheme="minorHAnsi"/>
        </w:rPr>
        <w:t xml:space="preserve"> (OIPs)- </w:t>
      </w:r>
      <w:r w:rsidRPr="00AE5B0E">
        <w:rPr>
          <w:rFonts w:cstheme="minorHAnsi"/>
        </w:rPr>
        <w:t>other individuals</w:t>
      </w:r>
      <w:r w:rsidR="00396FE4" w:rsidRPr="00AE5B0E">
        <w:rPr>
          <w:rFonts w:cstheme="minorHAnsi"/>
        </w:rPr>
        <w:t xml:space="preserve"> </w:t>
      </w:r>
      <w:r w:rsidRPr="00AE5B0E">
        <w:rPr>
          <w:rFonts w:cstheme="minorHAnsi"/>
        </w:rPr>
        <w:t>or groups that may have an interest in the project. During the project preparation phase,</w:t>
      </w:r>
      <w:r w:rsidR="00B51803" w:rsidRPr="00AE5B0E">
        <w:rPr>
          <w:rFonts w:cstheme="minorHAnsi"/>
        </w:rPr>
        <w:t xml:space="preserve"> </w:t>
      </w:r>
      <w:r w:rsidRPr="00AE5B0E">
        <w:rPr>
          <w:rFonts w:cstheme="minorHAnsi"/>
        </w:rPr>
        <w:t>the following stakeholders have been identified under each of these categories:</w:t>
      </w:r>
    </w:p>
    <w:p w14:paraId="3BF0BEC8" w14:textId="77777777" w:rsidR="00833F10" w:rsidRPr="00AE5B0E" w:rsidRDefault="00833F10" w:rsidP="00833F10">
      <w:pPr>
        <w:autoSpaceDE w:val="0"/>
        <w:autoSpaceDN w:val="0"/>
        <w:adjustRightInd w:val="0"/>
        <w:spacing w:after="0" w:line="240" w:lineRule="auto"/>
        <w:jc w:val="both"/>
        <w:rPr>
          <w:rFonts w:cstheme="minorHAnsi"/>
        </w:rPr>
      </w:pPr>
    </w:p>
    <w:p w14:paraId="1DD3CC82" w14:textId="1CB4D7EE" w:rsidR="0022407E" w:rsidRPr="00AE5B0E" w:rsidRDefault="0022407E" w:rsidP="0022407E">
      <w:pPr>
        <w:autoSpaceDE w:val="0"/>
        <w:autoSpaceDN w:val="0"/>
        <w:adjustRightInd w:val="0"/>
        <w:spacing w:after="0" w:line="240" w:lineRule="auto"/>
        <w:jc w:val="center"/>
        <w:rPr>
          <w:rFonts w:cstheme="minorHAnsi"/>
        </w:rPr>
      </w:pPr>
      <w:r w:rsidRPr="00AE5B0E">
        <w:rPr>
          <w:rFonts w:cstheme="minorHAnsi"/>
          <w:b/>
          <w:bCs/>
        </w:rPr>
        <w:t>Table 1.</w:t>
      </w:r>
      <w:r w:rsidRPr="00AE5B0E">
        <w:rPr>
          <w:rFonts w:cstheme="minorHAnsi"/>
        </w:rPr>
        <w:t xml:space="preserve"> </w:t>
      </w:r>
      <w:r w:rsidR="00DE3434" w:rsidRPr="00AE5B0E">
        <w:rPr>
          <w:rFonts w:cstheme="minorHAnsi"/>
        </w:rPr>
        <w:t>Preliminary list of key</w:t>
      </w:r>
      <w:r w:rsidRPr="00AE5B0E">
        <w:rPr>
          <w:rFonts w:cstheme="minorHAnsi"/>
        </w:rPr>
        <w:t xml:space="preserve"> stakeholders groups</w:t>
      </w:r>
      <w:r w:rsidR="005246DE" w:rsidRPr="00AE5B0E">
        <w:rPr>
          <w:rFonts w:cstheme="minorHAnsi"/>
        </w:rPr>
        <w:t xml:space="preserve"> </w:t>
      </w:r>
      <w:r w:rsidR="002A0184" w:rsidRPr="00AE5B0E">
        <w:rPr>
          <w:rFonts w:cstheme="minorHAnsi"/>
        </w:rPr>
        <w:t>(</w:t>
      </w:r>
      <w:proofErr w:type="spellStart"/>
      <w:r w:rsidR="002A0184" w:rsidRPr="00AE5B0E">
        <w:rPr>
          <w:rFonts w:cstheme="minorHAnsi"/>
        </w:rPr>
        <w:t>Т</w:t>
      </w:r>
      <w:r w:rsidR="005246DE" w:rsidRPr="00AE5B0E">
        <w:rPr>
          <w:rFonts w:cstheme="minorHAnsi"/>
        </w:rPr>
        <w:t>o</w:t>
      </w:r>
      <w:proofErr w:type="spellEnd"/>
      <w:r w:rsidR="005246DE" w:rsidRPr="00AE5B0E">
        <w:rPr>
          <w:rFonts w:cstheme="minorHAnsi"/>
        </w:rPr>
        <w:t xml:space="preserve"> be further </w:t>
      </w:r>
      <w:proofErr w:type="gramStart"/>
      <w:r w:rsidR="005246DE" w:rsidRPr="00AE5B0E">
        <w:rPr>
          <w:rFonts w:cstheme="minorHAnsi"/>
        </w:rPr>
        <w:t>developed  in</w:t>
      </w:r>
      <w:proofErr w:type="gramEnd"/>
      <w:r w:rsidR="005246DE" w:rsidRPr="00AE5B0E">
        <w:rPr>
          <w:rFonts w:cstheme="minorHAnsi"/>
        </w:rPr>
        <w:t xml:space="preserve"> the POM)</w:t>
      </w:r>
    </w:p>
    <w:tbl>
      <w:tblPr>
        <w:tblStyle w:val="TableGrid"/>
        <w:tblW w:w="0" w:type="auto"/>
        <w:tblLook w:val="04A0" w:firstRow="1" w:lastRow="0" w:firstColumn="1" w:lastColumn="0" w:noHBand="0" w:noVBand="1"/>
      </w:tblPr>
      <w:tblGrid>
        <w:gridCol w:w="3116"/>
        <w:gridCol w:w="3117"/>
        <w:gridCol w:w="3117"/>
      </w:tblGrid>
      <w:tr w:rsidR="0022407E" w:rsidRPr="00AE5B0E" w14:paraId="493C8C58" w14:textId="77777777" w:rsidTr="0022407E">
        <w:tc>
          <w:tcPr>
            <w:tcW w:w="3116" w:type="dxa"/>
          </w:tcPr>
          <w:p w14:paraId="61596680"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Project Affected Parties</w:t>
            </w:r>
          </w:p>
        </w:tc>
        <w:tc>
          <w:tcPr>
            <w:tcW w:w="3117" w:type="dxa"/>
          </w:tcPr>
          <w:p w14:paraId="3DBE1D15"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Other Interested parties</w:t>
            </w:r>
          </w:p>
        </w:tc>
        <w:tc>
          <w:tcPr>
            <w:tcW w:w="3117" w:type="dxa"/>
          </w:tcPr>
          <w:p w14:paraId="416E8DA3" w14:textId="77777777" w:rsidR="0022407E" w:rsidRPr="00AE5B0E" w:rsidRDefault="0022407E" w:rsidP="0022407E">
            <w:pPr>
              <w:autoSpaceDE w:val="0"/>
              <w:autoSpaceDN w:val="0"/>
              <w:adjustRightInd w:val="0"/>
              <w:jc w:val="center"/>
              <w:rPr>
                <w:rFonts w:asciiTheme="minorHAnsi" w:hAnsiTheme="minorHAnsi" w:cstheme="minorHAnsi"/>
                <w:sz w:val="22"/>
                <w:szCs w:val="22"/>
              </w:rPr>
            </w:pPr>
            <w:r w:rsidRPr="00AE5B0E">
              <w:rPr>
                <w:rFonts w:asciiTheme="minorHAnsi" w:hAnsiTheme="minorHAnsi" w:cstheme="minorHAnsi"/>
                <w:sz w:val="22"/>
                <w:szCs w:val="22"/>
              </w:rPr>
              <w:t>Disadvantaged or vulnerable groups</w:t>
            </w:r>
          </w:p>
        </w:tc>
      </w:tr>
      <w:tr w:rsidR="0022407E" w:rsidRPr="00AE5B0E" w14:paraId="489A530B" w14:textId="77777777" w:rsidTr="0022407E">
        <w:tc>
          <w:tcPr>
            <w:tcW w:w="3116" w:type="dxa"/>
          </w:tcPr>
          <w:p w14:paraId="32E0D58D" w14:textId="77777777" w:rsidR="0022407E" w:rsidRPr="00AE5B0E" w:rsidRDefault="0022407E"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lastRenderedPageBreak/>
              <w:t>Ministry of Fina</w:t>
            </w:r>
            <w:r w:rsidR="004A35C1" w:rsidRPr="00AE5B0E">
              <w:rPr>
                <w:rFonts w:asciiTheme="minorHAnsi" w:eastAsia="Times New Roman" w:hAnsiTheme="minorHAnsi" w:cstheme="minorHAnsi"/>
                <w:sz w:val="22"/>
                <w:szCs w:val="22"/>
              </w:rPr>
              <w:t>n</w:t>
            </w:r>
            <w:r w:rsidRPr="00AE5B0E">
              <w:rPr>
                <w:rFonts w:asciiTheme="minorHAnsi" w:eastAsia="Times New Roman" w:hAnsiTheme="minorHAnsi" w:cstheme="minorHAnsi"/>
                <w:sz w:val="22"/>
                <w:szCs w:val="22"/>
              </w:rPr>
              <w:t xml:space="preserve">ce </w:t>
            </w:r>
          </w:p>
          <w:p w14:paraId="766D43EF" w14:textId="77777777" w:rsidR="0022407E" w:rsidRPr="00AE5B0E" w:rsidRDefault="0022407E"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Ministry of Environmental Protection</w:t>
            </w:r>
          </w:p>
          <w:p w14:paraId="58D40D20"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Ministry of Construction, Transport and Infrastructure</w:t>
            </w:r>
          </w:p>
          <w:p w14:paraId="5A0874A4"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lang w:val="en-US"/>
              </w:rPr>
              <w:t xml:space="preserve">Ministry of Mining and Energy </w:t>
            </w:r>
          </w:p>
          <w:p w14:paraId="116FA6A0" w14:textId="77777777" w:rsidR="00212ACB" w:rsidRPr="00AE5B0E" w:rsidRDefault="00212ACB"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hAnsiTheme="minorHAnsi" w:cstheme="minorHAnsi"/>
                <w:sz w:val="22"/>
                <w:szCs w:val="22"/>
                <w:lang w:val="en-US"/>
              </w:rPr>
              <w:t>Ministry for Public Investments</w:t>
            </w:r>
          </w:p>
          <w:p w14:paraId="035802F3" w14:textId="77777777" w:rsidR="0022407E" w:rsidRPr="00AE5B0E" w:rsidRDefault="0022407E"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Public Policy Secretariat</w:t>
            </w:r>
          </w:p>
          <w:p w14:paraId="6275C7F1" w14:textId="77777777" w:rsidR="008F44D3" w:rsidRPr="00AE5B0E" w:rsidRDefault="008F44D3" w:rsidP="0022407E">
            <w:pPr>
              <w:pStyle w:val="ListParagraph"/>
              <w:numPr>
                <w:ilvl w:val="0"/>
                <w:numId w:val="18"/>
              </w:numPr>
              <w:autoSpaceDE w:val="0"/>
              <w:autoSpaceDN w:val="0"/>
              <w:adjustRightInd w:val="0"/>
              <w:spacing w:after="0"/>
              <w:rPr>
                <w:rFonts w:asciiTheme="minorHAnsi" w:hAnsiTheme="minorHAnsi" w:cstheme="minorHAnsi"/>
                <w:sz w:val="22"/>
                <w:szCs w:val="22"/>
              </w:rPr>
            </w:pPr>
            <w:r w:rsidRPr="00AE5B0E">
              <w:rPr>
                <w:rFonts w:asciiTheme="minorHAnsi" w:eastAsia="Times New Roman" w:hAnsiTheme="minorHAnsi" w:cstheme="minorHAnsi"/>
                <w:sz w:val="22"/>
                <w:szCs w:val="22"/>
              </w:rPr>
              <w:t>Public Procurement Office</w:t>
            </w:r>
          </w:p>
          <w:p w14:paraId="5B845412" w14:textId="77777777" w:rsidR="00212ACB" w:rsidRPr="00AE5B0E" w:rsidRDefault="005F24C7" w:rsidP="00212ACB">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r w:rsidRPr="00AE5B0E">
              <w:rPr>
                <w:rFonts w:asciiTheme="minorHAnsi" w:eastAsia="Times New Roman" w:hAnsiTheme="minorHAnsi" w:cstheme="minorHAnsi"/>
                <w:sz w:val="22"/>
                <w:szCs w:val="22"/>
                <w:lang w:val="en-US"/>
              </w:rPr>
              <w:t>Public Property Office</w:t>
            </w:r>
            <w:r w:rsidR="00212ACB" w:rsidRPr="00AE5B0E">
              <w:rPr>
                <w:rFonts w:asciiTheme="minorHAnsi" w:eastAsia="Times New Roman" w:hAnsiTheme="minorHAnsi" w:cstheme="minorHAnsi"/>
                <w:sz w:val="22"/>
                <w:szCs w:val="22"/>
                <w:lang w:val="es-ES"/>
              </w:rPr>
              <w:t xml:space="preserve"> </w:t>
            </w:r>
          </w:p>
          <w:p w14:paraId="7E9A297A" w14:textId="77777777" w:rsidR="00212ACB" w:rsidRPr="00AE5B0E" w:rsidRDefault="00212ACB" w:rsidP="00212ACB">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proofErr w:type="spellStart"/>
            <w:r w:rsidRPr="00AE5B0E">
              <w:rPr>
                <w:rFonts w:asciiTheme="minorHAnsi" w:eastAsia="Times New Roman" w:hAnsiTheme="minorHAnsi" w:cstheme="minorHAnsi"/>
                <w:sz w:val="22"/>
                <w:szCs w:val="22"/>
                <w:lang w:val="es-ES"/>
              </w:rPr>
              <w:t>Serbian</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Environmental</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Protection</w:t>
            </w:r>
            <w:proofErr w:type="spellEnd"/>
            <w:r w:rsidRPr="00AE5B0E">
              <w:rPr>
                <w:rFonts w:asciiTheme="minorHAnsi" w:eastAsia="Times New Roman" w:hAnsiTheme="minorHAnsi" w:cstheme="minorHAnsi"/>
                <w:sz w:val="22"/>
                <w:szCs w:val="22"/>
                <w:lang w:val="es-ES"/>
              </w:rPr>
              <w:t xml:space="preserve"> Agency (SEPA)</w:t>
            </w:r>
          </w:p>
          <w:p w14:paraId="7B361F95" w14:textId="77777777" w:rsidR="005F24C7" w:rsidRPr="00AE5B0E" w:rsidRDefault="005F24C7" w:rsidP="0022407E">
            <w:pPr>
              <w:pStyle w:val="ListParagraph"/>
              <w:numPr>
                <w:ilvl w:val="0"/>
                <w:numId w:val="18"/>
              </w:numPr>
              <w:autoSpaceDE w:val="0"/>
              <w:autoSpaceDN w:val="0"/>
              <w:adjustRightInd w:val="0"/>
              <w:spacing w:after="0"/>
              <w:rPr>
                <w:rFonts w:asciiTheme="minorHAnsi" w:hAnsiTheme="minorHAnsi" w:cstheme="minorHAnsi"/>
                <w:sz w:val="22"/>
                <w:szCs w:val="22"/>
              </w:rPr>
            </w:pPr>
          </w:p>
        </w:tc>
        <w:tc>
          <w:tcPr>
            <w:tcW w:w="3117" w:type="dxa"/>
          </w:tcPr>
          <w:p w14:paraId="6666977B" w14:textId="77777777" w:rsidR="0022407E" w:rsidRPr="00AE5B0E" w:rsidRDefault="008F44D3"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Citizens</w:t>
            </w:r>
            <w:r w:rsidR="008351A1" w:rsidRPr="00AE5B0E">
              <w:rPr>
                <w:rFonts w:asciiTheme="minorHAnsi" w:eastAsia="Times New Roman" w:hAnsiTheme="minorHAnsi" w:cstheme="minorHAnsi"/>
                <w:sz w:val="22"/>
                <w:szCs w:val="22"/>
              </w:rPr>
              <w:t xml:space="preserve">/general public </w:t>
            </w:r>
          </w:p>
          <w:p w14:paraId="08CE295F" w14:textId="2C4248D2" w:rsidR="005F79E3" w:rsidRPr="00AE5B0E" w:rsidRDefault="008F44D3" w:rsidP="005F79E3">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n-US"/>
              </w:rPr>
            </w:pPr>
            <w:r w:rsidRPr="00AE5B0E">
              <w:rPr>
                <w:rFonts w:asciiTheme="minorHAnsi" w:eastAsia="Times New Roman" w:hAnsiTheme="minorHAnsi" w:cstheme="minorHAnsi"/>
                <w:sz w:val="22"/>
                <w:szCs w:val="22"/>
              </w:rPr>
              <w:t xml:space="preserve">Civil Society </w:t>
            </w:r>
            <w:proofErr w:type="spellStart"/>
            <w:r w:rsidRPr="00AE5B0E">
              <w:rPr>
                <w:rFonts w:asciiTheme="minorHAnsi" w:eastAsia="Times New Roman" w:hAnsiTheme="minorHAnsi" w:cstheme="minorHAnsi"/>
                <w:sz w:val="22"/>
                <w:szCs w:val="22"/>
              </w:rPr>
              <w:t>Organisations</w:t>
            </w:r>
            <w:proofErr w:type="spellEnd"/>
            <w:r w:rsidR="00291C20" w:rsidRPr="00AE5B0E">
              <w:rPr>
                <w:rFonts w:asciiTheme="minorHAnsi" w:eastAsia="Times New Roman" w:hAnsiTheme="minorHAnsi" w:cstheme="minorHAnsi"/>
                <w:sz w:val="22"/>
                <w:szCs w:val="22"/>
                <w:lang w:val="sr-Latn-RS"/>
              </w:rPr>
              <w:t xml:space="preserve">, </w:t>
            </w:r>
            <w:r w:rsidR="008351A1" w:rsidRPr="00AE5B0E">
              <w:rPr>
                <w:rFonts w:asciiTheme="minorHAnsi" w:eastAsia="Times New Roman" w:hAnsiTheme="minorHAnsi" w:cstheme="minorHAnsi"/>
                <w:sz w:val="22"/>
                <w:szCs w:val="22"/>
              </w:rPr>
              <w:t>and other relevant N</w:t>
            </w:r>
            <w:r w:rsidR="008351A1" w:rsidRPr="00AE5B0E">
              <w:rPr>
                <w:rFonts w:asciiTheme="minorHAnsi" w:eastAsia="Times New Roman" w:hAnsiTheme="minorHAnsi" w:cstheme="minorHAnsi"/>
                <w:sz w:val="22"/>
                <w:szCs w:val="22"/>
                <w:lang w:val="en-US"/>
              </w:rPr>
              <w:t>GO</w:t>
            </w:r>
            <w:r w:rsidR="008351A1" w:rsidRPr="00AE5B0E">
              <w:rPr>
                <w:rFonts w:asciiTheme="minorHAnsi" w:eastAsia="Times New Roman" w:hAnsiTheme="minorHAnsi" w:cstheme="minorHAnsi"/>
                <w:sz w:val="22"/>
                <w:szCs w:val="22"/>
              </w:rPr>
              <w:t xml:space="preserve">’s </w:t>
            </w:r>
          </w:p>
          <w:p w14:paraId="6815D343" w14:textId="05F0781C" w:rsidR="008F44D3" w:rsidRPr="00AE5B0E" w:rsidRDefault="00EF6E6B" w:rsidP="00291C20">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proofErr w:type="spellStart"/>
            <w:r w:rsidRPr="00AE5B0E">
              <w:rPr>
                <w:rFonts w:asciiTheme="minorHAnsi" w:eastAsia="Times New Roman" w:hAnsiTheme="minorHAnsi" w:cstheme="minorHAnsi"/>
                <w:sz w:val="22"/>
                <w:szCs w:val="22"/>
              </w:rPr>
              <w:t>Nacionalni</w:t>
            </w:r>
            <w:proofErr w:type="spellEnd"/>
            <w:r w:rsidR="00F522CA" w:rsidRPr="00AE5B0E">
              <w:rPr>
                <w:rFonts w:asciiTheme="minorHAnsi" w:eastAsia="Times New Roman" w:hAnsiTheme="minorHAnsi" w:cstheme="minorHAnsi"/>
                <w:sz w:val="22"/>
                <w:szCs w:val="22"/>
                <w:lang w:val="es-ES"/>
              </w:rPr>
              <w:t xml:space="preserve"> </w:t>
            </w:r>
            <w:proofErr w:type="spellStart"/>
            <w:r w:rsidR="00F522CA" w:rsidRPr="00AE5B0E">
              <w:rPr>
                <w:rFonts w:asciiTheme="minorHAnsi" w:eastAsia="Times New Roman" w:hAnsiTheme="minorHAnsi" w:cstheme="minorHAnsi"/>
                <w:sz w:val="22"/>
                <w:szCs w:val="22"/>
                <w:lang w:val="es-ES"/>
              </w:rPr>
              <w:t>Konevent</w:t>
            </w:r>
            <w:proofErr w:type="spellEnd"/>
            <w:r w:rsidR="00F522CA" w:rsidRPr="00AE5B0E">
              <w:rPr>
                <w:rFonts w:asciiTheme="minorHAnsi" w:eastAsia="Times New Roman" w:hAnsiTheme="minorHAnsi" w:cstheme="minorHAnsi"/>
                <w:sz w:val="22"/>
                <w:szCs w:val="22"/>
                <w:lang w:val="es-ES"/>
              </w:rPr>
              <w:t xml:space="preserve"> o </w:t>
            </w:r>
            <w:proofErr w:type="spellStart"/>
            <w:r w:rsidR="00F522CA" w:rsidRPr="00AE5B0E">
              <w:rPr>
                <w:rFonts w:asciiTheme="minorHAnsi" w:eastAsia="Times New Roman" w:hAnsiTheme="minorHAnsi" w:cstheme="minorHAnsi"/>
                <w:sz w:val="22"/>
                <w:szCs w:val="22"/>
                <w:lang w:val="es-ES"/>
              </w:rPr>
              <w:t>Evropskoj</w:t>
            </w:r>
            <w:proofErr w:type="spellEnd"/>
            <w:r w:rsidR="00F522CA" w:rsidRPr="00AE5B0E">
              <w:rPr>
                <w:rFonts w:asciiTheme="minorHAnsi" w:eastAsia="Times New Roman" w:hAnsiTheme="minorHAnsi" w:cstheme="minorHAnsi"/>
                <w:sz w:val="22"/>
                <w:szCs w:val="22"/>
                <w:lang w:val="es-ES"/>
              </w:rPr>
              <w:t xml:space="preserve"> </w:t>
            </w:r>
            <w:proofErr w:type="spellStart"/>
            <w:r w:rsidR="00F522CA" w:rsidRPr="00AE5B0E">
              <w:rPr>
                <w:rFonts w:asciiTheme="minorHAnsi" w:eastAsia="Times New Roman" w:hAnsiTheme="minorHAnsi" w:cstheme="minorHAnsi"/>
                <w:sz w:val="22"/>
                <w:szCs w:val="22"/>
                <w:lang w:val="es-ES"/>
              </w:rPr>
              <w:t>Uniji</w:t>
            </w:r>
            <w:proofErr w:type="spellEnd"/>
            <w:r w:rsidR="00212ACB" w:rsidRPr="00AE5B0E">
              <w:rPr>
                <w:rFonts w:asciiTheme="minorHAnsi" w:eastAsia="Times New Roman" w:hAnsiTheme="minorHAnsi" w:cstheme="minorHAnsi"/>
                <w:sz w:val="22"/>
                <w:szCs w:val="22"/>
              </w:rPr>
              <w:t xml:space="preserve"> </w:t>
            </w:r>
            <w:r w:rsidR="00212ACB" w:rsidRPr="00AE5B0E">
              <w:rPr>
                <w:rFonts w:asciiTheme="minorHAnsi" w:eastAsia="Times New Roman" w:hAnsiTheme="minorHAnsi" w:cstheme="minorHAnsi"/>
                <w:sz w:val="22"/>
                <w:szCs w:val="22"/>
                <w:lang w:val="en-US"/>
              </w:rPr>
              <w:t>(</w:t>
            </w:r>
            <w:r w:rsidR="00212ACB" w:rsidRPr="00AE5B0E">
              <w:rPr>
                <w:rFonts w:asciiTheme="minorHAnsi" w:eastAsia="Times New Roman" w:hAnsiTheme="minorHAnsi" w:cstheme="minorHAnsi"/>
                <w:sz w:val="22"/>
                <w:szCs w:val="22"/>
              </w:rPr>
              <w:t>National Convention on the EU</w:t>
            </w:r>
            <w:r w:rsidR="00212ACB" w:rsidRPr="00AE5B0E">
              <w:rPr>
                <w:rFonts w:asciiTheme="minorHAnsi" w:eastAsia="Times New Roman" w:hAnsiTheme="minorHAnsi" w:cstheme="minorHAnsi"/>
                <w:sz w:val="22"/>
                <w:szCs w:val="22"/>
                <w:lang w:val="en-US"/>
              </w:rPr>
              <w:t>)</w:t>
            </w:r>
          </w:p>
          <w:p w14:paraId="1EA70D09" w14:textId="77777777" w:rsidR="008351A1" w:rsidRPr="00AE5B0E" w:rsidRDefault="008351A1"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r w:rsidRPr="00AE5B0E">
              <w:rPr>
                <w:rFonts w:asciiTheme="minorHAnsi" w:eastAsia="Times New Roman" w:hAnsiTheme="minorHAnsi" w:cstheme="minorHAnsi"/>
                <w:sz w:val="22"/>
                <w:szCs w:val="22"/>
                <w:lang w:val="es-ES"/>
              </w:rPr>
              <w:t xml:space="preserve">Academia/ </w:t>
            </w:r>
            <w:proofErr w:type="spellStart"/>
            <w:r w:rsidRPr="00AE5B0E">
              <w:rPr>
                <w:rFonts w:asciiTheme="minorHAnsi" w:eastAsia="Times New Roman" w:hAnsiTheme="minorHAnsi" w:cstheme="minorHAnsi"/>
                <w:sz w:val="22"/>
                <w:szCs w:val="22"/>
                <w:lang w:val="es-ES"/>
              </w:rPr>
              <w:t>Policy</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Think</w:t>
            </w:r>
            <w:proofErr w:type="spellEnd"/>
            <w:r w:rsidRPr="00AE5B0E">
              <w:rPr>
                <w:rFonts w:asciiTheme="minorHAnsi" w:eastAsia="Times New Roman" w:hAnsiTheme="minorHAnsi" w:cstheme="minorHAnsi"/>
                <w:sz w:val="22"/>
                <w:szCs w:val="22"/>
                <w:lang w:val="es-ES"/>
              </w:rPr>
              <w:t xml:space="preserve"> </w:t>
            </w:r>
            <w:proofErr w:type="spellStart"/>
            <w:r w:rsidRPr="00AE5B0E">
              <w:rPr>
                <w:rFonts w:asciiTheme="minorHAnsi" w:eastAsia="Times New Roman" w:hAnsiTheme="minorHAnsi" w:cstheme="minorHAnsi"/>
                <w:sz w:val="22"/>
                <w:szCs w:val="22"/>
                <w:lang w:val="es-ES"/>
              </w:rPr>
              <w:t>Tanks</w:t>
            </w:r>
            <w:proofErr w:type="spellEnd"/>
          </w:p>
          <w:p w14:paraId="09ABD7E2" w14:textId="77777777" w:rsidR="008351A1" w:rsidRPr="00AE5B0E" w:rsidRDefault="008351A1" w:rsidP="008351A1">
            <w:pPr>
              <w:pStyle w:val="ListParagraph"/>
              <w:numPr>
                <w:ilvl w:val="0"/>
                <w:numId w:val="18"/>
              </w:numPr>
              <w:autoSpaceDE w:val="0"/>
              <w:autoSpaceDN w:val="0"/>
              <w:adjustRightInd w:val="0"/>
              <w:spacing w:after="0"/>
              <w:rPr>
                <w:rFonts w:asciiTheme="minorHAnsi" w:eastAsia="Times New Roman" w:hAnsiTheme="minorHAnsi" w:cstheme="minorHAnsi"/>
                <w:sz w:val="22"/>
                <w:szCs w:val="22"/>
                <w:lang w:val="es-ES"/>
              </w:rPr>
            </w:pPr>
            <w:proofErr w:type="spellStart"/>
            <w:r w:rsidRPr="00AE5B0E">
              <w:rPr>
                <w:rFonts w:asciiTheme="minorHAnsi" w:eastAsia="Times New Roman" w:hAnsiTheme="minorHAnsi" w:cstheme="minorHAnsi"/>
                <w:sz w:val="22"/>
                <w:szCs w:val="22"/>
                <w:lang w:val="es-ES"/>
              </w:rPr>
              <w:t>Chamber</w:t>
            </w:r>
            <w:r w:rsidR="00212ACB" w:rsidRPr="00AE5B0E">
              <w:rPr>
                <w:rFonts w:asciiTheme="minorHAnsi" w:eastAsia="Times New Roman" w:hAnsiTheme="minorHAnsi" w:cstheme="minorHAnsi"/>
                <w:sz w:val="22"/>
                <w:szCs w:val="22"/>
                <w:lang w:val="es-ES"/>
              </w:rPr>
              <w:t>s</w:t>
            </w:r>
            <w:proofErr w:type="spellEnd"/>
            <w:r w:rsidRPr="00AE5B0E">
              <w:rPr>
                <w:rFonts w:asciiTheme="minorHAnsi" w:eastAsia="Times New Roman" w:hAnsiTheme="minorHAnsi" w:cstheme="minorHAnsi"/>
                <w:sz w:val="22"/>
                <w:szCs w:val="22"/>
                <w:lang w:val="es-ES"/>
              </w:rPr>
              <w:t xml:space="preserve"> of Commerce</w:t>
            </w:r>
          </w:p>
          <w:p w14:paraId="2085A2C4" w14:textId="77777777" w:rsidR="00FC4285" w:rsidRPr="00AE5B0E" w:rsidRDefault="00FC4285" w:rsidP="00FC4285">
            <w:pPr>
              <w:pStyle w:val="ListParagraph"/>
              <w:autoSpaceDE w:val="0"/>
              <w:autoSpaceDN w:val="0"/>
              <w:adjustRightInd w:val="0"/>
              <w:spacing w:after="0"/>
              <w:rPr>
                <w:rFonts w:asciiTheme="minorHAnsi" w:eastAsia="Times New Roman" w:hAnsiTheme="minorHAnsi" w:cstheme="minorHAnsi"/>
                <w:sz w:val="22"/>
                <w:szCs w:val="22"/>
                <w:lang w:val="es-ES"/>
              </w:rPr>
            </w:pPr>
          </w:p>
          <w:p w14:paraId="41C1EC61" w14:textId="77777777" w:rsidR="008351A1" w:rsidRPr="00AE5B0E" w:rsidRDefault="008351A1" w:rsidP="008351A1">
            <w:pPr>
              <w:pStyle w:val="ListParagraph"/>
              <w:autoSpaceDE w:val="0"/>
              <w:autoSpaceDN w:val="0"/>
              <w:adjustRightInd w:val="0"/>
              <w:spacing w:after="0"/>
              <w:rPr>
                <w:rFonts w:asciiTheme="minorHAnsi" w:eastAsia="Times New Roman" w:hAnsiTheme="minorHAnsi" w:cstheme="minorHAnsi"/>
                <w:sz w:val="22"/>
                <w:szCs w:val="22"/>
                <w:lang w:val="es-ES"/>
              </w:rPr>
            </w:pPr>
          </w:p>
          <w:p w14:paraId="47962166" w14:textId="77777777" w:rsidR="008351A1" w:rsidRPr="00AE5B0E" w:rsidRDefault="008351A1" w:rsidP="0022407E">
            <w:pPr>
              <w:autoSpaceDE w:val="0"/>
              <w:autoSpaceDN w:val="0"/>
              <w:adjustRightInd w:val="0"/>
              <w:rPr>
                <w:rFonts w:asciiTheme="minorHAnsi" w:hAnsiTheme="minorHAnsi" w:cstheme="minorHAnsi"/>
                <w:sz w:val="22"/>
                <w:szCs w:val="22"/>
                <w:lang w:val="es-ES"/>
              </w:rPr>
            </w:pPr>
            <w:r w:rsidRPr="00AE5B0E">
              <w:rPr>
                <w:rFonts w:asciiTheme="minorHAnsi" w:hAnsiTheme="minorHAnsi" w:cstheme="minorHAnsi"/>
                <w:sz w:val="22"/>
                <w:szCs w:val="22"/>
                <w:lang w:val="es-ES"/>
              </w:rPr>
              <w:t xml:space="preserve"> </w:t>
            </w:r>
          </w:p>
          <w:p w14:paraId="658C2FED" w14:textId="77777777" w:rsidR="008351A1" w:rsidRPr="00AE5B0E" w:rsidRDefault="008351A1" w:rsidP="0022407E">
            <w:pPr>
              <w:autoSpaceDE w:val="0"/>
              <w:autoSpaceDN w:val="0"/>
              <w:adjustRightInd w:val="0"/>
              <w:rPr>
                <w:rFonts w:asciiTheme="minorHAnsi" w:hAnsiTheme="minorHAnsi" w:cstheme="minorHAnsi"/>
                <w:sz w:val="22"/>
                <w:szCs w:val="22"/>
                <w:lang w:val="es-ES"/>
              </w:rPr>
            </w:pPr>
          </w:p>
          <w:p w14:paraId="4E178A30" w14:textId="77777777" w:rsidR="008F44D3" w:rsidRPr="00AE5B0E" w:rsidRDefault="008F44D3" w:rsidP="0022407E">
            <w:pPr>
              <w:autoSpaceDE w:val="0"/>
              <w:autoSpaceDN w:val="0"/>
              <w:adjustRightInd w:val="0"/>
              <w:rPr>
                <w:rFonts w:asciiTheme="minorHAnsi" w:hAnsiTheme="minorHAnsi" w:cstheme="minorHAnsi"/>
                <w:sz w:val="22"/>
                <w:szCs w:val="22"/>
                <w:lang w:val="es-ES"/>
              </w:rPr>
            </w:pPr>
            <w:r w:rsidRPr="00AE5B0E">
              <w:rPr>
                <w:rFonts w:asciiTheme="minorHAnsi" w:hAnsiTheme="minorHAnsi" w:cstheme="minorHAnsi"/>
                <w:sz w:val="22"/>
                <w:szCs w:val="22"/>
                <w:lang w:val="es-ES"/>
              </w:rPr>
              <w:t xml:space="preserve"> </w:t>
            </w:r>
          </w:p>
        </w:tc>
        <w:tc>
          <w:tcPr>
            <w:tcW w:w="3117" w:type="dxa"/>
          </w:tcPr>
          <w:p w14:paraId="781D2D46" w14:textId="77777777" w:rsidR="00F66131" w:rsidRPr="00AE5B0E" w:rsidRDefault="00974E3F"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lang w:val="en-US"/>
              </w:rPr>
              <w:t xml:space="preserve"> </w:t>
            </w:r>
            <w:r w:rsidR="00D25B97" w:rsidRPr="00AE5B0E">
              <w:rPr>
                <w:rFonts w:asciiTheme="minorHAnsi" w:eastAsia="Times New Roman" w:hAnsiTheme="minorHAnsi" w:cstheme="minorHAnsi"/>
                <w:sz w:val="22"/>
                <w:szCs w:val="22"/>
                <w:lang w:val="en-US"/>
              </w:rPr>
              <w:t>S</w:t>
            </w:r>
            <w:r w:rsidRPr="00AE5B0E">
              <w:rPr>
                <w:rFonts w:asciiTheme="minorHAnsi" w:eastAsia="Times New Roman" w:hAnsiTheme="minorHAnsi" w:cstheme="minorHAnsi"/>
                <w:sz w:val="22"/>
                <w:szCs w:val="22"/>
                <w:lang w:val="en-US"/>
              </w:rPr>
              <w:t xml:space="preserve">taff </w:t>
            </w:r>
            <w:r w:rsidR="00D25B97" w:rsidRPr="00AE5B0E">
              <w:rPr>
                <w:rFonts w:asciiTheme="minorHAnsi" w:eastAsia="Times New Roman" w:hAnsiTheme="minorHAnsi" w:cstheme="minorHAnsi"/>
                <w:sz w:val="22"/>
                <w:szCs w:val="22"/>
                <w:lang w:val="en-US"/>
              </w:rPr>
              <w:t xml:space="preserve">members of implementing </w:t>
            </w:r>
            <w:proofErr w:type="gramStart"/>
            <w:r w:rsidR="00D25B97" w:rsidRPr="00AE5B0E">
              <w:rPr>
                <w:rFonts w:asciiTheme="minorHAnsi" w:eastAsia="Times New Roman" w:hAnsiTheme="minorHAnsi" w:cstheme="minorHAnsi"/>
                <w:sz w:val="22"/>
                <w:szCs w:val="22"/>
                <w:lang w:val="en-US"/>
              </w:rPr>
              <w:t xml:space="preserve">institutions </w:t>
            </w:r>
            <w:r w:rsidRPr="00AE5B0E">
              <w:rPr>
                <w:rFonts w:asciiTheme="minorHAnsi" w:eastAsia="Times New Roman" w:hAnsiTheme="minorHAnsi" w:cstheme="minorHAnsi"/>
                <w:sz w:val="22"/>
                <w:szCs w:val="22"/>
                <w:lang w:val="en-US"/>
              </w:rPr>
              <w:t xml:space="preserve"> w</w:t>
            </w:r>
            <w:proofErr w:type="spellStart"/>
            <w:r w:rsidRPr="00AE5B0E">
              <w:rPr>
                <w:rFonts w:asciiTheme="minorHAnsi" w:eastAsia="Times New Roman" w:hAnsiTheme="minorHAnsi" w:cstheme="minorHAnsi"/>
                <w:sz w:val="22"/>
                <w:szCs w:val="22"/>
              </w:rPr>
              <w:t>ith</w:t>
            </w:r>
            <w:proofErr w:type="spellEnd"/>
            <w:proofErr w:type="gramEnd"/>
            <w:r w:rsidR="00937502" w:rsidRPr="00AE5B0E">
              <w:rPr>
                <w:rFonts w:asciiTheme="minorHAnsi" w:eastAsia="Times New Roman" w:hAnsiTheme="minorHAnsi" w:cstheme="minorHAnsi"/>
                <w:sz w:val="22"/>
                <w:szCs w:val="22"/>
              </w:rPr>
              <w:t xml:space="preserve"> disabilities or language barriers </w:t>
            </w:r>
          </w:p>
          <w:p w14:paraId="125ECE78" w14:textId="77777777" w:rsidR="00F66131" w:rsidRPr="00AE5B0E" w:rsidRDefault="00BF19F5"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Women staff </w:t>
            </w:r>
            <w:r w:rsidR="00214501" w:rsidRPr="00AE5B0E">
              <w:rPr>
                <w:rFonts w:asciiTheme="minorHAnsi" w:eastAsia="Times New Roman" w:hAnsiTheme="minorHAnsi" w:cstheme="minorHAnsi"/>
                <w:sz w:val="22"/>
                <w:szCs w:val="22"/>
              </w:rPr>
              <w:t xml:space="preserve"> members</w:t>
            </w:r>
          </w:p>
          <w:p w14:paraId="5A2384C5" w14:textId="77777777" w:rsidR="00F66131" w:rsidRPr="00AE5B0E" w:rsidRDefault="00214501"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Citizens with disabilities </w:t>
            </w:r>
          </w:p>
          <w:p w14:paraId="1FA955BB" w14:textId="77777777" w:rsidR="00F66131" w:rsidRPr="00AE5B0E" w:rsidRDefault="0005398F"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Citizens </w:t>
            </w:r>
            <w:r w:rsidR="00774CC0" w:rsidRPr="00AE5B0E">
              <w:rPr>
                <w:rFonts w:asciiTheme="minorHAnsi" w:eastAsia="Times New Roman" w:hAnsiTheme="minorHAnsi" w:cstheme="minorHAnsi"/>
                <w:sz w:val="22"/>
                <w:szCs w:val="22"/>
              </w:rPr>
              <w:t xml:space="preserve"> living </w:t>
            </w:r>
            <w:r w:rsidRPr="00AE5B0E">
              <w:rPr>
                <w:rFonts w:asciiTheme="minorHAnsi" w:eastAsia="Times New Roman" w:hAnsiTheme="minorHAnsi" w:cstheme="minorHAnsi"/>
                <w:sz w:val="22"/>
                <w:szCs w:val="22"/>
              </w:rPr>
              <w:t xml:space="preserve">below </w:t>
            </w:r>
            <w:r w:rsidR="00F253A6" w:rsidRPr="00AE5B0E">
              <w:rPr>
                <w:rFonts w:asciiTheme="minorHAnsi" w:eastAsia="Times New Roman" w:hAnsiTheme="minorHAnsi" w:cstheme="minorHAnsi"/>
                <w:sz w:val="22"/>
                <w:szCs w:val="22"/>
              </w:rPr>
              <w:t xml:space="preserve">the </w:t>
            </w:r>
            <w:r w:rsidRPr="00AE5B0E">
              <w:rPr>
                <w:rFonts w:asciiTheme="minorHAnsi" w:eastAsia="Times New Roman" w:hAnsiTheme="minorHAnsi" w:cstheme="minorHAnsi"/>
                <w:sz w:val="22"/>
                <w:szCs w:val="22"/>
              </w:rPr>
              <w:t xml:space="preserve">poverty </w:t>
            </w:r>
            <w:r w:rsidR="00774CC0" w:rsidRPr="00AE5B0E">
              <w:rPr>
                <w:rFonts w:asciiTheme="minorHAnsi" w:eastAsia="Times New Roman" w:hAnsiTheme="minorHAnsi" w:cstheme="minorHAnsi"/>
                <w:sz w:val="22"/>
                <w:szCs w:val="22"/>
              </w:rPr>
              <w:t>line</w:t>
            </w:r>
            <w:r w:rsidR="00222C00" w:rsidRPr="00AE5B0E">
              <w:rPr>
                <w:rFonts w:asciiTheme="minorHAnsi" w:eastAsia="Times New Roman" w:hAnsiTheme="minorHAnsi" w:cstheme="minorHAnsi"/>
                <w:sz w:val="22"/>
                <w:szCs w:val="22"/>
                <w:lang w:val="en-US"/>
              </w:rPr>
              <w:t xml:space="preserve"> </w:t>
            </w:r>
          </w:p>
          <w:p w14:paraId="3E4AAA72" w14:textId="77777777" w:rsidR="00F66131" w:rsidRPr="00AE5B0E" w:rsidRDefault="00774CC0"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 xml:space="preserve">Roma </w:t>
            </w:r>
          </w:p>
          <w:p w14:paraId="5179A424" w14:textId="77777777" w:rsidR="005B4E08" w:rsidRPr="00AE5B0E" w:rsidRDefault="005B4E08" w:rsidP="0022407E">
            <w:pPr>
              <w:pStyle w:val="ListParagraph"/>
              <w:numPr>
                <w:ilvl w:val="0"/>
                <w:numId w:val="18"/>
              </w:numPr>
              <w:autoSpaceDE w:val="0"/>
              <w:autoSpaceDN w:val="0"/>
              <w:adjustRightInd w:val="0"/>
              <w:spacing w:after="0"/>
              <w:rPr>
                <w:rFonts w:asciiTheme="minorHAnsi" w:eastAsia="Times New Roman" w:hAnsiTheme="minorHAnsi" w:cstheme="minorHAnsi"/>
                <w:sz w:val="22"/>
                <w:szCs w:val="22"/>
              </w:rPr>
            </w:pPr>
            <w:r w:rsidRPr="00AE5B0E">
              <w:rPr>
                <w:rFonts w:asciiTheme="minorHAnsi" w:eastAsia="Times New Roman" w:hAnsiTheme="minorHAnsi" w:cstheme="minorHAnsi"/>
                <w:sz w:val="22"/>
                <w:szCs w:val="22"/>
              </w:rPr>
              <w:t>Citizen</w:t>
            </w:r>
            <w:r w:rsidR="00F253A6" w:rsidRPr="00AE5B0E">
              <w:rPr>
                <w:rFonts w:asciiTheme="minorHAnsi" w:eastAsia="Times New Roman" w:hAnsiTheme="minorHAnsi" w:cstheme="minorHAnsi"/>
                <w:sz w:val="22"/>
                <w:szCs w:val="22"/>
              </w:rPr>
              <w:t>s</w:t>
            </w:r>
            <w:r w:rsidRPr="00AE5B0E">
              <w:rPr>
                <w:rFonts w:asciiTheme="minorHAnsi" w:eastAsia="Times New Roman" w:hAnsiTheme="minorHAnsi" w:cstheme="minorHAnsi"/>
                <w:sz w:val="22"/>
                <w:szCs w:val="22"/>
              </w:rPr>
              <w:t xml:space="preserve"> with low literacy</w:t>
            </w:r>
            <w:r w:rsidR="00F66131" w:rsidRPr="00AE5B0E">
              <w:rPr>
                <w:rFonts w:asciiTheme="minorHAnsi" w:eastAsia="Times New Roman" w:hAnsiTheme="minorHAnsi" w:cstheme="minorHAnsi"/>
                <w:sz w:val="22"/>
                <w:szCs w:val="22"/>
              </w:rPr>
              <w:t xml:space="preserve"> including low (ICT literacy)</w:t>
            </w:r>
          </w:p>
          <w:p w14:paraId="429AD2EB" w14:textId="77777777" w:rsidR="005246DE" w:rsidRPr="00AE5B0E" w:rsidRDefault="005246DE" w:rsidP="0022407E">
            <w:pPr>
              <w:autoSpaceDE w:val="0"/>
              <w:autoSpaceDN w:val="0"/>
              <w:adjustRightInd w:val="0"/>
              <w:rPr>
                <w:rFonts w:asciiTheme="minorHAnsi" w:hAnsiTheme="minorHAnsi" w:cstheme="minorHAnsi"/>
                <w:sz w:val="22"/>
                <w:szCs w:val="22"/>
                <w:lang w:val="x-none"/>
              </w:rPr>
            </w:pPr>
          </w:p>
        </w:tc>
      </w:tr>
    </w:tbl>
    <w:p w14:paraId="6370A662" w14:textId="77777777" w:rsidR="00F522CA" w:rsidRPr="00AE5B0E" w:rsidRDefault="00F522CA" w:rsidP="009E6E45">
      <w:pPr>
        <w:jc w:val="both"/>
        <w:rPr>
          <w:rFonts w:cstheme="minorHAnsi"/>
          <w:shd w:val="clear" w:color="auto" w:fill="FFFFFF"/>
        </w:rPr>
      </w:pPr>
    </w:p>
    <w:p w14:paraId="73ABF230" w14:textId="77777777" w:rsidR="00461BE8" w:rsidRPr="00AE5B0E" w:rsidRDefault="0078324C" w:rsidP="009E6E45">
      <w:pPr>
        <w:jc w:val="both"/>
        <w:rPr>
          <w:rFonts w:cstheme="minorHAnsi"/>
          <w:shd w:val="clear" w:color="auto" w:fill="FFFFFF"/>
        </w:rPr>
      </w:pPr>
      <w:r w:rsidRPr="00AE5B0E">
        <w:rPr>
          <w:rFonts w:cstheme="minorHAnsi"/>
          <w:shd w:val="clear" w:color="auto" w:fill="FFFFFF"/>
        </w:rPr>
        <w:t>A m</w:t>
      </w:r>
      <w:r w:rsidR="002F6E8C" w:rsidRPr="00AE5B0E">
        <w:rPr>
          <w:rFonts w:cstheme="minorHAnsi"/>
          <w:shd w:val="clear" w:color="auto" w:fill="FFFFFF"/>
        </w:rPr>
        <w:t xml:space="preserve">ore detailed analysis </w:t>
      </w:r>
      <w:r w:rsidR="00F522CA" w:rsidRPr="00AE5B0E">
        <w:rPr>
          <w:rFonts w:cstheme="minorHAnsi"/>
          <w:shd w:val="clear" w:color="auto" w:fill="FFFFFF"/>
        </w:rPr>
        <w:t>of both stakeholder groups and en</w:t>
      </w:r>
      <w:r w:rsidRPr="00AE5B0E">
        <w:rPr>
          <w:rFonts w:cstheme="minorHAnsi"/>
          <w:shd w:val="clear" w:color="auto" w:fill="FFFFFF"/>
        </w:rPr>
        <w:t>gageme</w:t>
      </w:r>
      <w:r w:rsidR="00F522CA" w:rsidRPr="00AE5B0E">
        <w:rPr>
          <w:rFonts w:cstheme="minorHAnsi"/>
          <w:shd w:val="clear" w:color="auto" w:fill="FFFFFF"/>
        </w:rPr>
        <w:t>nt methods</w:t>
      </w:r>
      <w:r w:rsidR="003941D4" w:rsidRPr="00AE5B0E">
        <w:rPr>
          <w:rFonts w:cstheme="minorHAnsi"/>
          <w:shd w:val="clear" w:color="auto" w:fill="FFFFFF"/>
        </w:rPr>
        <w:t xml:space="preserve"> will be provided in POM. </w:t>
      </w:r>
      <w:r w:rsidR="00461BE8" w:rsidRPr="00AE5B0E">
        <w:rPr>
          <w:rFonts w:cstheme="minorHAnsi"/>
          <w:shd w:val="clear" w:color="auto" w:fill="FFFFFF"/>
        </w:rPr>
        <w:t xml:space="preserve"> Based on this classification, it will be ensured that the planning, implementation and monitoring of </w:t>
      </w:r>
      <w:proofErr w:type="spellStart"/>
      <w:r w:rsidR="00921B34" w:rsidRPr="00AE5B0E">
        <w:rPr>
          <w:rFonts w:cstheme="minorHAnsi"/>
          <w:shd w:val="clear" w:color="auto" w:fill="FFFFFF"/>
          <w:lang w:val="sr-Latn-RS"/>
        </w:rPr>
        <w:t>engagement</w:t>
      </w:r>
      <w:proofErr w:type="spellEnd"/>
      <w:r w:rsidR="00921B34" w:rsidRPr="00AE5B0E">
        <w:rPr>
          <w:rFonts w:cstheme="minorHAnsi"/>
          <w:shd w:val="clear" w:color="auto" w:fill="FFFFFF"/>
          <w:lang w:val="sr-Latn-RS"/>
        </w:rPr>
        <w:t xml:space="preserve"> </w:t>
      </w:r>
      <w:r w:rsidR="00461BE8" w:rsidRPr="00AE5B0E">
        <w:rPr>
          <w:rFonts w:cstheme="minorHAnsi"/>
          <w:shd w:val="clear" w:color="auto" w:fill="FFFFFF"/>
        </w:rPr>
        <w:t>activities are adequately coordinated among key stakeholders.</w:t>
      </w:r>
    </w:p>
    <w:p w14:paraId="26770D8E" w14:textId="77777777" w:rsidR="00DC173B" w:rsidRPr="00AE5B0E" w:rsidRDefault="00871765" w:rsidP="009E6E45">
      <w:pPr>
        <w:jc w:val="both"/>
        <w:rPr>
          <w:rFonts w:cstheme="minorHAnsi"/>
          <w:shd w:val="clear" w:color="auto" w:fill="FFFFFF"/>
        </w:rPr>
      </w:pPr>
      <w:r w:rsidRPr="00AE5B0E">
        <w:rPr>
          <w:rFonts w:cstheme="minorHAnsi"/>
          <w:shd w:val="clear" w:color="auto" w:fill="FFFFFF"/>
        </w:rPr>
        <w:t xml:space="preserve">Given the nature of the </w:t>
      </w:r>
      <w:r w:rsidR="00D257D9" w:rsidRPr="00AE5B0E">
        <w:rPr>
          <w:rFonts w:cstheme="minorHAnsi"/>
          <w:shd w:val="clear" w:color="auto" w:fill="FFFFFF"/>
        </w:rPr>
        <w:t xml:space="preserve">overall </w:t>
      </w:r>
      <w:proofErr w:type="spellStart"/>
      <w:r w:rsidRPr="00AE5B0E">
        <w:rPr>
          <w:rFonts w:cstheme="minorHAnsi"/>
          <w:shd w:val="clear" w:color="auto" w:fill="FFFFFF"/>
        </w:rPr>
        <w:t>Programme</w:t>
      </w:r>
      <w:proofErr w:type="spellEnd"/>
      <w:r w:rsidRPr="00AE5B0E">
        <w:rPr>
          <w:rFonts w:cstheme="minorHAnsi"/>
          <w:shd w:val="clear" w:color="auto" w:fill="FFFFFF"/>
        </w:rPr>
        <w:t xml:space="preserve">, the stakeholder engagement process is likely to be two-dimensional.: (I) Engagement and consultation of government stakeholders on what improvements are most critical, achievable, and in need of further effort; and (ii) Engagement and consultation with the </w:t>
      </w:r>
      <w:r w:rsidR="009B7539" w:rsidRPr="00AE5B0E">
        <w:rPr>
          <w:rFonts w:cstheme="minorHAnsi"/>
          <w:shd w:val="clear" w:color="auto" w:fill="FFFFFF"/>
        </w:rPr>
        <w:t>citizens</w:t>
      </w:r>
      <w:r w:rsidR="00717B21" w:rsidRPr="00AE5B0E">
        <w:rPr>
          <w:rFonts w:cstheme="minorHAnsi"/>
          <w:shd w:val="clear" w:color="auto" w:fill="FFFFFF"/>
        </w:rPr>
        <w:t>,</w:t>
      </w:r>
      <w:r w:rsidRPr="00AE5B0E">
        <w:rPr>
          <w:rFonts w:cstheme="minorHAnsi"/>
          <w:shd w:val="clear" w:color="auto" w:fill="FFFFFF"/>
        </w:rPr>
        <w:t xml:space="preserve"> </w:t>
      </w:r>
      <w:r w:rsidR="00717B21" w:rsidRPr="00AE5B0E">
        <w:rPr>
          <w:rFonts w:cstheme="minorHAnsi"/>
          <w:shd w:val="clear" w:color="auto" w:fill="FFFFFF"/>
        </w:rPr>
        <w:t>civil society and private sector</w:t>
      </w:r>
      <w:r w:rsidRPr="00AE5B0E">
        <w:rPr>
          <w:rFonts w:cstheme="minorHAnsi"/>
          <w:shd w:val="clear" w:color="auto" w:fill="FFFFFF"/>
        </w:rPr>
        <w:t xml:space="preserve"> to achieve</w:t>
      </w:r>
      <w:r w:rsidR="00D301D3" w:rsidRPr="00AE5B0E">
        <w:rPr>
          <w:rFonts w:cstheme="minorHAnsi"/>
          <w:shd w:val="clear" w:color="auto" w:fill="FFFFFF"/>
          <w:lang w:val="sr-Cyrl-RS"/>
        </w:rPr>
        <w:t xml:space="preserve"> </w:t>
      </w:r>
      <w:proofErr w:type="spellStart"/>
      <w:r w:rsidR="00D301D3" w:rsidRPr="00AE5B0E">
        <w:rPr>
          <w:rFonts w:cstheme="minorHAnsi"/>
          <w:shd w:val="clear" w:color="auto" w:fill="FFFFFF"/>
          <w:lang w:val="sr-Latn-RS"/>
        </w:rPr>
        <w:t>be</w:t>
      </w:r>
      <w:r w:rsidR="00591101" w:rsidRPr="00AE5B0E">
        <w:rPr>
          <w:rFonts w:cstheme="minorHAnsi"/>
          <w:shd w:val="clear" w:color="auto" w:fill="FFFFFF"/>
          <w:lang w:val="sr-Latn-RS"/>
        </w:rPr>
        <w:t>t</w:t>
      </w:r>
      <w:r w:rsidR="00D301D3" w:rsidRPr="00AE5B0E">
        <w:rPr>
          <w:rFonts w:cstheme="minorHAnsi"/>
          <w:shd w:val="clear" w:color="auto" w:fill="FFFFFF"/>
          <w:lang w:val="sr-Latn-RS"/>
        </w:rPr>
        <w:t>ter</w:t>
      </w:r>
      <w:proofErr w:type="spellEnd"/>
      <w:r w:rsidR="00D301D3" w:rsidRPr="00AE5B0E">
        <w:rPr>
          <w:rFonts w:cstheme="minorHAnsi"/>
          <w:shd w:val="clear" w:color="auto" w:fill="FFFFFF"/>
          <w:lang w:val="sr-Latn-RS"/>
        </w:rPr>
        <w:t xml:space="preserve"> </w:t>
      </w:r>
      <w:r w:rsidRPr="00AE5B0E">
        <w:rPr>
          <w:rFonts w:cstheme="minorHAnsi"/>
          <w:shd w:val="clear" w:color="auto" w:fill="FFFFFF"/>
        </w:rPr>
        <w:t xml:space="preserve">transparency in PFM </w:t>
      </w:r>
      <w:r w:rsidR="008D3DEF" w:rsidRPr="00AE5B0E">
        <w:rPr>
          <w:rFonts w:cstheme="minorHAnsi"/>
          <w:shd w:val="clear" w:color="auto" w:fill="FFFFFF"/>
        </w:rPr>
        <w:t>and improve dialogue about</w:t>
      </w:r>
      <w:r w:rsidR="00420C20" w:rsidRPr="00AE5B0E">
        <w:rPr>
          <w:rFonts w:cstheme="minorHAnsi"/>
          <w:shd w:val="clear" w:color="auto" w:fill="FFFFFF"/>
          <w:lang w:val="sr-Latn-RS"/>
        </w:rPr>
        <w:t xml:space="preserve"> </w:t>
      </w:r>
      <w:r w:rsidR="00F63519" w:rsidRPr="00AE5B0E">
        <w:rPr>
          <w:rFonts w:cstheme="minorHAnsi"/>
          <w:shd w:val="clear" w:color="auto" w:fill="FFFFFF"/>
        </w:rPr>
        <w:t xml:space="preserve">green </w:t>
      </w:r>
      <w:r w:rsidR="0022698A" w:rsidRPr="00AE5B0E">
        <w:rPr>
          <w:rFonts w:cstheme="minorHAnsi"/>
          <w:shd w:val="clear" w:color="auto" w:fill="FFFFFF"/>
        </w:rPr>
        <w:t>investments</w:t>
      </w:r>
      <w:r w:rsidRPr="00AE5B0E">
        <w:rPr>
          <w:rFonts w:cstheme="minorHAnsi"/>
          <w:shd w:val="clear" w:color="auto" w:fill="FFFFFF"/>
        </w:rPr>
        <w:t xml:space="preserve">.   </w:t>
      </w:r>
    </w:p>
    <w:p w14:paraId="404FCCA3" w14:textId="747A536A" w:rsidR="00CC309F" w:rsidRPr="00AE5B0E" w:rsidRDefault="00DC074E" w:rsidP="009E6E45">
      <w:pPr>
        <w:jc w:val="both"/>
        <w:rPr>
          <w:rFonts w:cstheme="minorHAnsi"/>
          <w:shd w:val="clear" w:color="auto" w:fill="FFFFFF"/>
        </w:rPr>
      </w:pPr>
      <w:r w:rsidRPr="00AE5B0E">
        <w:rPr>
          <w:rFonts w:cstheme="minorHAnsi"/>
          <w:shd w:val="clear" w:color="auto" w:fill="FFFFFF"/>
        </w:rPr>
        <w:t>S</w:t>
      </w:r>
      <w:r w:rsidR="00DC173B" w:rsidRPr="00AE5B0E">
        <w:rPr>
          <w:rFonts w:cstheme="minorHAnsi"/>
          <w:shd w:val="clear" w:color="auto" w:fill="FFFFFF"/>
        </w:rPr>
        <w:t>takeholder outreach</w:t>
      </w:r>
      <w:r w:rsidRPr="00AE5B0E">
        <w:rPr>
          <w:rFonts w:cstheme="minorHAnsi"/>
          <w:shd w:val="clear" w:color="auto" w:fill="FFFFFF"/>
        </w:rPr>
        <w:t xml:space="preserve"> and </w:t>
      </w:r>
      <w:r w:rsidR="001B73DB" w:rsidRPr="00AE5B0E">
        <w:rPr>
          <w:rFonts w:cstheme="minorHAnsi"/>
          <w:shd w:val="clear" w:color="auto" w:fill="FFFFFF"/>
        </w:rPr>
        <w:t>engagement</w:t>
      </w:r>
      <w:r w:rsidR="00AD05E8" w:rsidRPr="00AE5B0E">
        <w:rPr>
          <w:rFonts w:cstheme="minorHAnsi"/>
          <w:shd w:val="clear" w:color="auto" w:fill="FFFFFF"/>
        </w:rPr>
        <w:t xml:space="preserve"> modalities</w:t>
      </w:r>
      <w:r w:rsidR="00DC173B" w:rsidRPr="00AE5B0E">
        <w:rPr>
          <w:rFonts w:cstheme="minorHAnsi"/>
          <w:shd w:val="clear" w:color="auto" w:fill="FFFFFF"/>
        </w:rPr>
        <w:t xml:space="preserve"> will be tailored to accommodate </w:t>
      </w:r>
      <w:r w:rsidR="00AD05E8" w:rsidRPr="00AE5B0E">
        <w:rPr>
          <w:rFonts w:cstheme="minorHAnsi"/>
          <w:shd w:val="clear" w:color="auto" w:fill="FFFFFF"/>
        </w:rPr>
        <w:t xml:space="preserve">the </w:t>
      </w:r>
      <w:r w:rsidR="001B73DB" w:rsidRPr="00AE5B0E">
        <w:rPr>
          <w:rFonts w:cstheme="minorHAnsi"/>
          <w:shd w:val="clear" w:color="auto" w:fill="FFFFFF"/>
        </w:rPr>
        <w:t xml:space="preserve">different </w:t>
      </w:r>
      <w:r w:rsidR="00DC173B" w:rsidRPr="00AE5B0E">
        <w:rPr>
          <w:rFonts w:cstheme="minorHAnsi"/>
          <w:shd w:val="clear" w:color="auto" w:fill="FFFFFF"/>
        </w:rPr>
        <w:t>needs</w:t>
      </w:r>
      <w:r w:rsidR="001B73DB" w:rsidRPr="00AE5B0E">
        <w:rPr>
          <w:rFonts w:cstheme="minorHAnsi"/>
          <w:shd w:val="clear" w:color="auto" w:fill="FFFFFF"/>
        </w:rPr>
        <w:t xml:space="preserve"> of various stakeholder groups.</w:t>
      </w:r>
      <w:r w:rsidR="002A521B" w:rsidRPr="00AE5B0E">
        <w:rPr>
          <w:rFonts w:cstheme="minorHAnsi"/>
          <w:shd w:val="clear" w:color="auto" w:fill="FFFFFF"/>
        </w:rPr>
        <w:t xml:space="preserve"> T</w:t>
      </w:r>
      <w:r w:rsidR="00BD3823" w:rsidRPr="00AE5B0E">
        <w:rPr>
          <w:rFonts w:cstheme="minorHAnsi"/>
          <w:shd w:val="clear" w:color="auto" w:fill="FFFFFF"/>
        </w:rPr>
        <w:t xml:space="preserve">he SEP will integrate a communication and awareness-raising plan which will be targeted to address all concerns and issues that could result from proposed activities </w:t>
      </w:r>
      <w:r w:rsidR="009B0B05" w:rsidRPr="00AE5B0E">
        <w:rPr>
          <w:rFonts w:cstheme="minorHAnsi"/>
          <w:shd w:val="clear" w:color="auto" w:fill="FFFFFF"/>
        </w:rPr>
        <w:t xml:space="preserve">relevant to </w:t>
      </w:r>
      <w:r w:rsidR="006B2186" w:rsidRPr="00AE5B0E">
        <w:rPr>
          <w:rFonts w:cstheme="minorHAnsi"/>
          <w:shd w:val="clear" w:color="auto" w:fill="FFFFFF"/>
        </w:rPr>
        <w:t xml:space="preserve">the implementation </w:t>
      </w:r>
      <w:proofErr w:type="gramStart"/>
      <w:r w:rsidR="006B2186" w:rsidRPr="00AE5B0E">
        <w:rPr>
          <w:rFonts w:cstheme="minorHAnsi"/>
          <w:shd w:val="clear" w:color="auto" w:fill="FFFFFF"/>
        </w:rPr>
        <w:t xml:space="preserve">of </w:t>
      </w:r>
      <w:r w:rsidR="00BD3823" w:rsidRPr="00AE5B0E">
        <w:rPr>
          <w:rFonts w:cstheme="minorHAnsi"/>
          <w:shd w:val="clear" w:color="auto" w:fill="FFFFFF"/>
        </w:rPr>
        <w:t xml:space="preserve"> MRV</w:t>
      </w:r>
      <w:proofErr w:type="gramEnd"/>
      <w:r w:rsidR="00BD3823" w:rsidRPr="00AE5B0E">
        <w:rPr>
          <w:rFonts w:cstheme="minorHAnsi"/>
          <w:shd w:val="clear" w:color="auto" w:fill="FFFFFF"/>
        </w:rPr>
        <w:t xml:space="preserve"> system for GHG emissions.</w:t>
      </w:r>
      <w:r w:rsidR="004030F0" w:rsidRPr="00AE5B0E">
        <w:rPr>
          <w:rFonts w:cstheme="minorHAnsi"/>
        </w:rPr>
        <w:t xml:space="preserve"> </w:t>
      </w:r>
      <w:r w:rsidR="004030F0" w:rsidRPr="00AE5B0E">
        <w:rPr>
          <w:rFonts w:cstheme="minorHAnsi"/>
          <w:shd w:val="clear" w:color="auto" w:fill="FFFFFF"/>
        </w:rPr>
        <w:t>The part-time engaged Social/Environmental expert</w:t>
      </w:r>
      <w:r w:rsidR="00D647A6" w:rsidRPr="00AE5B0E">
        <w:rPr>
          <w:rFonts w:cstheme="minorHAnsi"/>
          <w:shd w:val="clear" w:color="auto" w:fill="FFFFFF"/>
        </w:rPr>
        <w:t>(s)</w:t>
      </w:r>
      <w:r w:rsidR="004030F0" w:rsidRPr="00AE5B0E">
        <w:rPr>
          <w:rFonts w:cstheme="minorHAnsi"/>
          <w:shd w:val="clear" w:color="auto" w:fill="FFFFFF"/>
        </w:rPr>
        <w:t xml:space="preserve"> will develop a communication and awareness-raising plan. </w:t>
      </w:r>
      <w:r w:rsidR="00704FE0" w:rsidRPr="00AE5B0E">
        <w:rPr>
          <w:rFonts w:cstheme="minorHAnsi"/>
          <w:shd w:val="clear" w:color="auto" w:fill="FFFFFF"/>
        </w:rPr>
        <w:t>I</w:t>
      </w:r>
      <w:r w:rsidR="00BD3823" w:rsidRPr="00AE5B0E">
        <w:rPr>
          <w:rFonts w:cstheme="minorHAnsi"/>
          <w:shd w:val="clear" w:color="auto" w:fill="FFFFFF"/>
        </w:rPr>
        <w:t xml:space="preserve">nformation flows </w:t>
      </w:r>
      <w:r w:rsidR="00933945" w:rsidRPr="00AE5B0E">
        <w:rPr>
          <w:rFonts w:cstheme="minorHAnsi"/>
          <w:shd w:val="clear" w:color="auto" w:fill="FFFFFF"/>
        </w:rPr>
        <w:t>(</w:t>
      </w:r>
      <w:r w:rsidR="001D0575" w:rsidRPr="00AE5B0E">
        <w:rPr>
          <w:rFonts w:cstheme="minorHAnsi"/>
          <w:shd w:val="clear" w:color="auto" w:fill="FFFFFF"/>
        </w:rPr>
        <w:t>including data management and privacy</w:t>
      </w:r>
      <w:r w:rsidR="00933945" w:rsidRPr="00AE5B0E">
        <w:rPr>
          <w:rFonts w:cstheme="minorHAnsi"/>
          <w:shd w:val="clear" w:color="auto" w:fill="FFFFFF"/>
        </w:rPr>
        <w:t>)</w:t>
      </w:r>
      <w:r w:rsidR="001D0575" w:rsidRPr="00AE5B0E">
        <w:rPr>
          <w:rFonts w:cstheme="minorHAnsi"/>
          <w:shd w:val="clear" w:color="auto" w:fill="FFFFFF"/>
        </w:rPr>
        <w:t xml:space="preserve"> </w:t>
      </w:r>
      <w:r w:rsidR="00BD3823" w:rsidRPr="00AE5B0E">
        <w:rPr>
          <w:rFonts w:cstheme="minorHAnsi"/>
          <w:shd w:val="clear" w:color="auto" w:fill="FFFFFF"/>
        </w:rPr>
        <w:t>and policy commitments</w:t>
      </w:r>
      <w:r w:rsidR="00704FE0" w:rsidRPr="00AE5B0E">
        <w:rPr>
          <w:rFonts w:cstheme="minorHAnsi"/>
          <w:shd w:val="clear" w:color="auto" w:fill="FFFFFF"/>
        </w:rPr>
        <w:t xml:space="preserve"> will be defined </w:t>
      </w:r>
      <w:r w:rsidR="00BD3823" w:rsidRPr="00AE5B0E">
        <w:rPr>
          <w:rFonts w:cstheme="minorHAnsi"/>
          <w:shd w:val="clear" w:color="auto" w:fill="FFFFFF"/>
        </w:rPr>
        <w:t>and will be regularly updated during</w:t>
      </w:r>
      <w:r w:rsidR="00933945" w:rsidRPr="00AE5B0E">
        <w:rPr>
          <w:rFonts w:cstheme="minorHAnsi"/>
          <w:shd w:val="clear" w:color="auto" w:fill="FFFFFF"/>
        </w:rPr>
        <w:t xml:space="preserve"> </w:t>
      </w:r>
      <w:r w:rsidR="00CC309F" w:rsidRPr="00AE5B0E">
        <w:rPr>
          <w:rFonts w:cstheme="minorHAnsi"/>
          <w:shd w:val="clear" w:color="auto" w:fill="FFFFFF"/>
        </w:rPr>
        <w:t xml:space="preserve">project </w:t>
      </w:r>
      <w:r w:rsidR="00BD3823" w:rsidRPr="00AE5B0E">
        <w:rPr>
          <w:rFonts w:cstheme="minorHAnsi"/>
          <w:shd w:val="clear" w:color="auto" w:fill="FFFFFF"/>
        </w:rPr>
        <w:t>implementation</w:t>
      </w:r>
      <w:r w:rsidR="00CC309F" w:rsidRPr="00AE5B0E">
        <w:rPr>
          <w:rFonts w:cstheme="minorHAnsi"/>
          <w:shd w:val="clear" w:color="auto" w:fill="FFFFFF"/>
        </w:rPr>
        <w:t>.</w:t>
      </w:r>
      <w:r w:rsidR="00212ACB" w:rsidRPr="00AE5B0E">
        <w:rPr>
          <w:rFonts w:cstheme="minorHAnsi"/>
          <w:shd w:val="clear" w:color="auto" w:fill="FFFFFF"/>
        </w:rPr>
        <w:t xml:space="preserve"> The existing practices and channels for discussion with interested stakeholders on PFM and green agenda topics will be the key element of the consultation process. </w:t>
      </w:r>
    </w:p>
    <w:p w14:paraId="506A7111" w14:textId="77777777" w:rsidR="000E5955" w:rsidRPr="00AE5B0E" w:rsidRDefault="00FA4DF9" w:rsidP="009E6E45">
      <w:pPr>
        <w:jc w:val="both"/>
        <w:rPr>
          <w:rFonts w:cstheme="minorHAnsi"/>
          <w:shd w:val="clear" w:color="auto" w:fill="FFFFFF"/>
        </w:rPr>
      </w:pPr>
      <w:r w:rsidRPr="00AE5B0E">
        <w:rPr>
          <w:rFonts w:cstheme="minorHAnsi"/>
          <w:shd w:val="clear" w:color="auto" w:fill="FFFFFF"/>
        </w:rPr>
        <w:t>A central Grievance Mechanism (GM) will be established within the PCU to collect and manage all project-related grievances. This will complement the existing GMs of participating government institutions</w:t>
      </w:r>
      <w:r w:rsidR="00237DB9" w:rsidRPr="00AE5B0E">
        <w:rPr>
          <w:rFonts w:cstheme="minorHAnsi"/>
          <w:shd w:val="clear" w:color="auto" w:fill="FFFFFF"/>
        </w:rPr>
        <w:t>.</w:t>
      </w:r>
      <w:r w:rsidRPr="00AE5B0E">
        <w:rPr>
          <w:rFonts w:cstheme="minorHAnsi"/>
          <w:shd w:val="clear" w:color="auto" w:fill="FFFFFF"/>
        </w:rPr>
        <w:t xml:space="preserve"> </w:t>
      </w:r>
      <w:r w:rsidR="00D4779E" w:rsidRPr="00AE5B0E">
        <w:rPr>
          <w:rFonts w:cstheme="minorHAnsi"/>
          <w:shd w:val="clear" w:color="auto" w:fill="FFFFFF"/>
        </w:rPr>
        <w:t xml:space="preserve">PCU will appoint </w:t>
      </w:r>
      <w:r w:rsidR="00CC309F" w:rsidRPr="00AE5B0E">
        <w:rPr>
          <w:rFonts w:cstheme="minorHAnsi"/>
          <w:shd w:val="clear" w:color="auto" w:fill="FFFFFF"/>
        </w:rPr>
        <w:t>a</w:t>
      </w:r>
      <w:r w:rsidR="00D4779E" w:rsidRPr="00AE5B0E">
        <w:rPr>
          <w:rFonts w:cstheme="minorHAnsi"/>
          <w:shd w:val="clear" w:color="auto" w:fill="FFFFFF"/>
        </w:rPr>
        <w:t xml:space="preserve"> grievance focal point responsible for collecting grievances from different entry points, analyzing the data and monitoring any outstanding issues. This person will be instructed to report concerns related to the program activities to PCU </w:t>
      </w:r>
      <w:r w:rsidR="002A521B" w:rsidRPr="00AE5B0E">
        <w:rPr>
          <w:rFonts w:cstheme="minorHAnsi"/>
          <w:shd w:val="clear" w:color="auto" w:fill="FFFFFF"/>
        </w:rPr>
        <w:t xml:space="preserve">and </w:t>
      </w:r>
      <w:r w:rsidR="00D4779E" w:rsidRPr="00AE5B0E">
        <w:rPr>
          <w:rFonts w:cstheme="minorHAnsi"/>
          <w:shd w:val="clear" w:color="auto" w:fill="FFFFFF"/>
        </w:rPr>
        <w:t xml:space="preserve">to keep and manage a central grievance log. </w:t>
      </w:r>
    </w:p>
    <w:p w14:paraId="1E806994" w14:textId="13DF06DE" w:rsidR="004A63CD" w:rsidRPr="00AE5B0E" w:rsidRDefault="00B80383" w:rsidP="009E6E45">
      <w:pPr>
        <w:jc w:val="both"/>
        <w:rPr>
          <w:rFonts w:cstheme="minorHAnsi"/>
          <w:shd w:val="clear" w:color="auto" w:fill="FFFFFF"/>
        </w:rPr>
      </w:pPr>
      <w:r w:rsidRPr="00AE5B0E">
        <w:rPr>
          <w:rFonts w:cstheme="minorHAnsi"/>
          <w:shd w:val="clear" w:color="auto" w:fill="FFFFFF"/>
        </w:rPr>
        <w:t>The</w:t>
      </w:r>
      <w:r w:rsidR="004030F0" w:rsidRPr="00AE5B0E">
        <w:rPr>
          <w:rFonts w:cstheme="minorHAnsi"/>
          <w:shd w:val="clear" w:color="auto" w:fill="FFFFFF"/>
        </w:rPr>
        <w:t xml:space="preserve"> </w:t>
      </w:r>
      <w:r w:rsidRPr="00AE5B0E">
        <w:rPr>
          <w:rFonts w:cstheme="minorHAnsi"/>
          <w:shd w:val="clear" w:color="auto" w:fill="FFFFFF"/>
        </w:rPr>
        <w:t>MOF PCU will publicly disclose the information on</w:t>
      </w:r>
      <w:r w:rsidR="00101CB1" w:rsidRPr="00AE5B0E">
        <w:rPr>
          <w:rFonts w:cstheme="minorHAnsi"/>
          <w:shd w:val="clear" w:color="auto" w:fill="FFFFFF"/>
        </w:rPr>
        <w:t xml:space="preserve"> how the complaint</w:t>
      </w:r>
      <w:r w:rsidR="0028457C" w:rsidRPr="00AE5B0E">
        <w:rPr>
          <w:rFonts w:cstheme="minorHAnsi"/>
          <w:shd w:val="clear" w:color="auto" w:fill="FFFFFF"/>
        </w:rPr>
        <w:t xml:space="preserve">s </w:t>
      </w:r>
      <w:proofErr w:type="gramStart"/>
      <w:r w:rsidR="006730ED" w:rsidRPr="00AE5B0E">
        <w:rPr>
          <w:rFonts w:cstheme="minorHAnsi"/>
          <w:shd w:val="clear" w:color="auto" w:fill="FFFFFF"/>
        </w:rPr>
        <w:t xml:space="preserve">may </w:t>
      </w:r>
      <w:r w:rsidR="0028457C" w:rsidRPr="00AE5B0E">
        <w:rPr>
          <w:rFonts w:cstheme="minorHAnsi"/>
          <w:shd w:val="clear" w:color="auto" w:fill="FFFFFF"/>
        </w:rPr>
        <w:t xml:space="preserve"> be</w:t>
      </w:r>
      <w:proofErr w:type="gramEnd"/>
      <w:r w:rsidR="0028457C" w:rsidRPr="00AE5B0E">
        <w:rPr>
          <w:rFonts w:cstheme="minorHAnsi"/>
          <w:shd w:val="clear" w:color="auto" w:fill="FFFFFF"/>
        </w:rPr>
        <w:t xml:space="preserve"> submitted and </w:t>
      </w:r>
      <w:r w:rsidR="006730ED" w:rsidRPr="00AE5B0E">
        <w:rPr>
          <w:rFonts w:cstheme="minorHAnsi"/>
          <w:shd w:val="clear" w:color="auto" w:fill="FFFFFF"/>
        </w:rPr>
        <w:t xml:space="preserve">how they will be </w:t>
      </w:r>
      <w:r w:rsidR="0028457C" w:rsidRPr="00AE5B0E">
        <w:rPr>
          <w:rFonts w:cstheme="minorHAnsi"/>
          <w:shd w:val="clear" w:color="auto" w:fill="FFFFFF"/>
        </w:rPr>
        <w:t xml:space="preserve">processed. This will include: </w:t>
      </w:r>
    </w:p>
    <w:p w14:paraId="3F5F026C" w14:textId="77777777" w:rsidR="004A63CD" w:rsidRPr="00AE5B0E" w:rsidRDefault="004A63CD" w:rsidP="009E6E45">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lastRenderedPageBreak/>
        <w:t xml:space="preserve">a procedure to </w:t>
      </w:r>
      <w:r w:rsidRPr="00AE5B0E">
        <w:rPr>
          <w:rFonts w:asciiTheme="minorHAnsi" w:hAnsiTheme="minorHAnsi" w:cstheme="minorHAnsi"/>
          <w:szCs w:val="22"/>
          <w:shd w:val="clear" w:color="auto" w:fill="FFFFFF"/>
          <w:lang w:val="en-US"/>
        </w:rPr>
        <w:t xml:space="preserve">submit </w:t>
      </w:r>
      <w:r w:rsidRPr="00AE5B0E">
        <w:rPr>
          <w:rFonts w:asciiTheme="minorHAnsi" w:hAnsiTheme="minorHAnsi" w:cstheme="minorHAnsi"/>
          <w:szCs w:val="22"/>
          <w:shd w:val="clear" w:color="auto" w:fill="FFFFFF"/>
        </w:rPr>
        <w:t xml:space="preserve"> grievances</w:t>
      </w:r>
      <w:r w:rsidRPr="00AE5B0E">
        <w:rPr>
          <w:rFonts w:asciiTheme="minorHAnsi" w:hAnsiTheme="minorHAnsi" w:cstheme="minorHAnsi"/>
          <w:szCs w:val="22"/>
          <w:shd w:val="clear" w:color="auto" w:fill="FFFFFF"/>
          <w:lang w:val="en-US"/>
        </w:rPr>
        <w:t xml:space="preserve"> th</w:t>
      </w:r>
      <w:r w:rsidR="006E40D0" w:rsidRPr="00AE5B0E">
        <w:rPr>
          <w:rFonts w:asciiTheme="minorHAnsi" w:hAnsiTheme="minorHAnsi" w:cstheme="minorHAnsi"/>
          <w:szCs w:val="22"/>
          <w:shd w:val="clear" w:color="auto" w:fill="FFFFFF"/>
          <w:lang w:val="en-US"/>
        </w:rPr>
        <w:t>r</w:t>
      </w:r>
      <w:r w:rsidRPr="00AE5B0E">
        <w:rPr>
          <w:rFonts w:asciiTheme="minorHAnsi" w:hAnsiTheme="minorHAnsi" w:cstheme="minorHAnsi"/>
          <w:szCs w:val="22"/>
          <w:shd w:val="clear" w:color="auto" w:fill="FFFFFF"/>
          <w:lang w:val="en-US"/>
        </w:rPr>
        <w:t xml:space="preserve">ough various channels </w:t>
      </w:r>
      <w:r w:rsidRPr="00AE5B0E">
        <w:rPr>
          <w:rFonts w:asciiTheme="minorHAnsi" w:hAnsiTheme="minorHAnsi" w:cstheme="minorHAnsi"/>
          <w:szCs w:val="22"/>
          <w:shd w:val="clear" w:color="auto" w:fill="FFFFFF"/>
        </w:rPr>
        <w:t xml:space="preserve"> such as comment/complaint form</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suggestion boxes, email</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xml:space="preserve">, </w:t>
      </w:r>
      <w:r w:rsidRPr="00AE5B0E">
        <w:rPr>
          <w:rFonts w:asciiTheme="minorHAnsi" w:hAnsiTheme="minorHAnsi" w:cstheme="minorHAnsi"/>
          <w:szCs w:val="22"/>
          <w:shd w:val="clear" w:color="auto" w:fill="FFFFFF"/>
          <w:lang w:val="en-US"/>
        </w:rPr>
        <w:t xml:space="preserve">and </w:t>
      </w:r>
      <w:r w:rsidRPr="00AE5B0E">
        <w:rPr>
          <w:rFonts w:asciiTheme="minorHAnsi" w:hAnsiTheme="minorHAnsi" w:cstheme="minorHAnsi"/>
          <w:szCs w:val="22"/>
          <w:shd w:val="clear" w:color="auto" w:fill="FFFFFF"/>
        </w:rPr>
        <w:t>telephone hotline</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 xml:space="preserve">; </w:t>
      </w:r>
    </w:p>
    <w:p w14:paraId="3AECB0CB" w14:textId="77777777" w:rsidR="004A63CD" w:rsidRPr="00AE5B0E" w:rsidRDefault="004A63CD" w:rsidP="009E6E45">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lang w:val="en-US"/>
        </w:rPr>
        <w:t xml:space="preserve">a procedure for addressing complaints including </w:t>
      </w:r>
      <w:r w:rsidRPr="00AE5B0E">
        <w:rPr>
          <w:rFonts w:asciiTheme="minorHAnsi" w:hAnsiTheme="minorHAnsi" w:cstheme="minorHAnsi"/>
          <w:szCs w:val="22"/>
          <w:shd w:val="clear" w:color="auto" w:fill="FFFFFF"/>
        </w:rPr>
        <w:t xml:space="preserve">stipulated timeframes to respond to grievances. </w:t>
      </w:r>
    </w:p>
    <w:p w14:paraId="25472122" w14:textId="77777777" w:rsidR="00444D9B" w:rsidRPr="00AE5B0E" w:rsidRDefault="000E1AE1" w:rsidP="009E6E45">
      <w:pPr>
        <w:jc w:val="both"/>
        <w:rPr>
          <w:rFonts w:cstheme="minorHAnsi"/>
          <w:shd w:val="clear" w:color="auto" w:fill="FFFFFF"/>
        </w:rPr>
      </w:pPr>
      <w:r w:rsidRPr="00AE5B0E">
        <w:rPr>
          <w:rFonts w:cstheme="minorHAnsi"/>
          <w:shd w:val="clear" w:color="auto" w:fill="FFFFFF"/>
        </w:rPr>
        <w:t>The GM will be presented and explained in detail in the POM</w:t>
      </w:r>
    </w:p>
    <w:p w14:paraId="34CED079" w14:textId="77777777" w:rsidR="005F537B" w:rsidRPr="00AE5B0E" w:rsidRDefault="000E1AE1" w:rsidP="009E6E45">
      <w:pPr>
        <w:jc w:val="both"/>
        <w:rPr>
          <w:rFonts w:cstheme="minorHAnsi"/>
          <w:shd w:val="clear" w:color="auto" w:fill="FFFFFF"/>
        </w:rPr>
      </w:pPr>
      <w:r w:rsidRPr="00AE5B0E">
        <w:rPr>
          <w:rFonts w:cstheme="minorHAnsi"/>
          <w:shd w:val="clear" w:color="auto" w:fill="FFFFFF"/>
        </w:rPr>
        <w:t>In the case of</w:t>
      </w:r>
      <w:r w:rsidR="00BA6E74" w:rsidRPr="00AE5B0E">
        <w:rPr>
          <w:rFonts w:cstheme="minorHAnsi"/>
          <w:shd w:val="clear" w:color="auto" w:fill="FFFFFF"/>
        </w:rPr>
        <w:t xml:space="preserve"> </w:t>
      </w:r>
      <w:r w:rsidR="0068447A" w:rsidRPr="00AE5B0E">
        <w:rPr>
          <w:rFonts w:cstheme="minorHAnsi"/>
          <w:shd w:val="clear" w:color="auto" w:fill="FFFFFF"/>
        </w:rPr>
        <w:t>any</w:t>
      </w:r>
      <w:r w:rsidR="00BA6E74" w:rsidRPr="00AE5B0E">
        <w:rPr>
          <w:rFonts w:cstheme="minorHAnsi"/>
          <w:shd w:val="clear" w:color="auto" w:fill="FFFFFF"/>
        </w:rPr>
        <w:t xml:space="preserve"> pandemic outbreak, during project implementation, limitations to traditional stakeholder engagement activities may be imposed (i.e. exercise social distancing and avoid public gatherings) to prevent and reduce the risk of the virus transmission. In such circumstances, citizen engagement will be performed as per specifications listed in the World Bank’s Technical Note: Public Consultations and Stakeholder Engagement in WB-supported operations when there are constraints on conducting public meetings. </w:t>
      </w:r>
    </w:p>
    <w:p w14:paraId="7D20717E" w14:textId="77777777" w:rsidR="00E22D86" w:rsidRPr="00AE5B0E" w:rsidRDefault="005F537B" w:rsidP="00EF6E6B">
      <w:pPr>
        <w:jc w:val="center"/>
        <w:rPr>
          <w:rFonts w:cstheme="minorHAnsi"/>
          <w:b/>
          <w:bCs/>
          <w:color w:val="4472C4" w:themeColor="accent1"/>
          <w:u w:val="single"/>
          <w:shd w:val="clear" w:color="auto" w:fill="FFFFFF"/>
        </w:rPr>
      </w:pPr>
      <w:r w:rsidRPr="00AE5B0E">
        <w:rPr>
          <w:rFonts w:cstheme="minorHAnsi"/>
          <w:b/>
          <w:bCs/>
          <w:color w:val="4472C4" w:themeColor="accent1"/>
          <w:u w:val="single"/>
          <w:shd w:val="clear" w:color="auto" w:fill="FFFFFF"/>
        </w:rPr>
        <w:t>Environmental and Social Standard 2 – Labor and Working Conditions</w:t>
      </w:r>
    </w:p>
    <w:p w14:paraId="60AEF02C" w14:textId="77777777" w:rsidR="005F537B" w:rsidRPr="00AE5B0E" w:rsidRDefault="00E22D86" w:rsidP="005F537B">
      <w:pPr>
        <w:jc w:val="both"/>
        <w:rPr>
          <w:rFonts w:cstheme="minorHAnsi"/>
          <w:shd w:val="clear" w:color="auto" w:fill="FFFFFF"/>
        </w:rPr>
      </w:pPr>
      <w:r w:rsidRPr="00AE5B0E">
        <w:rPr>
          <w:rFonts w:cstheme="minorHAnsi"/>
          <w:b/>
          <w:bCs/>
          <w:u w:val="single"/>
          <w:shd w:val="clear" w:color="auto" w:fill="FFFFFF"/>
        </w:rPr>
        <w:t>This standard</w:t>
      </w:r>
      <w:r w:rsidR="005F537B" w:rsidRPr="00AE5B0E">
        <w:rPr>
          <w:rFonts w:cstheme="minorHAnsi"/>
          <w:shd w:val="clear" w:color="auto" w:fill="FFFFFF"/>
        </w:rPr>
        <w:t xml:space="preserve"> regulates working conditions, and </w:t>
      </w:r>
      <w:r w:rsidRPr="00AE5B0E">
        <w:rPr>
          <w:rFonts w:cstheme="minorHAnsi"/>
          <w:shd w:val="clear" w:color="auto" w:fill="FFFFFF"/>
        </w:rPr>
        <w:t xml:space="preserve">the </w:t>
      </w:r>
      <w:r w:rsidR="005F537B" w:rsidRPr="00AE5B0E">
        <w:rPr>
          <w:rFonts w:cstheme="minorHAnsi"/>
          <w:shd w:val="clear" w:color="auto" w:fill="FFFFFF"/>
        </w:rPr>
        <w:t xml:space="preserve">scope of its application depends on the type of employment relations between the Borrower and project workers. The term “project worker” is related to: </w:t>
      </w:r>
    </w:p>
    <w:p w14:paraId="3240BC80"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directly by the Borrower (including the project proponent and the project implementing agencies) to work specifically in relation to the project (direct workers); </w:t>
      </w:r>
    </w:p>
    <w:p w14:paraId="788C3F48"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through third parties to perform work related to core functions of the project, regardless of location (contracted workers); </w:t>
      </w:r>
    </w:p>
    <w:p w14:paraId="3764A39E"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by the Borrower’s primary suppliers (primary supply workers); and </w:t>
      </w:r>
    </w:p>
    <w:p w14:paraId="2AE5C4FC" w14:textId="77777777" w:rsidR="005F537B" w:rsidRPr="00AE5B0E" w:rsidRDefault="005F537B" w:rsidP="005F537B">
      <w:pPr>
        <w:pStyle w:val="ListParagraph"/>
        <w:numPr>
          <w:ilvl w:val="0"/>
          <w:numId w:val="6"/>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people employed or engaged in providing community </w:t>
      </w:r>
      <w:proofErr w:type="spellStart"/>
      <w:r w:rsidRPr="00AE5B0E">
        <w:rPr>
          <w:rFonts w:asciiTheme="minorHAnsi" w:hAnsiTheme="minorHAnsi" w:cstheme="minorHAnsi"/>
          <w:szCs w:val="22"/>
          <w:shd w:val="clear" w:color="auto" w:fill="FFFFFF"/>
        </w:rPr>
        <w:t>labo</w:t>
      </w:r>
      <w:r w:rsidR="00F43612" w:rsidRPr="00AE5B0E">
        <w:rPr>
          <w:rFonts w:asciiTheme="minorHAnsi" w:hAnsiTheme="minorHAnsi" w:cstheme="minorHAnsi"/>
          <w:szCs w:val="22"/>
          <w:shd w:val="clear" w:color="auto" w:fill="FFFFFF"/>
        </w:rPr>
        <w:t>u</w:t>
      </w:r>
      <w:r w:rsidRPr="00AE5B0E">
        <w:rPr>
          <w:rFonts w:asciiTheme="minorHAnsi" w:hAnsiTheme="minorHAnsi" w:cstheme="minorHAnsi"/>
          <w:szCs w:val="22"/>
          <w:shd w:val="clear" w:color="auto" w:fill="FFFFFF"/>
        </w:rPr>
        <w:t>r</w:t>
      </w:r>
      <w:proofErr w:type="spellEnd"/>
      <w:r w:rsidRPr="00AE5B0E">
        <w:rPr>
          <w:rFonts w:asciiTheme="minorHAnsi" w:hAnsiTheme="minorHAnsi" w:cstheme="minorHAnsi"/>
          <w:szCs w:val="22"/>
          <w:shd w:val="clear" w:color="auto" w:fill="FFFFFF"/>
        </w:rPr>
        <w:t xml:space="preserve"> (community workers).</w:t>
      </w:r>
    </w:p>
    <w:p w14:paraId="4BC2B031" w14:textId="77777777" w:rsidR="005F537B" w:rsidRPr="00AE5B0E" w:rsidRDefault="005F537B" w:rsidP="005F537B">
      <w:pPr>
        <w:jc w:val="both"/>
        <w:rPr>
          <w:rFonts w:cstheme="minorHAnsi"/>
          <w:shd w:val="clear" w:color="auto" w:fill="FFFFFF"/>
        </w:rPr>
      </w:pPr>
    </w:p>
    <w:p w14:paraId="06EE2DEF" w14:textId="77777777"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ESS2 objectives are: </w:t>
      </w:r>
    </w:p>
    <w:p w14:paraId="7A64CD0A"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safety and health at work.</w:t>
      </w:r>
    </w:p>
    <w:p w14:paraId="081AE0B6"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promote fair treatment, nondiscrimination and equal opportunity for project workers.</w:t>
      </w:r>
    </w:p>
    <w:p w14:paraId="0A2B6523"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protect project workers, including vulnerable workers such as women, persons with disabilities</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and migrant workers, contracted workers, community workers and primary supply workers.</w:t>
      </w:r>
    </w:p>
    <w:p w14:paraId="3DD399FA"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prevent the use of all forms of forced labor and child labor.</w:t>
      </w:r>
    </w:p>
    <w:p w14:paraId="79C6D060"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support the principles of freedom of association and collective bargaining of project workers in a manner consistent with national law.</w:t>
      </w:r>
    </w:p>
    <w:p w14:paraId="5B34FACB" w14:textId="77777777" w:rsidR="005F537B" w:rsidRPr="00AE5B0E" w:rsidRDefault="005F537B" w:rsidP="005F537B">
      <w:pPr>
        <w:pStyle w:val="ListParagraph"/>
        <w:numPr>
          <w:ilvl w:val="0"/>
          <w:numId w:val="7"/>
        </w:numPr>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To provide project workers with accessible means to raise workplace concerns.</w:t>
      </w:r>
    </w:p>
    <w:p w14:paraId="1A862AC5" w14:textId="77777777" w:rsidR="005F537B" w:rsidRPr="00AE5B0E" w:rsidRDefault="005F537B" w:rsidP="005F537B">
      <w:pPr>
        <w:jc w:val="both"/>
        <w:rPr>
          <w:rFonts w:cstheme="minorHAnsi"/>
          <w:b/>
          <w:bCs/>
          <w:i/>
          <w:iCs/>
          <w:color w:val="3F4257"/>
          <w:u w:val="single"/>
          <w:shd w:val="clear" w:color="auto" w:fill="FFFFFF"/>
        </w:rPr>
      </w:pPr>
      <w:r w:rsidRPr="00AE5B0E">
        <w:rPr>
          <w:rFonts w:cstheme="minorHAnsi"/>
          <w:b/>
          <w:bCs/>
          <w:i/>
          <w:iCs/>
          <w:color w:val="3F4257"/>
          <w:u w:val="single"/>
          <w:shd w:val="clear" w:color="auto" w:fill="FFFFFF"/>
        </w:rPr>
        <w:t xml:space="preserve">Relevance to the Project: </w:t>
      </w:r>
      <w:r w:rsidRPr="00AE5B0E">
        <w:rPr>
          <w:rStyle w:val="FootnoteReference"/>
          <w:rFonts w:cstheme="minorHAnsi"/>
          <w:b/>
          <w:bCs/>
          <w:i/>
          <w:iCs/>
          <w:color w:val="3F4257"/>
          <w:u w:val="single"/>
          <w:shd w:val="clear" w:color="auto" w:fill="FFFFFF"/>
        </w:rPr>
        <w:footnoteReference w:id="3"/>
      </w:r>
    </w:p>
    <w:p w14:paraId="2823860F" w14:textId="6E1721C7" w:rsidR="005F537B" w:rsidRPr="00AE5B0E" w:rsidRDefault="005F537B" w:rsidP="005F537B">
      <w:pPr>
        <w:jc w:val="both"/>
        <w:rPr>
          <w:rFonts w:eastAsia="Calibri" w:cstheme="minorHAnsi"/>
        </w:rPr>
      </w:pPr>
      <w:r w:rsidRPr="00AE5B0E">
        <w:rPr>
          <w:rFonts w:cstheme="minorHAnsi"/>
          <w:shd w:val="clear" w:color="auto" w:fill="FFFFFF"/>
        </w:rPr>
        <w:t>Given that the IPF component primarily focuses on TA for public financial management improvement no large-scale civil works are envisaged and therefore only negligible adverse impacts related to labor working conditions are expected.</w:t>
      </w:r>
      <w:r w:rsidRPr="00AE5B0E">
        <w:rPr>
          <w:rFonts w:eastAsia="Calibri" w:cstheme="minorHAnsi"/>
        </w:rPr>
        <w:t xml:space="preserve"> </w:t>
      </w:r>
      <w:r w:rsidR="00022B33" w:rsidRPr="00AE5B0E">
        <w:rPr>
          <w:rFonts w:eastAsia="Calibri" w:cstheme="minorHAnsi"/>
        </w:rPr>
        <w:t xml:space="preserve">The applicable national legal framework is aligned with ILO conventions and principles of ESS2. </w:t>
      </w:r>
      <w:r w:rsidR="006D7781" w:rsidRPr="00AE5B0E">
        <w:rPr>
          <w:rFonts w:eastAsia="Calibri" w:cstheme="minorHAnsi"/>
        </w:rPr>
        <w:t xml:space="preserve">The </w:t>
      </w:r>
      <w:r w:rsidR="00967662" w:rsidRPr="00AE5B0E">
        <w:rPr>
          <w:rFonts w:eastAsia="Calibri" w:cstheme="minorHAnsi"/>
        </w:rPr>
        <w:t xml:space="preserve">part time </w:t>
      </w:r>
      <w:r w:rsidR="00D647A6" w:rsidRPr="00AE5B0E">
        <w:rPr>
          <w:rFonts w:eastAsia="Calibri" w:cstheme="minorHAnsi"/>
        </w:rPr>
        <w:t xml:space="preserve">Environmental/Social/CE </w:t>
      </w:r>
      <w:r w:rsidR="00967662" w:rsidRPr="00AE5B0E">
        <w:rPr>
          <w:rFonts w:eastAsia="Calibri" w:cstheme="minorHAnsi"/>
        </w:rPr>
        <w:t>expert</w:t>
      </w:r>
      <w:r w:rsidR="00D647A6" w:rsidRPr="00AE5B0E">
        <w:rPr>
          <w:rFonts w:eastAsia="Calibri" w:cstheme="minorHAnsi"/>
        </w:rPr>
        <w:t>(</w:t>
      </w:r>
      <w:r w:rsidR="00967662" w:rsidRPr="00AE5B0E">
        <w:rPr>
          <w:rFonts w:eastAsia="Calibri" w:cstheme="minorHAnsi"/>
        </w:rPr>
        <w:t>s</w:t>
      </w:r>
      <w:r w:rsidR="00D647A6" w:rsidRPr="00AE5B0E">
        <w:rPr>
          <w:rFonts w:eastAsia="Calibri" w:cstheme="minorHAnsi"/>
        </w:rPr>
        <w:t>)</w:t>
      </w:r>
      <w:r w:rsidR="00967662" w:rsidRPr="00AE5B0E">
        <w:rPr>
          <w:rFonts w:eastAsia="Calibri" w:cstheme="minorHAnsi"/>
        </w:rPr>
        <w:t xml:space="preserve"> </w:t>
      </w:r>
      <w:r w:rsidR="00332ACD" w:rsidRPr="00AE5B0E">
        <w:rPr>
          <w:rFonts w:eastAsia="Calibri" w:cstheme="minorHAnsi"/>
        </w:rPr>
        <w:t xml:space="preserve">will provide support to the </w:t>
      </w:r>
      <w:r w:rsidRPr="00AE5B0E">
        <w:rPr>
          <w:rFonts w:eastAsia="Calibri" w:cstheme="minorHAnsi"/>
        </w:rPr>
        <w:t xml:space="preserve">PCU </w:t>
      </w:r>
      <w:r w:rsidR="00332ACD" w:rsidRPr="00AE5B0E">
        <w:rPr>
          <w:rFonts w:eastAsia="Calibri" w:cstheme="minorHAnsi"/>
        </w:rPr>
        <w:lastRenderedPageBreak/>
        <w:t xml:space="preserve">in order to </w:t>
      </w:r>
      <w:r w:rsidR="006D7781" w:rsidRPr="00AE5B0E">
        <w:rPr>
          <w:rFonts w:eastAsia="Calibri" w:cstheme="minorHAnsi"/>
        </w:rPr>
        <w:t>ensure that all labor</w:t>
      </w:r>
      <w:r w:rsidR="00F17043" w:rsidRPr="00AE5B0E">
        <w:rPr>
          <w:rFonts w:eastAsia="Calibri" w:cstheme="minorHAnsi"/>
        </w:rPr>
        <w:t>-</w:t>
      </w:r>
      <w:r w:rsidR="006D7781" w:rsidRPr="00AE5B0E">
        <w:rPr>
          <w:rFonts w:eastAsia="Calibri" w:cstheme="minorHAnsi"/>
        </w:rPr>
        <w:t>related activities are</w:t>
      </w:r>
      <w:r w:rsidRPr="00AE5B0E">
        <w:rPr>
          <w:rFonts w:eastAsia="Calibri" w:cstheme="minorHAnsi"/>
        </w:rPr>
        <w:t xml:space="preserve"> consistent with national legislation and ESS2, and ensure </w:t>
      </w:r>
      <w:r w:rsidR="0046121E" w:rsidRPr="00AE5B0E">
        <w:rPr>
          <w:rFonts w:eastAsia="Calibri" w:cstheme="minorHAnsi"/>
        </w:rPr>
        <w:t>nec</w:t>
      </w:r>
      <w:r w:rsidR="00814975" w:rsidRPr="00AE5B0E">
        <w:rPr>
          <w:rFonts w:eastAsia="Calibri" w:cstheme="minorHAnsi"/>
        </w:rPr>
        <w:t>e</w:t>
      </w:r>
      <w:r w:rsidR="0046121E" w:rsidRPr="00AE5B0E">
        <w:rPr>
          <w:rFonts w:eastAsia="Calibri" w:cstheme="minorHAnsi"/>
        </w:rPr>
        <w:t>s</w:t>
      </w:r>
      <w:r w:rsidR="00C64383" w:rsidRPr="00AE5B0E">
        <w:rPr>
          <w:rFonts w:eastAsia="Calibri" w:cstheme="minorHAnsi"/>
        </w:rPr>
        <w:t>sa</w:t>
      </w:r>
      <w:r w:rsidR="0046121E" w:rsidRPr="00AE5B0E">
        <w:rPr>
          <w:rFonts w:eastAsia="Calibri" w:cstheme="minorHAnsi"/>
        </w:rPr>
        <w:t>ry information are</w:t>
      </w:r>
      <w:r w:rsidRPr="00AE5B0E">
        <w:rPr>
          <w:rFonts w:eastAsia="Calibri" w:cstheme="minorHAnsi"/>
        </w:rPr>
        <w:t xml:space="preserve"> available to Project workers and all sub-contractors engaged.</w:t>
      </w:r>
      <w:r w:rsidRPr="00AE5B0E">
        <w:rPr>
          <w:rFonts w:cstheme="minorHAnsi"/>
        </w:rPr>
        <w:t xml:space="preserve"> </w:t>
      </w:r>
    </w:p>
    <w:p w14:paraId="75DAB3A7" w14:textId="77777777" w:rsidR="005F537B" w:rsidRPr="00AE5B0E" w:rsidRDefault="005F537B" w:rsidP="005F537B">
      <w:pPr>
        <w:jc w:val="both"/>
        <w:rPr>
          <w:rFonts w:cstheme="minorHAnsi"/>
          <w:shd w:val="clear" w:color="auto" w:fill="FFFFFF"/>
        </w:rPr>
      </w:pPr>
      <w:r w:rsidRPr="00AE5B0E">
        <w:rPr>
          <w:rFonts w:cstheme="minorHAnsi"/>
          <w:shd w:val="clear" w:color="auto" w:fill="FFFFFF"/>
        </w:rPr>
        <w:t>For the IPF component of the Program, the project workers will include: (</w:t>
      </w:r>
      <w:proofErr w:type="spellStart"/>
      <w:r w:rsidRPr="00AE5B0E">
        <w:rPr>
          <w:rFonts w:cstheme="minorHAnsi"/>
          <w:shd w:val="clear" w:color="auto" w:fill="FFFFFF"/>
        </w:rPr>
        <w:t>i</w:t>
      </w:r>
      <w:proofErr w:type="spellEnd"/>
      <w:r w:rsidRPr="00AE5B0E">
        <w:rPr>
          <w:rFonts w:cstheme="minorHAnsi"/>
          <w:shd w:val="clear" w:color="auto" w:fill="FFFFFF"/>
        </w:rPr>
        <w:t>) direct workers; workers employed as public administration officials directly engaged with the IPF Component, (ii) employees in consulting firms hired for Technical Assistance (contracted workers), and (iii) depending on the activities to be performed under DLI8, the workers hired to undertake small–scale refurbishment and hardware installation works as part of the existing IT system upgrading (contracted workers).</w:t>
      </w:r>
    </w:p>
    <w:p w14:paraId="622B1570" w14:textId="0877B2CD" w:rsidR="005F537B" w:rsidRPr="00AE5B0E" w:rsidRDefault="005F537B" w:rsidP="005F537B">
      <w:pPr>
        <w:jc w:val="both"/>
        <w:rPr>
          <w:rFonts w:cstheme="minorHAnsi"/>
          <w:shd w:val="clear" w:color="auto" w:fill="FFFFFF"/>
        </w:rPr>
      </w:pPr>
      <w:r w:rsidRPr="00AE5B0E">
        <w:rPr>
          <w:rFonts w:cstheme="minorHAnsi"/>
          <w:shd w:val="clear" w:color="auto" w:fill="FFFFFF"/>
        </w:rPr>
        <w:t>As per ESS2, where government civil servants are working in connection with the project, whether full-time or part-time, they will remain subject to the terms and conditions of their existing public sector employment agreement or arrangement</w:t>
      </w:r>
      <w:r w:rsidR="004030F0" w:rsidRPr="00AE5B0E">
        <w:rPr>
          <w:rFonts w:cstheme="minorHAnsi"/>
          <w:shd w:val="clear" w:color="auto" w:fill="FFFFFF"/>
        </w:rPr>
        <w:t>, in line with HR service of each</w:t>
      </w:r>
      <w:r w:rsidR="004030F0" w:rsidRPr="00AE5B0E">
        <w:rPr>
          <w:rFonts w:cstheme="minorHAnsi"/>
        </w:rPr>
        <w:t xml:space="preserve"> </w:t>
      </w:r>
      <w:r w:rsidR="004030F0" w:rsidRPr="00AE5B0E">
        <w:rPr>
          <w:rFonts w:cstheme="minorHAnsi"/>
          <w:shd w:val="clear" w:color="auto" w:fill="FFFFFF"/>
        </w:rPr>
        <w:t>Project Affected Parties.</w:t>
      </w:r>
      <w:r w:rsidRPr="00AE5B0E">
        <w:rPr>
          <w:rFonts w:cstheme="minorHAnsi"/>
          <w:shd w:val="clear" w:color="auto" w:fill="FFFFFF"/>
        </w:rPr>
        <w:t xml:space="preserve"> ESS2 will not apply to such government civil servants, except for the provisions of paragraphs 17 to 20 (Protecting the Work Force) and paragraphs 24 to 30 (Occupational Health and Safety). If the employment or engagement of a civil servant was transferred to the Project in accordance with all legal requirements, transferred workers will be subject to all requirements of the ESS2. The risks of Sexual exploitation and abuse </w:t>
      </w:r>
      <w:proofErr w:type="gramStart"/>
      <w:r w:rsidRPr="00AE5B0E">
        <w:rPr>
          <w:rFonts w:cstheme="minorHAnsi"/>
          <w:shd w:val="clear" w:color="auto" w:fill="FFFFFF"/>
        </w:rPr>
        <w:t>( SEA</w:t>
      </w:r>
      <w:proofErr w:type="gramEnd"/>
      <w:r w:rsidRPr="00AE5B0E">
        <w:rPr>
          <w:rFonts w:cstheme="minorHAnsi"/>
          <w:shd w:val="clear" w:color="auto" w:fill="FFFFFF"/>
        </w:rPr>
        <w:t xml:space="preserve">)  and Sexual harassment (SH) in the workplace are estimated to be low and will follow national legislation about SEA/SH. </w:t>
      </w:r>
      <w:proofErr w:type="spellStart"/>
      <w:r w:rsidR="0028668B" w:rsidRPr="00AE5B0E">
        <w:rPr>
          <w:rFonts w:cstheme="minorHAnsi"/>
          <w:shd w:val="clear" w:color="auto" w:fill="FFFFFF"/>
          <w:lang w:val="sr-Latn-RS"/>
        </w:rPr>
        <w:t>The</w:t>
      </w:r>
      <w:proofErr w:type="spellEnd"/>
      <w:r w:rsidR="0028668B" w:rsidRPr="00AE5B0E">
        <w:rPr>
          <w:rFonts w:cstheme="minorHAnsi"/>
          <w:shd w:val="clear" w:color="auto" w:fill="FFFFFF"/>
          <w:lang w:val="sr-Latn-RS"/>
        </w:rPr>
        <w:t xml:space="preserve"> Project GRM </w:t>
      </w:r>
      <w:proofErr w:type="spellStart"/>
      <w:r w:rsidR="0028668B" w:rsidRPr="00AE5B0E">
        <w:rPr>
          <w:rFonts w:cstheme="minorHAnsi"/>
          <w:shd w:val="clear" w:color="auto" w:fill="FFFFFF"/>
          <w:lang w:val="sr-Latn-RS"/>
        </w:rPr>
        <w:t>will</w:t>
      </w:r>
      <w:proofErr w:type="spellEnd"/>
      <w:r w:rsidR="0028668B" w:rsidRPr="00AE5B0E">
        <w:rPr>
          <w:rFonts w:cstheme="minorHAnsi"/>
          <w:shd w:val="clear" w:color="auto" w:fill="FFFFFF"/>
          <w:lang w:val="sr-Latn-RS"/>
        </w:rPr>
        <w:t xml:space="preserve"> be </w:t>
      </w:r>
      <w:r w:rsidRPr="00AE5B0E">
        <w:rPr>
          <w:rFonts w:cstheme="minorHAnsi"/>
          <w:shd w:val="clear" w:color="auto" w:fill="FFFFFF"/>
        </w:rPr>
        <w:t>SEA / SH-sensitized</w:t>
      </w:r>
      <w:r w:rsidR="0028668B" w:rsidRPr="00AE5B0E">
        <w:rPr>
          <w:rFonts w:cstheme="minorHAnsi"/>
          <w:shd w:val="clear" w:color="auto" w:fill="FFFFFF"/>
        </w:rPr>
        <w:t xml:space="preserve"> </w:t>
      </w:r>
      <w:r w:rsidRPr="00AE5B0E">
        <w:rPr>
          <w:rFonts w:cstheme="minorHAnsi"/>
          <w:shd w:val="clear" w:color="auto" w:fill="FFFFFF"/>
        </w:rPr>
        <w:t xml:space="preserve">while signing a Code of Conduct for all project workers will be mandatory. Regarding working conditions, the applicable national legal framework is aligned with ILO conventions and the majority of the principles of ESS2. Nevertheless, all firms hired under the IPF Component will be contracted by the Government of Serbia and will be requested to provide documented evidence </w:t>
      </w:r>
      <w:r w:rsidRPr="00AE5B0E">
        <w:rPr>
          <w:rFonts w:cstheme="minorHAnsi"/>
        </w:rPr>
        <w:t xml:space="preserve">confirming their compliance with national labor law and ESS2. </w:t>
      </w:r>
      <w:r w:rsidRPr="00AE5B0E">
        <w:rPr>
          <w:rFonts w:cstheme="minorHAnsi"/>
          <w:shd w:val="clear" w:color="auto" w:fill="FFFFFF"/>
        </w:rPr>
        <w:t>This requirement will be emphasized in ESCP, bidding documents and the actual contracts between the PCU/</w:t>
      </w:r>
      <w:proofErr w:type="spellStart"/>
      <w:r w:rsidRPr="00AE5B0E">
        <w:rPr>
          <w:rFonts w:cstheme="minorHAnsi"/>
          <w:shd w:val="clear" w:color="auto" w:fill="FFFFFF"/>
        </w:rPr>
        <w:t>MoF</w:t>
      </w:r>
      <w:proofErr w:type="spellEnd"/>
      <w:r w:rsidRPr="00AE5B0E">
        <w:rPr>
          <w:rFonts w:cstheme="minorHAnsi"/>
          <w:shd w:val="clear" w:color="auto" w:fill="FFFFFF"/>
        </w:rPr>
        <w:t>/</w:t>
      </w:r>
      <w:proofErr w:type="spellStart"/>
      <w:r w:rsidRPr="00AE5B0E">
        <w:rPr>
          <w:rFonts w:cstheme="minorHAnsi"/>
          <w:shd w:val="clear" w:color="auto" w:fill="FFFFFF"/>
        </w:rPr>
        <w:t>GoS</w:t>
      </w:r>
      <w:proofErr w:type="spellEnd"/>
      <w:r w:rsidRPr="00AE5B0E">
        <w:rPr>
          <w:rFonts w:cstheme="minorHAnsi"/>
          <w:shd w:val="clear" w:color="auto" w:fill="FFFFFF"/>
        </w:rPr>
        <w:t xml:space="preserve"> and its providers.</w:t>
      </w:r>
      <w:r w:rsidRPr="00AE5B0E">
        <w:rPr>
          <w:rFonts w:cstheme="minorHAnsi"/>
        </w:rPr>
        <w:t xml:space="preserve"> </w:t>
      </w:r>
      <w:r w:rsidR="00053D80" w:rsidRPr="00AE5B0E">
        <w:rPr>
          <w:rFonts w:cstheme="minorHAnsi"/>
          <w:shd w:val="clear" w:color="auto" w:fill="FFFFFF"/>
          <w:lang w:val="sr-Latn-RS"/>
        </w:rPr>
        <w:t>H</w:t>
      </w:r>
      <w:proofErr w:type="spellStart"/>
      <w:r w:rsidRPr="00AE5B0E">
        <w:rPr>
          <w:rFonts w:cstheme="minorHAnsi"/>
          <w:shd w:val="clear" w:color="auto" w:fill="FFFFFF"/>
        </w:rPr>
        <w:t>ealth</w:t>
      </w:r>
      <w:proofErr w:type="spellEnd"/>
      <w:r w:rsidRPr="00AE5B0E">
        <w:rPr>
          <w:rFonts w:cstheme="minorHAnsi"/>
          <w:shd w:val="clear" w:color="auto" w:fill="FFFFFF"/>
        </w:rPr>
        <w:t xml:space="preserve"> and safety measures</w:t>
      </w:r>
      <w:r w:rsidRPr="00AE5B0E">
        <w:rPr>
          <w:rFonts w:cstheme="minorHAnsi"/>
        </w:rPr>
        <w:t xml:space="preserve"> (including</w:t>
      </w:r>
      <w:r w:rsidR="009B353A" w:rsidRPr="00AE5B0E">
        <w:rPr>
          <w:rFonts w:cstheme="minorHAnsi"/>
        </w:rPr>
        <w:t xml:space="preserve"> </w:t>
      </w:r>
      <w:r w:rsidR="00A32FA2" w:rsidRPr="00AE5B0E">
        <w:rPr>
          <w:rFonts w:cstheme="minorHAnsi"/>
        </w:rPr>
        <w:t>the provision of</w:t>
      </w:r>
      <w:r w:rsidRPr="00AE5B0E">
        <w:rPr>
          <w:rFonts w:cstheme="minorHAnsi"/>
        </w:rPr>
        <w:t xml:space="preserve"> personal protective equipment, and emergency preparedness and response</w:t>
      </w:r>
      <w:r w:rsidR="009B353A" w:rsidRPr="00AE5B0E">
        <w:rPr>
          <w:rFonts w:cstheme="minorHAnsi"/>
        </w:rPr>
        <w:t xml:space="preserve"> procedures </w:t>
      </w:r>
      <w:r w:rsidRPr="00AE5B0E">
        <w:rPr>
          <w:rFonts w:cstheme="minorHAnsi"/>
        </w:rPr>
        <w:t>)</w:t>
      </w:r>
      <w:r w:rsidRPr="00AE5B0E">
        <w:rPr>
          <w:rFonts w:cstheme="minorHAnsi"/>
          <w:shd w:val="clear" w:color="auto" w:fill="FFFFFF"/>
        </w:rPr>
        <w:t xml:space="preserve"> for all workers </w:t>
      </w:r>
      <w:r w:rsidR="00A32FA2" w:rsidRPr="00AE5B0E">
        <w:rPr>
          <w:rFonts w:cstheme="minorHAnsi"/>
          <w:shd w:val="clear" w:color="auto" w:fill="FFFFFF"/>
        </w:rPr>
        <w:t>will</w:t>
      </w:r>
      <w:r w:rsidRPr="00AE5B0E">
        <w:rPr>
          <w:rFonts w:cstheme="minorHAnsi"/>
          <w:shd w:val="clear" w:color="auto" w:fill="FFFFFF"/>
        </w:rPr>
        <w:t xml:space="preserve"> be ensured and adequate mitigation measures</w:t>
      </w:r>
      <w:r w:rsidR="001236C7" w:rsidRPr="00AE5B0E">
        <w:rPr>
          <w:rFonts w:cstheme="minorHAnsi"/>
          <w:shd w:val="clear" w:color="auto" w:fill="FFFFFF"/>
        </w:rPr>
        <w:t xml:space="preserve"> will be applied</w:t>
      </w:r>
      <w:r w:rsidRPr="00AE5B0E">
        <w:rPr>
          <w:rFonts w:cstheme="minorHAnsi"/>
          <w:shd w:val="clear" w:color="auto" w:fill="FFFFFF"/>
        </w:rPr>
        <w:t xml:space="preserve"> in line with the local legislation and the ESS2. </w:t>
      </w:r>
    </w:p>
    <w:p w14:paraId="29E248A0" w14:textId="77777777"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The POM will further elaborate on the required provisions including the establishment of grievance mechanisms (GMs) for all project workers and other consultants to be engaged under IPF component. </w:t>
      </w:r>
    </w:p>
    <w:p w14:paraId="6908DAEB" w14:textId="73131E56" w:rsidR="005F537B" w:rsidRPr="00AE5B0E" w:rsidRDefault="005F537B" w:rsidP="005F537B">
      <w:pPr>
        <w:jc w:val="both"/>
        <w:rPr>
          <w:rFonts w:cstheme="minorHAnsi"/>
          <w:shd w:val="clear" w:color="auto" w:fill="FFFFFF"/>
        </w:rPr>
      </w:pPr>
      <w:r w:rsidRPr="00AE5B0E">
        <w:rPr>
          <w:rFonts w:cstheme="minorHAnsi"/>
          <w:shd w:val="clear" w:color="auto" w:fill="FFFFFF"/>
        </w:rPr>
        <w:t xml:space="preserve">MF/PCU will develop and implement a grievance mechanism for direct workers to resolve workplace issues. The PCU will require contractors to develop and </w:t>
      </w:r>
      <w:r w:rsidR="000A69B1" w:rsidRPr="00AE5B0E">
        <w:rPr>
          <w:rFonts w:cstheme="minorHAnsi"/>
          <w:shd w:val="clear" w:color="auto" w:fill="FFFFFF"/>
          <w:lang w:val="sr-Cyrl-RS"/>
        </w:rPr>
        <w:t>а</w:t>
      </w:r>
      <w:proofErr w:type="spellStart"/>
      <w:r w:rsidR="000A69B1" w:rsidRPr="00AE5B0E">
        <w:rPr>
          <w:rFonts w:cstheme="minorHAnsi"/>
          <w:shd w:val="clear" w:color="auto" w:fill="FFFFFF"/>
          <w:lang w:val="sr-Latn-RS"/>
        </w:rPr>
        <w:t>ctivate</w:t>
      </w:r>
      <w:proofErr w:type="spellEnd"/>
      <w:r w:rsidRPr="00AE5B0E">
        <w:rPr>
          <w:rFonts w:cstheme="minorHAnsi"/>
          <w:shd w:val="clear" w:color="auto" w:fill="FFFFFF"/>
        </w:rPr>
        <w:t xml:space="preserve"> a grievance mechanism for their workforce, including subcontractors, before the commencement of work</w:t>
      </w:r>
      <w:r w:rsidR="000A69B1" w:rsidRPr="00AE5B0E">
        <w:rPr>
          <w:rFonts w:cstheme="minorHAnsi"/>
          <w:shd w:val="clear" w:color="auto" w:fill="FFFFFF"/>
        </w:rPr>
        <w:t>s</w:t>
      </w:r>
      <w:r w:rsidRPr="00AE5B0E">
        <w:rPr>
          <w:rFonts w:cstheme="minorHAnsi"/>
          <w:shd w:val="clear" w:color="auto" w:fill="FFFFFF"/>
        </w:rPr>
        <w:t>.</w:t>
      </w:r>
    </w:p>
    <w:p w14:paraId="13C35D70" w14:textId="3F7FCE77" w:rsidR="005F537B" w:rsidRPr="00AE5B0E" w:rsidRDefault="005F537B" w:rsidP="005F537B">
      <w:pPr>
        <w:jc w:val="both"/>
        <w:rPr>
          <w:rFonts w:cstheme="minorHAnsi"/>
          <w:shd w:val="clear" w:color="auto" w:fill="FFFFFF"/>
        </w:rPr>
      </w:pPr>
      <w:r w:rsidRPr="00AE5B0E">
        <w:rPr>
          <w:rFonts w:cstheme="minorHAnsi"/>
          <w:shd w:val="clear" w:color="auto" w:fill="FFFFFF"/>
        </w:rPr>
        <w:t>The workers' grievance mechanism will include:</w:t>
      </w:r>
    </w:p>
    <w:p w14:paraId="48E45306"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 xml:space="preserve">a procedure to </w:t>
      </w:r>
      <w:r w:rsidRPr="00AE5B0E">
        <w:rPr>
          <w:rFonts w:asciiTheme="minorHAnsi" w:hAnsiTheme="minorHAnsi" w:cstheme="minorHAnsi"/>
          <w:szCs w:val="22"/>
          <w:shd w:val="clear" w:color="auto" w:fill="FFFFFF"/>
          <w:lang w:val="en-US"/>
        </w:rPr>
        <w:t xml:space="preserve">submit </w:t>
      </w:r>
      <w:r w:rsidRPr="00AE5B0E">
        <w:rPr>
          <w:rFonts w:asciiTheme="minorHAnsi" w:hAnsiTheme="minorHAnsi" w:cstheme="minorHAnsi"/>
          <w:szCs w:val="22"/>
          <w:shd w:val="clear" w:color="auto" w:fill="FFFFFF"/>
        </w:rPr>
        <w:t xml:space="preserve"> grievances</w:t>
      </w:r>
      <w:r w:rsidRPr="00AE5B0E">
        <w:rPr>
          <w:rFonts w:asciiTheme="minorHAnsi" w:hAnsiTheme="minorHAnsi" w:cstheme="minorHAnsi"/>
          <w:szCs w:val="22"/>
          <w:shd w:val="clear" w:color="auto" w:fill="FFFFFF"/>
          <w:lang w:val="en-US"/>
        </w:rPr>
        <w:t xml:space="preserve"> through various channels </w:t>
      </w:r>
      <w:r w:rsidRPr="00AE5B0E">
        <w:rPr>
          <w:rFonts w:asciiTheme="minorHAnsi" w:hAnsiTheme="minorHAnsi" w:cstheme="minorHAnsi"/>
          <w:szCs w:val="22"/>
          <w:shd w:val="clear" w:color="auto" w:fill="FFFFFF"/>
        </w:rPr>
        <w:t xml:space="preserve"> such as comment/complaint form</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suggestion boxes, email</w:t>
      </w:r>
      <w:r w:rsidRPr="00AE5B0E">
        <w:rPr>
          <w:rFonts w:asciiTheme="minorHAnsi" w:hAnsiTheme="minorHAnsi" w:cstheme="minorHAnsi"/>
          <w:szCs w:val="22"/>
          <w:shd w:val="clear" w:color="auto" w:fill="FFFFFF"/>
          <w:lang w:val="en-US"/>
        </w:rPr>
        <w:t>s</w:t>
      </w:r>
      <w:r w:rsidRPr="00AE5B0E">
        <w:rPr>
          <w:rFonts w:asciiTheme="minorHAnsi" w:hAnsiTheme="minorHAnsi" w:cstheme="minorHAnsi"/>
          <w:szCs w:val="22"/>
          <w:shd w:val="clear" w:color="auto" w:fill="FFFFFF"/>
        </w:rPr>
        <w:t xml:space="preserve">, </w:t>
      </w:r>
      <w:r w:rsidRPr="00AE5B0E">
        <w:rPr>
          <w:rFonts w:asciiTheme="minorHAnsi" w:hAnsiTheme="minorHAnsi" w:cstheme="minorHAnsi"/>
          <w:szCs w:val="22"/>
          <w:shd w:val="clear" w:color="auto" w:fill="FFFFFF"/>
          <w:lang w:val="en-US"/>
        </w:rPr>
        <w:t xml:space="preserve">and </w:t>
      </w:r>
      <w:r w:rsidRPr="00AE5B0E">
        <w:rPr>
          <w:rFonts w:asciiTheme="minorHAnsi" w:hAnsiTheme="minorHAnsi" w:cstheme="minorHAnsi"/>
          <w:szCs w:val="22"/>
          <w:shd w:val="clear" w:color="auto" w:fill="FFFFFF"/>
        </w:rPr>
        <w:t>telephone hotline</w:t>
      </w:r>
      <w:r w:rsidRPr="00AE5B0E">
        <w:rPr>
          <w:rFonts w:asciiTheme="minorHAnsi" w:hAnsiTheme="minorHAnsi" w:cstheme="minorHAnsi"/>
          <w:szCs w:val="22"/>
          <w:shd w:val="clear" w:color="auto" w:fill="FFFFFF"/>
          <w:lang w:val="en-US"/>
        </w:rPr>
        <w:t xml:space="preserve"> </w:t>
      </w:r>
      <w:r w:rsidRPr="00AE5B0E">
        <w:rPr>
          <w:rFonts w:asciiTheme="minorHAnsi" w:hAnsiTheme="minorHAnsi" w:cstheme="minorHAnsi"/>
          <w:szCs w:val="22"/>
          <w:shd w:val="clear" w:color="auto" w:fill="FFFFFF"/>
        </w:rPr>
        <w:t xml:space="preserve">; </w:t>
      </w:r>
    </w:p>
    <w:p w14:paraId="7A51F600"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lang w:val="en-US"/>
        </w:rPr>
        <w:t xml:space="preserve">a procedure for addressing complaints including </w:t>
      </w:r>
      <w:r w:rsidRPr="00AE5B0E">
        <w:rPr>
          <w:rFonts w:asciiTheme="minorHAnsi" w:hAnsiTheme="minorHAnsi" w:cstheme="minorHAnsi"/>
          <w:szCs w:val="22"/>
          <w:shd w:val="clear" w:color="auto" w:fill="FFFFFF"/>
        </w:rPr>
        <w:t xml:space="preserve">stipulated timeframes to respond to grievances and to address cases. </w:t>
      </w:r>
    </w:p>
    <w:p w14:paraId="355762A0"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a register to record and track the timely resolution of</w:t>
      </w:r>
      <w:r w:rsidRPr="00AE5B0E">
        <w:rPr>
          <w:rFonts w:asciiTheme="minorHAnsi" w:hAnsiTheme="minorHAnsi" w:cstheme="minorHAnsi"/>
          <w:szCs w:val="22"/>
          <w:shd w:val="clear" w:color="auto" w:fill="FFFFFF"/>
          <w:lang w:val="en-US"/>
        </w:rPr>
        <w:t xml:space="preserve"> submitted</w:t>
      </w:r>
      <w:r w:rsidRPr="00AE5B0E">
        <w:rPr>
          <w:rFonts w:asciiTheme="minorHAnsi" w:hAnsiTheme="minorHAnsi" w:cstheme="minorHAnsi"/>
          <w:szCs w:val="22"/>
          <w:shd w:val="clear" w:color="auto" w:fill="FFFFFF"/>
        </w:rPr>
        <w:t xml:space="preserve"> grievances. </w:t>
      </w:r>
    </w:p>
    <w:p w14:paraId="746F5B14" w14:textId="77777777" w:rsidR="005F537B" w:rsidRPr="00AE5B0E" w:rsidRDefault="005F537B" w:rsidP="005F537B">
      <w:pPr>
        <w:pStyle w:val="ListParagraph"/>
        <w:numPr>
          <w:ilvl w:val="0"/>
          <w:numId w:val="13"/>
        </w:numPr>
        <w:ind w:left="720"/>
        <w:rPr>
          <w:rFonts w:asciiTheme="minorHAnsi" w:hAnsiTheme="minorHAnsi" w:cstheme="minorHAnsi"/>
          <w:szCs w:val="22"/>
          <w:shd w:val="clear" w:color="auto" w:fill="FFFFFF"/>
        </w:rPr>
      </w:pPr>
      <w:r w:rsidRPr="00AE5B0E">
        <w:rPr>
          <w:rFonts w:asciiTheme="minorHAnsi" w:hAnsiTheme="minorHAnsi" w:cstheme="minorHAnsi"/>
          <w:szCs w:val="22"/>
          <w:shd w:val="clear" w:color="auto" w:fill="FFFFFF"/>
        </w:rPr>
        <w:t>a responsible department</w:t>
      </w:r>
      <w:r w:rsidRPr="00AE5B0E">
        <w:rPr>
          <w:rFonts w:asciiTheme="minorHAnsi" w:hAnsiTheme="minorHAnsi" w:cstheme="minorHAnsi"/>
          <w:szCs w:val="22"/>
          <w:shd w:val="clear" w:color="auto" w:fill="FFFFFF"/>
          <w:lang w:val="en-US"/>
        </w:rPr>
        <w:t>/focal point</w:t>
      </w:r>
      <w:r w:rsidRPr="00AE5B0E">
        <w:rPr>
          <w:rFonts w:asciiTheme="minorHAnsi" w:hAnsiTheme="minorHAnsi" w:cstheme="minorHAnsi"/>
          <w:szCs w:val="22"/>
          <w:shd w:val="clear" w:color="auto" w:fill="FFFFFF"/>
        </w:rPr>
        <w:t xml:space="preserve"> to receive, record, address and track the resolution of grievances. </w:t>
      </w:r>
    </w:p>
    <w:p w14:paraId="6F060EFD" w14:textId="77777777" w:rsidR="005F537B" w:rsidRPr="00AE5B0E" w:rsidRDefault="005F537B" w:rsidP="008F2DB6">
      <w:pPr>
        <w:jc w:val="both"/>
        <w:rPr>
          <w:rFonts w:cstheme="minorHAnsi"/>
          <w:shd w:val="clear" w:color="auto" w:fill="FFFFFF"/>
        </w:rPr>
      </w:pPr>
      <w:r w:rsidRPr="00AE5B0E">
        <w:rPr>
          <w:rFonts w:cstheme="minorHAnsi"/>
          <w:shd w:val="clear" w:color="auto" w:fill="FFFFFF"/>
        </w:rPr>
        <w:t xml:space="preserve">The workers' grievance mechanism will be described in staff induction training, which will be provided to all project workers. </w:t>
      </w:r>
    </w:p>
    <w:p w14:paraId="567A0282" w14:textId="77777777" w:rsidR="005F537B" w:rsidRPr="00AE5B0E" w:rsidRDefault="005F537B" w:rsidP="005F537B">
      <w:pPr>
        <w:jc w:val="both"/>
        <w:rPr>
          <w:rFonts w:cstheme="minorHAnsi"/>
          <w:shd w:val="clear" w:color="auto" w:fill="FFFFFF"/>
        </w:rPr>
      </w:pPr>
      <w:r w:rsidRPr="00AE5B0E">
        <w:rPr>
          <w:rFonts w:cstheme="minorHAnsi"/>
          <w:shd w:val="clear" w:color="auto" w:fill="FFFFFF"/>
        </w:rPr>
        <w:lastRenderedPageBreak/>
        <w:t>Information about the presence of the grievance mechanism will be readily available to all project workers (direct and contracted) through notice boards, the presence of “suggestion/complaint boxes”, and other channels as needed. The Project workers’ grievance mechanism will not prevent workers to use the conciliation procedure provided in the Labor Code or any other judicial mechanisms.</w:t>
      </w:r>
    </w:p>
    <w:p w14:paraId="21BF2625" w14:textId="3BA5A0F9" w:rsidR="000920F2" w:rsidRPr="00AE5B0E" w:rsidRDefault="009700F6" w:rsidP="005F537B">
      <w:pPr>
        <w:jc w:val="both"/>
        <w:rPr>
          <w:rFonts w:cstheme="minorHAnsi"/>
          <w:shd w:val="clear" w:color="auto" w:fill="FFFFFF"/>
        </w:rPr>
      </w:pPr>
      <w:r w:rsidRPr="00AE5B0E">
        <w:rPr>
          <w:rFonts w:cstheme="minorHAnsi"/>
          <w:shd w:val="clear" w:color="auto" w:fill="FFFFFF"/>
        </w:rPr>
        <w:t>The content of the Code of Conduct is included in the World Bank Standard Bidding Documents and will include provisions relating to SEA/SH prevention</w:t>
      </w:r>
      <w:r w:rsidRPr="00AE5B0E">
        <w:rPr>
          <w:rFonts w:cstheme="minorHAnsi"/>
          <w:shd w:val="clear" w:color="auto" w:fill="FFFFFF"/>
          <w:lang w:val="sr-Cyrl-RS"/>
        </w:rPr>
        <w:t>.</w:t>
      </w:r>
      <w:r w:rsidRPr="00AE5B0E">
        <w:rPr>
          <w:rFonts w:cstheme="minorHAnsi"/>
          <w:shd w:val="clear" w:color="auto" w:fill="FFFFFF"/>
        </w:rPr>
        <w:t xml:space="preserve"> </w:t>
      </w:r>
      <w:r w:rsidR="005F537B" w:rsidRPr="00AE5B0E">
        <w:rPr>
          <w:rFonts w:cstheme="minorHAnsi"/>
          <w:shd w:val="clear" w:color="auto" w:fill="FFFFFF"/>
        </w:rPr>
        <w:t>The PCU</w:t>
      </w:r>
      <w:r w:rsidR="00967662" w:rsidRPr="00AE5B0E">
        <w:rPr>
          <w:rFonts w:cstheme="minorHAnsi"/>
          <w:shd w:val="clear" w:color="auto" w:fill="FFFFFF"/>
        </w:rPr>
        <w:t xml:space="preserve"> through engaged part-time </w:t>
      </w:r>
      <w:r w:rsidR="00D647A6" w:rsidRPr="00AE5B0E">
        <w:rPr>
          <w:rFonts w:cstheme="minorHAnsi"/>
          <w:shd w:val="clear" w:color="auto" w:fill="FFFFFF"/>
        </w:rPr>
        <w:t>Social/</w:t>
      </w:r>
      <w:r w:rsidR="00967662" w:rsidRPr="00AE5B0E">
        <w:rPr>
          <w:rFonts w:cstheme="minorHAnsi"/>
          <w:shd w:val="clear" w:color="auto" w:fill="FFFFFF"/>
        </w:rPr>
        <w:t xml:space="preserve"> </w:t>
      </w:r>
      <w:r w:rsidR="00D647A6" w:rsidRPr="00AE5B0E">
        <w:rPr>
          <w:rFonts w:cstheme="minorHAnsi"/>
          <w:shd w:val="clear" w:color="auto" w:fill="FFFFFF"/>
        </w:rPr>
        <w:t>Environmental/CE</w:t>
      </w:r>
      <w:r w:rsidR="00967662" w:rsidRPr="00AE5B0E">
        <w:rPr>
          <w:rFonts w:cstheme="minorHAnsi"/>
          <w:shd w:val="clear" w:color="auto" w:fill="FFFFFF"/>
        </w:rPr>
        <w:t xml:space="preserve"> expert</w:t>
      </w:r>
      <w:r w:rsidR="00D647A6" w:rsidRPr="00AE5B0E">
        <w:rPr>
          <w:rFonts w:cstheme="minorHAnsi"/>
          <w:shd w:val="clear" w:color="auto" w:fill="FFFFFF"/>
        </w:rPr>
        <w:t>(s)</w:t>
      </w:r>
      <w:r w:rsidR="00967662" w:rsidRPr="00AE5B0E">
        <w:rPr>
          <w:rFonts w:cstheme="minorHAnsi"/>
          <w:shd w:val="clear" w:color="auto" w:fill="FFFFFF"/>
        </w:rPr>
        <w:t>, other lead institutions included in the IPF component, and all</w:t>
      </w:r>
      <w:r w:rsidR="005F537B" w:rsidRPr="00AE5B0E">
        <w:rPr>
          <w:rFonts w:cstheme="minorHAnsi"/>
          <w:shd w:val="clear" w:color="auto" w:fill="FFFFFF"/>
        </w:rPr>
        <w:t xml:space="preserve"> contractors engaged</w:t>
      </w:r>
      <w:r w:rsidR="00967662" w:rsidRPr="00AE5B0E">
        <w:rPr>
          <w:rFonts w:cstheme="minorHAnsi"/>
          <w:shd w:val="clear" w:color="auto" w:fill="FFFFFF"/>
        </w:rPr>
        <w:t xml:space="preserve">, </w:t>
      </w:r>
      <w:r w:rsidR="005F537B" w:rsidRPr="00AE5B0E">
        <w:rPr>
          <w:rFonts w:cstheme="minorHAnsi"/>
          <w:shd w:val="clear" w:color="auto" w:fill="FFFFFF"/>
        </w:rPr>
        <w:t>will implement a Code of Conduct. The Code of Conduct will reflect the company’s core values and overall working culture</w:t>
      </w:r>
      <w:r w:rsidRPr="00AE5B0E">
        <w:rPr>
          <w:rFonts w:cstheme="minorHAnsi"/>
          <w:shd w:val="clear" w:color="auto" w:fill="FFFFFF"/>
          <w:lang w:val="sr-Cyrl-RS"/>
        </w:rPr>
        <w:t>.</w:t>
      </w:r>
      <w:r w:rsidR="005F537B" w:rsidRPr="00AE5B0E">
        <w:rPr>
          <w:rFonts w:cstheme="minorHAnsi"/>
          <w:shd w:val="clear" w:color="auto" w:fill="FFFFFF"/>
        </w:rPr>
        <w:t xml:space="preserve"> </w:t>
      </w:r>
    </w:p>
    <w:p w14:paraId="3D272904" w14:textId="0E9946B4" w:rsidR="00833F10" w:rsidRDefault="00833F10" w:rsidP="005F537B">
      <w:pPr>
        <w:jc w:val="both"/>
        <w:rPr>
          <w:rFonts w:cstheme="minorHAnsi"/>
          <w:shd w:val="clear" w:color="auto" w:fill="FFFFFF"/>
        </w:rPr>
      </w:pPr>
      <w:r w:rsidRPr="00AE5B0E">
        <w:rPr>
          <w:rFonts w:cstheme="minorHAnsi"/>
          <w:shd w:val="clear" w:color="auto" w:fill="FFFFFF"/>
        </w:rPr>
        <w:t>Reporting on the social performance of the project</w:t>
      </w:r>
      <w:r w:rsidR="003A58FD" w:rsidRPr="00AE5B0E">
        <w:rPr>
          <w:rFonts w:cstheme="minorHAnsi"/>
          <w:shd w:val="clear" w:color="auto" w:fill="FFFFFF"/>
        </w:rPr>
        <w:t xml:space="preserve"> by the </w:t>
      </w:r>
      <w:r w:rsidR="00D647A6" w:rsidRPr="00AE5B0E">
        <w:rPr>
          <w:rFonts w:cstheme="minorHAnsi"/>
          <w:shd w:val="clear" w:color="auto" w:fill="FFFFFF"/>
        </w:rPr>
        <w:t>part-time Social/ Environmental/CE expert(s)</w:t>
      </w:r>
      <w:r w:rsidRPr="00AE5B0E">
        <w:rPr>
          <w:rFonts w:cstheme="minorHAnsi"/>
          <w:shd w:val="clear" w:color="auto" w:fill="FFFFFF"/>
        </w:rPr>
        <w:t xml:space="preserve">, i.e. compliance with ESS2 and ESS10, will </w:t>
      </w:r>
      <w:r w:rsidR="000920F2" w:rsidRPr="00AE5B0E">
        <w:rPr>
          <w:rFonts w:cstheme="minorHAnsi"/>
          <w:shd w:val="clear" w:color="auto" w:fill="FFFFFF"/>
        </w:rPr>
        <w:t>be conducted</w:t>
      </w:r>
      <w:r w:rsidRPr="00AE5B0E">
        <w:rPr>
          <w:rFonts w:cstheme="minorHAnsi"/>
          <w:shd w:val="clear" w:color="auto" w:fill="FFFFFF"/>
        </w:rPr>
        <w:t xml:space="preserve"> </w:t>
      </w:r>
      <w:r w:rsidR="003A58FD" w:rsidRPr="00AE5B0E">
        <w:rPr>
          <w:rFonts w:cstheme="minorHAnsi"/>
          <w:shd w:val="clear" w:color="auto" w:fill="FFFFFF"/>
        </w:rPr>
        <w:t>following the</w:t>
      </w:r>
      <w:r w:rsidRPr="00AE5B0E">
        <w:rPr>
          <w:rFonts w:cstheme="minorHAnsi"/>
          <w:shd w:val="clear" w:color="auto" w:fill="FFFFFF"/>
        </w:rPr>
        <w:t xml:space="preserve"> format and dynamics </w:t>
      </w:r>
      <w:r w:rsidR="003A58FD" w:rsidRPr="00AE5B0E">
        <w:rPr>
          <w:rFonts w:cstheme="minorHAnsi"/>
          <w:shd w:val="clear" w:color="auto" w:fill="FFFFFF"/>
        </w:rPr>
        <w:t>agreed with</w:t>
      </w:r>
      <w:r w:rsidRPr="00AE5B0E">
        <w:rPr>
          <w:rFonts w:cstheme="minorHAnsi"/>
          <w:shd w:val="clear" w:color="auto" w:fill="FFFFFF"/>
        </w:rPr>
        <w:t xml:space="preserve"> the World Bank.</w:t>
      </w:r>
    </w:p>
    <w:p w14:paraId="293A3192" w14:textId="7D9A1F5F" w:rsidR="007F767C" w:rsidRDefault="007F767C" w:rsidP="005F537B">
      <w:pPr>
        <w:jc w:val="both"/>
        <w:rPr>
          <w:rFonts w:cstheme="minorHAnsi"/>
          <w:shd w:val="clear" w:color="auto" w:fill="FFFFFF"/>
        </w:rPr>
      </w:pPr>
    </w:p>
    <w:p w14:paraId="1CB278C0" w14:textId="54E8427A" w:rsidR="007F767C" w:rsidRDefault="007F767C" w:rsidP="005F537B">
      <w:pPr>
        <w:jc w:val="both"/>
        <w:rPr>
          <w:rFonts w:cstheme="minorHAnsi"/>
          <w:shd w:val="clear" w:color="auto" w:fill="FFFFFF"/>
        </w:rPr>
      </w:pPr>
    </w:p>
    <w:p w14:paraId="6D4B3615" w14:textId="3D9436A2" w:rsidR="007F767C" w:rsidRDefault="007F767C" w:rsidP="005F537B">
      <w:pPr>
        <w:jc w:val="both"/>
        <w:rPr>
          <w:rFonts w:cstheme="minorHAnsi"/>
          <w:shd w:val="clear" w:color="auto" w:fill="FFFFFF"/>
        </w:rPr>
      </w:pPr>
    </w:p>
    <w:p w14:paraId="7A00C0C9" w14:textId="216CC27A" w:rsidR="007F767C" w:rsidRDefault="007F767C" w:rsidP="005F537B">
      <w:pPr>
        <w:jc w:val="both"/>
        <w:rPr>
          <w:rFonts w:cstheme="minorHAnsi"/>
          <w:shd w:val="clear" w:color="auto" w:fill="FFFFFF"/>
        </w:rPr>
      </w:pPr>
    </w:p>
    <w:p w14:paraId="646D9676" w14:textId="157480FE" w:rsidR="007F767C" w:rsidRDefault="007F767C" w:rsidP="005F537B">
      <w:pPr>
        <w:jc w:val="both"/>
        <w:rPr>
          <w:rFonts w:cstheme="minorHAnsi"/>
          <w:shd w:val="clear" w:color="auto" w:fill="FFFFFF"/>
        </w:rPr>
      </w:pPr>
    </w:p>
    <w:p w14:paraId="31855B21" w14:textId="46F74D9D" w:rsidR="007F767C" w:rsidRDefault="007F767C" w:rsidP="005F537B">
      <w:pPr>
        <w:jc w:val="both"/>
        <w:rPr>
          <w:rFonts w:cstheme="minorHAnsi"/>
          <w:shd w:val="clear" w:color="auto" w:fill="FFFFFF"/>
        </w:rPr>
      </w:pPr>
    </w:p>
    <w:p w14:paraId="18695994" w14:textId="24E1BC2B" w:rsidR="007F767C" w:rsidRDefault="007F767C" w:rsidP="005F537B">
      <w:pPr>
        <w:jc w:val="both"/>
        <w:rPr>
          <w:rFonts w:cstheme="minorHAnsi"/>
          <w:shd w:val="clear" w:color="auto" w:fill="FFFFFF"/>
        </w:rPr>
      </w:pPr>
    </w:p>
    <w:p w14:paraId="02FC711A" w14:textId="01121018" w:rsidR="007F767C" w:rsidRDefault="007F767C" w:rsidP="005F537B">
      <w:pPr>
        <w:jc w:val="both"/>
        <w:rPr>
          <w:rFonts w:cstheme="minorHAnsi"/>
          <w:shd w:val="clear" w:color="auto" w:fill="FFFFFF"/>
        </w:rPr>
      </w:pPr>
    </w:p>
    <w:p w14:paraId="2D002B7B" w14:textId="04F3FE35" w:rsidR="007F767C" w:rsidRDefault="007F767C" w:rsidP="005F537B">
      <w:pPr>
        <w:jc w:val="both"/>
        <w:rPr>
          <w:rFonts w:cstheme="minorHAnsi"/>
          <w:shd w:val="clear" w:color="auto" w:fill="FFFFFF"/>
        </w:rPr>
      </w:pPr>
    </w:p>
    <w:p w14:paraId="1F6BDED2" w14:textId="72661903" w:rsidR="007F767C" w:rsidRDefault="007F767C" w:rsidP="005F537B">
      <w:pPr>
        <w:jc w:val="both"/>
        <w:rPr>
          <w:rFonts w:cstheme="minorHAnsi"/>
          <w:shd w:val="clear" w:color="auto" w:fill="FFFFFF"/>
        </w:rPr>
      </w:pPr>
    </w:p>
    <w:p w14:paraId="51DA6AC5" w14:textId="5E907710" w:rsidR="007F767C" w:rsidRDefault="007F767C" w:rsidP="005F537B">
      <w:pPr>
        <w:jc w:val="both"/>
        <w:rPr>
          <w:rFonts w:cstheme="minorHAnsi"/>
          <w:shd w:val="clear" w:color="auto" w:fill="FFFFFF"/>
        </w:rPr>
      </w:pPr>
    </w:p>
    <w:p w14:paraId="673499BF" w14:textId="1E611D03" w:rsidR="007F767C" w:rsidRDefault="007F767C" w:rsidP="005F537B">
      <w:pPr>
        <w:jc w:val="both"/>
        <w:rPr>
          <w:rFonts w:cstheme="minorHAnsi"/>
          <w:shd w:val="clear" w:color="auto" w:fill="FFFFFF"/>
        </w:rPr>
      </w:pPr>
    </w:p>
    <w:p w14:paraId="0EA2C42D" w14:textId="44011931" w:rsidR="007F767C" w:rsidRDefault="007F767C" w:rsidP="005F537B">
      <w:pPr>
        <w:jc w:val="both"/>
        <w:rPr>
          <w:rFonts w:cstheme="minorHAnsi"/>
          <w:shd w:val="clear" w:color="auto" w:fill="FFFFFF"/>
        </w:rPr>
      </w:pPr>
    </w:p>
    <w:p w14:paraId="7930558C" w14:textId="64CFF506" w:rsidR="007F767C" w:rsidRDefault="007F767C" w:rsidP="005F537B">
      <w:pPr>
        <w:jc w:val="both"/>
        <w:rPr>
          <w:rFonts w:cstheme="minorHAnsi"/>
          <w:shd w:val="clear" w:color="auto" w:fill="FFFFFF"/>
        </w:rPr>
      </w:pPr>
    </w:p>
    <w:p w14:paraId="18F7CAE9" w14:textId="68484389" w:rsidR="007F767C" w:rsidRDefault="007F767C" w:rsidP="005F537B">
      <w:pPr>
        <w:jc w:val="both"/>
        <w:rPr>
          <w:rFonts w:cstheme="minorHAnsi"/>
          <w:shd w:val="clear" w:color="auto" w:fill="FFFFFF"/>
        </w:rPr>
      </w:pPr>
    </w:p>
    <w:p w14:paraId="3753D35C" w14:textId="08D71E72" w:rsidR="007F767C" w:rsidRDefault="007F767C" w:rsidP="005F537B">
      <w:pPr>
        <w:jc w:val="both"/>
        <w:rPr>
          <w:rFonts w:cstheme="minorHAnsi"/>
          <w:shd w:val="clear" w:color="auto" w:fill="FFFFFF"/>
        </w:rPr>
      </w:pPr>
    </w:p>
    <w:p w14:paraId="3FB79FE8" w14:textId="1C5C9734" w:rsidR="007F767C" w:rsidRDefault="007F767C" w:rsidP="005F537B">
      <w:pPr>
        <w:jc w:val="both"/>
        <w:rPr>
          <w:rFonts w:cstheme="minorHAnsi"/>
          <w:shd w:val="clear" w:color="auto" w:fill="FFFFFF"/>
        </w:rPr>
      </w:pPr>
    </w:p>
    <w:p w14:paraId="2721588B" w14:textId="1FF54141" w:rsidR="007F767C" w:rsidRDefault="007F767C" w:rsidP="005F537B">
      <w:pPr>
        <w:jc w:val="both"/>
        <w:rPr>
          <w:rFonts w:cstheme="minorHAnsi"/>
          <w:shd w:val="clear" w:color="auto" w:fill="FFFFFF"/>
        </w:rPr>
      </w:pPr>
    </w:p>
    <w:p w14:paraId="1ED5197B" w14:textId="50A3569A" w:rsidR="007F767C" w:rsidRDefault="007F767C" w:rsidP="005F537B">
      <w:pPr>
        <w:jc w:val="both"/>
        <w:rPr>
          <w:rFonts w:cstheme="minorHAnsi"/>
          <w:shd w:val="clear" w:color="auto" w:fill="FFFFFF"/>
        </w:rPr>
      </w:pPr>
    </w:p>
    <w:p w14:paraId="253E2471" w14:textId="06B7C74F" w:rsidR="007F767C" w:rsidRDefault="007F767C" w:rsidP="005F537B">
      <w:pPr>
        <w:jc w:val="both"/>
        <w:rPr>
          <w:rFonts w:cstheme="minorHAnsi"/>
          <w:shd w:val="clear" w:color="auto" w:fill="FFFFFF"/>
        </w:rPr>
      </w:pPr>
    </w:p>
    <w:p w14:paraId="6FFC1C23" w14:textId="77777777" w:rsidR="007F767C" w:rsidRDefault="007F767C" w:rsidP="007F767C">
      <w:pPr>
        <w:rPr>
          <w:rFonts w:ascii="Times New Roman" w:hAnsi="Times New Roman" w:cs="Times New Roman"/>
          <w:b/>
          <w:sz w:val="24"/>
          <w:szCs w:val="24"/>
          <w:lang w:val="sr-Latn-RS"/>
        </w:rPr>
      </w:pPr>
      <w:r w:rsidRPr="00911DB6">
        <w:rPr>
          <w:rFonts w:ascii="Times New Roman" w:hAnsi="Times New Roman" w:cs="Times New Roman"/>
          <w:b/>
          <w:sz w:val="24"/>
          <w:szCs w:val="24"/>
          <w:lang w:val="sr-Latn-RS"/>
        </w:rPr>
        <w:lastRenderedPageBreak/>
        <w:t xml:space="preserve">ANNEX 1. </w:t>
      </w:r>
    </w:p>
    <w:p w14:paraId="13F0D5BE" w14:textId="77777777" w:rsidR="007F767C" w:rsidRPr="003F70CB" w:rsidRDefault="007F767C" w:rsidP="007F767C">
      <w:pPr>
        <w:pStyle w:val="Heading3"/>
        <w:numPr>
          <w:ilvl w:val="0"/>
          <w:numId w:val="0"/>
        </w:numPr>
        <w:spacing w:before="0"/>
        <w:ind w:left="450" w:hanging="360"/>
        <w:jc w:val="center"/>
        <w:rPr>
          <w:b w:val="0"/>
          <w:spacing w:val="-6"/>
        </w:rPr>
      </w:pPr>
      <w:bookmarkStart w:id="2" w:name="_Toc27748609"/>
      <w:r w:rsidRPr="00911DB6">
        <w:rPr>
          <w:color w:val="auto"/>
          <w:spacing w:val="-6"/>
        </w:rPr>
        <w:t xml:space="preserve">THE REPORT ON PUBLIC CONSULTATIONS </w:t>
      </w:r>
      <w:bookmarkEnd w:id="2"/>
      <w:r w:rsidRPr="00911DB6">
        <w:rPr>
          <w:color w:val="auto"/>
          <w:spacing w:val="-6"/>
        </w:rPr>
        <w:t>ON THE DRAFT ENVIRONMENTAL</w:t>
      </w:r>
      <w:r>
        <w:rPr>
          <w:color w:val="auto"/>
          <w:spacing w:val="-6"/>
          <w:lang w:val="sr-Cyrl-RS"/>
        </w:rPr>
        <w:t xml:space="preserve"> </w:t>
      </w:r>
      <w:r>
        <w:rPr>
          <w:color w:val="auto"/>
          <w:spacing w:val="-6"/>
        </w:rPr>
        <w:t xml:space="preserve">AND SOCIAL </w:t>
      </w:r>
      <w:r w:rsidRPr="00911DB6">
        <w:rPr>
          <w:color w:val="auto"/>
          <w:spacing w:val="-6"/>
        </w:rPr>
        <w:t>COMMITMENT PLAN, STAKEHOLDER ENGAGEMENT</w:t>
      </w:r>
      <w:r w:rsidRPr="00911DB6">
        <w:rPr>
          <w:color w:val="auto"/>
          <w:spacing w:val="-6"/>
          <w:lang w:val="sr-Cyrl-RS"/>
        </w:rPr>
        <w:t xml:space="preserve"> </w:t>
      </w:r>
      <w:r w:rsidRPr="00911DB6">
        <w:rPr>
          <w:color w:val="auto"/>
          <w:spacing w:val="-6"/>
        </w:rPr>
        <w:t>PLAN AND LA</w:t>
      </w:r>
      <w:r>
        <w:rPr>
          <w:color w:val="auto"/>
          <w:spacing w:val="-6"/>
        </w:rPr>
        <w:t xml:space="preserve">BOUR MANAGEMENT </w:t>
      </w:r>
      <w:r w:rsidRPr="00911DB6">
        <w:rPr>
          <w:color w:val="auto"/>
          <w:spacing w:val="-6"/>
        </w:rPr>
        <w:t>PROCEDURES</w:t>
      </w:r>
    </w:p>
    <w:p w14:paraId="1944A81A" w14:textId="77777777" w:rsidR="007F767C" w:rsidRPr="003F70CB" w:rsidRDefault="007F767C" w:rsidP="007F767C">
      <w:pPr>
        <w:widowControl w:val="0"/>
        <w:spacing w:after="0"/>
        <w:jc w:val="both"/>
        <w:rPr>
          <w:rFonts w:ascii="Times New Roman" w:eastAsia="Arial" w:hAnsi="Times New Roman" w:cs="Times New Roman"/>
          <w:sz w:val="24"/>
          <w:szCs w:val="24"/>
        </w:rPr>
      </w:pPr>
    </w:p>
    <w:p w14:paraId="79F1AB42" w14:textId="77777777" w:rsidR="007F767C" w:rsidRPr="003F70CB"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eastAsia="en-GB"/>
        </w:rPr>
        <w:t>As required by WB Environmental and Social Standard 10 (ESS10) – Stakeholder Engagement and Information disclosure, during the preparation of the Draft Environmental and Social Commitment Plan (ESCP), Stakeholder Engagement Plan (SEP), and Labor management procedures (LMP), the Borrower carried out consultations with relevant stakeholders.</w:t>
      </w:r>
    </w:p>
    <w:p w14:paraId="4743FD8F" w14:textId="77777777" w:rsidR="007F767C" w:rsidRPr="003F70CB"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en-GB" w:eastAsia="en-GB"/>
        </w:rPr>
        <w:t>Starting on 28</w:t>
      </w:r>
      <w:r w:rsidRPr="003F70CB">
        <w:rPr>
          <w:rFonts w:ascii="Times New Roman" w:eastAsia="Times New Roman" w:hAnsi="Times New Roman" w:cs="Times New Roman"/>
          <w:color w:val="222222"/>
          <w:sz w:val="24"/>
          <w:szCs w:val="24"/>
          <w:vertAlign w:val="superscript"/>
          <w:lang w:val="en-GB" w:eastAsia="en-GB"/>
        </w:rPr>
        <w:t>th</w:t>
      </w:r>
      <w:r w:rsidRPr="003F70CB">
        <w:rPr>
          <w:rFonts w:ascii="Times New Roman" w:eastAsia="Times New Roman" w:hAnsi="Times New Roman" w:cs="Times New Roman"/>
          <w:color w:val="222222"/>
          <w:sz w:val="24"/>
          <w:szCs w:val="24"/>
          <w:lang w:val="en-GB" w:eastAsia="en-GB"/>
        </w:rPr>
        <w:t> November 2022, the Ministry of Finance (</w:t>
      </w:r>
      <w:proofErr w:type="spellStart"/>
      <w:r w:rsidRPr="003F70CB">
        <w:rPr>
          <w:rFonts w:ascii="Times New Roman" w:eastAsia="Times New Roman" w:hAnsi="Times New Roman" w:cs="Times New Roman"/>
          <w:color w:val="222222"/>
          <w:sz w:val="24"/>
          <w:szCs w:val="24"/>
          <w:lang w:val="en-GB" w:eastAsia="en-GB"/>
        </w:rPr>
        <w:t>MoF</w:t>
      </w:r>
      <w:proofErr w:type="spellEnd"/>
      <w:r w:rsidRPr="003F70CB">
        <w:rPr>
          <w:rFonts w:ascii="Times New Roman" w:eastAsia="Times New Roman" w:hAnsi="Times New Roman" w:cs="Times New Roman"/>
          <w:color w:val="222222"/>
          <w:sz w:val="24"/>
          <w:szCs w:val="24"/>
          <w:lang w:val="en-GB" w:eastAsia="en-GB"/>
        </w:rPr>
        <w:t>) disclosed the draft </w:t>
      </w:r>
      <w:r w:rsidRPr="003F70CB">
        <w:rPr>
          <w:rFonts w:ascii="Times New Roman" w:eastAsia="Times New Roman" w:hAnsi="Times New Roman" w:cs="Times New Roman"/>
          <w:color w:val="222222"/>
          <w:sz w:val="24"/>
          <w:szCs w:val="24"/>
          <w:lang w:eastAsia="en-GB"/>
        </w:rPr>
        <w:t>ESCP, SEP, and LMP </w:t>
      </w:r>
      <w:r w:rsidRPr="003F70CB">
        <w:rPr>
          <w:rFonts w:ascii="Times New Roman" w:eastAsia="Times New Roman" w:hAnsi="Times New Roman" w:cs="Times New Roman"/>
          <w:color w:val="222222"/>
          <w:sz w:val="24"/>
          <w:szCs w:val="24"/>
          <w:lang w:val="en-GB" w:eastAsia="en-GB"/>
        </w:rPr>
        <w:t>documents on its official website (Pictures 1 and 2) and announced invitations for Public Consultations for the public, bodies, and organizations interested in subject documents for the Project. The announcement was published in the daily newspaper “Politika” on 1</w:t>
      </w:r>
      <w:r w:rsidRPr="003F70CB">
        <w:rPr>
          <w:rFonts w:ascii="Times New Roman" w:eastAsia="Times New Roman" w:hAnsi="Times New Roman" w:cs="Times New Roman"/>
          <w:color w:val="222222"/>
          <w:sz w:val="24"/>
          <w:szCs w:val="24"/>
          <w:vertAlign w:val="superscript"/>
          <w:lang w:val="en-GB" w:eastAsia="en-GB"/>
        </w:rPr>
        <w:t>st</w:t>
      </w:r>
      <w:r w:rsidRPr="003F70CB">
        <w:rPr>
          <w:rFonts w:ascii="Times New Roman" w:eastAsia="Times New Roman" w:hAnsi="Times New Roman" w:cs="Times New Roman"/>
          <w:color w:val="222222"/>
          <w:sz w:val="24"/>
          <w:szCs w:val="24"/>
          <w:lang w:val="en-GB" w:eastAsia="en-GB"/>
        </w:rPr>
        <w:t xml:space="preserve"> December 2022 (Picture 3). All interested parties were invited to participate in the </w:t>
      </w:r>
      <w:r>
        <w:rPr>
          <w:rFonts w:ascii="Times New Roman" w:eastAsia="Times New Roman" w:hAnsi="Times New Roman" w:cs="Times New Roman"/>
          <w:color w:val="222222"/>
          <w:sz w:val="24"/>
          <w:szCs w:val="24"/>
          <w:lang w:val="sr-Latn-RS" w:eastAsia="en-GB"/>
        </w:rPr>
        <w:t>P</w:t>
      </w:r>
      <w:proofErr w:type="spellStart"/>
      <w:r w:rsidRPr="003F70CB">
        <w:rPr>
          <w:rFonts w:ascii="Times New Roman" w:eastAsia="Times New Roman" w:hAnsi="Times New Roman" w:cs="Times New Roman"/>
          <w:color w:val="222222"/>
          <w:sz w:val="24"/>
          <w:szCs w:val="24"/>
          <w:lang w:val="en-GB" w:eastAsia="en-GB"/>
        </w:rPr>
        <w:t>ublic</w:t>
      </w:r>
      <w:proofErr w:type="spellEnd"/>
      <w:r w:rsidRPr="003F70CB">
        <w:rPr>
          <w:rFonts w:ascii="Times New Roman" w:eastAsia="Times New Roman" w:hAnsi="Times New Roman" w:cs="Times New Roman"/>
          <w:color w:val="222222"/>
          <w:sz w:val="24"/>
          <w:szCs w:val="24"/>
          <w:lang w:val="en-GB" w:eastAsia="en-GB"/>
        </w:rPr>
        <w:t xml:space="preserve"> consultation on draft </w:t>
      </w:r>
      <w:r w:rsidRPr="003F70CB">
        <w:rPr>
          <w:rFonts w:ascii="Times New Roman" w:eastAsia="Times New Roman" w:hAnsi="Times New Roman" w:cs="Times New Roman"/>
          <w:color w:val="222222"/>
          <w:sz w:val="24"/>
          <w:szCs w:val="24"/>
          <w:lang w:eastAsia="en-GB"/>
        </w:rPr>
        <w:t>ESCP, SEP, and LMP</w:t>
      </w:r>
      <w:r w:rsidRPr="003F70CB">
        <w:rPr>
          <w:rFonts w:ascii="Times New Roman" w:eastAsia="Times New Roman" w:hAnsi="Times New Roman" w:cs="Times New Roman"/>
          <w:color w:val="222222"/>
          <w:sz w:val="24"/>
          <w:szCs w:val="24"/>
          <w:lang w:val="en-GB" w:eastAsia="en-GB"/>
        </w:rPr>
        <w:t> documents, by providing written comments and opinions via letters addressed to the Ministry of Finance or via email. All details are provided on the </w:t>
      </w:r>
      <w:r w:rsidRPr="003F70CB">
        <w:rPr>
          <w:rFonts w:ascii="Times New Roman" w:eastAsia="Times New Roman" w:hAnsi="Times New Roman" w:cs="Times New Roman"/>
          <w:color w:val="222222"/>
          <w:sz w:val="24"/>
          <w:szCs w:val="24"/>
          <w:lang w:eastAsia="en-GB"/>
        </w:rPr>
        <w:t xml:space="preserve">following link of the </w:t>
      </w:r>
      <w:proofErr w:type="spellStart"/>
      <w:r w:rsidRPr="003F70CB">
        <w:rPr>
          <w:rFonts w:ascii="Times New Roman" w:eastAsia="Times New Roman" w:hAnsi="Times New Roman" w:cs="Times New Roman"/>
          <w:color w:val="222222"/>
          <w:sz w:val="24"/>
          <w:szCs w:val="24"/>
          <w:lang w:eastAsia="en-GB"/>
        </w:rPr>
        <w:t>MoF</w:t>
      </w:r>
      <w:proofErr w:type="spellEnd"/>
      <w:r w:rsidRPr="003F70CB">
        <w:rPr>
          <w:rFonts w:ascii="Times New Roman" w:eastAsia="Times New Roman" w:hAnsi="Times New Roman" w:cs="Times New Roman"/>
          <w:color w:val="222222"/>
          <w:sz w:val="24"/>
          <w:szCs w:val="24"/>
          <w:lang w:eastAsia="en-GB"/>
        </w:rPr>
        <w:t>: </w:t>
      </w:r>
      <w:hyperlink r:id="rId8" w:history="1">
        <w:r w:rsidRPr="003F70CB">
          <w:rPr>
            <w:rFonts w:ascii="Times New Roman" w:eastAsia="Times New Roman" w:hAnsi="Times New Roman" w:cs="Times New Roman"/>
            <w:color w:val="0000FF"/>
            <w:sz w:val="24"/>
            <w:szCs w:val="24"/>
            <w:u w:val="single"/>
            <w:lang w:eastAsia="en-GB"/>
          </w:rPr>
          <w:t>https://www.mfin.gov.rs/propisi/propisi-u-pripremi</w:t>
        </w:r>
      </w:hyperlink>
      <w:r w:rsidRPr="003F70CB">
        <w:rPr>
          <w:rFonts w:ascii="Times New Roman" w:eastAsia="Times New Roman" w:hAnsi="Times New Roman" w:cs="Times New Roman"/>
          <w:color w:val="222222"/>
          <w:sz w:val="24"/>
          <w:szCs w:val="24"/>
          <w:lang w:eastAsia="en-GB"/>
        </w:rPr>
        <w:t> .</w:t>
      </w:r>
    </w:p>
    <w:p w14:paraId="16633716" w14:textId="77777777" w:rsidR="007F767C" w:rsidRPr="003F70CB" w:rsidRDefault="007F767C" w:rsidP="007F767C">
      <w:pPr>
        <w:shd w:val="clear" w:color="auto" w:fill="FFFFFF"/>
        <w:spacing w:line="233" w:lineRule="atLeast"/>
        <w:rPr>
          <w:rFonts w:ascii="Times New Roman" w:eastAsia="Times New Roman" w:hAnsi="Times New Roman" w:cs="Times New Roman"/>
          <w:color w:val="222222"/>
          <w:sz w:val="24"/>
          <w:szCs w:val="24"/>
          <w:lang w:val="en-GB" w:eastAsia="en-GB"/>
        </w:rPr>
      </w:pPr>
      <w:bookmarkStart w:id="3" w:name="_Toc23709356"/>
      <w:r w:rsidRPr="003F70CB">
        <w:rPr>
          <w:rFonts w:ascii="Times New Roman" w:eastAsia="Times New Roman" w:hAnsi="Times New Roman" w:cs="Times New Roman"/>
          <w:b/>
          <w:bCs/>
          <w:color w:val="222222"/>
          <w:sz w:val="24"/>
          <w:szCs w:val="24"/>
          <w:lang w:eastAsia="en-GB"/>
        </w:rPr>
        <w:t>REPORT ON PUBLIC CONSULTATION</w:t>
      </w:r>
      <w:bookmarkEnd w:id="3"/>
      <w:r w:rsidRPr="003F70CB">
        <w:rPr>
          <w:rFonts w:ascii="Times New Roman" w:eastAsia="Times New Roman" w:hAnsi="Times New Roman" w:cs="Times New Roman"/>
          <w:b/>
          <w:bCs/>
          <w:color w:val="222222"/>
          <w:sz w:val="24"/>
          <w:szCs w:val="24"/>
          <w:lang w:val="en-GB" w:eastAsia="en-GB"/>
        </w:rPr>
        <w:t>S, December 13, 2022</w:t>
      </w:r>
    </w:p>
    <w:p w14:paraId="7744FC30" w14:textId="77777777" w:rsidR="007F767C" w:rsidRPr="003F70CB"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proofErr w:type="spellStart"/>
      <w:r w:rsidRPr="003F70CB">
        <w:rPr>
          <w:rFonts w:ascii="Times New Roman" w:eastAsia="Times New Roman" w:hAnsi="Times New Roman" w:cs="Times New Roman"/>
          <w:color w:val="222222"/>
          <w:sz w:val="24"/>
          <w:szCs w:val="24"/>
          <w:lang w:val="sr-Latn-RS" w:eastAsia="en-GB"/>
        </w:rPr>
        <w:t>The</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MoF</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has</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started</w:t>
      </w:r>
      <w:proofErr w:type="spellEnd"/>
      <w:r w:rsidRPr="003F70CB">
        <w:rPr>
          <w:rFonts w:ascii="Times New Roman" w:eastAsia="Times New Roman" w:hAnsi="Times New Roman" w:cs="Times New Roman"/>
          <w:color w:val="222222"/>
          <w:sz w:val="24"/>
          <w:szCs w:val="24"/>
          <w:lang w:val="sr-Latn-RS" w:eastAsia="en-GB"/>
        </w:rPr>
        <w:t xml:space="preserve"> a </w:t>
      </w:r>
      <w:proofErr w:type="spellStart"/>
      <w:r w:rsidRPr="003F70CB">
        <w:rPr>
          <w:rFonts w:ascii="Times New Roman" w:eastAsia="Times New Roman" w:hAnsi="Times New Roman" w:cs="Times New Roman"/>
          <w:color w:val="222222"/>
          <w:sz w:val="24"/>
          <w:szCs w:val="24"/>
          <w:lang w:val="sr-Latn-RS" w:eastAsia="en-GB"/>
        </w:rPr>
        <w:t>public</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consultation</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and</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disclosure</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of</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the</w:t>
      </w:r>
      <w:proofErr w:type="spellEnd"/>
      <w:r w:rsidRPr="003F70CB">
        <w:rPr>
          <w:rFonts w:ascii="Times New Roman" w:eastAsia="Times New Roman" w:hAnsi="Times New Roman" w:cs="Times New Roman"/>
          <w:color w:val="222222"/>
          <w:sz w:val="24"/>
          <w:szCs w:val="24"/>
          <w:lang w:val="sr-Latn-RS" w:eastAsia="en-GB"/>
        </w:rPr>
        <w:t xml:space="preserve"> </w:t>
      </w:r>
      <w:proofErr w:type="spellStart"/>
      <w:r w:rsidRPr="003F70CB">
        <w:rPr>
          <w:rFonts w:ascii="Times New Roman" w:eastAsia="Times New Roman" w:hAnsi="Times New Roman" w:cs="Times New Roman"/>
          <w:color w:val="222222"/>
          <w:sz w:val="24"/>
          <w:szCs w:val="24"/>
          <w:lang w:val="sr-Latn-RS" w:eastAsia="en-GB"/>
        </w:rPr>
        <w:t>documents</w:t>
      </w:r>
      <w:proofErr w:type="spellEnd"/>
      <w:r w:rsidRPr="003F70CB">
        <w:rPr>
          <w:rFonts w:ascii="Times New Roman" w:eastAsia="Times New Roman" w:hAnsi="Times New Roman" w:cs="Times New Roman"/>
          <w:color w:val="222222"/>
          <w:sz w:val="24"/>
          <w:szCs w:val="24"/>
          <w:lang w:val="sr-Latn-RS" w:eastAsia="en-GB"/>
        </w:rPr>
        <w:t>.</w:t>
      </w:r>
    </w:p>
    <w:p w14:paraId="2C8BBC4B" w14:textId="77777777" w:rsidR="007F767C" w:rsidRPr="004002D0"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3F70CB">
        <w:rPr>
          <w:rFonts w:ascii="Times New Roman" w:eastAsia="Times New Roman" w:hAnsi="Times New Roman" w:cs="Times New Roman"/>
          <w:color w:val="222222"/>
          <w:sz w:val="24"/>
          <w:szCs w:val="24"/>
          <w:lang w:val="sr-Latn-RS" w:eastAsia="en-GB"/>
        </w:rPr>
        <w:t xml:space="preserve">On </w:t>
      </w:r>
      <w:proofErr w:type="spellStart"/>
      <w:r w:rsidRPr="003F70CB">
        <w:rPr>
          <w:rFonts w:ascii="Times New Roman" w:eastAsia="Times New Roman" w:hAnsi="Times New Roman" w:cs="Times New Roman"/>
          <w:color w:val="222222"/>
          <w:sz w:val="24"/>
          <w:szCs w:val="24"/>
          <w:lang w:val="sr-Latn-RS" w:eastAsia="en-GB"/>
        </w:rPr>
        <w:t>December</w:t>
      </w:r>
      <w:proofErr w:type="spellEnd"/>
      <w:r w:rsidRPr="003F70CB">
        <w:rPr>
          <w:rFonts w:ascii="Times New Roman" w:eastAsia="Times New Roman" w:hAnsi="Times New Roman" w:cs="Times New Roman"/>
          <w:color w:val="222222"/>
          <w:sz w:val="24"/>
          <w:szCs w:val="24"/>
          <w:lang w:val="sr-Latn-RS" w:eastAsia="en-GB"/>
        </w:rPr>
        <w:t xml:space="preserve"> 13, 2022, at 12:00 AM </w:t>
      </w:r>
      <w:r w:rsidRPr="003F70CB">
        <w:rPr>
          <w:rFonts w:ascii="Times New Roman" w:eastAsia="Times New Roman" w:hAnsi="Times New Roman" w:cs="Times New Roman"/>
          <w:color w:val="222222"/>
          <w:sz w:val="24"/>
          <w:szCs w:val="24"/>
          <w:lang w:val="en-GB" w:eastAsia="en-GB"/>
        </w:rPr>
        <w:t xml:space="preserve">(local time), public consultations and presentations of the </w:t>
      </w:r>
      <w:r w:rsidRPr="004002D0">
        <w:rPr>
          <w:rFonts w:ascii="Times New Roman" w:eastAsia="Times New Roman" w:hAnsi="Times New Roman" w:cs="Times New Roman"/>
          <w:color w:val="222222"/>
          <w:sz w:val="24"/>
          <w:szCs w:val="24"/>
          <w:lang w:val="en-GB" w:eastAsia="en-GB"/>
        </w:rPr>
        <w:t>draft </w:t>
      </w:r>
      <w:r w:rsidRPr="004002D0">
        <w:rPr>
          <w:rFonts w:ascii="Times New Roman" w:eastAsia="Times New Roman" w:hAnsi="Times New Roman" w:cs="Times New Roman"/>
          <w:color w:val="222222"/>
          <w:sz w:val="24"/>
          <w:szCs w:val="24"/>
          <w:lang w:val="sr-Latn-RS" w:eastAsia="en-GB"/>
        </w:rPr>
        <w:t xml:space="preserve">ESCP, SEP, </w:t>
      </w:r>
      <w:proofErr w:type="spellStart"/>
      <w:r w:rsidRPr="004002D0">
        <w:rPr>
          <w:rFonts w:ascii="Times New Roman" w:eastAsia="Times New Roman" w:hAnsi="Times New Roman" w:cs="Times New Roman"/>
          <w:color w:val="222222"/>
          <w:sz w:val="24"/>
          <w:szCs w:val="24"/>
          <w:lang w:val="sr-Latn-RS" w:eastAsia="en-GB"/>
        </w:rPr>
        <w:t>and</w:t>
      </w:r>
      <w:proofErr w:type="spellEnd"/>
      <w:r w:rsidRPr="004002D0">
        <w:rPr>
          <w:rFonts w:ascii="Times New Roman" w:eastAsia="Times New Roman" w:hAnsi="Times New Roman" w:cs="Times New Roman"/>
          <w:color w:val="222222"/>
          <w:sz w:val="24"/>
          <w:szCs w:val="24"/>
          <w:lang w:val="sr-Latn-RS" w:eastAsia="en-GB"/>
        </w:rPr>
        <w:t xml:space="preserve"> LMP </w:t>
      </w:r>
      <w:proofErr w:type="spellStart"/>
      <w:r w:rsidRPr="004002D0">
        <w:rPr>
          <w:rFonts w:ascii="Times New Roman" w:eastAsia="Times New Roman" w:hAnsi="Times New Roman" w:cs="Times New Roman"/>
          <w:color w:val="222222"/>
          <w:sz w:val="24"/>
          <w:szCs w:val="24"/>
          <w:lang w:val="sr-Latn-RS" w:eastAsia="en-GB"/>
        </w:rPr>
        <w:t>for</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interested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parties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and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key</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stakeholders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were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held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consultations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were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organized</w:t>
      </w:r>
      <w:proofErr w:type="spellEnd"/>
      <w:r w:rsidRPr="004002D0">
        <w:rPr>
          <w:rFonts w:ascii="Times New Roman" w:eastAsia="Times New Roman" w:hAnsi="Times New Roman" w:cs="Times New Roman"/>
          <w:color w:val="222222"/>
          <w:sz w:val="24"/>
          <w:szCs w:val="24"/>
          <w:lang w:val="sr-Latn-RS" w:eastAsia="en-GB"/>
        </w:rPr>
        <w:t xml:space="preserve"> on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premises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of</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MoF</w:t>
      </w:r>
      <w:proofErr w:type="spellEnd"/>
      <w:r w:rsidRPr="004002D0">
        <w:rPr>
          <w:rFonts w:ascii="Times New Roman" w:eastAsia="Times New Roman" w:hAnsi="Times New Roman" w:cs="Times New Roman"/>
          <w:color w:val="222222"/>
          <w:sz w:val="24"/>
          <w:szCs w:val="24"/>
          <w:lang w:val="sr-Latn-RS" w:eastAsia="en-GB"/>
        </w:rPr>
        <w:t xml:space="preserve">, in </w:t>
      </w:r>
      <w:proofErr w:type="spellStart"/>
      <w:r w:rsidRPr="004002D0">
        <w:rPr>
          <w:rFonts w:ascii="Times New Roman" w:eastAsia="Times New Roman" w:hAnsi="Times New Roman" w:cs="Times New Roman"/>
          <w:color w:val="222222"/>
          <w:sz w:val="24"/>
          <w:szCs w:val="24"/>
          <w:lang w:val="sr-Latn-RS" w:eastAsia="en-GB"/>
        </w:rPr>
        <w:t>conference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room</w:t>
      </w:r>
      <w:proofErr w:type="spellEnd"/>
      <w:r w:rsidRPr="004002D0">
        <w:rPr>
          <w:rFonts w:ascii="Times New Roman" w:eastAsia="Times New Roman" w:hAnsi="Times New Roman" w:cs="Times New Roman"/>
          <w:color w:val="222222"/>
          <w:sz w:val="24"/>
          <w:szCs w:val="24"/>
          <w:lang w:val="sr-Latn-RS" w:eastAsia="en-GB"/>
        </w:rPr>
        <w:t xml:space="preserve"> 72.</w:t>
      </w:r>
    </w:p>
    <w:p w14:paraId="07C350A8" w14:textId="77777777" w:rsidR="007F767C" w:rsidRPr="004002D0" w:rsidRDefault="007F767C" w:rsidP="007F767C">
      <w:pPr>
        <w:shd w:val="clear" w:color="auto" w:fill="FFFFFF"/>
        <w:jc w:val="both"/>
        <w:textAlignment w:val="baseline"/>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eastAsia="en-GB"/>
        </w:rPr>
        <w:t>The World Bank IPF funded Improving Public Financial Management for the Green Transition (P175655) is assessed as having low risk. Draft ESCP, SEP, and LMP were developed to ensure the implementation of the Project in accordance with the World Bank standards related to environmental and social protection.</w:t>
      </w:r>
    </w:p>
    <w:p w14:paraId="6AF9F47A" w14:textId="77777777" w:rsidR="007F767C" w:rsidRPr="004002D0"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sr-Latn-RS" w:eastAsia="en-GB"/>
        </w:rPr>
      </w:pP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meeting</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was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attended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by</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relevant</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representatives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of</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MoF</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without</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other</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interested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parties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having</w:t>
      </w:r>
      <w:proofErr w:type="spellEnd"/>
      <w:r w:rsidRPr="004002D0">
        <w:rPr>
          <w:rFonts w:ascii="Times New Roman" w:eastAsia="Times New Roman" w:hAnsi="Times New Roman" w:cs="Times New Roman"/>
          <w:color w:val="222222"/>
          <w:sz w:val="24"/>
          <w:szCs w:val="24"/>
          <w:lang w:val="sr-Latn-RS" w:eastAsia="en-GB"/>
        </w:rPr>
        <w:t xml:space="preserve"> in </w:t>
      </w:r>
      <w:proofErr w:type="spellStart"/>
      <w:r w:rsidRPr="004002D0">
        <w:rPr>
          <w:rFonts w:ascii="Times New Roman" w:eastAsia="Times New Roman" w:hAnsi="Times New Roman" w:cs="Times New Roman"/>
          <w:color w:val="222222"/>
          <w:sz w:val="24"/>
          <w:szCs w:val="24"/>
          <w:lang w:val="sr-Latn-RS" w:eastAsia="en-GB"/>
        </w:rPr>
        <w:t>mind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low</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risk</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of</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Project </w:t>
      </w:r>
      <w:proofErr w:type="spellStart"/>
      <w:r w:rsidRPr="004002D0">
        <w:rPr>
          <w:rFonts w:ascii="Times New Roman" w:eastAsia="Times New Roman" w:hAnsi="Times New Roman" w:cs="Times New Roman"/>
          <w:color w:val="222222"/>
          <w:sz w:val="24"/>
          <w:szCs w:val="24"/>
          <w:lang w:val="sr-Latn-RS" w:eastAsia="en-GB"/>
        </w:rPr>
        <w:t>and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lack</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of</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interest</w:t>
      </w:r>
      <w:proofErr w:type="spellEnd"/>
      <w:r w:rsidRPr="004002D0">
        <w:rPr>
          <w:rFonts w:ascii="Times New Roman" w:eastAsia="Times New Roman" w:hAnsi="Times New Roman" w:cs="Times New Roman"/>
          <w:color w:val="222222"/>
          <w:sz w:val="24"/>
          <w:szCs w:val="24"/>
          <w:lang w:val="sr-Latn-RS" w:eastAsia="en-GB"/>
        </w:rPr>
        <w:t xml:space="preserve"> to </w:t>
      </w:r>
      <w:proofErr w:type="spellStart"/>
      <w:r w:rsidRPr="004002D0">
        <w:rPr>
          <w:rFonts w:ascii="Times New Roman" w:eastAsia="Times New Roman" w:hAnsi="Times New Roman" w:cs="Times New Roman"/>
          <w:color w:val="222222"/>
          <w:sz w:val="24"/>
          <w:szCs w:val="24"/>
          <w:lang w:val="sr-Latn-RS" w:eastAsia="en-GB"/>
        </w:rPr>
        <w:t>attend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consultation</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meeting</w:t>
      </w:r>
      <w:proofErr w:type="spellEnd"/>
      <w:r w:rsidRPr="004002D0">
        <w:rPr>
          <w:rFonts w:ascii="Times New Roman" w:eastAsia="Times New Roman" w:hAnsi="Times New Roman" w:cs="Times New Roman"/>
          <w:color w:val="222222"/>
          <w:sz w:val="24"/>
          <w:szCs w:val="24"/>
          <w:lang w:val="sr-Latn-RS" w:eastAsia="en-GB"/>
        </w:rPr>
        <w:t xml:space="preserve">. No </w:t>
      </w:r>
      <w:proofErr w:type="spellStart"/>
      <w:r w:rsidRPr="004002D0">
        <w:rPr>
          <w:rFonts w:ascii="Times New Roman" w:eastAsia="Times New Roman" w:hAnsi="Times New Roman" w:cs="Times New Roman"/>
          <w:color w:val="222222"/>
          <w:sz w:val="24"/>
          <w:szCs w:val="24"/>
          <w:lang w:val="sr-Latn-RS" w:eastAsia="en-GB"/>
        </w:rPr>
        <w:t>written</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suggestions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and</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recommendations</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were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submitted</w:t>
      </w:r>
      <w:proofErr w:type="spellEnd"/>
      <w:r w:rsidRPr="004002D0">
        <w:rPr>
          <w:rFonts w:ascii="Times New Roman" w:eastAsia="Times New Roman" w:hAnsi="Times New Roman" w:cs="Times New Roman"/>
          <w:color w:val="222222"/>
          <w:sz w:val="24"/>
          <w:szCs w:val="24"/>
          <w:lang w:val="sr-Latn-RS" w:eastAsia="en-GB"/>
        </w:rPr>
        <w:t xml:space="preserve"> to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MoF</w:t>
      </w:r>
      <w:proofErr w:type="spellEnd"/>
      <w:r w:rsidRPr="004002D0">
        <w:rPr>
          <w:rFonts w:ascii="Times New Roman" w:eastAsia="Times New Roman" w:hAnsi="Times New Roman" w:cs="Times New Roman"/>
          <w:color w:val="222222"/>
          <w:sz w:val="24"/>
          <w:szCs w:val="24"/>
          <w:lang w:val="sr-Latn-RS" w:eastAsia="en-GB"/>
        </w:rPr>
        <w:t xml:space="preserve"> in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way</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and</w:t>
      </w:r>
      <w:proofErr w:type="spellEnd"/>
      <w:r w:rsidRPr="004002D0">
        <w:rPr>
          <w:rFonts w:ascii="Times New Roman" w:eastAsia="Times New Roman" w:hAnsi="Times New Roman" w:cs="Times New Roman"/>
          <w:color w:val="222222"/>
          <w:sz w:val="24"/>
          <w:szCs w:val="24"/>
          <w:lang w:val="sr-Latn-RS" w:eastAsia="en-GB"/>
        </w:rPr>
        <w:t xml:space="preserve"> date </w:t>
      </w:r>
      <w:proofErr w:type="spellStart"/>
      <w:r w:rsidRPr="004002D0">
        <w:rPr>
          <w:rFonts w:ascii="Times New Roman" w:eastAsia="Times New Roman" w:hAnsi="Times New Roman" w:cs="Times New Roman"/>
          <w:color w:val="222222"/>
          <w:sz w:val="24"/>
          <w:szCs w:val="24"/>
          <w:lang w:val="sr-Latn-RS" w:eastAsia="en-GB"/>
        </w:rPr>
        <w:t>specified</w:t>
      </w:r>
      <w:proofErr w:type="spellEnd"/>
      <w:r w:rsidRPr="004002D0">
        <w:rPr>
          <w:rFonts w:ascii="Times New Roman" w:eastAsia="Times New Roman" w:hAnsi="Times New Roman" w:cs="Times New Roman"/>
          <w:color w:val="222222"/>
          <w:sz w:val="24"/>
          <w:szCs w:val="24"/>
          <w:lang w:val="sr-Latn-RS" w:eastAsia="en-GB"/>
        </w:rPr>
        <w:t xml:space="preserve"> in </w:t>
      </w:r>
      <w:proofErr w:type="spellStart"/>
      <w:r w:rsidRPr="004002D0">
        <w:rPr>
          <w:rFonts w:ascii="Times New Roman" w:eastAsia="Times New Roman" w:hAnsi="Times New Roman" w:cs="Times New Roman"/>
          <w:color w:val="222222"/>
          <w:sz w:val="24"/>
          <w:szCs w:val="24"/>
          <w:lang w:val="sr-Latn-RS" w:eastAsia="en-GB"/>
        </w:rPr>
        <w:t>the</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invitation</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for</w:t>
      </w:r>
      <w:proofErr w:type="spellEnd"/>
      <w:r w:rsidRPr="004002D0">
        <w:rPr>
          <w:rFonts w:ascii="Times New Roman" w:eastAsia="Times New Roman" w:hAnsi="Times New Roman" w:cs="Times New Roman"/>
          <w:color w:val="222222"/>
          <w:sz w:val="24"/>
          <w:szCs w:val="24"/>
          <w:lang w:val="sr-Latn-RS" w:eastAsia="en-GB"/>
        </w:rPr>
        <w:t xml:space="preserve"> </w:t>
      </w:r>
      <w:proofErr w:type="spellStart"/>
      <w:r w:rsidRPr="004002D0">
        <w:rPr>
          <w:rFonts w:ascii="Times New Roman" w:eastAsia="Times New Roman" w:hAnsi="Times New Roman" w:cs="Times New Roman"/>
          <w:color w:val="222222"/>
          <w:sz w:val="24"/>
          <w:szCs w:val="24"/>
          <w:lang w:val="sr-Latn-RS" w:eastAsia="en-GB"/>
        </w:rPr>
        <w:t>Public</w:t>
      </w:r>
      <w:proofErr w:type="spellEnd"/>
      <w:r>
        <w:rPr>
          <w:rFonts w:ascii="Times New Roman" w:eastAsia="Times New Roman" w:hAnsi="Times New Roman" w:cs="Times New Roman"/>
          <w:color w:val="222222"/>
          <w:sz w:val="24"/>
          <w:szCs w:val="24"/>
          <w:lang w:val="sr-Latn-RS" w:eastAsia="en-GB"/>
        </w:rPr>
        <w:t xml:space="preserve"> </w:t>
      </w:r>
      <w:proofErr w:type="spellStart"/>
      <w:r>
        <w:rPr>
          <w:rFonts w:ascii="Times New Roman" w:eastAsia="Times New Roman" w:hAnsi="Times New Roman" w:cs="Times New Roman"/>
          <w:color w:val="222222"/>
          <w:sz w:val="24"/>
          <w:szCs w:val="24"/>
          <w:lang w:val="sr-Latn-RS" w:eastAsia="en-GB"/>
        </w:rPr>
        <w:t>c</w:t>
      </w:r>
      <w:r w:rsidRPr="004002D0">
        <w:rPr>
          <w:rFonts w:ascii="Times New Roman" w:eastAsia="Times New Roman" w:hAnsi="Times New Roman" w:cs="Times New Roman"/>
          <w:color w:val="222222"/>
          <w:sz w:val="24"/>
          <w:szCs w:val="24"/>
          <w:lang w:val="sr-Latn-RS" w:eastAsia="en-GB"/>
        </w:rPr>
        <w:t>onsultations</w:t>
      </w:r>
      <w:proofErr w:type="spellEnd"/>
      <w:r w:rsidRPr="004002D0">
        <w:rPr>
          <w:rFonts w:ascii="Times New Roman" w:eastAsia="Times New Roman" w:hAnsi="Times New Roman" w:cs="Times New Roman"/>
          <w:color w:val="222222"/>
          <w:sz w:val="24"/>
          <w:szCs w:val="24"/>
          <w:lang w:val="sr-Latn-RS" w:eastAsia="en-GB"/>
        </w:rPr>
        <w:t>.</w:t>
      </w:r>
    </w:p>
    <w:p w14:paraId="1224D60C" w14:textId="77777777" w:rsidR="007F767C" w:rsidRPr="004002D0" w:rsidRDefault="007F767C" w:rsidP="007F767C">
      <w:pPr>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 xml:space="preserve">There were 8 attendees on public consultation, representatives </w:t>
      </w:r>
      <w:proofErr w:type="spellStart"/>
      <w:r w:rsidRPr="004002D0">
        <w:rPr>
          <w:rFonts w:ascii="Times New Roman" w:eastAsia="Times New Roman" w:hAnsi="Times New Roman" w:cs="Times New Roman"/>
          <w:sz w:val="24"/>
          <w:szCs w:val="24"/>
          <w:lang w:eastAsia="sr-Latn-CS"/>
        </w:rPr>
        <w:t>M</w:t>
      </w:r>
      <w:r>
        <w:rPr>
          <w:rFonts w:ascii="Times New Roman" w:eastAsia="Times New Roman" w:hAnsi="Times New Roman" w:cs="Times New Roman"/>
          <w:sz w:val="24"/>
          <w:szCs w:val="24"/>
          <w:lang w:eastAsia="sr-Latn-CS"/>
        </w:rPr>
        <w:t>oF</w:t>
      </w:r>
      <w:proofErr w:type="spellEnd"/>
      <w:r w:rsidRPr="004002D0">
        <w:rPr>
          <w:rFonts w:ascii="Times New Roman" w:eastAsia="Times New Roman" w:hAnsi="Times New Roman" w:cs="Times New Roman"/>
          <w:sz w:val="24"/>
          <w:szCs w:val="24"/>
          <w:lang w:eastAsia="sr-Latn-CS"/>
        </w:rPr>
        <w:t xml:space="preserve"> (4), </w:t>
      </w:r>
      <w:proofErr w:type="spellStart"/>
      <w:r>
        <w:rPr>
          <w:rFonts w:ascii="Times New Roman" w:eastAsia="Times New Roman" w:hAnsi="Times New Roman" w:cs="Times New Roman"/>
          <w:sz w:val="24"/>
          <w:szCs w:val="24"/>
          <w:lang w:eastAsia="sr-Latn-CS"/>
        </w:rPr>
        <w:t>MoF_</w:t>
      </w:r>
      <w:r w:rsidRPr="004002D0">
        <w:rPr>
          <w:rFonts w:ascii="Times New Roman" w:eastAsia="Times New Roman" w:hAnsi="Times New Roman" w:cs="Times New Roman"/>
          <w:sz w:val="24"/>
          <w:szCs w:val="24"/>
          <w:lang w:eastAsia="sr-Latn-CS"/>
        </w:rPr>
        <w:t>C</w:t>
      </w:r>
      <w:r>
        <w:rPr>
          <w:rFonts w:ascii="Times New Roman" w:eastAsia="Times New Roman" w:hAnsi="Times New Roman" w:cs="Times New Roman"/>
          <w:sz w:val="24"/>
          <w:szCs w:val="24"/>
          <w:lang w:val="sr-Latn-RS" w:eastAsia="sr-Latn-CS"/>
        </w:rPr>
        <w:t>entral</w:t>
      </w:r>
      <w:proofErr w:type="spellEnd"/>
      <w:r>
        <w:rPr>
          <w:rFonts w:ascii="Times New Roman" w:eastAsia="Times New Roman" w:hAnsi="Times New Roman" w:cs="Times New Roman"/>
          <w:sz w:val="24"/>
          <w:szCs w:val="24"/>
          <w:lang w:val="sr-Latn-RS" w:eastAsia="sr-Latn-CS"/>
        </w:rPr>
        <w:t xml:space="preserve"> </w:t>
      </w:r>
      <w:r>
        <w:rPr>
          <w:rFonts w:ascii="Times New Roman" w:eastAsia="Times New Roman" w:hAnsi="Times New Roman" w:cs="Times New Roman"/>
          <w:sz w:val="24"/>
          <w:szCs w:val="24"/>
          <w:lang w:eastAsia="sr-Latn-CS"/>
        </w:rPr>
        <w:t>Fiduciary Unit</w:t>
      </w:r>
      <w:r w:rsidRPr="004002D0">
        <w:rPr>
          <w:rFonts w:ascii="Times New Roman" w:eastAsia="Times New Roman" w:hAnsi="Times New Roman" w:cs="Times New Roman"/>
          <w:sz w:val="24"/>
          <w:szCs w:val="24"/>
          <w:lang w:eastAsia="sr-Latn-CS"/>
        </w:rPr>
        <w:t xml:space="preserve"> (2) and Consultants (2). The names and titles of the participants, due to protection of personal data requirements, will not be publicly disclosed.</w:t>
      </w:r>
    </w:p>
    <w:p w14:paraId="2A34493A" w14:textId="77777777" w:rsidR="007F767C" w:rsidRPr="004002D0" w:rsidRDefault="007F767C" w:rsidP="007F767C">
      <w:pPr>
        <w:jc w:val="both"/>
        <w:rPr>
          <w:rFonts w:ascii="Times New Roman" w:eastAsia="Times New Roman" w:hAnsi="Times New Roman" w:cs="Times New Roman"/>
          <w:sz w:val="24"/>
          <w:szCs w:val="24"/>
          <w:lang w:eastAsia="sr-Latn-CS"/>
        </w:rPr>
      </w:pPr>
      <w:r w:rsidRPr="004002D0">
        <w:rPr>
          <w:rFonts w:ascii="Times New Roman" w:eastAsia="Times New Roman" w:hAnsi="Times New Roman" w:cs="Times New Roman"/>
          <w:sz w:val="24"/>
          <w:szCs w:val="24"/>
          <w:lang w:eastAsia="sr-Latn-CS"/>
        </w:rPr>
        <w:t xml:space="preserve">The consultations were presented by: </w:t>
      </w:r>
      <w:r w:rsidRPr="004002D0">
        <w:rPr>
          <w:rFonts w:ascii="Times New Roman" w:eastAsia="Times New Roman" w:hAnsi="Times New Roman" w:cs="Times New Roman"/>
          <w:color w:val="222222"/>
          <w:sz w:val="24"/>
          <w:szCs w:val="24"/>
          <w:lang w:eastAsia="en-GB"/>
        </w:rPr>
        <w:t>Ms. Verica</w:t>
      </w:r>
      <w:r>
        <w:rPr>
          <w:rFonts w:ascii="Times New Roman" w:eastAsia="Times New Roman" w:hAnsi="Times New Roman" w:cs="Times New Roman"/>
          <w:color w:val="222222"/>
          <w:sz w:val="24"/>
          <w:szCs w:val="24"/>
          <w:lang w:eastAsia="en-GB"/>
        </w:rPr>
        <w:t xml:space="preserve"> </w:t>
      </w:r>
      <w:proofErr w:type="spellStart"/>
      <w:r w:rsidRPr="004002D0">
        <w:rPr>
          <w:rFonts w:ascii="Times New Roman" w:eastAsia="Times New Roman" w:hAnsi="Times New Roman" w:cs="Times New Roman"/>
          <w:color w:val="222222"/>
          <w:sz w:val="24"/>
          <w:szCs w:val="24"/>
          <w:lang w:eastAsia="en-GB"/>
        </w:rPr>
        <w:t>Ignajtović</w:t>
      </w:r>
      <w:proofErr w:type="spellEnd"/>
      <w:r w:rsidRPr="004002D0">
        <w:rPr>
          <w:rFonts w:ascii="Times New Roman" w:eastAsia="Times New Roman" w:hAnsi="Times New Roman" w:cs="Times New Roman"/>
          <w:color w:val="222222"/>
          <w:sz w:val="24"/>
          <w:szCs w:val="24"/>
          <w:lang w:eastAsia="en-GB"/>
        </w:rPr>
        <w:t xml:space="preserve">, Assistant Minister, Department for International Cooperation and European Integration, </w:t>
      </w:r>
      <w:proofErr w:type="spellStart"/>
      <w:r w:rsidRPr="004002D0">
        <w:rPr>
          <w:rFonts w:ascii="Times New Roman" w:eastAsia="Times New Roman" w:hAnsi="Times New Roman" w:cs="Times New Roman"/>
          <w:color w:val="222222"/>
          <w:sz w:val="24"/>
          <w:szCs w:val="24"/>
          <w:lang w:eastAsia="en-GB"/>
        </w:rPr>
        <w:t>MoF</w:t>
      </w:r>
      <w:proofErr w:type="spellEnd"/>
      <w:r>
        <w:rPr>
          <w:rFonts w:ascii="Times New Roman" w:eastAsia="Times New Roman" w:hAnsi="Times New Roman" w:cs="Times New Roman"/>
          <w:color w:val="222222"/>
          <w:sz w:val="24"/>
          <w:szCs w:val="24"/>
          <w:lang w:eastAsia="en-GB"/>
        </w:rPr>
        <w:t>.</w:t>
      </w:r>
    </w:p>
    <w:p w14:paraId="32E9F8C2" w14:textId="77777777" w:rsidR="007F767C" w:rsidRPr="004002D0"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b/>
          <w:bCs/>
          <w:color w:val="222222"/>
          <w:sz w:val="24"/>
          <w:szCs w:val="24"/>
          <w:lang w:val="en-GB" w:eastAsia="en-GB"/>
        </w:rPr>
        <w:t>Questions and Answers:</w:t>
      </w:r>
    </w:p>
    <w:p w14:paraId="54F8F747" w14:textId="77777777" w:rsidR="007F767C" w:rsidRDefault="007F767C" w:rsidP="007F767C">
      <w:pPr>
        <w:shd w:val="clear" w:color="auto" w:fill="FFFFFF"/>
        <w:spacing w:line="233" w:lineRule="atLeast"/>
        <w:jc w:val="both"/>
        <w:rPr>
          <w:rFonts w:ascii="Times New Roman" w:eastAsia="Times New Roman" w:hAnsi="Times New Roman" w:cs="Times New Roman"/>
          <w:color w:val="222222"/>
          <w:sz w:val="24"/>
          <w:szCs w:val="24"/>
          <w:lang w:val="en-GB" w:eastAsia="en-GB"/>
        </w:rPr>
      </w:pPr>
      <w:r w:rsidRPr="004002D0">
        <w:rPr>
          <w:rFonts w:ascii="Times New Roman" w:eastAsia="Times New Roman" w:hAnsi="Times New Roman" w:cs="Times New Roman"/>
          <w:color w:val="222222"/>
          <w:sz w:val="24"/>
          <w:szCs w:val="24"/>
          <w:lang w:val="en-GB" w:eastAsia="en-GB"/>
        </w:rPr>
        <w:t>During the public consultations, there were no questions, comments/remarks related to the presented draft SEP, LMP, and ESCP, bearing in mind that no other interest parties were present.</w:t>
      </w:r>
      <w:r>
        <w:rPr>
          <w:rFonts w:ascii="Times New Roman" w:eastAsia="Times New Roman" w:hAnsi="Times New Roman" w:cs="Times New Roman"/>
          <w:color w:val="222222"/>
          <w:sz w:val="24"/>
          <w:szCs w:val="24"/>
          <w:lang w:val="en-GB" w:eastAsia="en-GB"/>
        </w:rPr>
        <w:br w:type="page"/>
      </w:r>
    </w:p>
    <w:p w14:paraId="6E333F99" w14:textId="77777777" w:rsidR="007F767C" w:rsidRDefault="007F767C" w:rsidP="007F767C">
      <w:pPr>
        <w:shd w:val="clear" w:color="auto" w:fill="FFFFFF"/>
        <w:spacing w:line="233" w:lineRule="atLeast"/>
        <w:jc w:val="both"/>
        <w:rPr>
          <w:rFonts w:ascii="Times New Roman" w:eastAsia="Times New Roman" w:hAnsi="Times New Roman" w:cs="Times New Roman"/>
          <w:color w:val="222222"/>
          <w:sz w:val="24"/>
          <w:szCs w:val="24"/>
          <w:lang w:eastAsia="en-GB"/>
        </w:rPr>
      </w:pPr>
      <w:r w:rsidRPr="003F70CB">
        <w:rPr>
          <w:rFonts w:ascii="Times New Roman" w:eastAsia="Times New Roman" w:hAnsi="Times New Roman" w:cs="Times New Roman"/>
          <w:b/>
          <w:bCs/>
          <w:color w:val="222222"/>
          <w:sz w:val="24"/>
          <w:szCs w:val="24"/>
          <w:lang w:val="en-GB" w:eastAsia="en-GB"/>
        </w:rPr>
        <w:lastRenderedPageBreak/>
        <w:t>Public Consultation Summary</w:t>
      </w:r>
      <w:r w:rsidRPr="003F70CB">
        <w:rPr>
          <w:rFonts w:ascii="Times New Roman" w:eastAsia="Times New Roman" w:hAnsi="Times New Roman" w:cs="Times New Roman"/>
          <w:color w:val="222222"/>
          <w:sz w:val="24"/>
          <w:szCs w:val="24"/>
          <w:lang w:eastAsia="en-GB"/>
        </w:rPr>
        <w:t>Since there were no questions, comments, or suggestions, from the public, bodies, and organizations interested in subject documents for the Project, the final version of the SEP, LMP, and ESCP will be prepared according to the latest approved version by adding the report from the consultations after it gets approved by the WB team and the Borrower. </w:t>
      </w:r>
    </w:p>
    <w:p w14:paraId="3F1BC47F" w14:textId="77777777" w:rsidR="007F767C" w:rsidRDefault="007F767C" w:rsidP="007F767C">
      <w:pPr>
        <w:autoSpaceDE w:val="0"/>
        <w:autoSpaceDN w:val="0"/>
        <w:adjustRightInd w:val="0"/>
        <w:jc w:val="both"/>
        <w:rPr>
          <w:rFonts w:cstheme="minorHAnsi"/>
          <w:sz w:val="20"/>
          <w:szCs w:val="20"/>
        </w:rPr>
      </w:pPr>
      <w:r w:rsidRPr="004002D0">
        <w:rPr>
          <w:rFonts w:ascii="Times New Roman" w:eastAsia="Times New Roman" w:hAnsi="Times New Roman" w:cs="Times New Roman"/>
          <w:bCs/>
          <w:i/>
          <w:spacing w:val="-4"/>
          <w:lang w:val="en-GB"/>
        </w:rPr>
        <w:t>Picture 1</w:t>
      </w:r>
      <w:r w:rsidRPr="004002D0">
        <w:rPr>
          <w:rFonts w:ascii="Times New Roman" w:eastAsia="Times New Roman" w:hAnsi="Times New Roman" w:cs="Times New Roman"/>
          <w:i/>
          <w:spacing w:val="-4"/>
          <w:lang w:val="en-GB"/>
        </w:rPr>
        <w:t xml:space="preserve">: Public disclosure of public consultation on draft ESCP, </w:t>
      </w:r>
      <w:proofErr w:type="spellStart"/>
      <w:r w:rsidRPr="004002D0">
        <w:rPr>
          <w:rFonts w:ascii="Times New Roman" w:eastAsia="Times New Roman" w:hAnsi="Times New Roman" w:cs="Times New Roman"/>
          <w:i/>
          <w:spacing w:val="-4"/>
          <w:lang w:val="en-GB"/>
        </w:rPr>
        <w:t>english</w:t>
      </w:r>
      <w:proofErr w:type="spellEnd"/>
      <w:r w:rsidRPr="004002D0">
        <w:rPr>
          <w:rFonts w:ascii="Times New Roman" w:eastAsia="Times New Roman" w:hAnsi="Times New Roman" w:cs="Times New Roman"/>
          <w:i/>
          <w:spacing w:val="-4"/>
          <w:lang w:val="en-GB"/>
        </w:rPr>
        <w:t xml:space="preserve"> and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version, </w:t>
      </w:r>
      <w:proofErr w:type="spellStart"/>
      <w:r w:rsidRPr="004002D0">
        <w:rPr>
          <w:rFonts w:ascii="Times New Roman" w:eastAsia="Times New Roman" w:hAnsi="Times New Roman" w:cs="Times New Roman"/>
          <w:i/>
          <w:spacing w:val="-4"/>
          <w:lang w:val="en-GB"/>
        </w:rPr>
        <w:t>MoF</w:t>
      </w:r>
      <w:proofErr w:type="spellEnd"/>
      <w:r w:rsidRPr="004002D0">
        <w:rPr>
          <w:rFonts w:ascii="Times New Roman" w:eastAsia="Times New Roman" w:hAnsi="Times New Roman" w:cs="Times New Roman"/>
          <w:i/>
          <w:spacing w:val="-4"/>
          <w:lang w:val="en-GB"/>
        </w:rPr>
        <w:t xml:space="preserve"> website</w:t>
      </w:r>
    </w:p>
    <w:p w14:paraId="274E15FA" w14:textId="77777777" w:rsidR="007F767C" w:rsidRDefault="007F767C" w:rsidP="007F767C">
      <w:pPr>
        <w:jc w:val="center"/>
        <w:rPr>
          <w:rFonts w:cstheme="minorHAnsi"/>
          <w:sz w:val="20"/>
          <w:szCs w:val="20"/>
        </w:rPr>
      </w:pPr>
      <w:r w:rsidRPr="003F70CB">
        <w:rPr>
          <w:rFonts w:ascii="Times New Roman" w:eastAsia="Times New Roman" w:hAnsi="Times New Roman" w:cs="Times New Roman"/>
          <w:noProof/>
          <w:spacing w:val="-4"/>
          <w:sz w:val="24"/>
          <w:szCs w:val="24"/>
        </w:rPr>
        <w:drawing>
          <wp:inline distT="0" distB="0" distL="0" distR="0" wp14:anchorId="623B5F34" wp14:editId="4A5B77A3">
            <wp:extent cx="6143625" cy="424758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6067" cy="4249275"/>
                    </a:xfrm>
                    <a:prstGeom prst="rect">
                      <a:avLst/>
                    </a:prstGeom>
                  </pic:spPr>
                </pic:pic>
              </a:graphicData>
            </a:graphic>
          </wp:inline>
        </w:drawing>
      </w:r>
    </w:p>
    <w:p w14:paraId="79ADE97D" w14:textId="77777777" w:rsidR="007F767C" w:rsidRDefault="007F767C" w:rsidP="007F767C">
      <w:pPr>
        <w:rPr>
          <w:rFonts w:cstheme="minorHAnsi"/>
          <w:sz w:val="20"/>
          <w:szCs w:val="20"/>
        </w:rPr>
      </w:pPr>
    </w:p>
    <w:p w14:paraId="1FE3602A" w14:textId="77777777" w:rsidR="007F767C" w:rsidRDefault="007F767C" w:rsidP="007F767C">
      <w:pPr>
        <w:rPr>
          <w:rFonts w:cstheme="minorHAnsi"/>
          <w:sz w:val="20"/>
          <w:szCs w:val="20"/>
        </w:rPr>
      </w:pPr>
    </w:p>
    <w:p w14:paraId="70ECF98E" w14:textId="77777777" w:rsidR="007F767C" w:rsidRDefault="007F767C" w:rsidP="007F767C">
      <w:pPr>
        <w:rPr>
          <w:rFonts w:ascii="Times New Roman" w:eastAsia="Times New Roman" w:hAnsi="Times New Roman" w:cs="Times New Roman"/>
          <w:bCs/>
          <w:i/>
          <w:spacing w:val="-4"/>
          <w:lang w:val="en-GB"/>
        </w:rPr>
      </w:pPr>
    </w:p>
    <w:p w14:paraId="4E2EB5AB" w14:textId="77777777" w:rsidR="007F767C" w:rsidRDefault="007F767C" w:rsidP="007F767C">
      <w:pPr>
        <w:rPr>
          <w:rFonts w:ascii="Times New Roman" w:eastAsia="Times New Roman" w:hAnsi="Times New Roman" w:cs="Times New Roman"/>
          <w:bCs/>
          <w:i/>
          <w:spacing w:val="-4"/>
          <w:lang w:val="en-GB"/>
        </w:rPr>
      </w:pPr>
    </w:p>
    <w:p w14:paraId="70FC4F57" w14:textId="77777777" w:rsidR="007F767C" w:rsidRDefault="007F767C" w:rsidP="007F767C">
      <w:pPr>
        <w:rPr>
          <w:rFonts w:ascii="Times New Roman" w:eastAsia="Times New Roman" w:hAnsi="Times New Roman" w:cs="Times New Roman"/>
          <w:bCs/>
          <w:i/>
          <w:spacing w:val="-4"/>
          <w:lang w:val="en-GB"/>
        </w:rPr>
      </w:pPr>
    </w:p>
    <w:p w14:paraId="1A7C9DDD" w14:textId="77777777" w:rsidR="007F767C" w:rsidRDefault="007F767C" w:rsidP="007F767C">
      <w:pPr>
        <w:rPr>
          <w:rFonts w:ascii="Times New Roman" w:eastAsia="Times New Roman" w:hAnsi="Times New Roman" w:cs="Times New Roman"/>
          <w:bCs/>
          <w:i/>
          <w:spacing w:val="-4"/>
          <w:lang w:val="en-GB"/>
        </w:rPr>
      </w:pPr>
    </w:p>
    <w:p w14:paraId="39C0F86F" w14:textId="77777777" w:rsidR="007F767C" w:rsidRDefault="007F767C" w:rsidP="007F767C">
      <w:pPr>
        <w:rPr>
          <w:rFonts w:ascii="Times New Roman" w:eastAsia="Times New Roman" w:hAnsi="Times New Roman" w:cs="Times New Roman"/>
          <w:bCs/>
          <w:i/>
          <w:spacing w:val="-4"/>
          <w:lang w:val="en-GB"/>
        </w:rPr>
      </w:pPr>
    </w:p>
    <w:p w14:paraId="3B07894D" w14:textId="77777777" w:rsidR="007F767C" w:rsidRDefault="007F767C" w:rsidP="007F767C">
      <w:pPr>
        <w:rPr>
          <w:rFonts w:ascii="Times New Roman" w:eastAsia="Times New Roman" w:hAnsi="Times New Roman" w:cs="Times New Roman"/>
          <w:bCs/>
          <w:i/>
          <w:spacing w:val="-4"/>
          <w:lang w:val="en-GB"/>
        </w:rPr>
      </w:pPr>
    </w:p>
    <w:p w14:paraId="2B2B13AF" w14:textId="77777777" w:rsidR="007F767C" w:rsidRDefault="007F767C" w:rsidP="007F767C">
      <w:pPr>
        <w:rPr>
          <w:rFonts w:ascii="Times New Roman" w:eastAsia="Times New Roman" w:hAnsi="Times New Roman" w:cs="Times New Roman"/>
          <w:bCs/>
          <w:i/>
          <w:spacing w:val="-4"/>
          <w:lang w:val="en-GB"/>
        </w:rPr>
      </w:pPr>
    </w:p>
    <w:p w14:paraId="5303C9F3" w14:textId="37EB96C9" w:rsidR="007F767C" w:rsidRDefault="007F767C" w:rsidP="007F767C">
      <w:pPr>
        <w:rPr>
          <w:rFonts w:ascii="Times New Roman" w:eastAsia="Times New Roman" w:hAnsi="Times New Roman" w:cs="Times New Roman"/>
          <w:i/>
          <w:spacing w:val="-4"/>
          <w:lang w:val="en-GB"/>
        </w:rPr>
      </w:pPr>
      <w:r w:rsidRPr="004002D0">
        <w:rPr>
          <w:rFonts w:ascii="Times New Roman" w:eastAsia="Times New Roman" w:hAnsi="Times New Roman" w:cs="Times New Roman"/>
          <w:bCs/>
          <w:i/>
          <w:spacing w:val="-4"/>
          <w:lang w:val="en-GB"/>
        </w:rPr>
        <w:lastRenderedPageBreak/>
        <w:t>Picture 2</w:t>
      </w:r>
      <w:r w:rsidRPr="004002D0">
        <w:rPr>
          <w:rFonts w:ascii="Times New Roman" w:eastAsia="Times New Roman" w:hAnsi="Times New Roman" w:cs="Times New Roman"/>
          <w:i/>
          <w:spacing w:val="-4"/>
          <w:lang w:val="en-GB"/>
        </w:rPr>
        <w:t xml:space="preserve">: Public disclosure of public consultation on draft SEP and LMP, </w:t>
      </w:r>
      <w:proofErr w:type="spellStart"/>
      <w:r w:rsidRPr="004002D0">
        <w:rPr>
          <w:rFonts w:ascii="Times New Roman" w:eastAsia="Times New Roman" w:hAnsi="Times New Roman" w:cs="Times New Roman"/>
          <w:i/>
          <w:spacing w:val="-4"/>
          <w:lang w:val="en-GB"/>
        </w:rPr>
        <w:t>english</w:t>
      </w:r>
      <w:proofErr w:type="spellEnd"/>
      <w:r w:rsidRPr="004002D0">
        <w:rPr>
          <w:rFonts w:ascii="Times New Roman" w:eastAsia="Times New Roman" w:hAnsi="Times New Roman" w:cs="Times New Roman"/>
          <w:i/>
          <w:spacing w:val="-4"/>
          <w:lang w:val="en-GB"/>
        </w:rPr>
        <w:t xml:space="preserve"> and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versions, </w:t>
      </w:r>
      <w:proofErr w:type="spellStart"/>
      <w:r w:rsidRPr="004002D0">
        <w:rPr>
          <w:rFonts w:ascii="Times New Roman" w:eastAsia="Times New Roman" w:hAnsi="Times New Roman" w:cs="Times New Roman"/>
          <w:i/>
          <w:spacing w:val="-4"/>
          <w:lang w:val="en-GB"/>
        </w:rPr>
        <w:t>MoF</w:t>
      </w:r>
      <w:proofErr w:type="spellEnd"/>
      <w:r w:rsidRPr="004002D0">
        <w:rPr>
          <w:rFonts w:ascii="Times New Roman" w:eastAsia="Times New Roman" w:hAnsi="Times New Roman" w:cs="Times New Roman"/>
          <w:i/>
          <w:spacing w:val="-4"/>
          <w:lang w:val="en-GB"/>
        </w:rPr>
        <w:t xml:space="preserve"> website</w:t>
      </w:r>
    </w:p>
    <w:p w14:paraId="3ECE3A27" w14:textId="77777777" w:rsidR="007F767C" w:rsidRDefault="007F767C" w:rsidP="007F767C">
      <w:pPr>
        <w:jc w:val="center"/>
        <w:rPr>
          <w:rFonts w:cstheme="minorHAnsi"/>
          <w:sz w:val="20"/>
          <w:szCs w:val="20"/>
        </w:rPr>
      </w:pPr>
      <w:r w:rsidRPr="003F70CB">
        <w:rPr>
          <w:rFonts w:ascii="Times New Roman" w:eastAsia="Times New Roman" w:hAnsi="Times New Roman" w:cs="Times New Roman"/>
          <w:noProof/>
          <w:sz w:val="24"/>
          <w:szCs w:val="24"/>
        </w:rPr>
        <w:drawing>
          <wp:inline distT="0" distB="0" distL="0" distR="0" wp14:anchorId="5BA6A13D" wp14:editId="5A6EEBAF">
            <wp:extent cx="6210300" cy="424448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4088" cy="4253911"/>
                    </a:xfrm>
                    <a:prstGeom prst="rect">
                      <a:avLst/>
                    </a:prstGeom>
                  </pic:spPr>
                </pic:pic>
              </a:graphicData>
            </a:graphic>
          </wp:inline>
        </w:drawing>
      </w:r>
    </w:p>
    <w:p w14:paraId="0899CC41" w14:textId="77777777" w:rsidR="007F767C" w:rsidRDefault="007F767C" w:rsidP="007F767C">
      <w:pPr>
        <w:rPr>
          <w:rFonts w:cstheme="minorHAnsi"/>
          <w:sz w:val="20"/>
          <w:szCs w:val="20"/>
        </w:rPr>
      </w:pPr>
    </w:p>
    <w:p w14:paraId="0F3D842D" w14:textId="77777777" w:rsidR="007F767C" w:rsidRDefault="007F767C" w:rsidP="007F767C">
      <w:pPr>
        <w:rPr>
          <w:rFonts w:cstheme="minorHAnsi"/>
          <w:sz w:val="20"/>
          <w:szCs w:val="20"/>
        </w:rPr>
      </w:pPr>
    </w:p>
    <w:p w14:paraId="46046C6B" w14:textId="77777777" w:rsidR="007F767C" w:rsidRDefault="007F767C" w:rsidP="007F767C">
      <w:pPr>
        <w:rPr>
          <w:rFonts w:cstheme="minorHAnsi"/>
          <w:sz w:val="20"/>
          <w:szCs w:val="20"/>
        </w:rPr>
      </w:pPr>
    </w:p>
    <w:p w14:paraId="32C015F2" w14:textId="77777777" w:rsidR="007F767C" w:rsidRDefault="007F767C" w:rsidP="007F767C">
      <w:pPr>
        <w:rPr>
          <w:rFonts w:cstheme="minorHAnsi"/>
          <w:sz w:val="20"/>
          <w:szCs w:val="20"/>
        </w:rPr>
      </w:pPr>
    </w:p>
    <w:p w14:paraId="0E16ACEC" w14:textId="77777777" w:rsidR="007F767C" w:rsidRDefault="007F767C" w:rsidP="007F767C">
      <w:pPr>
        <w:rPr>
          <w:rFonts w:cstheme="minorHAnsi"/>
          <w:sz w:val="20"/>
          <w:szCs w:val="20"/>
        </w:rPr>
      </w:pPr>
    </w:p>
    <w:p w14:paraId="16F4A291" w14:textId="77777777" w:rsidR="007F767C" w:rsidRDefault="007F767C" w:rsidP="007F767C">
      <w:pPr>
        <w:rPr>
          <w:rFonts w:cstheme="minorHAnsi"/>
          <w:sz w:val="20"/>
          <w:szCs w:val="20"/>
        </w:rPr>
      </w:pPr>
    </w:p>
    <w:p w14:paraId="420D5D6E" w14:textId="77777777" w:rsidR="007F767C" w:rsidRDefault="007F767C" w:rsidP="007F767C">
      <w:pPr>
        <w:rPr>
          <w:rFonts w:cstheme="minorHAnsi"/>
          <w:sz w:val="20"/>
          <w:szCs w:val="20"/>
        </w:rPr>
      </w:pPr>
    </w:p>
    <w:p w14:paraId="15C62D1D" w14:textId="77777777" w:rsidR="007F767C" w:rsidRDefault="007F767C" w:rsidP="007F767C">
      <w:pPr>
        <w:rPr>
          <w:rFonts w:cstheme="minorHAnsi"/>
          <w:sz w:val="20"/>
          <w:szCs w:val="20"/>
        </w:rPr>
      </w:pPr>
    </w:p>
    <w:p w14:paraId="6EBD7771" w14:textId="77777777" w:rsidR="007F767C" w:rsidRDefault="007F767C" w:rsidP="007F767C">
      <w:pPr>
        <w:rPr>
          <w:rFonts w:cstheme="minorHAnsi"/>
          <w:sz w:val="20"/>
          <w:szCs w:val="20"/>
        </w:rPr>
      </w:pPr>
    </w:p>
    <w:p w14:paraId="759C15F2" w14:textId="77777777" w:rsidR="007F767C" w:rsidRDefault="007F767C" w:rsidP="007F767C">
      <w:pPr>
        <w:rPr>
          <w:rFonts w:cstheme="minorHAnsi"/>
          <w:sz w:val="20"/>
          <w:szCs w:val="20"/>
        </w:rPr>
      </w:pPr>
    </w:p>
    <w:p w14:paraId="0002D456" w14:textId="77777777" w:rsidR="007F767C" w:rsidRDefault="007F767C" w:rsidP="007F767C">
      <w:pPr>
        <w:rPr>
          <w:rFonts w:cstheme="minorHAnsi"/>
          <w:sz w:val="20"/>
          <w:szCs w:val="20"/>
        </w:rPr>
      </w:pPr>
    </w:p>
    <w:p w14:paraId="07989E9E" w14:textId="77777777" w:rsidR="007F767C" w:rsidRDefault="007F767C" w:rsidP="007F767C">
      <w:pPr>
        <w:rPr>
          <w:rFonts w:cstheme="minorHAnsi"/>
          <w:sz w:val="20"/>
          <w:szCs w:val="20"/>
        </w:rPr>
      </w:pPr>
    </w:p>
    <w:p w14:paraId="0509CFCC" w14:textId="77777777" w:rsidR="007F767C" w:rsidRDefault="007F767C" w:rsidP="007F767C">
      <w:pPr>
        <w:rPr>
          <w:rFonts w:cstheme="minorHAnsi"/>
          <w:sz w:val="20"/>
          <w:szCs w:val="20"/>
        </w:rPr>
      </w:pPr>
    </w:p>
    <w:p w14:paraId="2BA7824D" w14:textId="77777777" w:rsidR="007F767C" w:rsidRDefault="007F767C" w:rsidP="007F767C">
      <w:pPr>
        <w:rPr>
          <w:rFonts w:ascii="Times New Roman" w:eastAsia="Times New Roman" w:hAnsi="Times New Roman" w:cs="Times New Roman"/>
          <w:i/>
          <w:spacing w:val="-4"/>
          <w:lang w:val="en-GB"/>
        </w:rPr>
      </w:pPr>
      <w:r w:rsidRPr="004002D0">
        <w:rPr>
          <w:rFonts w:ascii="Times New Roman" w:eastAsia="Times New Roman" w:hAnsi="Times New Roman" w:cs="Times New Roman"/>
          <w:i/>
          <w:spacing w:val="-4"/>
          <w:lang w:val="en-GB"/>
        </w:rPr>
        <w:lastRenderedPageBreak/>
        <w:t xml:space="preserve">Picture 3: Announcement of public consultation in daily newspaper, on </w:t>
      </w:r>
      <w:proofErr w:type="spellStart"/>
      <w:r w:rsidRPr="004002D0">
        <w:rPr>
          <w:rFonts w:ascii="Times New Roman" w:eastAsia="Times New Roman" w:hAnsi="Times New Roman" w:cs="Times New Roman"/>
          <w:i/>
          <w:spacing w:val="-4"/>
          <w:lang w:val="en-GB"/>
        </w:rPr>
        <w:t>serbian</w:t>
      </w:r>
      <w:proofErr w:type="spellEnd"/>
      <w:r w:rsidRPr="004002D0">
        <w:rPr>
          <w:rFonts w:ascii="Times New Roman" w:eastAsia="Times New Roman" w:hAnsi="Times New Roman" w:cs="Times New Roman"/>
          <w:i/>
          <w:spacing w:val="-4"/>
          <w:lang w:val="en-GB"/>
        </w:rPr>
        <w:t xml:space="preserve"> language (“Politika”, December 1</w:t>
      </w:r>
      <w:r w:rsidRPr="004002D0">
        <w:rPr>
          <w:rFonts w:ascii="Times New Roman" w:eastAsia="Times New Roman" w:hAnsi="Times New Roman" w:cs="Times New Roman"/>
          <w:i/>
          <w:spacing w:val="-4"/>
          <w:vertAlign w:val="superscript"/>
          <w:lang w:val="en-GB"/>
        </w:rPr>
        <w:t>st</w:t>
      </w:r>
      <w:r w:rsidRPr="004002D0">
        <w:rPr>
          <w:rFonts w:ascii="Times New Roman" w:eastAsia="Times New Roman" w:hAnsi="Times New Roman" w:cs="Times New Roman"/>
          <w:i/>
          <w:spacing w:val="-4"/>
          <w:lang w:val="en-GB"/>
        </w:rPr>
        <w:t xml:space="preserve"> 2022)</w:t>
      </w:r>
    </w:p>
    <w:p w14:paraId="543E8F0D" w14:textId="77777777" w:rsidR="007F767C" w:rsidRDefault="007F767C" w:rsidP="007F767C">
      <w:pPr>
        <w:rPr>
          <w:rFonts w:ascii="Times New Roman" w:eastAsia="Times New Roman" w:hAnsi="Times New Roman" w:cs="Times New Roman"/>
          <w:i/>
          <w:spacing w:val="-4"/>
          <w:lang w:val="en-GB"/>
        </w:rPr>
      </w:pPr>
    </w:p>
    <w:p w14:paraId="7F02BFB5" w14:textId="7A621D06" w:rsidR="007F767C" w:rsidRDefault="007F767C" w:rsidP="007F767C">
      <w:pPr>
        <w:jc w:val="center"/>
        <w:rPr>
          <w:rFonts w:cstheme="minorHAnsi"/>
          <w:sz w:val="20"/>
          <w:szCs w:val="20"/>
        </w:rPr>
      </w:pPr>
      <w:r w:rsidRPr="003F70CB">
        <w:rPr>
          <w:rFonts w:ascii="Times New Roman" w:eastAsia="Times New Roman" w:hAnsi="Times New Roman" w:cs="Times New Roman"/>
          <w:noProof/>
          <w:sz w:val="24"/>
          <w:szCs w:val="24"/>
        </w:rPr>
        <w:drawing>
          <wp:inline distT="0" distB="0" distL="0" distR="0" wp14:anchorId="5101EE91" wp14:editId="522A0891">
            <wp:extent cx="3886200" cy="65001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41" cy="6500214"/>
                    </a:xfrm>
                    <a:prstGeom prst="rect">
                      <a:avLst/>
                    </a:prstGeom>
                    <a:noFill/>
                    <a:ln>
                      <a:noFill/>
                    </a:ln>
                  </pic:spPr>
                </pic:pic>
              </a:graphicData>
            </a:graphic>
          </wp:inline>
        </w:drawing>
      </w:r>
    </w:p>
    <w:p w14:paraId="2100627F" w14:textId="303C1C2E" w:rsidR="00DB5F64" w:rsidRDefault="00DB5F64" w:rsidP="007F767C">
      <w:pPr>
        <w:jc w:val="center"/>
        <w:rPr>
          <w:rFonts w:cstheme="minorHAnsi"/>
          <w:sz w:val="20"/>
          <w:szCs w:val="20"/>
        </w:rPr>
      </w:pPr>
    </w:p>
    <w:p w14:paraId="0D11D44D" w14:textId="25F1F88F" w:rsidR="00DB5F64" w:rsidRDefault="00DB5F64" w:rsidP="007F767C">
      <w:pPr>
        <w:jc w:val="center"/>
        <w:rPr>
          <w:rFonts w:cstheme="minorHAnsi"/>
          <w:sz w:val="20"/>
          <w:szCs w:val="20"/>
        </w:rPr>
      </w:pPr>
    </w:p>
    <w:p w14:paraId="7C97BE69" w14:textId="550F1184" w:rsidR="00DB5F64" w:rsidRDefault="00DB5F64" w:rsidP="007F767C">
      <w:pPr>
        <w:jc w:val="center"/>
        <w:rPr>
          <w:rFonts w:cstheme="minorHAnsi"/>
          <w:sz w:val="20"/>
          <w:szCs w:val="20"/>
        </w:rPr>
      </w:pPr>
    </w:p>
    <w:p w14:paraId="7AC9622D" w14:textId="0113C7A6" w:rsidR="00DB5F64" w:rsidRDefault="00DB5F64" w:rsidP="00DB5F64">
      <w:pPr>
        <w:jc w:val="center"/>
        <w:rPr>
          <w:rFonts w:ascii="Times New Roman" w:hAnsi="Times New Roman" w:cs="Times New Roman"/>
          <w:sz w:val="24"/>
          <w:szCs w:val="24"/>
        </w:rPr>
      </w:pPr>
      <w:r w:rsidRPr="003F70CB">
        <w:rPr>
          <w:rFonts w:ascii="Times New Roman" w:hAnsi="Times New Roman" w:cs="Times New Roman"/>
          <w:noProof/>
          <w:color w:val="C00000"/>
          <w:sz w:val="24"/>
          <w:szCs w:val="24"/>
        </w:rPr>
        <w:lastRenderedPageBreak/>
        <w:drawing>
          <wp:inline distT="0" distB="0" distL="0" distR="0" wp14:anchorId="6EDEE153" wp14:editId="77772BEE">
            <wp:extent cx="1007534" cy="833755"/>
            <wp:effectExtent l="0" t="0" r="2540" b="4445"/>
            <wp:docPr id="12" name="Picture 1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5EF755EB" w14:textId="63BA3D2A" w:rsidR="00DB5F64" w:rsidRPr="003F70CB" w:rsidRDefault="00DB5F64" w:rsidP="00854729">
      <w:pPr>
        <w:jc w:val="center"/>
        <w:rPr>
          <w:rFonts w:ascii="Times New Roman" w:hAnsi="Times New Roman" w:cs="Times New Roman"/>
          <w:sz w:val="24"/>
          <w:szCs w:val="24"/>
          <w:lang w:val="sr-Latn-RS"/>
        </w:rPr>
      </w:pPr>
      <w:r w:rsidRPr="003F70CB">
        <w:rPr>
          <w:rFonts w:ascii="Times New Roman" w:hAnsi="Times New Roman" w:cs="Times New Roman"/>
          <w:sz w:val="24"/>
          <w:szCs w:val="24"/>
        </w:rPr>
        <w:t xml:space="preserve">У </w:t>
      </w:r>
      <w:proofErr w:type="spellStart"/>
      <w:r w:rsidRPr="003F70CB">
        <w:rPr>
          <w:rFonts w:ascii="Times New Roman" w:hAnsi="Times New Roman" w:cs="Times New Roman"/>
          <w:sz w:val="24"/>
          <w:szCs w:val="24"/>
        </w:rPr>
        <w:t>складу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Оквиром</w:t>
      </w:r>
      <w:proofErr w:type="spellEnd"/>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Светске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банке</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за </w:t>
      </w:r>
      <w:proofErr w:type="spellStart"/>
      <w:r w:rsidRPr="003F70CB">
        <w:rPr>
          <w:rFonts w:ascii="Times New Roman" w:hAnsi="Times New Roman" w:cs="Times New Roman"/>
          <w:sz w:val="24"/>
          <w:szCs w:val="24"/>
        </w:rPr>
        <w:t>управљање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друштвеним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аспектима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пројеката</w:t>
      </w:r>
      <w:proofErr w:type="spellEnd"/>
      <w:r w:rsidRPr="003F70CB">
        <w:rPr>
          <w:rFonts w:ascii="Times New Roman" w:hAnsi="Times New Roman" w:cs="Times New Roman"/>
          <w:sz w:val="24"/>
          <w:szCs w:val="24"/>
        </w:rPr>
        <w:t xml:space="preserve"> </w:t>
      </w:r>
      <w:r w:rsidRPr="003F70CB">
        <w:rPr>
          <w:rFonts w:ascii="Times New Roman" w:hAnsi="Times New Roman" w:cs="Times New Roman"/>
          <w:sz w:val="24"/>
          <w:szCs w:val="24"/>
          <w:lang w:val="sr-Latn-RS"/>
        </w:rPr>
        <w:t>(</w:t>
      </w:r>
      <w:r w:rsidRPr="003F70CB">
        <w:rPr>
          <w:rFonts w:ascii="Times New Roman" w:hAnsi="Times New Roman" w:cs="Times New Roman"/>
          <w:i/>
          <w:sz w:val="24"/>
          <w:szCs w:val="24"/>
          <w:lang w:val="sr-Latn-RS"/>
        </w:rPr>
        <w:t>ESF</w:t>
      </w:r>
      <w:r w:rsidRPr="003F70CB">
        <w:rPr>
          <w:rFonts w:ascii="Times New Roman" w:hAnsi="Times New Roman" w:cs="Times New Roman"/>
          <w:sz w:val="24"/>
          <w:szCs w:val="24"/>
          <w:lang w:val="sr-Latn-RS"/>
        </w:rPr>
        <w:t>)</w:t>
      </w:r>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еколошким</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социјалним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стандардом</w:t>
      </w:r>
      <w:proofErr w:type="spellEnd"/>
      <w:r w:rsidRPr="003F70CB">
        <w:rPr>
          <w:rFonts w:ascii="Times New Roman" w:hAnsi="Times New Roman" w:cs="Times New Roman"/>
          <w:sz w:val="24"/>
          <w:szCs w:val="24"/>
        </w:rPr>
        <w:t xml:space="preserve"> 10</w:t>
      </w:r>
      <w:r w:rsidRPr="003F70CB">
        <w:rPr>
          <w:rFonts w:ascii="Times New Roman" w:hAnsi="Times New Roman" w:cs="Times New Roman"/>
          <w:sz w:val="24"/>
          <w:szCs w:val="24"/>
          <w:lang w:val="sr-Latn-RS"/>
        </w:rPr>
        <w:t>.</w:t>
      </w:r>
    </w:p>
    <w:p w14:paraId="51A7F701" w14:textId="77777777" w:rsidR="00DB5F64" w:rsidRPr="003F70CB" w:rsidRDefault="00DB5F64" w:rsidP="00854729">
      <w:pPr>
        <w:jc w:val="center"/>
        <w:rPr>
          <w:rFonts w:ascii="Times New Roman" w:hAnsi="Times New Roman" w:cs="Times New Roman"/>
          <w:sz w:val="24"/>
          <w:szCs w:val="24"/>
          <w:lang w:val="sr-Latn-RS"/>
        </w:rPr>
      </w:pPr>
    </w:p>
    <w:p w14:paraId="33BBCB03" w14:textId="77777777" w:rsidR="00DB5F64" w:rsidRPr="003F70CB" w:rsidRDefault="00DB5F64" w:rsidP="00854729">
      <w:pPr>
        <w:jc w:val="center"/>
        <w:rPr>
          <w:rFonts w:ascii="Times New Roman" w:hAnsi="Times New Roman" w:cs="Times New Roman"/>
          <w:sz w:val="24"/>
          <w:szCs w:val="24"/>
          <w:lang w:val="sr-Latn-RS"/>
        </w:rPr>
      </w:pPr>
      <w:r w:rsidRPr="003F70CB">
        <w:rPr>
          <w:rFonts w:ascii="Times New Roman" w:hAnsi="Times New Roman" w:cs="Times New Roman"/>
          <w:b/>
          <w:sz w:val="24"/>
          <w:szCs w:val="24"/>
        </w:rPr>
        <w:t>МИНИСТРАТСВО</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РЕПУБЛИКЕ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СРБИЈЕ</w:t>
      </w:r>
    </w:p>
    <w:p w14:paraId="214533A2" w14:textId="77777777" w:rsidR="00DB5F64" w:rsidRPr="00490A0D" w:rsidRDefault="00DB5F64" w:rsidP="00854729">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позива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p>
    <w:p w14:paraId="3BFB9302" w14:textId="77777777" w:rsidR="00DB5F64" w:rsidRPr="00490A0D" w:rsidRDefault="00DB5F64" w:rsidP="00854729">
      <w:pPr>
        <w:jc w:val="center"/>
        <w:rPr>
          <w:rFonts w:ascii="Times New Roman" w:hAnsi="Times New Roman" w:cs="Times New Roman"/>
          <w:b/>
          <w:sz w:val="24"/>
          <w:szCs w:val="24"/>
          <w:lang w:val="sr-Latn-RS"/>
        </w:rPr>
      </w:pPr>
      <w:r w:rsidRPr="003F70CB">
        <w:rPr>
          <w:rFonts w:ascii="Times New Roman" w:hAnsi="Times New Roman" w:cs="Times New Roman"/>
          <w:b/>
          <w:sz w:val="24"/>
          <w:szCs w:val="24"/>
        </w:rPr>
        <w:t>ЈАВНЕ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КОНСУЛТАЦИЈЕ</w:t>
      </w:r>
    </w:p>
    <w:p w14:paraId="6566B0A7" w14:textId="77777777" w:rsidR="00DB5F64" w:rsidRPr="00490A0D" w:rsidRDefault="00DB5F64" w:rsidP="00854729">
      <w:pPr>
        <w:jc w:val="center"/>
        <w:rPr>
          <w:rFonts w:ascii="Times New Roman" w:hAnsi="Times New Roman" w:cs="Times New Roman"/>
          <w:sz w:val="24"/>
          <w:szCs w:val="24"/>
          <w:lang w:val="sr-Latn-RS"/>
        </w:rPr>
      </w:pPr>
      <w:proofErr w:type="spellStart"/>
      <w:r w:rsidRPr="003F70CB">
        <w:rPr>
          <w:rFonts w:ascii="Times New Roman" w:hAnsi="Times New Roman" w:cs="Times New Roman"/>
          <w:sz w:val="24"/>
          <w:szCs w:val="24"/>
        </w:rPr>
        <w:t>јавност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организације</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појединце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заинтересоване</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за</w:t>
      </w:r>
    </w:p>
    <w:p w14:paraId="2F93EF3B" w14:textId="77777777" w:rsidR="00DB5F64" w:rsidRPr="00490A0D" w:rsidRDefault="00DB5F64" w:rsidP="00854729">
      <w:pPr>
        <w:jc w:val="center"/>
        <w:rPr>
          <w:rFonts w:ascii="Times New Roman" w:hAnsi="Times New Roman" w:cs="Times New Roman"/>
          <w:sz w:val="24"/>
          <w:szCs w:val="24"/>
          <w:lang w:val="sr-Latn-RS"/>
        </w:rPr>
      </w:pPr>
      <w:r w:rsidRPr="003F70CB">
        <w:rPr>
          <w:rFonts w:ascii="Times New Roman" w:hAnsi="Times New Roman" w:cs="Times New Roman"/>
          <w:sz w:val="24"/>
          <w:szCs w:val="24"/>
        </w:rPr>
        <w:t>НАЦРТ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p>
    <w:p w14:paraId="594D67E0" w14:textId="77777777" w:rsidR="00DB5F64" w:rsidRPr="00490A0D" w:rsidRDefault="00DB5F64" w:rsidP="00854729">
      <w:pPr>
        <w:jc w:val="center"/>
        <w:rPr>
          <w:rFonts w:ascii="Times New Roman" w:hAnsi="Times New Roman" w:cs="Times New Roman"/>
          <w:b/>
          <w:sz w:val="24"/>
          <w:szCs w:val="24"/>
          <w:lang w:val="sr-Latn-RS"/>
        </w:rPr>
      </w:pPr>
      <w:r w:rsidRPr="003F70CB">
        <w:rPr>
          <w:rFonts w:ascii="Times New Roman" w:hAnsi="Times New Roman" w:cs="Times New Roman"/>
          <w:sz w:val="24"/>
          <w:szCs w:val="24"/>
        </w:rPr>
        <w:t>за</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пројекат</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b/>
          <w:sz w:val="24"/>
          <w:szCs w:val="24"/>
        </w:rPr>
        <w:t>УНАПРЕЂЕЊА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ТРАНЗИЦИЈУ</w:t>
      </w:r>
    </w:p>
    <w:p w14:paraId="0996D41F" w14:textId="77777777" w:rsidR="00DB5F64" w:rsidRPr="00490A0D" w:rsidRDefault="00DB5F64" w:rsidP="00854729">
      <w:pPr>
        <w:jc w:val="center"/>
        <w:rPr>
          <w:rFonts w:ascii="Times New Roman" w:hAnsi="Times New Roman" w:cs="Times New Roman"/>
          <w:sz w:val="24"/>
          <w:szCs w:val="24"/>
          <w:lang w:val="sr-Latn-RS"/>
        </w:rPr>
      </w:pPr>
      <w:r w:rsidRPr="00490A0D">
        <w:rPr>
          <w:rFonts w:ascii="Times New Roman" w:hAnsi="Times New Roman" w:cs="Times New Roman"/>
          <w:b/>
          <w:sz w:val="24"/>
          <w:szCs w:val="24"/>
          <w:lang w:val="sr-Latn-RS"/>
        </w:rPr>
        <w:t>(</w:t>
      </w:r>
      <w:proofErr w:type="spellStart"/>
      <w:r w:rsidRPr="003F70CB">
        <w:rPr>
          <w:rFonts w:ascii="Times New Roman" w:hAnsi="Times New Roman" w:cs="Times New Roman"/>
          <w:b/>
          <w:sz w:val="24"/>
          <w:szCs w:val="24"/>
        </w:rPr>
        <w:t>претходни</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назив</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Унапређење</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управљања</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јавним</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финансијама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циљу</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ефикаснијих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јавних</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услуга</w:t>
      </w:r>
      <w:proofErr w:type="spellEnd"/>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и</w:t>
      </w:r>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бржег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зеленог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економског</w:t>
      </w:r>
      <w:proofErr w:type="spellEnd"/>
      <w:r w:rsidRPr="00490A0D">
        <w:rPr>
          <w:rFonts w:ascii="Times New Roman" w:hAnsi="Times New Roman" w:cs="Times New Roman"/>
          <w:b/>
          <w:sz w:val="24"/>
          <w:szCs w:val="24"/>
          <w:lang w:val="sr-Latn-RS"/>
        </w:rPr>
        <w:t xml:space="preserve"> </w:t>
      </w:r>
      <w:proofErr w:type="spellStart"/>
      <w:r w:rsidRPr="003F70CB">
        <w:rPr>
          <w:rFonts w:ascii="Times New Roman" w:hAnsi="Times New Roman" w:cs="Times New Roman"/>
          <w:b/>
          <w:sz w:val="24"/>
          <w:szCs w:val="24"/>
        </w:rPr>
        <w:t>раста</w:t>
      </w:r>
      <w:proofErr w:type="spellEnd"/>
      <w:r w:rsidRPr="00490A0D">
        <w:rPr>
          <w:rFonts w:ascii="Times New Roman" w:hAnsi="Times New Roman" w:cs="Times New Roman"/>
          <w:b/>
          <w:sz w:val="24"/>
          <w:szCs w:val="24"/>
          <w:lang w:val="sr-Latn-RS"/>
        </w:rPr>
        <w:t>)</w:t>
      </w:r>
    </w:p>
    <w:p w14:paraId="0FBEC41F" w14:textId="77777777" w:rsidR="00DB5F64" w:rsidRPr="00490A0D" w:rsidRDefault="00DB5F64" w:rsidP="006E3F6C">
      <w:pPr>
        <w:jc w:val="center"/>
        <w:rPr>
          <w:rFonts w:ascii="Times New Roman" w:hAnsi="Times New Roman" w:cs="Times New Roman"/>
          <w:sz w:val="24"/>
          <w:szCs w:val="24"/>
          <w:lang w:val="sr-Latn-RS"/>
        </w:rPr>
      </w:pPr>
      <w:bookmarkStart w:id="4" w:name="_GoBack"/>
      <w:proofErr w:type="spellStart"/>
      <w:r w:rsidRPr="003F70CB">
        <w:rPr>
          <w:rFonts w:ascii="Times New Roman" w:hAnsi="Times New Roman" w:cs="Times New Roman"/>
          <w:sz w:val="24"/>
          <w:szCs w:val="24"/>
        </w:rPr>
        <w:t>Увид</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предметни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може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извршити</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на</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интернет</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страници</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490A0D">
        <w:rPr>
          <w:rFonts w:ascii="Times New Roman" w:hAnsi="Times New Roman" w:cs="Times New Roman"/>
          <w:sz w:val="24"/>
          <w:szCs w:val="24"/>
          <w:lang w:val="sr-Latn-RS"/>
        </w:rPr>
        <w:t xml:space="preserve"> </w:t>
      </w:r>
      <w:hyperlink r:id="rId13" w:history="1">
        <w:r w:rsidRPr="00490A0D">
          <w:rPr>
            <w:rStyle w:val="Hyperlink"/>
            <w:rFonts w:ascii="Times New Roman" w:hAnsi="Times New Roman"/>
            <w:sz w:val="24"/>
            <w:szCs w:val="24"/>
            <w:lang w:val="sr-Latn-RS"/>
          </w:rPr>
          <w:t>www.mfin.gov.rs</w:t>
        </w:r>
      </w:hyperlink>
      <w:r w:rsidRPr="003F70CB">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где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је</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постављен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План</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еколошких</w:t>
      </w:r>
      <w:proofErr w:type="spellEnd"/>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друштвених</w:t>
      </w:r>
      <w:proofErr w:type="spellEnd"/>
      <w:r w:rsidRPr="00490A0D">
        <w:rPr>
          <w:rFonts w:ascii="Times New Roman" w:hAnsi="Times New Roman" w:cs="Times New Roman"/>
          <w:sz w:val="24"/>
          <w:szCs w:val="24"/>
          <w:lang w:val="sr-Latn-RS"/>
        </w:rPr>
        <w:t xml:space="preserve"> </w:t>
      </w:r>
      <w:proofErr w:type="spellStart"/>
      <w:r w:rsidRPr="003F70CB">
        <w:rPr>
          <w:rFonts w:ascii="Times New Roman" w:hAnsi="Times New Roman" w:cs="Times New Roman"/>
          <w:sz w:val="24"/>
          <w:szCs w:val="24"/>
        </w:rPr>
        <w:t>обавеза</w:t>
      </w:r>
      <w:proofErr w:type="spellEnd"/>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r w:rsidRPr="00490A0D">
        <w:rPr>
          <w:rFonts w:ascii="Times New Roman" w:hAnsi="Times New Roman" w:cs="Times New Roman"/>
          <w:sz w:val="24"/>
          <w:szCs w:val="24"/>
          <w:lang w:val="sr-Latn-RS"/>
        </w:rPr>
        <w:t>.</w:t>
      </w:r>
      <w:bookmarkEnd w:id="4"/>
    </w:p>
    <w:p w14:paraId="7574A423" w14:textId="77777777" w:rsidR="00DB5F64" w:rsidRPr="003F70CB" w:rsidRDefault="00DB5F64" w:rsidP="00854729">
      <w:pPr>
        <w:jc w:val="center"/>
        <w:rPr>
          <w:rFonts w:ascii="Times New Roman" w:hAnsi="Times New Roman" w:cs="Times New Roman"/>
          <w:sz w:val="24"/>
          <w:szCs w:val="24"/>
        </w:rPr>
      </w:pPr>
      <w:proofErr w:type="spellStart"/>
      <w:r w:rsidRPr="003F70CB">
        <w:rPr>
          <w:rFonts w:ascii="Times New Roman" w:hAnsi="Times New Roman" w:cs="Times New Roman"/>
          <w:sz w:val="24"/>
          <w:szCs w:val="24"/>
        </w:rPr>
        <w:t>Примедбе</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мишљења</w:t>
      </w:r>
      <w:proofErr w:type="spellEnd"/>
      <w:r w:rsidRPr="003F70CB">
        <w:rPr>
          <w:rFonts w:ascii="Times New Roman" w:hAnsi="Times New Roman" w:cs="Times New Roman"/>
          <w:sz w:val="24"/>
          <w:szCs w:val="24"/>
        </w:rPr>
        <w:t xml:space="preserve"> у </w:t>
      </w:r>
      <w:proofErr w:type="spellStart"/>
      <w:r w:rsidRPr="003F70CB">
        <w:rPr>
          <w:rFonts w:ascii="Times New Roman" w:hAnsi="Times New Roman" w:cs="Times New Roman"/>
          <w:sz w:val="24"/>
          <w:szCs w:val="24"/>
        </w:rPr>
        <w:t>вези</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овим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планом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подносе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се</w:t>
      </w:r>
      <w:proofErr w:type="spellEnd"/>
      <w:r w:rsidRPr="003F70CB">
        <w:rPr>
          <w:rFonts w:ascii="Times New Roman" w:hAnsi="Times New Roman" w:cs="Times New Roman"/>
          <w:sz w:val="24"/>
          <w:szCs w:val="24"/>
        </w:rPr>
        <w:t xml:space="preserve"> у </w:t>
      </w:r>
      <w:proofErr w:type="spellStart"/>
      <w:r w:rsidRPr="003F70CB">
        <w:rPr>
          <w:rFonts w:ascii="Times New Roman" w:hAnsi="Times New Roman" w:cs="Times New Roman"/>
          <w:sz w:val="24"/>
          <w:szCs w:val="24"/>
        </w:rPr>
        <w:t>писаном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облику</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достављају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на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адресу</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МИНИСТАРСТВО ФИНАНСИЈА, КНЕЗА МИЛОША 20, 11000 БЕОГРАД,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proofErr w:type="gramStart"/>
      <w:r w:rsidRPr="003F70CB">
        <w:rPr>
          <w:rFonts w:ascii="Times New Roman" w:hAnsi="Times New Roman" w:cs="Times New Roman"/>
          <w:sz w:val="24"/>
          <w:szCs w:val="24"/>
        </w:rPr>
        <w:t>назнаком</w:t>
      </w:r>
      <w:proofErr w:type="spellEnd"/>
      <w:r w:rsidRPr="003F70CB">
        <w:rPr>
          <w:rFonts w:ascii="Times New Roman" w:hAnsi="Times New Roman" w:cs="Times New Roman"/>
          <w:sz w:val="24"/>
          <w:szCs w:val="24"/>
        </w:rPr>
        <w:t xml:space="preserve"> ”За</w:t>
      </w:r>
      <w:proofErr w:type="gram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пројекат</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унапређења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управљања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јавним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финансијама</w:t>
      </w:r>
      <w:proofErr w:type="spellEnd"/>
      <w:r w:rsidRPr="003F70CB">
        <w:rPr>
          <w:rFonts w:ascii="Times New Roman" w:hAnsi="Times New Roman" w:cs="Times New Roman"/>
          <w:sz w:val="24"/>
          <w:szCs w:val="24"/>
        </w:rPr>
        <w:t xml:space="preserve"> за </w:t>
      </w:r>
      <w:proofErr w:type="spellStart"/>
      <w:r w:rsidRPr="003F70CB">
        <w:rPr>
          <w:rFonts w:ascii="Times New Roman" w:hAnsi="Times New Roman" w:cs="Times New Roman"/>
          <w:sz w:val="24"/>
          <w:szCs w:val="24"/>
        </w:rPr>
        <w:t>зелену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транзицију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закључно</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12.12.2022. </w:t>
      </w:r>
      <w:proofErr w:type="spellStart"/>
      <w:r w:rsidRPr="003F70CB">
        <w:rPr>
          <w:rFonts w:ascii="Times New Roman" w:hAnsi="Times New Roman" w:cs="Times New Roman"/>
          <w:sz w:val="24"/>
          <w:szCs w:val="24"/>
        </w:rPr>
        <w:t>године</w:t>
      </w:r>
      <w:proofErr w:type="spellEnd"/>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у 13 </w:t>
      </w:r>
      <w:proofErr w:type="spellStart"/>
      <w:r w:rsidRPr="003F70CB">
        <w:rPr>
          <w:rFonts w:ascii="Times New Roman" w:hAnsi="Times New Roman" w:cs="Times New Roman"/>
          <w:sz w:val="24"/>
          <w:szCs w:val="24"/>
        </w:rPr>
        <w:t>часова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Примедбе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се</w:t>
      </w:r>
      <w:proofErr w:type="spellEnd"/>
      <w:r w:rsidRPr="003F70CB">
        <w:rPr>
          <w:rFonts w:ascii="Times New Roman" w:hAnsi="Times New Roman" w:cs="Times New Roman"/>
          <w:sz w:val="24"/>
          <w:szCs w:val="24"/>
        </w:rPr>
        <w:t xml:space="preserve"> у </w:t>
      </w:r>
      <w:proofErr w:type="spellStart"/>
      <w:r w:rsidRPr="003F70CB">
        <w:rPr>
          <w:rFonts w:ascii="Times New Roman" w:hAnsi="Times New Roman" w:cs="Times New Roman"/>
          <w:sz w:val="24"/>
          <w:szCs w:val="24"/>
        </w:rPr>
        <w:t>истом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року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могу</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доставити</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електронским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путем</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на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адресу</w:t>
      </w:r>
      <w:proofErr w:type="spellEnd"/>
      <w:r w:rsidRPr="003F70CB">
        <w:rPr>
          <w:rFonts w:ascii="Times New Roman" w:hAnsi="Times New Roman" w:cs="Times New Roman"/>
          <w:sz w:val="24"/>
          <w:szCs w:val="24"/>
        </w:rPr>
        <w:t xml:space="preserve">: </w:t>
      </w:r>
      <w:hyperlink r:id="rId14" w:history="1">
        <w:r w:rsidRPr="003F70CB">
          <w:rPr>
            <w:rStyle w:val="Hyperlink"/>
            <w:rFonts w:ascii="Times New Roman" w:hAnsi="Times New Roman"/>
            <w:sz w:val="24"/>
            <w:szCs w:val="24"/>
            <w:lang w:val="sr-Latn-RS"/>
          </w:rPr>
          <w:t>magdalena.arsic@mfin.</w:t>
        </w:r>
        <w:r w:rsidRPr="003F70CB">
          <w:rPr>
            <w:rStyle w:val="Hyperlink"/>
            <w:rFonts w:ascii="Times New Roman" w:hAnsi="Times New Roman"/>
            <w:sz w:val="24"/>
            <w:szCs w:val="24"/>
          </w:rPr>
          <w:t>gov.rs</w:t>
        </w:r>
      </w:hyperlink>
      <w:r w:rsidRPr="003F70CB">
        <w:rPr>
          <w:rFonts w:ascii="Times New Roman" w:hAnsi="Times New Roman" w:cs="Times New Roman"/>
          <w:sz w:val="24"/>
          <w:szCs w:val="24"/>
          <w:lang w:val="sr-Latn-RS"/>
        </w:rPr>
        <w:t>.</w:t>
      </w:r>
    </w:p>
    <w:p w14:paraId="16C9C270" w14:textId="77777777" w:rsidR="00DB5F64" w:rsidRPr="003F70CB" w:rsidRDefault="00DB5F64" w:rsidP="00854729">
      <w:pPr>
        <w:jc w:val="center"/>
        <w:rPr>
          <w:rFonts w:ascii="Times New Roman" w:hAnsi="Times New Roman" w:cs="Times New Roman"/>
          <w:sz w:val="24"/>
          <w:szCs w:val="24"/>
        </w:rPr>
      </w:pPr>
    </w:p>
    <w:p w14:paraId="5534EF92" w14:textId="77777777" w:rsidR="00DB5F64" w:rsidRDefault="00DB5F64" w:rsidP="00854729">
      <w:pPr>
        <w:jc w:val="center"/>
        <w:rPr>
          <w:rFonts w:ascii="Times New Roman" w:hAnsi="Times New Roman" w:cs="Times New Roman"/>
          <w:sz w:val="24"/>
          <w:szCs w:val="24"/>
        </w:rPr>
      </w:pPr>
      <w:proofErr w:type="spellStart"/>
      <w:r w:rsidRPr="003F70CB">
        <w:rPr>
          <w:rFonts w:ascii="Times New Roman" w:hAnsi="Times New Roman" w:cs="Times New Roman"/>
          <w:sz w:val="24"/>
          <w:szCs w:val="24"/>
        </w:rPr>
        <w:t>Дана</w:t>
      </w:r>
      <w:proofErr w:type="spellEnd"/>
      <w:r w:rsidRPr="003F70CB">
        <w:rPr>
          <w:rFonts w:ascii="Times New Roman" w:hAnsi="Times New Roman" w:cs="Times New Roman"/>
          <w:sz w:val="24"/>
          <w:szCs w:val="24"/>
        </w:rPr>
        <w:t xml:space="preserve"> </w:t>
      </w:r>
      <w:r w:rsidRPr="003F70CB">
        <w:rPr>
          <w:rFonts w:ascii="Times New Roman" w:hAnsi="Times New Roman" w:cs="Times New Roman"/>
          <w:sz w:val="24"/>
          <w:szCs w:val="24"/>
          <w:lang w:val="sr-Latn-RS"/>
        </w:rPr>
        <w:t>13</w:t>
      </w:r>
      <w:r w:rsidRPr="003F70CB">
        <w:rPr>
          <w:rFonts w:ascii="Times New Roman" w:hAnsi="Times New Roman" w:cs="Times New Roman"/>
          <w:sz w:val="24"/>
          <w:szCs w:val="24"/>
        </w:rPr>
        <w:t xml:space="preserve">.12.2022. </w:t>
      </w:r>
      <w:proofErr w:type="spellStart"/>
      <w:r w:rsidRPr="003F70CB">
        <w:rPr>
          <w:rFonts w:ascii="Times New Roman" w:hAnsi="Times New Roman" w:cs="Times New Roman"/>
          <w:sz w:val="24"/>
          <w:szCs w:val="24"/>
        </w:rPr>
        <w:t>године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са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почетком</w:t>
      </w:r>
      <w:proofErr w:type="spellEnd"/>
      <w:r w:rsidRPr="003F70CB">
        <w:rPr>
          <w:rFonts w:ascii="Times New Roman" w:hAnsi="Times New Roman" w:cs="Times New Roman"/>
          <w:sz w:val="24"/>
          <w:szCs w:val="24"/>
        </w:rPr>
        <w:t xml:space="preserve"> у 12:00 </w:t>
      </w:r>
      <w:proofErr w:type="spellStart"/>
      <w:r w:rsidRPr="003F70CB">
        <w:rPr>
          <w:rFonts w:ascii="Times New Roman" w:hAnsi="Times New Roman" w:cs="Times New Roman"/>
          <w:sz w:val="24"/>
          <w:szCs w:val="24"/>
        </w:rPr>
        <w:t>часова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биће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одржане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Јавне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консултације</w:t>
      </w:r>
      <w:proofErr w:type="spellEnd"/>
      <w:r w:rsidRPr="003F70CB">
        <w:rPr>
          <w:rFonts w:ascii="Times New Roman" w:hAnsi="Times New Roman" w:cs="Times New Roman"/>
          <w:sz w:val="24"/>
          <w:szCs w:val="24"/>
        </w:rPr>
        <w:t xml:space="preserve"> и </w:t>
      </w:r>
      <w:proofErr w:type="spellStart"/>
      <w:r w:rsidRPr="003F70CB">
        <w:rPr>
          <w:rFonts w:ascii="Times New Roman" w:hAnsi="Times New Roman" w:cs="Times New Roman"/>
          <w:sz w:val="24"/>
          <w:szCs w:val="24"/>
        </w:rPr>
        <w:t>презентација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предметног</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плана</w:t>
      </w:r>
      <w:proofErr w:type="spellEnd"/>
      <w:r w:rsidRPr="003F70CB">
        <w:rPr>
          <w:rFonts w:ascii="Times New Roman" w:hAnsi="Times New Roman" w:cs="Times New Roman"/>
          <w:sz w:val="24"/>
          <w:szCs w:val="24"/>
        </w:rPr>
        <w:t xml:space="preserve"> у </w:t>
      </w:r>
      <w:proofErr w:type="spellStart"/>
      <w:r w:rsidRPr="003F70CB">
        <w:rPr>
          <w:rFonts w:ascii="Times New Roman" w:hAnsi="Times New Roman" w:cs="Times New Roman"/>
          <w:sz w:val="24"/>
          <w:szCs w:val="24"/>
        </w:rPr>
        <w:t>сали</w:t>
      </w:r>
      <w:proofErr w:type="spellEnd"/>
      <w:r w:rsidRPr="003F70CB">
        <w:rPr>
          <w:rFonts w:ascii="Times New Roman" w:hAnsi="Times New Roman" w:cs="Times New Roman"/>
          <w:sz w:val="24"/>
          <w:szCs w:val="24"/>
        </w:rPr>
        <w:t xml:space="preserve"> за </w:t>
      </w:r>
      <w:proofErr w:type="spellStart"/>
      <w:r w:rsidRPr="003F70CB">
        <w:rPr>
          <w:rFonts w:ascii="Times New Roman" w:hAnsi="Times New Roman" w:cs="Times New Roman"/>
          <w:sz w:val="24"/>
          <w:szCs w:val="24"/>
        </w:rPr>
        <w:t>састанке</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број</w:t>
      </w:r>
      <w:proofErr w:type="spellEnd"/>
      <w:r w:rsidRPr="003F70CB">
        <w:rPr>
          <w:rFonts w:ascii="Times New Roman" w:hAnsi="Times New Roman" w:cs="Times New Roman"/>
          <w:sz w:val="24"/>
          <w:szCs w:val="24"/>
        </w:rPr>
        <w:t xml:space="preserve"> 72 у </w:t>
      </w:r>
      <w:proofErr w:type="spellStart"/>
      <w:r w:rsidRPr="003F70CB">
        <w:rPr>
          <w:rFonts w:ascii="Times New Roman" w:hAnsi="Times New Roman" w:cs="Times New Roman"/>
          <w:sz w:val="24"/>
          <w:szCs w:val="24"/>
        </w:rPr>
        <w:t>згради</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Министарства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финансија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Кнеза</w:t>
      </w:r>
      <w:proofErr w:type="spellEnd"/>
      <w:r w:rsidRPr="003F70CB">
        <w:rPr>
          <w:rFonts w:ascii="Times New Roman" w:hAnsi="Times New Roman" w:cs="Times New Roman"/>
          <w:sz w:val="24"/>
          <w:szCs w:val="24"/>
        </w:rPr>
        <w:t xml:space="preserve"> </w:t>
      </w:r>
      <w:proofErr w:type="spellStart"/>
      <w:r w:rsidRPr="003F70CB">
        <w:rPr>
          <w:rFonts w:ascii="Times New Roman" w:hAnsi="Times New Roman" w:cs="Times New Roman"/>
          <w:sz w:val="24"/>
          <w:szCs w:val="24"/>
        </w:rPr>
        <w:t>Милоша</w:t>
      </w:r>
      <w:proofErr w:type="spellEnd"/>
      <w:r w:rsidRPr="003F70CB">
        <w:rPr>
          <w:rFonts w:ascii="Times New Roman" w:hAnsi="Times New Roman" w:cs="Times New Roman"/>
          <w:sz w:val="24"/>
          <w:szCs w:val="24"/>
        </w:rPr>
        <w:t xml:space="preserve"> 20, </w:t>
      </w:r>
      <w:proofErr w:type="spellStart"/>
      <w:r w:rsidRPr="003F70CB">
        <w:rPr>
          <w:rFonts w:ascii="Times New Roman" w:hAnsi="Times New Roman" w:cs="Times New Roman"/>
          <w:sz w:val="24"/>
          <w:szCs w:val="24"/>
        </w:rPr>
        <w:t>Београд</w:t>
      </w:r>
      <w:proofErr w:type="spellEnd"/>
      <w:r w:rsidRPr="003F70CB">
        <w:rPr>
          <w:rFonts w:ascii="Times New Roman" w:hAnsi="Times New Roman" w:cs="Times New Roman"/>
          <w:sz w:val="24"/>
          <w:szCs w:val="24"/>
        </w:rPr>
        <w:t>.</w:t>
      </w:r>
    </w:p>
    <w:p w14:paraId="3E1FE6FF" w14:textId="77777777" w:rsidR="00DB5F64" w:rsidRDefault="00DB5F64" w:rsidP="007F767C">
      <w:pPr>
        <w:jc w:val="center"/>
        <w:rPr>
          <w:rFonts w:cstheme="minorHAnsi"/>
          <w:sz w:val="20"/>
          <w:szCs w:val="20"/>
        </w:rPr>
      </w:pPr>
    </w:p>
    <w:p w14:paraId="278188BA" w14:textId="77777777" w:rsidR="007F767C" w:rsidRDefault="007F767C" w:rsidP="007F767C">
      <w:pPr>
        <w:jc w:val="center"/>
        <w:rPr>
          <w:rFonts w:cstheme="minorHAnsi"/>
          <w:sz w:val="20"/>
          <w:szCs w:val="20"/>
        </w:rPr>
      </w:pPr>
    </w:p>
    <w:p w14:paraId="2F6718B8" w14:textId="77777777" w:rsidR="007F767C" w:rsidRDefault="007F767C" w:rsidP="007F767C">
      <w:pPr>
        <w:jc w:val="center"/>
        <w:rPr>
          <w:rFonts w:cstheme="minorHAnsi"/>
          <w:sz w:val="20"/>
          <w:szCs w:val="20"/>
        </w:rPr>
      </w:pPr>
    </w:p>
    <w:p w14:paraId="24C03F60" w14:textId="7BDBB648" w:rsidR="007F767C" w:rsidRDefault="007F767C" w:rsidP="001B6062">
      <w:pPr>
        <w:rPr>
          <w:rFonts w:ascii="Times New Roman" w:hAnsi="Times New Roman" w:cs="Times New Roman"/>
          <w:sz w:val="24"/>
          <w:szCs w:val="24"/>
        </w:rPr>
      </w:pPr>
      <w:r>
        <w:rPr>
          <w:rFonts w:ascii="Times New Roman" w:hAnsi="Times New Roman" w:cs="Times New Roman"/>
          <w:sz w:val="24"/>
          <w:szCs w:val="24"/>
        </w:rPr>
        <w:br w:type="page"/>
      </w:r>
    </w:p>
    <w:p w14:paraId="7E4C1093" w14:textId="77777777" w:rsidR="007F767C" w:rsidRDefault="007F767C" w:rsidP="007F767C">
      <w:pPr>
        <w:jc w:val="center"/>
        <w:rPr>
          <w:rFonts w:cstheme="minorHAnsi"/>
          <w:sz w:val="20"/>
          <w:szCs w:val="20"/>
        </w:rPr>
      </w:pPr>
      <w:r w:rsidRPr="003F70CB">
        <w:rPr>
          <w:rFonts w:ascii="Times New Roman" w:hAnsi="Times New Roman" w:cs="Times New Roman"/>
          <w:noProof/>
          <w:color w:val="C00000"/>
          <w:sz w:val="24"/>
          <w:szCs w:val="24"/>
        </w:rPr>
        <w:lastRenderedPageBreak/>
        <w:drawing>
          <wp:inline distT="0" distB="0" distL="0" distR="0" wp14:anchorId="4E426AE8" wp14:editId="650C20DE">
            <wp:extent cx="1007534" cy="833755"/>
            <wp:effectExtent l="0" t="0" r="2540" b="4445"/>
            <wp:docPr id="31" name="Picture 31"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63B70B3A" w14:textId="77777777" w:rsidR="005B167B" w:rsidRPr="005B167B" w:rsidRDefault="005B167B" w:rsidP="005B167B">
      <w:pPr>
        <w:spacing w:after="0"/>
        <w:jc w:val="center"/>
        <w:rPr>
          <w:rFonts w:ascii="Times New Roman" w:hAnsi="Times New Roman" w:cs="Times New Roman"/>
          <w:sz w:val="24"/>
          <w:szCs w:val="24"/>
          <w:lang w:val="sr-Latn-RS"/>
        </w:rPr>
      </w:pPr>
      <w:r w:rsidRPr="005B167B">
        <w:rPr>
          <w:rFonts w:ascii="Times New Roman" w:hAnsi="Times New Roman" w:cs="Times New Roman"/>
          <w:sz w:val="24"/>
          <w:szCs w:val="24"/>
        </w:rPr>
        <w:t xml:space="preserve">У </w:t>
      </w:r>
      <w:proofErr w:type="spellStart"/>
      <w:r w:rsidRPr="005B167B">
        <w:rPr>
          <w:rFonts w:ascii="Times New Roman" w:hAnsi="Times New Roman" w:cs="Times New Roman"/>
          <w:sz w:val="24"/>
          <w:szCs w:val="24"/>
        </w:rPr>
        <w:t>складу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Оквиром</w:t>
      </w:r>
      <w:proofErr w:type="spellEnd"/>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Светске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банке</w:t>
      </w:r>
      <w:proofErr w:type="spellEnd"/>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за </w:t>
      </w:r>
      <w:proofErr w:type="spellStart"/>
      <w:r w:rsidRPr="005B167B">
        <w:rPr>
          <w:rFonts w:ascii="Times New Roman" w:hAnsi="Times New Roman" w:cs="Times New Roman"/>
          <w:sz w:val="24"/>
          <w:szCs w:val="24"/>
        </w:rPr>
        <w:t>управљање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друштвеним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аспектима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пројеката</w:t>
      </w:r>
      <w:proofErr w:type="spellEnd"/>
      <w:r w:rsidRPr="005B167B">
        <w:rPr>
          <w:rFonts w:ascii="Times New Roman" w:hAnsi="Times New Roman" w:cs="Times New Roman"/>
          <w:sz w:val="24"/>
          <w:szCs w:val="24"/>
        </w:rPr>
        <w:t xml:space="preserve"> </w:t>
      </w:r>
      <w:r w:rsidRPr="005B167B">
        <w:rPr>
          <w:rFonts w:ascii="Times New Roman" w:hAnsi="Times New Roman" w:cs="Times New Roman"/>
          <w:sz w:val="24"/>
          <w:szCs w:val="24"/>
          <w:lang w:val="sr-Latn-RS"/>
        </w:rPr>
        <w:t>(</w:t>
      </w:r>
      <w:r w:rsidRPr="005B167B">
        <w:rPr>
          <w:rFonts w:ascii="Times New Roman" w:hAnsi="Times New Roman" w:cs="Times New Roman"/>
          <w:i/>
          <w:sz w:val="24"/>
          <w:szCs w:val="24"/>
          <w:lang w:val="sr-Latn-RS"/>
        </w:rPr>
        <w:t>ESF</w:t>
      </w:r>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еколошким</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социјалним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стандардом</w:t>
      </w:r>
      <w:proofErr w:type="spellEnd"/>
      <w:r w:rsidRPr="005B167B">
        <w:rPr>
          <w:rFonts w:ascii="Times New Roman" w:hAnsi="Times New Roman" w:cs="Times New Roman"/>
          <w:sz w:val="24"/>
          <w:szCs w:val="24"/>
        </w:rPr>
        <w:t xml:space="preserve"> 10</w:t>
      </w:r>
      <w:r w:rsidRPr="005B167B">
        <w:rPr>
          <w:rFonts w:ascii="Times New Roman" w:hAnsi="Times New Roman" w:cs="Times New Roman"/>
          <w:sz w:val="24"/>
          <w:szCs w:val="24"/>
          <w:lang w:val="sr-Latn-RS"/>
        </w:rPr>
        <w:t>.</w:t>
      </w:r>
    </w:p>
    <w:p w14:paraId="0036AD22" w14:textId="77777777" w:rsidR="005B167B" w:rsidRPr="005B167B" w:rsidRDefault="005B167B" w:rsidP="005B167B">
      <w:pPr>
        <w:spacing w:after="0"/>
        <w:jc w:val="center"/>
        <w:rPr>
          <w:rFonts w:ascii="Times New Roman" w:hAnsi="Times New Roman" w:cs="Times New Roman"/>
          <w:sz w:val="24"/>
          <w:szCs w:val="24"/>
          <w:lang w:val="sr-Latn-RS"/>
        </w:rPr>
      </w:pPr>
    </w:p>
    <w:p w14:paraId="4C9C92EB" w14:textId="77777777" w:rsidR="005B167B" w:rsidRPr="005B167B" w:rsidRDefault="005B167B" w:rsidP="005B167B">
      <w:pPr>
        <w:spacing w:after="0"/>
        <w:jc w:val="center"/>
        <w:rPr>
          <w:rFonts w:ascii="Times New Roman" w:hAnsi="Times New Roman" w:cs="Times New Roman"/>
          <w:sz w:val="24"/>
          <w:szCs w:val="24"/>
          <w:lang w:val="sr-Latn-RS"/>
        </w:rPr>
      </w:pPr>
      <w:r w:rsidRPr="005B167B">
        <w:rPr>
          <w:rFonts w:ascii="Times New Roman" w:hAnsi="Times New Roman" w:cs="Times New Roman"/>
          <w:b/>
          <w:sz w:val="24"/>
          <w:szCs w:val="24"/>
        </w:rPr>
        <w:t>МИНИСТРАТСВО ФИНАНСИЈА РЕПУБЛИКЕ СРБИЈЕ</w:t>
      </w:r>
    </w:p>
    <w:p w14:paraId="2DBD2999" w14:textId="77777777" w:rsidR="005B167B" w:rsidRPr="005B167B" w:rsidRDefault="005B167B" w:rsidP="005B167B">
      <w:pPr>
        <w:spacing w:after="0"/>
        <w:jc w:val="center"/>
        <w:rPr>
          <w:rFonts w:ascii="Times New Roman" w:hAnsi="Times New Roman" w:cs="Times New Roman"/>
          <w:sz w:val="24"/>
          <w:szCs w:val="24"/>
        </w:rPr>
      </w:pPr>
    </w:p>
    <w:p w14:paraId="4CF1ADD8" w14:textId="77777777" w:rsidR="005B167B" w:rsidRPr="005B167B" w:rsidRDefault="005B167B" w:rsidP="005B167B">
      <w:pPr>
        <w:spacing w:after="0"/>
        <w:jc w:val="center"/>
        <w:rPr>
          <w:rFonts w:ascii="Times New Roman" w:hAnsi="Times New Roman" w:cs="Times New Roman"/>
          <w:sz w:val="24"/>
          <w:szCs w:val="24"/>
        </w:rPr>
      </w:pPr>
      <w:proofErr w:type="spellStart"/>
      <w:r w:rsidRPr="005B167B">
        <w:rPr>
          <w:rFonts w:ascii="Times New Roman" w:hAnsi="Times New Roman" w:cs="Times New Roman"/>
          <w:sz w:val="24"/>
          <w:szCs w:val="24"/>
        </w:rPr>
        <w:t>позива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на</w:t>
      </w:r>
      <w:proofErr w:type="spellEnd"/>
      <w:r w:rsidRPr="005B167B">
        <w:rPr>
          <w:rFonts w:ascii="Times New Roman" w:hAnsi="Times New Roman" w:cs="Times New Roman"/>
          <w:sz w:val="24"/>
          <w:szCs w:val="24"/>
        </w:rPr>
        <w:t xml:space="preserve"> </w:t>
      </w:r>
    </w:p>
    <w:p w14:paraId="6EA71A72" w14:textId="77777777" w:rsidR="005B167B" w:rsidRPr="005B167B" w:rsidRDefault="005B167B" w:rsidP="005B167B">
      <w:pPr>
        <w:spacing w:after="0"/>
        <w:jc w:val="center"/>
        <w:rPr>
          <w:rFonts w:ascii="Times New Roman" w:hAnsi="Times New Roman" w:cs="Times New Roman"/>
          <w:sz w:val="24"/>
          <w:szCs w:val="24"/>
        </w:rPr>
      </w:pPr>
    </w:p>
    <w:p w14:paraId="1BAE8599" w14:textId="77777777" w:rsidR="005B167B" w:rsidRPr="005B167B" w:rsidRDefault="005B167B" w:rsidP="005B167B">
      <w:pPr>
        <w:spacing w:after="120"/>
        <w:jc w:val="center"/>
        <w:rPr>
          <w:rFonts w:ascii="Times New Roman" w:hAnsi="Times New Roman" w:cs="Times New Roman"/>
          <w:b/>
          <w:sz w:val="24"/>
          <w:szCs w:val="24"/>
        </w:rPr>
      </w:pPr>
      <w:r w:rsidRPr="005B167B">
        <w:rPr>
          <w:rFonts w:ascii="Times New Roman" w:hAnsi="Times New Roman" w:cs="Times New Roman"/>
          <w:b/>
          <w:sz w:val="24"/>
          <w:szCs w:val="24"/>
        </w:rPr>
        <w:t>ЈАВНЕ КОНСУЛТАЦИЈЕ</w:t>
      </w:r>
    </w:p>
    <w:p w14:paraId="1147ED91" w14:textId="77777777" w:rsidR="005B167B" w:rsidRPr="005B167B" w:rsidRDefault="005B167B" w:rsidP="005B167B">
      <w:pPr>
        <w:spacing w:after="120"/>
        <w:jc w:val="center"/>
        <w:rPr>
          <w:rFonts w:ascii="Times New Roman" w:hAnsi="Times New Roman" w:cs="Times New Roman"/>
          <w:b/>
          <w:sz w:val="24"/>
          <w:szCs w:val="24"/>
        </w:rPr>
      </w:pPr>
    </w:p>
    <w:p w14:paraId="0F7182E2" w14:textId="77777777" w:rsidR="005B167B" w:rsidRPr="005B167B" w:rsidRDefault="005B167B" w:rsidP="005B167B">
      <w:pPr>
        <w:spacing w:after="0"/>
        <w:jc w:val="center"/>
        <w:rPr>
          <w:rFonts w:ascii="Times New Roman" w:hAnsi="Times New Roman" w:cs="Times New Roman"/>
          <w:sz w:val="24"/>
          <w:szCs w:val="24"/>
        </w:rPr>
      </w:pPr>
      <w:proofErr w:type="spellStart"/>
      <w:r w:rsidRPr="005B167B">
        <w:rPr>
          <w:rFonts w:ascii="Times New Roman" w:hAnsi="Times New Roman" w:cs="Times New Roman"/>
          <w:sz w:val="24"/>
          <w:szCs w:val="24"/>
        </w:rPr>
        <w:t>јавност</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органе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организације</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појединце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заинтересоване</w:t>
      </w:r>
      <w:proofErr w:type="spellEnd"/>
      <w:r w:rsidRPr="005B167B">
        <w:rPr>
          <w:rFonts w:ascii="Times New Roman" w:hAnsi="Times New Roman" w:cs="Times New Roman"/>
          <w:sz w:val="24"/>
          <w:szCs w:val="24"/>
        </w:rPr>
        <w:t xml:space="preserve"> за</w:t>
      </w:r>
    </w:p>
    <w:p w14:paraId="10B6DC37" w14:textId="77777777" w:rsidR="005B167B" w:rsidRPr="005B167B" w:rsidRDefault="005B167B" w:rsidP="005B167B">
      <w:pPr>
        <w:jc w:val="center"/>
        <w:rPr>
          <w:rFonts w:ascii="Times New Roman" w:hAnsi="Times New Roman" w:cs="Times New Roman"/>
          <w:sz w:val="24"/>
          <w:szCs w:val="24"/>
        </w:rPr>
      </w:pPr>
      <w:r w:rsidRPr="005B167B">
        <w:rPr>
          <w:rFonts w:ascii="Times New Roman" w:hAnsi="Times New Roman" w:cs="Times New Roman"/>
          <w:sz w:val="24"/>
          <w:szCs w:val="24"/>
        </w:rPr>
        <w:t>НАЦРТ ПЛАНА</w:t>
      </w:r>
      <w:r w:rsidRPr="005B167B">
        <w:rPr>
          <w:rFonts w:ascii="Times New Roman" w:hAnsi="Times New Roman" w:cs="Times New Roman"/>
          <w:sz w:val="24"/>
          <w:szCs w:val="24"/>
          <w:lang w:val="en-GB"/>
        </w:rPr>
        <w:t xml:space="preserve"> </w:t>
      </w:r>
      <w:r w:rsidRPr="005B167B">
        <w:rPr>
          <w:rFonts w:ascii="Times New Roman" w:hAnsi="Times New Roman" w:cs="Times New Roman"/>
          <w:sz w:val="24"/>
          <w:szCs w:val="24"/>
        </w:rPr>
        <w:t xml:space="preserve">АНГАЖОВАЊА ЗАИНТЕРЕСОВАНИХ СТРАНА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И ПРОЦЕДУРЕ УПРАВЉАЊА РАДНИМ ОКРУЖЕЊЕМ </w:t>
      </w:r>
      <w:r w:rsidRPr="005B167B">
        <w:rPr>
          <w:rFonts w:ascii="Times New Roman" w:hAnsi="Times New Roman" w:cs="Times New Roman"/>
          <w:i/>
          <w:sz w:val="24"/>
          <w:szCs w:val="24"/>
          <w:lang w:val="sr-Latn-RS"/>
        </w:rPr>
        <w:t>(LMP)</w:t>
      </w:r>
    </w:p>
    <w:p w14:paraId="522AE1BA" w14:textId="77777777" w:rsidR="005B167B" w:rsidRPr="005B167B" w:rsidRDefault="005B167B" w:rsidP="005B167B">
      <w:pPr>
        <w:jc w:val="center"/>
        <w:rPr>
          <w:rFonts w:ascii="Times New Roman" w:hAnsi="Times New Roman" w:cs="Times New Roman"/>
          <w:sz w:val="24"/>
          <w:szCs w:val="24"/>
        </w:rPr>
      </w:pPr>
      <w:r w:rsidRPr="005B167B">
        <w:rPr>
          <w:rFonts w:ascii="Times New Roman" w:hAnsi="Times New Roman" w:cs="Times New Roman"/>
          <w:sz w:val="24"/>
          <w:szCs w:val="24"/>
        </w:rPr>
        <w:t xml:space="preserve">за </w:t>
      </w:r>
      <w:proofErr w:type="spellStart"/>
      <w:r w:rsidRPr="005B167B">
        <w:rPr>
          <w:rFonts w:ascii="Times New Roman" w:hAnsi="Times New Roman" w:cs="Times New Roman"/>
          <w:sz w:val="24"/>
          <w:szCs w:val="24"/>
        </w:rPr>
        <w:t>пројекат</w:t>
      </w:r>
      <w:proofErr w:type="spellEnd"/>
      <w:r w:rsidRPr="005B167B">
        <w:rPr>
          <w:rFonts w:ascii="Times New Roman" w:hAnsi="Times New Roman" w:cs="Times New Roman"/>
          <w:sz w:val="24"/>
          <w:szCs w:val="24"/>
        </w:rPr>
        <w:t xml:space="preserve">: </w:t>
      </w:r>
      <w:r w:rsidRPr="005B167B">
        <w:rPr>
          <w:rFonts w:ascii="Times New Roman" w:hAnsi="Times New Roman" w:cs="Times New Roman"/>
          <w:b/>
          <w:sz w:val="24"/>
          <w:szCs w:val="24"/>
        </w:rPr>
        <w:t>УНАПРЕЂЕЊА УПРАВЉАЊА ЈАВНИМ ФИНАНСИЈАМА У ЦИЉУ ЕФИКАСНИЈИХ ЈАВНИХ УСЛУГА И БРЖЕГ „</w:t>
      </w:r>
      <w:proofErr w:type="gramStart"/>
      <w:r w:rsidRPr="005B167B">
        <w:rPr>
          <w:rFonts w:ascii="Times New Roman" w:hAnsi="Times New Roman" w:cs="Times New Roman"/>
          <w:b/>
          <w:sz w:val="24"/>
          <w:szCs w:val="24"/>
        </w:rPr>
        <w:t>ЗЕЛЕНОГ“ ЕКОНОМСКОГ</w:t>
      </w:r>
      <w:proofErr w:type="gramEnd"/>
      <w:r w:rsidRPr="005B167B">
        <w:rPr>
          <w:rFonts w:ascii="Times New Roman" w:hAnsi="Times New Roman" w:cs="Times New Roman"/>
          <w:b/>
          <w:sz w:val="24"/>
          <w:szCs w:val="24"/>
        </w:rPr>
        <w:t xml:space="preserve"> РАСТА </w:t>
      </w:r>
      <w:r w:rsidRPr="005B167B">
        <w:rPr>
          <w:rFonts w:ascii="Times New Roman" w:hAnsi="Times New Roman" w:cs="Times New Roman"/>
          <w:sz w:val="24"/>
          <w:szCs w:val="24"/>
        </w:rPr>
        <w:t xml:space="preserve"> </w:t>
      </w:r>
    </w:p>
    <w:p w14:paraId="52227BCE" w14:textId="77777777" w:rsidR="005B167B" w:rsidRPr="005B167B" w:rsidRDefault="005B167B" w:rsidP="005B167B">
      <w:pPr>
        <w:jc w:val="center"/>
        <w:rPr>
          <w:rFonts w:ascii="Times New Roman" w:hAnsi="Times New Roman" w:cs="Times New Roman"/>
          <w:sz w:val="24"/>
          <w:szCs w:val="24"/>
        </w:rPr>
      </w:pPr>
    </w:p>
    <w:p w14:paraId="0FF46282" w14:textId="77777777" w:rsidR="005B167B" w:rsidRPr="005B167B" w:rsidRDefault="005B167B" w:rsidP="005B167B">
      <w:pPr>
        <w:spacing w:after="120"/>
        <w:jc w:val="both"/>
        <w:rPr>
          <w:rFonts w:ascii="Times New Roman" w:hAnsi="Times New Roman" w:cs="Times New Roman"/>
          <w:sz w:val="24"/>
          <w:szCs w:val="24"/>
        </w:rPr>
      </w:pPr>
      <w:proofErr w:type="spellStart"/>
      <w:r w:rsidRPr="005B167B">
        <w:rPr>
          <w:rFonts w:ascii="Times New Roman" w:hAnsi="Times New Roman" w:cs="Times New Roman"/>
          <w:sz w:val="24"/>
          <w:szCs w:val="24"/>
        </w:rPr>
        <w:t>Увид</w:t>
      </w:r>
      <w:proofErr w:type="spellEnd"/>
      <w:r w:rsidRPr="005B167B">
        <w:rPr>
          <w:rFonts w:ascii="Times New Roman" w:hAnsi="Times New Roman" w:cs="Times New Roman"/>
          <w:sz w:val="24"/>
          <w:szCs w:val="24"/>
        </w:rPr>
        <w:t xml:space="preserve"> у </w:t>
      </w:r>
      <w:proofErr w:type="spellStart"/>
      <w:r w:rsidRPr="005B167B">
        <w:rPr>
          <w:rFonts w:ascii="Times New Roman" w:hAnsi="Times New Roman" w:cs="Times New Roman"/>
          <w:sz w:val="24"/>
          <w:szCs w:val="24"/>
        </w:rPr>
        <w:t>предметни</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план</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може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извршити</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на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интернет</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страници</w:t>
      </w:r>
      <w:proofErr w:type="spellEnd"/>
      <w:r w:rsidRPr="005B167B">
        <w:rPr>
          <w:rFonts w:ascii="Times New Roman" w:hAnsi="Times New Roman" w:cs="Times New Roman"/>
          <w:sz w:val="24"/>
          <w:szCs w:val="24"/>
        </w:rPr>
        <w:t xml:space="preserve"> МИНИСТАРСТВА ФИНАНСИЈА </w:t>
      </w:r>
      <w:hyperlink r:id="rId15" w:history="1">
        <w:r w:rsidRPr="005B167B">
          <w:rPr>
            <w:rStyle w:val="Hyperlink"/>
            <w:rFonts w:ascii="Times New Roman" w:hAnsi="Times New Roman" w:cs="Times New Roman"/>
            <w:sz w:val="24"/>
            <w:szCs w:val="24"/>
            <w:lang w:val="en-GB"/>
          </w:rPr>
          <w:t>www.mfin.gov.rs</w:t>
        </w:r>
      </w:hyperlink>
      <w:r w:rsidRPr="005B167B">
        <w:rPr>
          <w:rFonts w:ascii="Times New Roman" w:hAnsi="Times New Roman" w:cs="Times New Roman"/>
          <w:sz w:val="24"/>
          <w:szCs w:val="24"/>
          <w:lang w:val="sr-Latn-RS"/>
        </w:rPr>
        <w:t xml:space="preserve"> </w:t>
      </w:r>
      <w:proofErr w:type="spellStart"/>
      <w:r w:rsidRPr="005B167B">
        <w:rPr>
          <w:rFonts w:ascii="Times New Roman" w:hAnsi="Times New Roman" w:cs="Times New Roman"/>
          <w:sz w:val="24"/>
          <w:szCs w:val="24"/>
        </w:rPr>
        <w:t>где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је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постављен</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План</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ангажовања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заинтересованих</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страна</w:t>
      </w:r>
      <w:proofErr w:type="spellEnd"/>
      <w:r w:rsidRPr="005B167B">
        <w:rPr>
          <w:rFonts w:ascii="Times New Roman" w:hAnsi="Times New Roman" w:cs="Times New Roman"/>
          <w:sz w:val="24"/>
          <w:szCs w:val="24"/>
        </w:rPr>
        <w:t xml:space="preserve">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b/>
          <w:i/>
          <w:sz w:val="24"/>
          <w:szCs w:val="24"/>
        </w:rPr>
        <w:t>)</w:t>
      </w:r>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процедуре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управљања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радним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окружењем</w:t>
      </w:r>
      <w:proofErr w:type="spellEnd"/>
      <w:r w:rsidRPr="005B167B">
        <w:rPr>
          <w:rFonts w:ascii="Times New Roman" w:hAnsi="Times New Roman" w:cs="Times New Roman"/>
          <w:sz w:val="24"/>
          <w:szCs w:val="24"/>
        </w:rPr>
        <w:t xml:space="preserve">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LMP)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 </w:t>
      </w:r>
    </w:p>
    <w:p w14:paraId="2D73D272" w14:textId="77777777" w:rsidR="005B167B" w:rsidRPr="005B167B" w:rsidRDefault="005B167B" w:rsidP="005B167B">
      <w:pPr>
        <w:spacing w:after="120"/>
        <w:jc w:val="both"/>
        <w:rPr>
          <w:rFonts w:ascii="Times New Roman" w:hAnsi="Times New Roman" w:cs="Times New Roman"/>
          <w:sz w:val="24"/>
          <w:szCs w:val="24"/>
        </w:rPr>
      </w:pPr>
    </w:p>
    <w:p w14:paraId="4F5D2240" w14:textId="77777777" w:rsidR="005B167B" w:rsidRPr="005B167B" w:rsidRDefault="005B167B" w:rsidP="005B167B">
      <w:pPr>
        <w:spacing w:after="120"/>
        <w:jc w:val="both"/>
        <w:rPr>
          <w:rFonts w:ascii="Times New Roman" w:hAnsi="Times New Roman" w:cs="Times New Roman"/>
          <w:sz w:val="24"/>
          <w:szCs w:val="24"/>
        </w:rPr>
      </w:pPr>
      <w:proofErr w:type="spellStart"/>
      <w:r w:rsidRPr="005B167B">
        <w:rPr>
          <w:rFonts w:ascii="Times New Roman" w:hAnsi="Times New Roman" w:cs="Times New Roman"/>
          <w:sz w:val="24"/>
          <w:szCs w:val="24"/>
        </w:rPr>
        <w:t>Примедбе</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мишљења</w:t>
      </w:r>
      <w:proofErr w:type="spellEnd"/>
      <w:r w:rsidRPr="005B167B">
        <w:rPr>
          <w:rFonts w:ascii="Times New Roman" w:hAnsi="Times New Roman" w:cs="Times New Roman"/>
          <w:sz w:val="24"/>
          <w:szCs w:val="24"/>
        </w:rPr>
        <w:t xml:space="preserve"> у </w:t>
      </w:r>
      <w:proofErr w:type="spellStart"/>
      <w:r w:rsidRPr="005B167B">
        <w:rPr>
          <w:rFonts w:ascii="Times New Roman" w:hAnsi="Times New Roman" w:cs="Times New Roman"/>
          <w:sz w:val="24"/>
          <w:szCs w:val="24"/>
        </w:rPr>
        <w:t>вези</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овим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планом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подносе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се</w:t>
      </w:r>
      <w:proofErr w:type="spellEnd"/>
      <w:r w:rsidRPr="005B167B">
        <w:rPr>
          <w:rFonts w:ascii="Times New Roman" w:hAnsi="Times New Roman" w:cs="Times New Roman"/>
          <w:sz w:val="24"/>
          <w:szCs w:val="24"/>
        </w:rPr>
        <w:t xml:space="preserve"> у </w:t>
      </w:r>
      <w:proofErr w:type="spellStart"/>
      <w:r w:rsidRPr="005B167B">
        <w:rPr>
          <w:rFonts w:ascii="Times New Roman" w:hAnsi="Times New Roman" w:cs="Times New Roman"/>
          <w:sz w:val="24"/>
          <w:szCs w:val="24"/>
        </w:rPr>
        <w:t>писаном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облику</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достављају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на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адресу</w:t>
      </w:r>
      <w:proofErr w:type="spellEnd"/>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МИНИСТАРСТВО ФИНАНСИЈА, КНЕЗА МИЛОША 20, 11000 БЕОГРАД,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proofErr w:type="gramStart"/>
      <w:r w:rsidRPr="005B167B">
        <w:rPr>
          <w:rFonts w:ascii="Times New Roman" w:hAnsi="Times New Roman" w:cs="Times New Roman"/>
          <w:sz w:val="24"/>
          <w:szCs w:val="24"/>
        </w:rPr>
        <w:t>назнаком</w:t>
      </w:r>
      <w:proofErr w:type="spellEnd"/>
      <w:r w:rsidRPr="005B167B">
        <w:rPr>
          <w:rFonts w:ascii="Times New Roman" w:hAnsi="Times New Roman" w:cs="Times New Roman"/>
          <w:sz w:val="24"/>
          <w:szCs w:val="24"/>
        </w:rPr>
        <w:t xml:space="preserve"> ”За</w:t>
      </w:r>
      <w:proofErr w:type="gram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пројекат</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унапређења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управљања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јавним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финансијама</w:t>
      </w:r>
      <w:proofErr w:type="spellEnd"/>
      <w:r w:rsidRPr="005B167B">
        <w:rPr>
          <w:rFonts w:ascii="Times New Roman" w:hAnsi="Times New Roman" w:cs="Times New Roman"/>
          <w:sz w:val="24"/>
          <w:szCs w:val="24"/>
        </w:rPr>
        <w:t xml:space="preserve"> у </w:t>
      </w:r>
      <w:proofErr w:type="spellStart"/>
      <w:r w:rsidRPr="005B167B">
        <w:rPr>
          <w:rFonts w:ascii="Times New Roman" w:hAnsi="Times New Roman" w:cs="Times New Roman"/>
          <w:sz w:val="24"/>
          <w:szCs w:val="24"/>
        </w:rPr>
        <w:t>циљу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ефикаснијих</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јавних</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услуга</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бржег</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зеленог</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економског</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раста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Примедбе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могу</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доставити</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електронским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путем</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на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адресу</w:t>
      </w:r>
      <w:proofErr w:type="spellEnd"/>
      <w:r w:rsidRPr="005B167B">
        <w:rPr>
          <w:rFonts w:ascii="Times New Roman" w:hAnsi="Times New Roman" w:cs="Times New Roman"/>
          <w:sz w:val="24"/>
          <w:szCs w:val="24"/>
        </w:rPr>
        <w:t xml:space="preserve">: </w:t>
      </w:r>
      <w:hyperlink r:id="rId16" w:history="1">
        <w:r w:rsidRPr="005B167B">
          <w:rPr>
            <w:rStyle w:val="Hyperlink"/>
            <w:rFonts w:ascii="Times New Roman" w:hAnsi="Times New Roman" w:cs="Times New Roman"/>
            <w:sz w:val="24"/>
            <w:szCs w:val="24"/>
            <w:lang w:val="sr-Latn-RS"/>
          </w:rPr>
          <w:t>magdalena.arsic@mfin.</w:t>
        </w:r>
        <w:r w:rsidRPr="005B167B">
          <w:rPr>
            <w:rStyle w:val="Hyperlink"/>
            <w:rFonts w:ascii="Times New Roman" w:hAnsi="Times New Roman" w:cs="Times New Roman"/>
            <w:sz w:val="24"/>
            <w:szCs w:val="24"/>
          </w:rPr>
          <w:t>gov.rs</w:t>
        </w:r>
      </w:hyperlink>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w:t>
      </w:r>
    </w:p>
    <w:p w14:paraId="42F7CBFD" w14:textId="77777777" w:rsidR="005B167B" w:rsidRPr="005B167B" w:rsidRDefault="005B167B" w:rsidP="005B167B">
      <w:pPr>
        <w:spacing w:after="120"/>
        <w:jc w:val="both"/>
        <w:rPr>
          <w:rFonts w:ascii="Times New Roman" w:hAnsi="Times New Roman" w:cs="Times New Roman"/>
          <w:sz w:val="24"/>
          <w:szCs w:val="24"/>
        </w:rPr>
      </w:pPr>
    </w:p>
    <w:p w14:paraId="3759817A" w14:textId="77777777" w:rsidR="005B167B" w:rsidRPr="005B167B" w:rsidRDefault="005B167B" w:rsidP="005B167B">
      <w:pPr>
        <w:jc w:val="both"/>
        <w:rPr>
          <w:rFonts w:ascii="Times New Roman" w:hAnsi="Times New Roman" w:cs="Times New Roman"/>
          <w:sz w:val="24"/>
          <w:szCs w:val="24"/>
          <w:lang w:val="sr-Latn-RS"/>
        </w:rPr>
      </w:pPr>
      <w:proofErr w:type="spellStart"/>
      <w:r w:rsidRPr="005B167B">
        <w:rPr>
          <w:rFonts w:ascii="Times New Roman" w:hAnsi="Times New Roman" w:cs="Times New Roman"/>
          <w:sz w:val="24"/>
          <w:szCs w:val="24"/>
        </w:rPr>
        <w:t>Дана</w:t>
      </w:r>
      <w:proofErr w:type="spellEnd"/>
      <w:r w:rsidRPr="005B167B">
        <w:rPr>
          <w:rFonts w:ascii="Times New Roman" w:hAnsi="Times New Roman" w:cs="Times New Roman"/>
          <w:sz w:val="24"/>
          <w:szCs w:val="24"/>
        </w:rPr>
        <w:t xml:space="preserve"> </w:t>
      </w:r>
      <w:r w:rsidRPr="005B167B">
        <w:rPr>
          <w:rFonts w:ascii="Times New Roman" w:hAnsi="Times New Roman" w:cs="Times New Roman"/>
          <w:sz w:val="24"/>
          <w:szCs w:val="24"/>
          <w:lang w:val="sr-Latn-RS"/>
        </w:rPr>
        <w:t>13</w:t>
      </w:r>
      <w:r w:rsidRPr="005B167B">
        <w:rPr>
          <w:rFonts w:ascii="Times New Roman" w:hAnsi="Times New Roman" w:cs="Times New Roman"/>
          <w:sz w:val="24"/>
          <w:szCs w:val="24"/>
        </w:rPr>
        <w:t xml:space="preserve">.12.2022. </w:t>
      </w:r>
      <w:proofErr w:type="spellStart"/>
      <w:r w:rsidRPr="005B167B">
        <w:rPr>
          <w:rFonts w:ascii="Times New Roman" w:hAnsi="Times New Roman" w:cs="Times New Roman"/>
          <w:sz w:val="24"/>
          <w:szCs w:val="24"/>
        </w:rPr>
        <w:t>године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са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почетком</w:t>
      </w:r>
      <w:proofErr w:type="spellEnd"/>
      <w:r w:rsidRPr="005B167B">
        <w:rPr>
          <w:rFonts w:ascii="Times New Roman" w:hAnsi="Times New Roman" w:cs="Times New Roman"/>
          <w:sz w:val="24"/>
          <w:szCs w:val="24"/>
        </w:rPr>
        <w:t xml:space="preserve"> у 12:00 </w:t>
      </w:r>
      <w:proofErr w:type="spellStart"/>
      <w:r w:rsidRPr="005B167B">
        <w:rPr>
          <w:rFonts w:ascii="Times New Roman" w:hAnsi="Times New Roman" w:cs="Times New Roman"/>
          <w:sz w:val="24"/>
          <w:szCs w:val="24"/>
        </w:rPr>
        <w:t>часова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биће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одржане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Јавне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консултације</w:t>
      </w:r>
      <w:proofErr w:type="spellEnd"/>
      <w:r w:rsidRPr="005B167B">
        <w:rPr>
          <w:rFonts w:ascii="Times New Roman" w:hAnsi="Times New Roman" w:cs="Times New Roman"/>
          <w:sz w:val="24"/>
          <w:szCs w:val="24"/>
        </w:rPr>
        <w:t xml:space="preserve"> и </w:t>
      </w:r>
      <w:proofErr w:type="spellStart"/>
      <w:r w:rsidRPr="005B167B">
        <w:rPr>
          <w:rFonts w:ascii="Times New Roman" w:hAnsi="Times New Roman" w:cs="Times New Roman"/>
          <w:sz w:val="24"/>
          <w:szCs w:val="24"/>
        </w:rPr>
        <w:t>презентација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предметног</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плана</w:t>
      </w:r>
      <w:proofErr w:type="spellEnd"/>
      <w:r w:rsidRPr="005B167B">
        <w:rPr>
          <w:rFonts w:ascii="Times New Roman" w:hAnsi="Times New Roman" w:cs="Times New Roman"/>
          <w:sz w:val="24"/>
          <w:szCs w:val="24"/>
        </w:rPr>
        <w:t xml:space="preserve"> у </w:t>
      </w:r>
      <w:proofErr w:type="spellStart"/>
      <w:r w:rsidRPr="005B167B">
        <w:rPr>
          <w:rFonts w:ascii="Times New Roman" w:hAnsi="Times New Roman" w:cs="Times New Roman"/>
          <w:sz w:val="24"/>
          <w:szCs w:val="24"/>
        </w:rPr>
        <w:t>сали</w:t>
      </w:r>
      <w:proofErr w:type="spellEnd"/>
      <w:r w:rsidRPr="005B167B">
        <w:rPr>
          <w:rFonts w:ascii="Times New Roman" w:hAnsi="Times New Roman" w:cs="Times New Roman"/>
          <w:sz w:val="24"/>
          <w:szCs w:val="24"/>
        </w:rPr>
        <w:t xml:space="preserve"> за </w:t>
      </w:r>
      <w:proofErr w:type="spellStart"/>
      <w:r w:rsidRPr="005B167B">
        <w:rPr>
          <w:rFonts w:ascii="Times New Roman" w:hAnsi="Times New Roman" w:cs="Times New Roman"/>
          <w:sz w:val="24"/>
          <w:szCs w:val="24"/>
        </w:rPr>
        <w:t>састанке</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број</w:t>
      </w:r>
      <w:proofErr w:type="spellEnd"/>
      <w:r w:rsidRPr="005B167B">
        <w:rPr>
          <w:rFonts w:ascii="Times New Roman" w:hAnsi="Times New Roman" w:cs="Times New Roman"/>
          <w:sz w:val="24"/>
          <w:szCs w:val="24"/>
        </w:rPr>
        <w:t xml:space="preserve"> 72 у </w:t>
      </w:r>
      <w:proofErr w:type="spellStart"/>
      <w:r w:rsidRPr="005B167B">
        <w:rPr>
          <w:rFonts w:ascii="Times New Roman" w:hAnsi="Times New Roman" w:cs="Times New Roman"/>
          <w:sz w:val="24"/>
          <w:szCs w:val="24"/>
        </w:rPr>
        <w:t>згради</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Министарства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финансија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Кнеза</w:t>
      </w:r>
      <w:proofErr w:type="spellEnd"/>
      <w:r w:rsidRPr="005B167B">
        <w:rPr>
          <w:rFonts w:ascii="Times New Roman" w:hAnsi="Times New Roman" w:cs="Times New Roman"/>
          <w:sz w:val="24"/>
          <w:szCs w:val="24"/>
        </w:rPr>
        <w:t xml:space="preserve"> </w:t>
      </w:r>
      <w:proofErr w:type="spellStart"/>
      <w:r w:rsidRPr="005B167B">
        <w:rPr>
          <w:rFonts w:ascii="Times New Roman" w:hAnsi="Times New Roman" w:cs="Times New Roman"/>
          <w:sz w:val="24"/>
          <w:szCs w:val="24"/>
        </w:rPr>
        <w:t>Милоша</w:t>
      </w:r>
      <w:proofErr w:type="spellEnd"/>
      <w:r w:rsidRPr="005B167B">
        <w:rPr>
          <w:rFonts w:ascii="Times New Roman" w:hAnsi="Times New Roman" w:cs="Times New Roman"/>
          <w:sz w:val="24"/>
          <w:szCs w:val="24"/>
        </w:rPr>
        <w:t xml:space="preserve"> 20, </w:t>
      </w:r>
      <w:proofErr w:type="spellStart"/>
      <w:r w:rsidRPr="005B167B">
        <w:rPr>
          <w:rFonts w:ascii="Times New Roman" w:hAnsi="Times New Roman" w:cs="Times New Roman"/>
          <w:sz w:val="24"/>
          <w:szCs w:val="24"/>
        </w:rPr>
        <w:t>Београд</w:t>
      </w:r>
      <w:proofErr w:type="spellEnd"/>
      <w:r w:rsidRPr="005B167B">
        <w:rPr>
          <w:rFonts w:ascii="Times New Roman" w:hAnsi="Times New Roman" w:cs="Times New Roman"/>
          <w:sz w:val="24"/>
          <w:szCs w:val="24"/>
        </w:rPr>
        <w:t xml:space="preserve">. </w:t>
      </w:r>
    </w:p>
    <w:p w14:paraId="71814D62" w14:textId="0062A741" w:rsidR="00427EC9" w:rsidRPr="005B167B" w:rsidRDefault="00427EC9" w:rsidP="007F767C">
      <w:pPr>
        <w:jc w:val="center"/>
        <w:rPr>
          <w:rFonts w:cstheme="minorHAnsi"/>
          <w:color w:val="3F4257"/>
          <w:sz w:val="24"/>
          <w:szCs w:val="24"/>
          <w:shd w:val="clear" w:color="auto" w:fill="FFFFFF"/>
        </w:rPr>
      </w:pPr>
    </w:p>
    <w:p w14:paraId="0882903B" w14:textId="77777777" w:rsidR="00D07E5E" w:rsidRPr="005B167B" w:rsidRDefault="00D07E5E" w:rsidP="00D07E5E">
      <w:pPr>
        <w:jc w:val="both"/>
        <w:rPr>
          <w:rFonts w:cstheme="minorHAnsi"/>
          <w:color w:val="3F4257"/>
          <w:sz w:val="24"/>
          <w:szCs w:val="24"/>
          <w:shd w:val="clear" w:color="auto" w:fill="FFFFFF"/>
        </w:rPr>
      </w:pPr>
    </w:p>
    <w:p w14:paraId="13E3E301" w14:textId="77777777" w:rsidR="00D07E5E" w:rsidRPr="005B167B" w:rsidRDefault="00D07E5E" w:rsidP="00D07E5E">
      <w:pPr>
        <w:jc w:val="both"/>
        <w:rPr>
          <w:rFonts w:cstheme="minorHAnsi"/>
          <w:color w:val="3F4257"/>
          <w:sz w:val="24"/>
          <w:szCs w:val="24"/>
          <w:shd w:val="clear" w:color="auto" w:fill="FFFFFF"/>
        </w:rPr>
      </w:pPr>
    </w:p>
    <w:sectPr w:rsidR="00D07E5E" w:rsidRPr="005B167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0AD8" w14:textId="77777777" w:rsidR="008E7B13" w:rsidRDefault="008E7B13" w:rsidP="00427EC9">
      <w:pPr>
        <w:spacing w:after="0" w:line="240" w:lineRule="auto"/>
      </w:pPr>
      <w:r>
        <w:separator/>
      </w:r>
    </w:p>
  </w:endnote>
  <w:endnote w:type="continuationSeparator" w:id="0">
    <w:p w14:paraId="31874366" w14:textId="77777777" w:rsidR="008E7B13" w:rsidRDefault="008E7B13" w:rsidP="0042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Cambria"/>
    <w:charset w:val="4E"/>
    <w:family w:val="auto"/>
    <w:pitch w:val="variable"/>
    <w:sig w:usb0="E00002FF" w:usb1="7AC7FFFF" w:usb2="00000012" w:usb3="00000000" w:csb0="0002000D"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013766"/>
      <w:docPartObj>
        <w:docPartGallery w:val="Page Numbers (Bottom of Page)"/>
        <w:docPartUnique/>
      </w:docPartObj>
    </w:sdtPr>
    <w:sdtEndPr>
      <w:rPr>
        <w:noProof/>
      </w:rPr>
    </w:sdtEndPr>
    <w:sdtContent>
      <w:p w14:paraId="420C8A27" w14:textId="0CDD767F" w:rsidR="00AE5B0E" w:rsidRDefault="00AE5B0E">
        <w:pPr>
          <w:pStyle w:val="Footer"/>
          <w:jc w:val="right"/>
        </w:pPr>
        <w:r>
          <w:fldChar w:fldCharType="begin"/>
        </w:r>
        <w:r>
          <w:instrText xml:space="preserve"> PAGE   \* MERGEFORMAT </w:instrText>
        </w:r>
        <w:r>
          <w:fldChar w:fldCharType="separate"/>
        </w:r>
        <w:r w:rsidR="006E3F6C">
          <w:rPr>
            <w:noProof/>
          </w:rPr>
          <w:t>14</w:t>
        </w:r>
        <w:r>
          <w:rPr>
            <w:noProof/>
          </w:rPr>
          <w:fldChar w:fldCharType="end"/>
        </w:r>
      </w:p>
    </w:sdtContent>
  </w:sdt>
  <w:p w14:paraId="3F49F26A" w14:textId="77777777" w:rsidR="00AE5B0E" w:rsidRDefault="00AE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A25DC" w14:textId="77777777" w:rsidR="008E7B13" w:rsidRDefault="008E7B13" w:rsidP="00427EC9">
      <w:pPr>
        <w:spacing w:after="0" w:line="240" w:lineRule="auto"/>
      </w:pPr>
      <w:r>
        <w:separator/>
      </w:r>
    </w:p>
  </w:footnote>
  <w:footnote w:type="continuationSeparator" w:id="0">
    <w:p w14:paraId="074BEABA" w14:textId="77777777" w:rsidR="008E7B13" w:rsidRDefault="008E7B13" w:rsidP="00427EC9">
      <w:pPr>
        <w:spacing w:after="0" w:line="240" w:lineRule="auto"/>
      </w:pPr>
      <w:r>
        <w:continuationSeparator/>
      </w:r>
    </w:p>
  </w:footnote>
  <w:footnote w:id="1">
    <w:p w14:paraId="6729A540" w14:textId="77777777" w:rsidR="0042670A" w:rsidRPr="000E0A9B" w:rsidRDefault="0042670A" w:rsidP="0042670A">
      <w:pPr>
        <w:pStyle w:val="FootnoteText"/>
        <w:rPr>
          <w:lang w:val="en-US"/>
        </w:rPr>
      </w:pPr>
      <w:r w:rsidRPr="000E0A9B">
        <w:rPr>
          <w:rStyle w:val="FootnoteReference"/>
          <w:sz w:val="18"/>
          <w:szCs w:val="18"/>
          <w:lang w:val="en-US"/>
        </w:rPr>
        <w:footnoteRef/>
      </w:r>
      <w:r w:rsidRPr="000E0A9B">
        <w:rPr>
          <w:lang w:val="en-US"/>
        </w:rPr>
        <w:t xml:space="preserve">Available in English at: </w:t>
      </w:r>
      <w:hyperlink r:id="rId1" w:anchor="guidancenotes" w:history="1">
        <w:r w:rsidRPr="000E0A9B">
          <w:rPr>
            <w:rStyle w:val="Hyperlink"/>
            <w:sz w:val="18"/>
            <w:szCs w:val="18"/>
            <w:lang w:val="en-US"/>
          </w:rPr>
          <w:t>http://www.worldbank.org/en/projects-operations/environmental-and-social-framework/brief/environmental-and-social-framework-resources#guidancenotes</w:t>
        </w:r>
      </w:hyperlink>
    </w:p>
  </w:footnote>
  <w:footnote w:id="2">
    <w:p w14:paraId="43B5634A" w14:textId="77777777" w:rsidR="002E57B2" w:rsidRPr="002E57B2" w:rsidRDefault="002E57B2">
      <w:pPr>
        <w:pStyle w:val="FootnoteText"/>
        <w:rPr>
          <w:lang w:val="en-US"/>
        </w:rPr>
      </w:pPr>
      <w:r>
        <w:rPr>
          <w:rStyle w:val="FootnoteReference"/>
        </w:rPr>
        <w:footnoteRef/>
      </w:r>
      <w:r>
        <w:t xml:space="preserve"> </w:t>
      </w:r>
      <w:r w:rsidR="00BA6E74" w:rsidRPr="00BA6E74">
        <w:rPr>
          <w:rFonts w:ascii="Open Sans" w:hAnsi="Open Sans" w:cs="Open Sans"/>
          <w:color w:val="3F4257"/>
          <w:shd w:val="clear" w:color="auto" w:fill="FFFFFF"/>
        </w:rPr>
        <w:t xml:space="preserve"> </w:t>
      </w:r>
      <w:r w:rsidR="00BA6E74" w:rsidRPr="00586A02">
        <w:rPr>
          <w:rFonts w:ascii="Open Sans" w:hAnsi="Open Sans" w:cs="Open Sans"/>
          <w:color w:val="3F4257"/>
          <w:shd w:val="clear" w:color="auto" w:fill="FFFFFF"/>
        </w:rPr>
        <w:t xml:space="preserve">In order to ensure compliance with ESS10 throughout the Project's lifecycle, </w:t>
      </w:r>
      <w:r w:rsidR="00BA6E74" w:rsidRPr="00586A02">
        <w:rPr>
          <w:rFonts w:ascii="Open Sans" w:hAnsi="Open Sans" w:cs="Open Sans"/>
          <w:color w:val="3F4257"/>
          <w:shd w:val="clear" w:color="auto" w:fill="FFFFFF"/>
          <w:lang w:val="en-US"/>
        </w:rPr>
        <w:t xml:space="preserve">the POM will be amended to reflect </w:t>
      </w:r>
      <w:r w:rsidR="00BA6E74" w:rsidRPr="00586A02">
        <w:rPr>
          <w:rFonts w:ascii="Open Sans" w:hAnsi="Open Sans" w:cs="Open Sans"/>
          <w:color w:val="3F4257"/>
          <w:shd w:val="clear" w:color="auto" w:fill="FFFFFF"/>
        </w:rPr>
        <w:t xml:space="preserve">adequate provisions and principles that will guide the preparation and implementation of the </w:t>
      </w:r>
      <w:r w:rsidR="005F7823">
        <w:rPr>
          <w:rFonts w:ascii="Open Sans" w:hAnsi="Open Sans" w:cs="Open Sans"/>
          <w:color w:val="3F4257"/>
          <w:shd w:val="clear" w:color="auto" w:fill="FFFFFF"/>
          <w:lang w:val="en-US"/>
        </w:rPr>
        <w:t>IPF Component actions</w:t>
      </w:r>
      <w:r w:rsidR="00BA6E74" w:rsidRPr="00586A02">
        <w:rPr>
          <w:rFonts w:ascii="Open Sans" w:hAnsi="Open Sans" w:cs="Open Sans"/>
          <w:color w:val="3F4257"/>
          <w:shd w:val="clear" w:color="auto" w:fill="FFFFFF"/>
        </w:rPr>
        <w:t>.</w:t>
      </w:r>
      <w:r w:rsidR="00BA6E74">
        <w:rPr>
          <w:rFonts w:ascii="Open Sans" w:hAnsi="Open Sans" w:cs="Open Sans"/>
          <w:color w:val="3F4257"/>
          <w:sz w:val="20"/>
          <w:szCs w:val="20"/>
          <w:shd w:val="clear" w:color="auto" w:fill="FFFFFF"/>
        </w:rPr>
        <w:t>.</w:t>
      </w:r>
    </w:p>
  </w:footnote>
  <w:footnote w:id="3">
    <w:p w14:paraId="20AEDBF6" w14:textId="77777777" w:rsidR="005F537B" w:rsidRPr="00FC4C6F" w:rsidRDefault="005F537B" w:rsidP="005F537B">
      <w:pPr>
        <w:pStyle w:val="FootnoteText"/>
        <w:rPr>
          <w:lang w:val="en-US"/>
        </w:rPr>
      </w:pPr>
      <w:r>
        <w:rPr>
          <w:rStyle w:val="FootnoteReference"/>
        </w:rPr>
        <w:footnoteRef/>
      </w:r>
      <w:r>
        <w:t xml:space="preserve"> </w:t>
      </w:r>
      <w:r w:rsidRPr="00FC4C6F">
        <w:rPr>
          <w:rFonts w:ascii="Open Sans" w:hAnsi="Open Sans" w:cs="Open Sans"/>
          <w:color w:val="3F4257"/>
          <w:shd w:val="clear" w:color="auto" w:fill="FFFFFF"/>
          <w:lang w:val="en-US"/>
        </w:rPr>
        <w:t>In</w:t>
      </w:r>
      <w:r w:rsidRPr="00FC4C6F">
        <w:rPr>
          <w:rFonts w:ascii="Open Sans" w:hAnsi="Open Sans" w:cs="Open Sans"/>
          <w:color w:val="3F4257"/>
          <w:shd w:val="clear" w:color="auto" w:fill="FFFFFF"/>
        </w:rPr>
        <w:t xml:space="preserve"> order to ensure compliance with the ESS2 the</w:t>
      </w:r>
      <w:r w:rsidRPr="00FC4C6F">
        <w:rPr>
          <w:rFonts w:ascii="Open Sans" w:hAnsi="Open Sans" w:cs="Open Sans"/>
          <w:color w:val="3F4257"/>
          <w:shd w:val="clear" w:color="auto" w:fill="FFFFFF"/>
          <w:lang w:val="en-US"/>
        </w:rPr>
        <w:t xml:space="preserve"> POM</w:t>
      </w:r>
      <w:r w:rsidRPr="00FC4C6F">
        <w:rPr>
          <w:rFonts w:ascii="Open Sans" w:hAnsi="Open Sans" w:cs="Open Sans"/>
          <w:color w:val="3F4257"/>
          <w:shd w:val="clear" w:color="auto" w:fill="FFFFFF"/>
        </w:rPr>
        <w:t xml:space="preserve"> will</w:t>
      </w:r>
      <w:r w:rsidRPr="00FC4C6F">
        <w:rPr>
          <w:rFonts w:ascii="Open Sans" w:hAnsi="Open Sans" w:cs="Open Sans"/>
          <w:color w:val="3F4257"/>
          <w:shd w:val="clear" w:color="auto" w:fill="FFFFFF"/>
          <w:lang w:val="en-US"/>
        </w:rPr>
        <w:t xml:space="preserve"> be further developed to</w:t>
      </w:r>
      <w:r w:rsidRPr="00FC4C6F">
        <w:rPr>
          <w:rFonts w:ascii="Open Sans" w:hAnsi="Open Sans" w:cs="Open Sans"/>
          <w:color w:val="3F4257"/>
          <w:shd w:val="clear" w:color="auto" w:fill="FFFFFF"/>
        </w:rPr>
        <w:t xml:space="preserve"> include adequate provisions and proportionate mitigation measures which will be based on the findings of due diligence on existing labor and working conditions related systems and procedures.</w:t>
      </w:r>
      <w:r>
        <w:rPr>
          <w:rFonts w:ascii="Open Sans" w:hAnsi="Open Sans" w:cs="Open Sans"/>
          <w:color w:val="3F4257"/>
          <w:sz w:val="20"/>
          <w:szCs w:val="20"/>
          <w:shd w:val="clear" w:color="auto" w:fill="FFFFFF"/>
          <w:lang w:val="en-US"/>
        </w:rPr>
        <w:t xml:space="preserve"> </w:t>
      </w:r>
      <w:r w:rsidRPr="008A6539">
        <w:rPr>
          <w:rFonts w:ascii="Open Sans" w:hAnsi="Open Sans" w:cs="Open Sans"/>
          <w:color w:val="3F4257"/>
          <w:shd w:val="clear" w:color="auto" w:fill="FFFFFF"/>
          <w:lang w:val="en-US"/>
        </w:rPr>
        <w:t xml:space="preserve">Furthermore, </w:t>
      </w:r>
      <w:r w:rsidRPr="008A6539">
        <w:rPr>
          <w:rFonts w:ascii="Open Sans" w:hAnsi="Open Sans" w:cs="Open Sans"/>
          <w:color w:val="3F4257"/>
          <w:shd w:val="clear" w:color="auto" w:fill="FFFFFF"/>
        </w:rPr>
        <w:t>The POM will also</w:t>
      </w:r>
      <w:r w:rsidRPr="008A6539">
        <w:rPr>
          <w:rFonts w:ascii="Open Sans" w:hAnsi="Open Sans" w:cs="Open Sans"/>
          <w:color w:val="3F4257"/>
          <w:shd w:val="clear" w:color="auto" w:fill="FFFFFF"/>
          <w:lang w:val="en-US"/>
        </w:rPr>
        <w:t xml:space="preserve"> be amended to</w:t>
      </w:r>
      <w:r w:rsidRPr="008A6539">
        <w:rPr>
          <w:rFonts w:ascii="Open Sans" w:hAnsi="Open Sans" w:cs="Open Sans"/>
          <w:color w:val="3F4257"/>
          <w:shd w:val="clear" w:color="auto" w:fill="FFFFFF"/>
        </w:rPr>
        <w:t xml:space="preserve"> provide guidance on requirements to be incorporated in terms of reference, contracts, and reporting mechanisms to ensure that the activities and outputs are in line with ESS2.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431"/>
    <w:multiLevelType w:val="hybridMultilevel"/>
    <w:tmpl w:val="44ACE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782A66"/>
    <w:multiLevelType w:val="hybridMultilevel"/>
    <w:tmpl w:val="917E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D0B24"/>
    <w:multiLevelType w:val="hybridMultilevel"/>
    <w:tmpl w:val="4D843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06DB6"/>
    <w:multiLevelType w:val="hybridMultilevel"/>
    <w:tmpl w:val="85E8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638D6"/>
    <w:multiLevelType w:val="hybridMultilevel"/>
    <w:tmpl w:val="430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E573C"/>
    <w:multiLevelType w:val="hybridMultilevel"/>
    <w:tmpl w:val="D2B6388E"/>
    <w:lvl w:ilvl="0" w:tplc="2E54BD92">
      <w:start w:val="77"/>
      <w:numFmt w:val="decimal"/>
      <w:lvlText w:val="%1."/>
      <w:lvlJc w:val="left"/>
      <w:pPr>
        <w:tabs>
          <w:tab w:val="num" w:pos="-144"/>
        </w:tabs>
        <w:ind w:left="-720" w:firstLine="0"/>
      </w:pPr>
      <w:rPr>
        <w:rFonts w:asciiTheme="minorHAnsi" w:hAnsiTheme="minorHAnsi" w:cstheme="minorHAnsi" w:hint="default"/>
        <w:b w:val="0"/>
        <w:bCs w:val="0"/>
        <w:i w:val="0"/>
        <w:color w:val="000000" w:themeColor="text1"/>
        <w:sz w:val="22"/>
        <w:szCs w:val="22"/>
      </w:rPr>
    </w:lvl>
    <w:lvl w:ilvl="1" w:tplc="336035D6" w:tentative="1">
      <w:start w:val="1"/>
      <w:numFmt w:val="lowerLetter"/>
      <w:lvlText w:val="%2."/>
      <w:lvlJc w:val="left"/>
      <w:pPr>
        <w:ind w:left="1440" w:hanging="360"/>
      </w:pPr>
    </w:lvl>
    <w:lvl w:ilvl="2" w:tplc="AA9C9D4E" w:tentative="1">
      <w:start w:val="1"/>
      <w:numFmt w:val="lowerRoman"/>
      <w:lvlText w:val="%3."/>
      <w:lvlJc w:val="right"/>
      <w:pPr>
        <w:ind w:left="2160" w:hanging="180"/>
      </w:pPr>
    </w:lvl>
    <w:lvl w:ilvl="3" w:tplc="2E4C9434" w:tentative="1">
      <w:start w:val="1"/>
      <w:numFmt w:val="decimal"/>
      <w:lvlText w:val="%4."/>
      <w:lvlJc w:val="left"/>
      <w:pPr>
        <w:ind w:left="2880" w:hanging="360"/>
      </w:pPr>
    </w:lvl>
    <w:lvl w:ilvl="4" w:tplc="0EECF85E" w:tentative="1">
      <w:start w:val="1"/>
      <w:numFmt w:val="lowerLetter"/>
      <w:lvlText w:val="%5."/>
      <w:lvlJc w:val="left"/>
      <w:pPr>
        <w:ind w:left="3600" w:hanging="360"/>
      </w:pPr>
    </w:lvl>
    <w:lvl w:ilvl="5" w:tplc="EAB00BC6" w:tentative="1">
      <w:start w:val="1"/>
      <w:numFmt w:val="lowerRoman"/>
      <w:lvlText w:val="%6."/>
      <w:lvlJc w:val="right"/>
      <w:pPr>
        <w:ind w:left="4320" w:hanging="180"/>
      </w:pPr>
    </w:lvl>
    <w:lvl w:ilvl="6" w:tplc="20E09050" w:tentative="1">
      <w:start w:val="1"/>
      <w:numFmt w:val="decimal"/>
      <w:lvlText w:val="%7."/>
      <w:lvlJc w:val="left"/>
      <w:pPr>
        <w:ind w:left="5040" w:hanging="360"/>
      </w:pPr>
    </w:lvl>
    <w:lvl w:ilvl="7" w:tplc="B1FEEC1E" w:tentative="1">
      <w:start w:val="1"/>
      <w:numFmt w:val="lowerLetter"/>
      <w:lvlText w:val="%8."/>
      <w:lvlJc w:val="left"/>
      <w:pPr>
        <w:ind w:left="5760" w:hanging="360"/>
      </w:pPr>
    </w:lvl>
    <w:lvl w:ilvl="8" w:tplc="E41CB486" w:tentative="1">
      <w:start w:val="1"/>
      <w:numFmt w:val="lowerRoman"/>
      <w:lvlText w:val="%9."/>
      <w:lvlJc w:val="right"/>
      <w:pPr>
        <w:ind w:left="6480" w:hanging="180"/>
      </w:pPr>
    </w:lvl>
  </w:abstractNum>
  <w:abstractNum w:abstractNumId="6" w15:restartNumberingAfterBreak="0">
    <w:nsid w:val="46707856"/>
    <w:multiLevelType w:val="hybridMultilevel"/>
    <w:tmpl w:val="9E12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37358"/>
    <w:multiLevelType w:val="hybridMultilevel"/>
    <w:tmpl w:val="7EDA16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00C16B5"/>
    <w:multiLevelType w:val="hybridMultilevel"/>
    <w:tmpl w:val="C812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1DAF"/>
    <w:multiLevelType w:val="multilevel"/>
    <w:tmpl w:val="8DD80A66"/>
    <w:lvl w:ilvl="0">
      <w:start w:val="1"/>
      <w:numFmt w:val="decimal"/>
      <w:pStyle w:val="head2"/>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C30E75"/>
    <w:multiLevelType w:val="hybridMultilevel"/>
    <w:tmpl w:val="34C038E6"/>
    <w:lvl w:ilvl="0" w:tplc="04090001">
      <w:start w:val="1"/>
      <w:numFmt w:val="bullet"/>
      <w:lvlText w:val=""/>
      <w:lvlJc w:val="left"/>
      <w:pPr>
        <w:ind w:left="720" w:hanging="360"/>
      </w:pPr>
      <w:rPr>
        <w:rFonts w:ascii="Symbol" w:hAnsi="Symbol" w:hint="default"/>
      </w:rPr>
    </w:lvl>
    <w:lvl w:ilvl="1" w:tplc="0C0C7A28">
      <w:numFmt w:val="bullet"/>
      <w:lvlText w:val="-"/>
      <w:lvlJc w:val="left"/>
      <w:pPr>
        <w:ind w:left="1800" w:hanging="720"/>
      </w:pPr>
      <w:rPr>
        <w:rFonts w:ascii="Open Sans" w:eastAsiaTheme="minorHAnsi" w:hAnsi="Open Sans" w:cs="Open Sans" w:hint="default"/>
      </w:rPr>
    </w:lvl>
    <w:lvl w:ilvl="2" w:tplc="28767B2E">
      <w:numFmt w:val="bullet"/>
      <w:lvlText w:val="•"/>
      <w:lvlJc w:val="left"/>
      <w:pPr>
        <w:ind w:left="2520" w:hanging="720"/>
      </w:pPr>
      <w:rPr>
        <w:rFonts w:ascii="Open Sans" w:eastAsiaTheme="minorHAnsi" w:hAnsi="Open Sans" w:cs="Open San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40209"/>
    <w:multiLevelType w:val="multilevel"/>
    <w:tmpl w:val="535ED8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F3B14B1"/>
    <w:multiLevelType w:val="hybridMultilevel"/>
    <w:tmpl w:val="08D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D279C"/>
    <w:multiLevelType w:val="hybridMultilevel"/>
    <w:tmpl w:val="F780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F778F"/>
    <w:multiLevelType w:val="hybridMultilevel"/>
    <w:tmpl w:val="F068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26A33"/>
    <w:multiLevelType w:val="hybridMultilevel"/>
    <w:tmpl w:val="B6F697FC"/>
    <w:lvl w:ilvl="0" w:tplc="F760E308">
      <w:start w:val="1"/>
      <w:numFmt w:val="decimal"/>
      <w:lvlText w:val="%1."/>
      <w:lvlJc w:val="left"/>
      <w:pPr>
        <w:tabs>
          <w:tab w:val="num" w:pos="-144"/>
        </w:tabs>
        <w:ind w:left="-720" w:firstLine="0"/>
      </w:pPr>
      <w:rPr>
        <w:rFonts w:asciiTheme="minorHAnsi" w:hAnsiTheme="minorHAnsi" w:cstheme="minorHAnsi" w:hint="default"/>
        <w:b w:val="0"/>
        <w:bCs w:val="0"/>
        <w:i w:val="0"/>
        <w:color w:val="000000" w:themeColor="text1"/>
        <w:sz w:val="22"/>
        <w:szCs w:val="22"/>
      </w:rPr>
    </w:lvl>
    <w:lvl w:ilvl="1" w:tplc="4C8284B8">
      <w:start w:val="1"/>
      <w:numFmt w:val="lowerRoman"/>
      <w:lvlText w:val="%2."/>
      <w:lvlJc w:val="right"/>
      <w:pPr>
        <w:ind w:left="1800" w:hanging="360"/>
      </w:pPr>
    </w:lvl>
    <w:lvl w:ilvl="2" w:tplc="2F90286A" w:tentative="1">
      <w:start w:val="1"/>
      <w:numFmt w:val="lowerRoman"/>
      <w:lvlText w:val="%3."/>
      <w:lvlJc w:val="right"/>
      <w:pPr>
        <w:ind w:left="2520" w:hanging="180"/>
      </w:pPr>
    </w:lvl>
    <w:lvl w:ilvl="3" w:tplc="D818D1A4" w:tentative="1">
      <w:start w:val="1"/>
      <w:numFmt w:val="decimal"/>
      <w:lvlText w:val="%4."/>
      <w:lvlJc w:val="left"/>
      <w:pPr>
        <w:ind w:left="3240" w:hanging="360"/>
      </w:pPr>
    </w:lvl>
    <w:lvl w:ilvl="4" w:tplc="0AC8E4BC" w:tentative="1">
      <w:start w:val="1"/>
      <w:numFmt w:val="lowerLetter"/>
      <w:lvlText w:val="%5."/>
      <w:lvlJc w:val="left"/>
      <w:pPr>
        <w:ind w:left="3960" w:hanging="360"/>
      </w:pPr>
    </w:lvl>
    <w:lvl w:ilvl="5" w:tplc="88C6AB0C" w:tentative="1">
      <w:start w:val="1"/>
      <w:numFmt w:val="lowerRoman"/>
      <w:lvlText w:val="%6."/>
      <w:lvlJc w:val="right"/>
      <w:pPr>
        <w:ind w:left="4680" w:hanging="180"/>
      </w:pPr>
    </w:lvl>
    <w:lvl w:ilvl="6" w:tplc="974CC56C" w:tentative="1">
      <w:start w:val="1"/>
      <w:numFmt w:val="decimal"/>
      <w:lvlText w:val="%7."/>
      <w:lvlJc w:val="left"/>
      <w:pPr>
        <w:ind w:left="5400" w:hanging="360"/>
      </w:pPr>
    </w:lvl>
    <w:lvl w:ilvl="7" w:tplc="7B6C433C" w:tentative="1">
      <w:start w:val="1"/>
      <w:numFmt w:val="lowerLetter"/>
      <w:lvlText w:val="%8."/>
      <w:lvlJc w:val="left"/>
      <w:pPr>
        <w:ind w:left="6120" w:hanging="360"/>
      </w:pPr>
    </w:lvl>
    <w:lvl w:ilvl="8" w:tplc="DF7AF91C" w:tentative="1">
      <w:start w:val="1"/>
      <w:numFmt w:val="lowerRoman"/>
      <w:lvlText w:val="%9."/>
      <w:lvlJc w:val="right"/>
      <w:pPr>
        <w:ind w:left="6840" w:hanging="180"/>
      </w:pPr>
    </w:lvl>
  </w:abstractNum>
  <w:abstractNum w:abstractNumId="17" w15:restartNumberingAfterBreak="0">
    <w:nsid w:val="6A806D1E"/>
    <w:multiLevelType w:val="hybridMultilevel"/>
    <w:tmpl w:val="091A87F4"/>
    <w:lvl w:ilvl="0" w:tplc="408CCD00">
      <w:start w:val="1"/>
      <w:numFmt w:val="bullet"/>
      <w:lvlText w:val=""/>
      <w:lvlJc w:val="left"/>
      <w:pPr>
        <w:ind w:left="720" w:hanging="360"/>
      </w:pPr>
      <w:rPr>
        <w:rFonts w:ascii="Symbol" w:hAnsi="Symbol" w:hint="default"/>
        <w:color w:val="auto"/>
      </w:rPr>
    </w:lvl>
    <w:lvl w:ilvl="1" w:tplc="65A49F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05458"/>
    <w:multiLevelType w:val="hybridMultilevel"/>
    <w:tmpl w:val="E79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13"/>
  </w:num>
  <w:num w:numId="5">
    <w:abstractNumId w:val="11"/>
  </w:num>
  <w:num w:numId="6">
    <w:abstractNumId w:val="10"/>
  </w:num>
  <w:num w:numId="7">
    <w:abstractNumId w:val="6"/>
  </w:num>
  <w:num w:numId="8">
    <w:abstractNumId w:val="14"/>
  </w:num>
  <w:num w:numId="9">
    <w:abstractNumId w:val="1"/>
  </w:num>
  <w:num w:numId="10">
    <w:abstractNumId w:val="8"/>
  </w:num>
  <w:num w:numId="11">
    <w:abstractNumId w:val="4"/>
  </w:num>
  <w:num w:numId="12">
    <w:abstractNumId w:val="12"/>
  </w:num>
  <w:num w:numId="13">
    <w:abstractNumId w:val="0"/>
  </w:num>
  <w:num w:numId="14">
    <w:abstractNumId w:val="18"/>
  </w:num>
  <w:num w:numId="15">
    <w:abstractNumId w:val="7"/>
  </w:num>
  <w:num w:numId="16">
    <w:abstractNumId w:val="16"/>
  </w:num>
  <w:num w:numId="17">
    <w:abstractNumId w:val="5"/>
  </w:num>
  <w:num w:numId="18">
    <w:abstractNumId w:val="2"/>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zMbYwNjS3MDQ1MDZV0lEKTi0uzszPAykwqwUA9a+/oywAAAA="/>
  </w:docVars>
  <w:rsids>
    <w:rsidRoot w:val="00D07E5E"/>
    <w:rsid w:val="000004F4"/>
    <w:rsid w:val="000040AF"/>
    <w:rsid w:val="00004856"/>
    <w:rsid w:val="0001264A"/>
    <w:rsid w:val="0002013C"/>
    <w:rsid w:val="00022B33"/>
    <w:rsid w:val="00023712"/>
    <w:rsid w:val="000342D4"/>
    <w:rsid w:val="00050212"/>
    <w:rsid w:val="00050A63"/>
    <w:rsid w:val="00051807"/>
    <w:rsid w:val="0005398F"/>
    <w:rsid w:val="00053D80"/>
    <w:rsid w:val="0005550A"/>
    <w:rsid w:val="00060C0A"/>
    <w:rsid w:val="000672D2"/>
    <w:rsid w:val="0007538B"/>
    <w:rsid w:val="00086854"/>
    <w:rsid w:val="000920F2"/>
    <w:rsid w:val="00094791"/>
    <w:rsid w:val="000A38F6"/>
    <w:rsid w:val="000A69B1"/>
    <w:rsid w:val="000B00F9"/>
    <w:rsid w:val="000B3B5B"/>
    <w:rsid w:val="000B5B03"/>
    <w:rsid w:val="000B749D"/>
    <w:rsid w:val="000C1B13"/>
    <w:rsid w:val="000C352C"/>
    <w:rsid w:val="000C3A75"/>
    <w:rsid w:val="000C3CD2"/>
    <w:rsid w:val="000C4C13"/>
    <w:rsid w:val="000C565B"/>
    <w:rsid w:val="000C7A03"/>
    <w:rsid w:val="000D7CED"/>
    <w:rsid w:val="000E1AE1"/>
    <w:rsid w:val="000E5955"/>
    <w:rsid w:val="000E5E7A"/>
    <w:rsid w:val="000F28D0"/>
    <w:rsid w:val="000F7E4A"/>
    <w:rsid w:val="00101CB1"/>
    <w:rsid w:val="00102D49"/>
    <w:rsid w:val="001112F1"/>
    <w:rsid w:val="00114A88"/>
    <w:rsid w:val="001174C6"/>
    <w:rsid w:val="001174D5"/>
    <w:rsid w:val="00120278"/>
    <w:rsid w:val="00121ABD"/>
    <w:rsid w:val="001236C7"/>
    <w:rsid w:val="0012474F"/>
    <w:rsid w:val="00127C6E"/>
    <w:rsid w:val="00133CB5"/>
    <w:rsid w:val="00155E8C"/>
    <w:rsid w:val="001608A6"/>
    <w:rsid w:val="00160EA8"/>
    <w:rsid w:val="00162144"/>
    <w:rsid w:val="001621EE"/>
    <w:rsid w:val="0018210A"/>
    <w:rsid w:val="00190AF1"/>
    <w:rsid w:val="001970AE"/>
    <w:rsid w:val="001A00AE"/>
    <w:rsid w:val="001B1BF7"/>
    <w:rsid w:val="001B6062"/>
    <w:rsid w:val="001B73DB"/>
    <w:rsid w:val="001B7EAE"/>
    <w:rsid w:val="001C2263"/>
    <w:rsid w:val="001C323F"/>
    <w:rsid w:val="001D0575"/>
    <w:rsid w:val="001E103B"/>
    <w:rsid w:val="001E1C63"/>
    <w:rsid w:val="001F029D"/>
    <w:rsid w:val="00201A78"/>
    <w:rsid w:val="00202821"/>
    <w:rsid w:val="00204EF6"/>
    <w:rsid w:val="00207E4B"/>
    <w:rsid w:val="00210504"/>
    <w:rsid w:val="00212ACB"/>
    <w:rsid w:val="00214501"/>
    <w:rsid w:val="00214A99"/>
    <w:rsid w:val="00222C00"/>
    <w:rsid w:val="0022407E"/>
    <w:rsid w:val="0022698A"/>
    <w:rsid w:val="00231B31"/>
    <w:rsid w:val="0023494D"/>
    <w:rsid w:val="00237DB9"/>
    <w:rsid w:val="00242881"/>
    <w:rsid w:val="00245C4D"/>
    <w:rsid w:val="00247473"/>
    <w:rsid w:val="002506B5"/>
    <w:rsid w:val="00251680"/>
    <w:rsid w:val="00261E0E"/>
    <w:rsid w:val="00262114"/>
    <w:rsid w:val="00263A43"/>
    <w:rsid w:val="002675C3"/>
    <w:rsid w:val="002729B7"/>
    <w:rsid w:val="00276BD0"/>
    <w:rsid w:val="00283A7C"/>
    <w:rsid w:val="0028457C"/>
    <w:rsid w:val="00284722"/>
    <w:rsid w:val="0028668B"/>
    <w:rsid w:val="002902A9"/>
    <w:rsid w:val="00291C20"/>
    <w:rsid w:val="002937E3"/>
    <w:rsid w:val="002963CB"/>
    <w:rsid w:val="0029788B"/>
    <w:rsid w:val="002A0184"/>
    <w:rsid w:val="002A1220"/>
    <w:rsid w:val="002A521B"/>
    <w:rsid w:val="002C12D3"/>
    <w:rsid w:val="002C454D"/>
    <w:rsid w:val="002C4AC1"/>
    <w:rsid w:val="002D333A"/>
    <w:rsid w:val="002E16A3"/>
    <w:rsid w:val="002E548B"/>
    <w:rsid w:val="002E57B2"/>
    <w:rsid w:val="002E59CF"/>
    <w:rsid w:val="002E6536"/>
    <w:rsid w:val="002F68ED"/>
    <w:rsid w:val="002F6E8C"/>
    <w:rsid w:val="003031A3"/>
    <w:rsid w:val="00312A5B"/>
    <w:rsid w:val="00313885"/>
    <w:rsid w:val="00314DD4"/>
    <w:rsid w:val="00315BDF"/>
    <w:rsid w:val="00316662"/>
    <w:rsid w:val="00320C1A"/>
    <w:rsid w:val="00323E71"/>
    <w:rsid w:val="00324124"/>
    <w:rsid w:val="0032647A"/>
    <w:rsid w:val="0032780E"/>
    <w:rsid w:val="00327C7D"/>
    <w:rsid w:val="00332ACD"/>
    <w:rsid w:val="0033620A"/>
    <w:rsid w:val="00341D21"/>
    <w:rsid w:val="00344A4C"/>
    <w:rsid w:val="00352BEF"/>
    <w:rsid w:val="00354C87"/>
    <w:rsid w:val="00354EF1"/>
    <w:rsid w:val="003608A4"/>
    <w:rsid w:val="003615B9"/>
    <w:rsid w:val="003726FC"/>
    <w:rsid w:val="00381982"/>
    <w:rsid w:val="00386EDF"/>
    <w:rsid w:val="003941D4"/>
    <w:rsid w:val="00396FE4"/>
    <w:rsid w:val="003A58FD"/>
    <w:rsid w:val="003B0049"/>
    <w:rsid w:val="003B03B8"/>
    <w:rsid w:val="003B0646"/>
    <w:rsid w:val="003B1A24"/>
    <w:rsid w:val="003B2903"/>
    <w:rsid w:val="003B2D88"/>
    <w:rsid w:val="003B3A11"/>
    <w:rsid w:val="003B766A"/>
    <w:rsid w:val="003C4409"/>
    <w:rsid w:val="003D1536"/>
    <w:rsid w:val="003D584E"/>
    <w:rsid w:val="003E0CC4"/>
    <w:rsid w:val="003F0104"/>
    <w:rsid w:val="003F0170"/>
    <w:rsid w:val="003F0A6F"/>
    <w:rsid w:val="003F0C74"/>
    <w:rsid w:val="003F6853"/>
    <w:rsid w:val="0040195C"/>
    <w:rsid w:val="0040219B"/>
    <w:rsid w:val="004030F0"/>
    <w:rsid w:val="0041761E"/>
    <w:rsid w:val="00420C20"/>
    <w:rsid w:val="00424F08"/>
    <w:rsid w:val="0042670A"/>
    <w:rsid w:val="00427EC9"/>
    <w:rsid w:val="004427BB"/>
    <w:rsid w:val="00444D9B"/>
    <w:rsid w:val="004500B9"/>
    <w:rsid w:val="0046121E"/>
    <w:rsid w:val="00461BE8"/>
    <w:rsid w:val="00465083"/>
    <w:rsid w:val="004675F5"/>
    <w:rsid w:val="00474FD3"/>
    <w:rsid w:val="00476325"/>
    <w:rsid w:val="00491670"/>
    <w:rsid w:val="004A27D2"/>
    <w:rsid w:val="004A3216"/>
    <w:rsid w:val="004A35C1"/>
    <w:rsid w:val="004A63CD"/>
    <w:rsid w:val="004B027F"/>
    <w:rsid w:val="004B1E99"/>
    <w:rsid w:val="004C0A19"/>
    <w:rsid w:val="004C0E0A"/>
    <w:rsid w:val="004D05F9"/>
    <w:rsid w:val="004E072F"/>
    <w:rsid w:val="004E5432"/>
    <w:rsid w:val="004E59E4"/>
    <w:rsid w:val="004F1359"/>
    <w:rsid w:val="004F601A"/>
    <w:rsid w:val="0050160D"/>
    <w:rsid w:val="0051086D"/>
    <w:rsid w:val="005111D7"/>
    <w:rsid w:val="00516920"/>
    <w:rsid w:val="00522A16"/>
    <w:rsid w:val="005246DE"/>
    <w:rsid w:val="005273F0"/>
    <w:rsid w:val="00533F51"/>
    <w:rsid w:val="00536CD5"/>
    <w:rsid w:val="005418D7"/>
    <w:rsid w:val="00546232"/>
    <w:rsid w:val="00550CB6"/>
    <w:rsid w:val="00552FB7"/>
    <w:rsid w:val="0056307F"/>
    <w:rsid w:val="005637D2"/>
    <w:rsid w:val="00565DCB"/>
    <w:rsid w:val="005702C6"/>
    <w:rsid w:val="00573EB6"/>
    <w:rsid w:val="00575D89"/>
    <w:rsid w:val="0057625A"/>
    <w:rsid w:val="00576785"/>
    <w:rsid w:val="00577102"/>
    <w:rsid w:val="005778D7"/>
    <w:rsid w:val="0058316C"/>
    <w:rsid w:val="00583293"/>
    <w:rsid w:val="00586A02"/>
    <w:rsid w:val="00591101"/>
    <w:rsid w:val="00597005"/>
    <w:rsid w:val="00597ECA"/>
    <w:rsid w:val="005A46D8"/>
    <w:rsid w:val="005A7118"/>
    <w:rsid w:val="005A728D"/>
    <w:rsid w:val="005A77EF"/>
    <w:rsid w:val="005B167B"/>
    <w:rsid w:val="005B175C"/>
    <w:rsid w:val="005B1F7C"/>
    <w:rsid w:val="005B2F5F"/>
    <w:rsid w:val="005B3EA2"/>
    <w:rsid w:val="005B4E08"/>
    <w:rsid w:val="005B71E9"/>
    <w:rsid w:val="005B7490"/>
    <w:rsid w:val="005C1616"/>
    <w:rsid w:val="005C5C06"/>
    <w:rsid w:val="005C5C8E"/>
    <w:rsid w:val="005D6343"/>
    <w:rsid w:val="005F24C7"/>
    <w:rsid w:val="005F3AC9"/>
    <w:rsid w:val="005F4A59"/>
    <w:rsid w:val="005F537B"/>
    <w:rsid w:val="005F7823"/>
    <w:rsid w:val="005F79E3"/>
    <w:rsid w:val="00604AB0"/>
    <w:rsid w:val="0060606A"/>
    <w:rsid w:val="00606B8C"/>
    <w:rsid w:val="0061670B"/>
    <w:rsid w:val="00620F90"/>
    <w:rsid w:val="006223E3"/>
    <w:rsid w:val="00633052"/>
    <w:rsid w:val="006359EA"/>
    <w:rsid w:val="0063702E"/>
    <w:rsid w:val="00637897"/>
    <w:rsid w:val="006427BE"/>
    <w:rsid w:val="00642890"/>
    <w:rsid w:val="00650B91"/>
    <w:rsid w:val="00654E99"/>
    <w:rsid w:val="00666D8B"/>
    <w:rsid w:val="00671033"/>
    <w:rsid w:val="006730ED"/>
    <w:rsid w:val="006768E2"/>
    <w:rsid w:val="006826C5"/>
    <w:rsid w:val="0068447A"/>
    <w:rsid w:val="00685CBD"/>
    <w:rsid w:val="006873F2"/>
    <w:rsid w:val="00696A8F"/>
    <w:rsid w:val="006A47CE"/>
    <w:rsid w:val="006A5B68"/>
    <w:rsid w:val="006B039E"/>
    <w:rsid w:val="006B2186"/>
    <w:rsid w:val="006B55F9"/>
    <w:rsid w:val="006C04D0"/>
    <w:rsid w:val="006D065C"/>
    <w:rsid w:val="006D3023"/>
    <w:rsid w:val="006D7781"/>
    <w:rsid w:val="006E1159"/>
    <w:rsid w:val="006E311A"/>
    <w:rsid w:val="006E3F6C"/>
    <w:rsid w:val="006E40D0"/>
    <w:rsid w:val="006F0317"/>
    <w:rsid w:val="006F2B17"/>
    <w:rsid w:val="006F50F4"/>
    <w:rsid w:val="00702053"/>
    <w:rsid w:val="00704FE0"/>
    <w:rsid w:val="0071146D"/>
    <w:rsid w:val="00714DAB"/>
    <w:rsid w:val="00717B21"/>
    <w:rsid w:val="00722673"/>
    <w:rsid w:val="00726233"/>
    <w:rsid w:val="00726A6B"/>
    <w:rsid w:val="00741607"/>
    <w:rsid w:val="00742A78"/>
    <w:rsid w:val="00750A6B"/>
    <w:rsid w:val="007514F9"/>
    <w:rsid w:val="00752CBA"/>
    <w:rsid w:val="007628CF"/>
    <w:rsid w:val="00765B7C"/>
    <w:rsid w:val="00766B05"/>
    <w:rsid w:val="00774CC0"/>
    <w:rsid w:val="00775B43"/>
    <w:rsid w:val="0078037F"/>
    <w:rsid w:val="007824F6"/>
    <w:rsid w:val="0078324C"/>
    <w:rsid w:val="00793237"/>
    <w:rsid w:val="00793419"/>
    <w:rsid w:val="0079403E"/>
    <w:rsid w:val="007A0598"/>
    <w:rsid w:val="007A7274"/>
    <w:rsid w:val="007B2BBD"/>
    <w:rsid w:val="007C041F"/>
    <w:rsid w:val="007C30B9"/>
    <w:rsid w:val="007D23B0"/>
    <w:rsid w:val="007D41FE"/>
    <w:rsid w:val="007D4D2B"/>
    <w:rsid w:val="007D4E14"/>
    <w:rsid w:val="007D5B0A"/>
    <w:rsid w:val="007D7717"/>
    <w:rsid w:val="007E6ACC"/>
    <w:rsid w:val="007F3E33"/>
    <w:rsid w:val="007F767C"/>
    <w:rsid w:val="00802127"/>
    <w:rsid w:val="00803573"/>
    <w:rsid w:val="00814975"/>
    <w:rsid w:val="00815E69"/>
    <w:rsid w:val="00815FE9"/>
    <w:rsid w:val="00820C84"/>
    <w:rsid w:val="00820C9B"/>
    <w:rsid w:val="00826490"/>
    <w:rsid w:val="00833F10"/>
    <w:rsid w:val="008351A1"/>
    <w:rsid w:val="008410CB"/>
    <w:rsid w:val="008422F3"/>
    <w:rsid w:val="00844BD5"/>
    <w:rsid w:val="00845969"/>
    <w:rsid w:val="00845A7B"/>
    <w:rsid w:val="00846130"/>
    <w:rsid w:val="00854729"/>
    <w:rsid w:val="00855F42"/>
    <w:rsid w:val="00860B9D"/>
    <w:rsid w:val="0086215C"/>
    <w:rsid w:val="00866D78"/>
    <w:rsid w:val="00867310"/>
    <w:rsid w:val="00871765"/>
    <w:rsid w:val="008721D6"/>
    <w:rsid w:val="0087777F"/>
    <w:rsid w:val="00895442"/>
    <w:rsid w:val="008972FB"/>
    <w:rsid w:val="008A6539"/>
    <w:rsid w:val="008B2192"/>
    <w:rsid w:val="008C09C3"/>
    <w:rsid w:val="008C7563"/>
    <w:rsid w:val="008D3DEF"/>
    <w:rsid w:val="008E4695"/>
    <w:rsid w:val="008E5A07"/>
    <w:rsid w:val="008E7820"/>
    <w:rsid w:val="008E7B13"/>
    <w:rsid w:val="008F00A0"/>
    <w:rsid w:val="008F0A9B"/>
    <w:rsid w:val="008F2DB6"/>
    <w:rsid w:val="008F44D3"/>
    <w:rsid w:val="00900A11"/>
    <w:rsid w:val="00907DD6"/>
    <w:rsid w:val="00907F5E"/>
    <w:rsid w:val="00915C77"/>
    <w:rsid w:val="00917D04"/>
    <w:rsid w:val="00921B34"/>
    <w:rsid w:val="0092254C"/>
    <w:rsid w:val="00925D76"/>
    <w:rsid w:val="0093021B"/>
    <w:rsid w:val="00933945"/>
    <w:rsid w:val="00937502"/>
    <w:rsid w:val="0094188F"/>
    <w:rsid w:val="00944B36"/>
    <w:rsid w:val="00947F34"/>
    <w:rsid w:val="009500A9"/>
    <w:rsid w:val="00956CFF"/>
    <w:rsid w:val="0096484B"/>
    <w:rsid w:val="009655B3"/>
    <w:rsid w:val="00965840"/>
    <w:rsid w:val="00967662"/>
    <w:rsid w:val="009700F6"/>
    <w:rsid w:val="00974E3F"/>
    <w:rsid w:val="00976731"/>
    <w:rsid w:val="009915F0"/>
    <w:rsid w:val="009A1BA5"/>
    <w:rsid w:val="009A2D80"/>
    <w:rsid w:val="009B0B05"/>
    <w:rsid w:val="009B10DA"/>
    <w:rsid w:val="009B353A"/>
    <w:rsid w:val="009B6859"/>
    <w:rsid w:val="009B7539"/>
    <w:rsid w:val="009C1F4A"/>
    <w:rsid w:val="009C3439"/>
    <w:rsid w:val="009C5BDE"/>
    <w:rsid w:val="009D04D9"/>
    <w:rsid w:val="009D4A60"/>
    <w:rsid w:val="009E6E45"/>
    <w:rsid w:val="009F71CB"/>
    <w:rsid w:val="009F7B85"/>
    <w:rsid w:val="00A14908"/>
    <w:rsid w:val="00A16A6C"/>
    <w:rsid w:val="00A17B59"/>
    <w:rsid w:val="00A21BBD"/>
    <w:rsid w:val="00A23CCF"/>
    <w:rsid w:val="00A32FA2"/>
    <w:rsid w:val="00A33B05"/>
    <w:rsid w:val="00A43E09"/>
    <w:rsid w:val="00A55764"/>
    <w:rsid w:val="00A568A3"/>
    <w:rsid w:val="00A578BF"/>
    <w:rsid w:val="00A73A11"/>
    <w:rsid w:val="00A758A2"/>
    <w:rsid w:val="00A81C8E"/>
    <w:rsid w:val="00A903D7"/>
    <w:rsid w:val="00A94A39"/>
    <w:rsid w:val="00AA1871"/>
    <w:rsid w:val="00AB30F3"/>
    <w:rsid w:val="00AB68E0"/>
    <w:rsid w:val="00AC10C6"/>
    <w:rsid w:val="00AC366E"/>
    <w:rsid w:val="00AC4899"/>
    <w:rsid w:val="00AD05E8"/>
    <w:rsid w:val="00AD09DC"/>
    <w:rsid w:val="00AD2D3D"/>
    <w:rsid w:val="00AE08C9"/>
    <w:rsid w:val="00AE536F"/>
    <w:rsid w:val="00AE5B0E"/>
    <w:rsid w:val="00AF5842"/>
    <w:rsid w:val="00AF6744"/>
    <w:rsid w:val="00B0150C"/>
    <w:rsid w:val="00B07256"/>
    <w:rsid w:val="00B12374"/>
    <w:rsid w:val="00B13EB3"/>
    <w:rsid w:val="00B228F7"/>
    <w:rsid w:val="00B2329F"/>
    <w:rsid w:val="00B26612"/>
    <w:rsid w:val="00B345B2"/>
    <w:rsid w:val="00B35266"/>
    <w:rsid w:val="00B37377"/>
    <w:rsid w:val="00B4253A"/>
    <w:rsid w:val="00B45F0A"/>
    <w:rsid w:val="00B51803"/>
    <w:rsid w:val="00B57155"/>
    <w:rsid w:val="00B6093F"/>
    <w:rsid w:val="00B61DE1"/>
    <w:rsid w:val="00B74FF4"/>
    <w:rsid w:val="00B762F7"/>
    <w:rsid w:val="00B80383"/>
    <w:rsid w:val="00B86135"/>
    <w:rsid w:val="00B869C1"/>
    <w:rsid w:val="00B86C3C"/>
    <w:rsid w:val="00B875FC"/>
    <w:rsid w:val="00B936DE"/>
    <w:rsid w:val="00B9387C"/>
    <w:rsid w:val="00BA0E6F"/>
    <w:rsid w:val="00BA1404"/>
    <w:rsid w:val="00BA6E74"/>
    <w:rsid w:val="00BA72EA"/>
    <w:rsid w:val="00BB4D2A"/>
    <w:rsid w:val="00BB6103"/>
    <w:rsid w:val="00BD1BCC"/>
    <w:rsid w:val="00BD3823"/>
    <w:rsid w:val="00BD3F5E"/>
    <w:rsid w:val="00BF19F5"/>
    <w:rsid w:val="00BF7A5F"/>
    <w:rsid w:val="00C0181A"/>
    <w:rsid w:val="00C06450"/>
    <w:rsid w:val="00C14B88"/>
    <w:rsid w:val="00C15C30"/>
    <w:rsid w:val="00C20BB9"/>
    <w:rsid w:val="00C332E4"/>
    <w:rsid w:val="00C3545B"/>
    <w:rsid w:val="00C438DC"/>
    <w:rsid w:val="00C45215"/>
    <w:rsid w:val="00C57915"/>
    <w:rsid w:val="00C57BD6"/>
    <w:rsid w:val="00C64383"/>
    <w:rsid w:val="00C74926"/>
    <w:rsid w:val="00C76803"/>
    <w:rsid w:val="00C77A8A"/>
    <w:rsid w:val="00C81DA4"/>
    <w:rsid w:val="00C95288"/>
    <w:rsid w:val="00C95408"/>
    <w:rsid w:val="00CA3F8D"/>
    <w:rsid w:val="00CB3C8D"/>
    <w:rsid w:val="00CB6C13"/>
    <w:rsid w:val="00CC0654"/>
    <w:rsid w:val="00CC0948"/>
    <w:rsid w:val="00CC0C65"/>
    <w:rsid w:val="00CC309F"/>
    <w:rsid w:val="00CC362F"/>
    <w:rsid w:val="00CC3E3D"/>
    <w:rsid w:val="00CC4429"/>
    <w:rsid w:val="00CC543C"/>
    <w:rsid w:val="00CC6018"/>
    <w:rsid w:val="00CD438B"/>
    <w:rsid w:val="00CE06AD"/>
    <w:rsid w:val="00CE0A5B"/>
    <w:rsid w:val="00CE541A"/>
    <w:rsid w:val="00CF07A6"/>
    <w:rsid w:val="00CF781B"/>
    <w:rsid w:val="00D04E3D"/>
    <w:rsid w:val="00D07E5E"/>
    <w:rsid w:val="00D12FB2"/>
    <w:rsid w:val="00D257D9"/>
    <w:rsid w:val="00D25B97"/>
    <w:rsid w:val="00D26D1F"/>
    <w:rsid w:val="00D27AA9"/>
    <w:rsid w:val="00D301D3"/>
    <w:rsid w:val="00D41AF6"/>
    <w:rsid w:val="00D4779E"/>
    <w:rsid w:val="00D50775"/>
    <w:rsid w:val="00D54B61"/>
    <w:rsid w:val="00D55996"/>
    <w:rsid w:val="00D579BD"/>
    <w:rsid w:val="00D647A6"/>
    <w:rsid w:val="00D65589"/>
    <w:rsid w:val="00D667DE"/>
    <w:rsid w:val="00D84C03"/>
    <w:rsid w:val="00D85C77"/>
    <w:rsid w:val="00D94FF4"/>
    <w:rsid w:val="00D97947"/>
    <w:rsid w:val="00D97B39"/>
    <w:rsid w:val="00D97F49"/>
    <w:rsid w:val="00DA0D33"/>
    <w:rsid w:val="00DA0F22"/>
    <w:rsid w:val="00DA3F9C"/>
    <w:rsid w:val="00DB50A5"/>
    <w:rsid w:val="00DB5F64"/>
    <w:rsid w:val="00DB6A23"/>
    <w:rsid w:val="00DC074E"/>
    <w:rsid w:val="00DC173B"/>
    <w:rsid w:val="00DD438E"/>
    <w:rsid w:val="00DD6561"/>
    <w:rsid w:val="00DD676D"/>
    <w:rsid w:val="00DD747E"/>
    <w:rsid w:val="00DE3434"/>
    <w:rsid w:val="00DF1535"/>
    <w:rsid w:val="00DF59C0"/>
    <w:rsid w:val="00DF6E3A"/>
    <w:rsid w:val="00E023C9"/>
    <w:rsid w:val="00E04BE9"/>
    <w:rsid w:val="00E22D86"/>
    <w:rsid w:val="00E249AE"/>
    <w:rsid w:val="00E2519B"/>
    <w:rsid w:val="00E31630"/>
    <w:rsid w:val="00E3651B"/>
    <w:rsid w:val="00E40AC0"/>
    <w:rsid w:val="00E40E8B"/>
    <w:rsid w:val="00E50C88"/>
    <w:rsid w:val="00E53AA7"/>
    <w:rsid w:val="00E54984"/>
    <w:rsid w:val="00E6251D"/>
    <w:rsid w:val="00E70E00"/>
    <w:rsid w:val="00E70F91"/>
    <w:rsid w:val="00E80121"/>
    <w:rsid w:val="00E80D47"/>
    <w:rsid w:val="00E829D8"/>
    <w:rsid w:val="00E85E40"/>
    <w:rsid w:val="00E86DB2"/>
    <w:rsid w:val="00E87079"/>
    <w:rsid w:val="00E87B06"/>
    <w:rsid w:val="00E90D80"/>
    <w:rsid w:val="00E912BA"/>
    <w:rsid w:val="00E95745"/>
    <w:rsid w:val="00E9626B"/>
    <w:rsid w:val="00EA1010"/>
    <w:rsid w:val="00EA4F06"/>
    <w:rsid w:val="00EA69BA"/>
    <w:rsid w:val="00EA710B"/>
    <w:rsid w:val="00EB0003"/>
    <w:rsid w:val="00EB3284"/>
    <w:rsid w:val="00EB3FDD"/>
    <w:rsid w:val="00EB7D6D"/>
    <w:rsid w:val="00EC0225"/>
    <w:rsid w:val="00EC2E37"/>
    <w:rsid w:val="00EC4BC8"/>
    <w:rsid w:val="00EC5B0A"/>
    <w:rsid w:val="00EC61B3"/>
    <w:rsid w:val="00ED28D7"/>
    <w:rsid w:val="00ED5F03"/>
    <w:rsid w:val="00EE0BCE"/>
    <w:rsid w:val="00EE5D23"/>
    <w:rsid w:val="00EE62D7"/>
    <w:rsid w:val="00EF2B0B"/>
    <w:rsid w:val="00EF6E6B"/>
    <w:rsid w:val="00F037C7"/>
    <w:rsid w:val="00F110B6"/>
    <w:rsid w:val="00F12C58"/>
    <w:rsid w:val="00F17043"/>
    <w:rsid w:val="00F20FB1"/>
    <w:rsid w:val="00F22D2F"/>
    <w:rsid w:val="00F253A6"/>
    <w:rsid w:val="00F25A95"/>
    <w:rsid w:val="00F27353"/>
    <w:rsid w:val="00F27D4D"/>
    <w:rsid w:val="00F32885"/>
    <w:rsid w:val="00F32F1F"/>
    <w:rsid w:val="00F33272"/>
    <w:rsid w:val="00F3501D"/>
    <w:rsid w:val="00F36D09"/>
    <w:rsid w:val="00F43612"/>
    <w:rsid w:val="00F4518F"/>
    <w:rsid w:val="00F505F5"/>
    <w:rsid w:val="00F51766"/>
    <w:rsid w:val="00F522CA"/>
    <w:rsid w:val="00F63519"/>
    <w:rsid w:val="00F66131"/>
    <w:rsid w:val="00F666E7"/>
    <w:rsid w:val="00F733DA"/>
    <w:rsid w:val="00F74250"/>
    <w:rsid w:val="00F80347"/>
    <w:rsid w:val="00F80F0A"/>
    <w:rsid w:val="00F821F4"/>
    <w:rsid w:val="00F83BC4"/>
    <w:rsid w:val="00F87938"/>
    <w:rsid w:val="00F90DBA"/>
    <w:rsid w:val="00FA4DF9"/>
    <w:rsid w:val="00FA660C"/>
    <w:rsid w:val="00FB14A3"/>
    <w:rsid w:val="00FB4459"/>
    <w:rsid w:val="00FB699A"/>
    <w:rsid w:val="00FC1340"/>
    <w:rsid w:val="00FC4285"/>
    <w:rsid w:val="00FC4C6F"/>
    <w:rsid w:val="00FD655D"/>
    <w:rsid w:val="00FD72DE"/>
    <w:rsid w:val="00FE2AC3"/>
    <w:rsid w:val="00FE3B39"/>
    <w:rsid w:val="00FF16CD"/>
    <w:rsid w:val="00FF1F7D"/>
    <w:rsid w:val="00FF40DF"/>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E1A61"/>
  <w15:chartTrackingRefBased/>
  <w15:docId w15:val="{1017262D-C4A1-4CB4-9018-0DF3141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2"/>
    <w:next w:val="Normal"/>
    <w:link w:val="Heading1Char"/>
    <w:uiPriority w:val="9"/>
    <w:qFormat/>
    <w:rsid w:val="00427EC9"/>
    <w:pPr>
      <w:numPr>
        <w:numId w:val="5"/>
      </w:numPr>
      <w:outlineLvl w:val="0"/>
    </w:pPr>
    <w:rPr>
      <w:sz w:val="24"/>
      <w:szCs w:val="24"/>
      <w:lang w:val="en-US"/>
    </w:rPr>
  </w:style>
  <w:style w:type="paragraph" w:styleId="Heading2">
    <w:name w:val="heading 2"/>
    <w:basedOn w:val="head3"/>
    <w:next w:val="Normal"/>
    <w:link w:val="Heading2Char"/>
    <w:uiPriority w:val="9"/>
    <w:unhideWhenUsed/>
    <w:qFormat/>
    <w:rsid w:val="00427EC9"/>
    <w:pPr>
      <w:numPr>
        <w:numId w:val="5"/>
      </w:numPr>
      <w:outlineLvl w:val="1"/>
    </w:pPr>
    <w:rPr>
      <w:rFonts w:ascii="Times New Roman" w:hAnsi="Times New Roman"/>
      <w:sz w:val="22"/>
      <w:szCs w:val="22"/>
      <w:lang w:val="en-US"/>
    </w:rPr>
  </w:style>
  <w:style w:type="paragraph" w:styleId="Heading3">
    <w:name w:val="heading 3"/>
    <w:basedOn w:val="Normal"/>
    <w:next w:val="Normal"/>
    <w:link w:val="Heading3Char"/>
    <w:uiPriority w:val="9"/>
    <w:unhideWhenUsed/>
    <w:qFormat/>
    <w:rsid w:val="00427EC9"/>
    <w:pPr>
      <w:keepNext/>
      <w:keepLines/>
      <w:numPr>
        <w:ilvl w:val="2"/>
        <w:numId w:val="5"/>
      </w:numPr>
      <w:spacing w:before="40" w:after="0" w:line="240" w:lineRule="auto"/>
      <w:contextualSpacing/>
      <w:jc w:val="both"/>
      <w:outlineLvl w:val="2"/>
    </w:pPr>
    <w:rPr>
      <w:rFonts w:ascii="Times New Roman" w:eastAsia="SimSun" w:hAnsi="Times New Roman" w:cs="Times New Roman"/>
      <w:b/>
      <w:color w:val="3B3838"/>
      <w:sz w:val="24"/>
      <w:szCs w:val="24"/>
      <w:lang w:val="x-none" w:eastAsia="x-none"/>
    </w:rPr>
  </w:style>
  <w:style w:type="paragraph" w:styleId="Heading4">
    <w:name w:val="heading 4"/>
    <w:basedOn w:val="Normal"/>
    <w:next w:val="Normal"/>
    <w:link w:val="Heading4Char"/>
    <w:uiPriority w:val="9"/>
    <w:semiHidden/>
    <w:unhideWhenUsed/>
    <w:qFormat/>
    <w:rsid w:val="00427EC9"/>
    <w:pPr>
      <w:keepNext/>
      <w:keepLines/>
      <w:numPr>
        <w:ilvl w:val="3"/>
        <w:numId w:val="5"/>
      </w:numPr>
      <w:spacing w:before="240" w:after="60" w:line="240" w:lineRule="auto"/>
      <w:contextualSpacing/>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27EC9"/>
    <w:pPr>
      <w:keepNext/>
      <w:keepLines/>
      <w:numPr>
        <w:ilvl w:val="4"/>
        <w:numId w:val="5"/>
      </w:numPr>
      <w:spacing w:before="240" w:after="60" w:line="240" w:lineRule="auto"/>
      <w:contextualSpacing/>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27EC9"/>
    <w:pPr>
      <w:keepNext/>
      <w:keepLines/>
      <w:numPr>
        <w:ilvl w:val="5"/>
        <w:numId w:val="5"/>
      </w:numPr>
      <w:spacing w:before="240" w:after="60" w:line="240" w:lineRule="auto"/>
      <w:contextualSpacing/>
      <w:jc w:val="both"/>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27EC9"/>
    <w:pPr>
      <w:keepNext/>
      <w:keepLines/>
      <w:numPr>
        <w:ilvl w:val="6"/>
        <w:numId w:val="5"/>
      </w:numPr>
      <w:spacing w:before="240" w:after="60" w:line="240" w:lineRule="auto"/>
      <w:contextualSpacing/>
      <w:jc w:val="both"/>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27EC9"/>
    <w:pPr>
      <w:keepNext/>
      <w:keepLines/>
      <w:numPr>
        <w:ilvl w:val="7"/>
        <w:numId w:val="5"/>
      </w:numPr>
      <w:spacing w:before="240" w:after="60" w:line="240" w:lineRule="auto"/>
      <w:contextualSpacing/>
      <w:jc w:val="both"/>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27EC9"/>
    <w:pPr>
      <w:keepNext/>
      <w:keepLines/>
      <w:numPr>
        <w:ilvl w:val="8"/>
        <w:numId w:val="5"/>
      </w:numPr>
      <w:spacing w:before="240" w:after="60" w:line="240" w:lineRule="auto"/>
      <w:contextualSpacing/>
      <w:jc w:val="both"/>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EC9"/>
    <w:rPr>
      <w:rFonts w:ascii="Times New Roman" w:eastAsia="SimSun" w:hAnsi="Times New Roman" w:cs="Times New Roman"/>
      <w:b/>
      <w:sz w:val="24"/>
      <w:szCs w:val="24"/>
      <w:lang w:eastAsia="x-none"/>
    </w:rPr>
  </w:style>
  <w:style w:type="character" w:customStyle="1" w:styleId="Heading2Char">
    <w:name w:val="Heading 2 Char"/>
    <w:basedOn w:val="DefaultParagraphFont"/>
    <w:link w:val="Heading2"/>
    <w:uiPriority w:val="9"/>
    <w:rsid w:val="00427EC9"/>
    <w:rPr>
      <w:rFonts w:ascii="Times New Roman" w:eastAsia="SimSun" w:hAnsi="Times New Roman" w:cs="Times New Roman"/>
      <w:b/>
      <w:smallCaps/>
      <w:lang w:eastAsia="x-none"/>
    </w:rPr>
  </w:style>
  <w:style w:type="character" w:customStyle="1" w:styleId="Heading3Char">
    <w:name w:val="Heading 3 Char"/>
    <w:basedOn w:val="DefaultParagraphFont"/>
    <w:link w:val="Heading3"/>
    <w:uiPriority w:val="9"/>
    <w:rsid w:val="00427EC9"/>
    <w:rPr>
      <w:rFonts w:ascii="Times New Roman" w:eastAsia="SimSun" w:hAnsi="Times New Roman" w:cs="Times New Roman"/>
      <w:b/>
      <w:color w:val="3B3838"/>
      <w:sz w:val="24"/>
      <w:szCs w:val="24"/>
      <w:lang w:val="x-none" w:eastAsia="x-none"/>
    </w:rPr>
  </w:style>
  <w:style w:type="character" w:customStyle="1" w:styleId="Heading4Char">
    <w:name w:val="Heading 4 Char"/>
    <w:basedOn w:val="DefaultParagraphFont"/>
    <w:link w:val="Heading4"/>
    <w:uiPriority w:val="9"/>
    <w:semiHidden/>
    <w:rsid w:val="00427EC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27EC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27EC9"/>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27EC9"/>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27EC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27EC9"/>
    <w:rPr>
      <w:rFonts w:ascii="Calibri Light" w:eastAsia="Times New Roman" w:hAnsi="Calibri Light" w:cs="Times New Roman"/>
    </w:rPr>
  </w:style>
  <w:style w:type="paragraph" w:styleId="ListParagraph">
    <w:name w:val="List Paragraph"/>
    <w:aliases w:val="Main numbered paragraph,List Paragraph (numbered (a)),List Paragraph nowy,Bullets,References,Numbered List Paragraph,Liste 1,List Paragraph Char Char Char,Use Case List Paragraph,List Paragraph2,Bullet paras,List Bullet Mary,body bullets"/>
    <w:basedOn w:val="Normal"/>
    <w:link w:val="ListParagraphChar"/>
    <w:uiPriority w:val="34"/>
    <w:qFormat/>
    <w:rsid w:val="00427EC9"/>
    <w:pPr>
      <w:keepNext/>
      <w:keepLines/>
      <w:spacing w:after="120" w:line="240" w:lineRule="auto"/>
      <w:ind w:left="720"/>
      <w:contextualSpacing/>
      <w:jc w:val="both"/>
    </w:pPr>
    <w:rPr>
      <w:rFonts w:ascii="Times New Roman" w:eastAsia="SimSun" w:hAnsi="Times New Roman" w:cs="Times New Roman"/>
      <w:szCs w:val="20"/>
      <w:lang w:val="x-none" w:eastAsia="x-none"/>
    </w:rPr>
  </w:style>
  <w:style w:type="paragraph" w:styleId="CommentText">
    <w:name w:val="annotation text"/>
    <w:basedOn w:val="Normal"/>
    <w:link w:val="CommentTextChar"/>
    <w:uiPriority w:val="99"/>
    <w:rsid w:val="00427EC9"/>
    <w:pPr>
      <w:keepNext/>
      <w:keepLines/>
      <w:spacing w:after="0" w:line="240" w:lineRule="auto"/>
      <w:contextualSpacing/>
      <w:jc w:val="both"/>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427EC9"/>
    <w:rPr>
      <w:rFonts w:ascii="Times New Roman" w:eastAsia="Times New Roman" w:hAnsi="Times New Roman" w:cs="Times New Roman"/>
      <w:sz w:val="20"/>
      <w:szCs w:val="20"/>
      <w:lang w:val="x-none" w:eastAsia="x-none"/>
    </w:rPr>
  </w:style>
  <w:style w:type="paragraph" w:customStyle="1" w:styleId="Default">
    <w:name w:val="Default"/>
    <w:link w:val="DefaultChar"/>
    <w:rsid w:val="00427EC9"/>
    <w:pPr>
      <w:autoSpaceDE w:val="0"/>
      <w:autoSpaceDN w:val="0"/>
      <w:adjustRightInd w:val="0"/>
      <w:spacing w:after="0" w:line="240" w:lineRule="auto"/>
    </w:pPr>
    <w:rPr>
      <w:rFonts w:ascii="Arial" w:eastAsia="SimSun" w:hAnsi="Arial" w:cs="Times New Roman"/>
      <w:color w:val="000000"/>
      <w:sz w:val="24"/>
      <w:szCs w:val="24"/>
      <w:lang w:val="en-CA"/>
    </w:rPr>
  </w:style>
  <w:style w:type="character" w:styleId="CommentReference">
    <w:name w:val="annotation reference"/>
    <w:uiPriority w:val="99"/>
    <w:unhideWhenUsed/>
    <w:rsid w:val="00427EC9"/>
    <w:rPr>
      <w:sz w:val="16"/>
      <w:szCs w:val="16"/>
    </w:rPr>
  </w:style>
  <w:style w:type="paragraph" w:customStyle="1" w:styleId="head2">
    <w:name w:val="head2"/>
    <w:basedOn w:val="ListParagraph"/>
    <w:qFormat/>
    <w:rsid w:val="00427EC9"/>
    <w:pPr>
      <w:numPr>
        <w:numId w:val="1"/>
      </w:numPr>
      <w:spacing w:after="240"/>
      <w:contextualSpacing w:val="0"/>
    </w:pPr>
    <w:rPr>
      <w:b/>
    </w:rPr>
  </w:style>
  <w:style w:type="paragraph" w:customStyle="1" w:styleId="head3">
    <w:name w:val="head3"/>
    <w:basedOn w:val="head2"/>
    <w:link w:val="head3Char"/>
    <w:qFormat/>
    <w:rsid w:val="00427EC9"/>
    <w:pPr>
      <w:numPr>
        <w:ilvl w:val="1"/>
        <w:numId w:val="0"/>
      </w:numPr>
    </w:pPr>
    <w:rPr>
      <w:rFonts w:ascii="Times New Roman Bold" w:hAnsi="Times New Roman Bold"/>
      <w:smallCaps/>
      <w:sz w:val="20"/>
    </w:rPr>
  </w:style>
  <w:style w:type="character" w:customStyle="1" w:styleId="ListParagraphChar">
    <w:name w:val="List Paragraph Char"/>
    <w:aliases w:val="Main numbered paragraph Char,List Paragraph (numbered (a)) Char,List Paragraph nowy Char,Bullets Char,References Char,Numbered List Paragraph Char,Liste 1 Char,List Paragraph Char Char Char Char,Use Case List Paragraph Char"/>
    <w:link w:val="ListParagraph"/>
    <w:uiPriority w:val="34"/>
    <w:qFormat/>
    <w:rsid w:val="00427EC9"/>
    <w:rPr>
      <w:rFonts w:ascii="Times New Roman" w:eastAsia="SimSun" w:hAnsi="Times New Roman" w:cs="Times New Roman"/>
      <w:szCs w:val="20"/>
      <w:lang w:val="x-none" w:eastAsia="x-none"/>
    </w:rPr>
  </w:style>
  <w:style w:type="paragraph" w:customStyle="1" w:styleId="head4">
    <w:name w:val="head4"/>
    <w:basedOn w:val="head3"/>
    <w:link w:val="head4Char"/>
    <w:qFormat/>
    <w:rsid w:val="00427EC9"/>
    <w:pPr>
      <w:numPr>
        <w:ilvl w:val="2"/>
      </w:numPr>
      <w:ind w:left="720"/>
    </w:pPr>
    <w:rPr>
      <w:b w:val="0"/>
    </w:rPr>
  </w:style>
  <w:style w:type="character" w:customStyle="1" w:styleId="head3Char">
    <w:name w:val="head3 Char"/>
    <w:link w:val="head3"/>
    <w:rsid w:val="00427EC9"/>
    <w:rPr>
      <w:rFonts w:ascii="Times New Roman Bold" w:eastAsia="SimSun" w:hAnsi="Times New Roman Bold" w:cs="Times New Roman"/>
      <w:b/>
      <w:smallCaps/>
      <w:sz w:val="20"/>
      <w:szCs w:val="20"/>
      <w:lang w:val="x-none" w:eastAsia="x-none"/>
    </w:rPr>
  </w:style>
  <w:style w:type="paragraph" w:customStyle="1" w:styleId="head5">
    <w:name w:val="head5"/>
    <w:basedOn w:val="head4"/>
    <w:link w:val="head5Char"/>
    <w:qFormat/>
    <w:rsid w:val="00427EC9"/>
    <w:pPr>
      <w:numPr>
        <w:ilvl w:val="3"/>
      </w:numPr>
      <w:ind w:left="720"/>
    </w:pPr>
    <w:rPr>
      <w:b/>
      <w:i/>
    </w:rPr>
  </w:style>
  <w:style w:type="paragraph" w:styleId="BalloonText">
    <w:name w:val="Balloon Text"/>
    <w:basedOn w:val="Normal"/>
    <w:link w:val="BalloonTextChar"/>
    <w:uiPriority w:val="99"/>
    <w:semiHidden/>
    <w:unhideWhenUsed/>
    <w:rsid w:val="00427EC9"/>
    <w:pPr>
      <w:keepNext/>
      <w:keepLines/>
      <w:spacing w:after="0" w:line="240" w:lineRule="auto"/>
      <w:contextualSpacing/>
      <w:jc w:val="both"/>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27EC9"/>
    <w:rPr>
      <w:rFonts w:ascii="Tahoma" w:eastAsia="SimSun" w:hAnsi="Tahoma" w:cs="Times New Roman"/>
      <w:sz w:val="16"/>
      <w:szCs w:val="16"/>
      <w:lang w:val="x-none" w:eastAsia="x-none"/>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ADB,A"/>
    <w:basedOn w:val="Normal"/>
    <w:link w:val="FootnoteTextChar"/>
    <w:uiPriority w:val="99"/>
    <w:unhideWhenUsed/>
    <w:qFormat/>
    <w:rsid w:val="00427EC9"/>
    <w:pPr>
      <w:keepNext/>
      <w:keepLines/>
      <w:spacing w:after="0" w:line="240" w:lineRule="auto"/>
      <w:contextualSpacing/>
      <w:jc w:val="both"/>
    </w:pPr>
    <w:rPr>
      <w:rFonts w:ascii="Times New Roman" w:eastAsia="SimSun" w:hAnsi="Times New Roman" w:cs="Times New Roman"/>
      <w:sz w:val="16"/>
      <w:szCs w:val="16"/>
      <w:lang w:val="x-none" w:eastAsia="x-none"/>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basedOn w:val="DefaultParagraphFont"/>
    <w:link w:val="FootnoteText"/>
    <w:uiPriority w:val="99"/>
    <w:qFormat/>
    <w:rsid w:val="00427EC9"/>
    <w:rPr>
      <w:rFonts w:ascii="Times New Roman" w:eastAsia="SimSun" w:hAnsi="Times New Roman" w:cs="Times New Roman"/>
      <w:sz w:val="16"/>
      <w:szCs w:val="16"/>
      <w:lang w:val="x-none" w:eastAsia="x-none"/>
    </w:rPr>
  </w:style>
  <w:style w:type="character" w:styleId="FootnoteReference">
    <w:name w:val="footnote reference"/>
    <w:aliases w:val="ftref,-E Fußnotenzeichen,Heading 6 Char1,16 Point,Superscript 6 Point,BVI fnr,Superscript 6 Point + 11 pt,Footnote Reference Number,Footnote Reference_LVL6,Footnote Reference_LVL61,Footnote Reference_LVL62,Footnote Reference_LVL63,fr"/>
    <w:link w:val="BVIfnrCarCarCarCarChar"/>
    <w:uiPriority w:val="99"/>
    <w:unhideWhenUsed/>
    <w:qFormat/>
    <w:rsid w:val="00427EC9"/>
    <w:rPr>
      <w:vertAlign w:val="superscript"/>
    </w:rPr>
  </w:style>
  <w:style w:type="paragraph" w:styleId="NormalWeb">
    <w:name w:val="Normal (Web)"/>
    <w:basedOn w:val="Normal"/>
    <w:uiPriority w:val="99"/>
    <w:unhideWhenUsed/>
    <w:rsid w:val="00427EC9"/>
    <w:pPr>
      <w:keepNext/>
      <w:keepLines/>
      <w:spacing w:before="100" w:beforeAutospacing="1" w:after="100" w:afterAutospacing="1" w:line="240" w:lineRule="auto"/>
      <w:contextualSpacing/>
      <w:jc w:val="both"/>
    </w:pPr>
    <w:rPr>
      <w:rFonts w:ascii="Times New Roman" w:eastAsia="Times New Roman" w:hAnsi="Times New Roman" w:cs="Times New Roman"/>
      <w:sz w:val="24"/>
      <w:szCs w:val="24"/>
    </w:rPr>
  </w:style>
  <w:style w:type="character" w:customStyle="1" w:styleId="head4Char">
    <w:name w:val="head4 Char"/>
    <w:link w:val="head4"/>
    <w:rsid w:val="00427EC9"/>
    <w:rPr>
      <w:rFonts w:ascii="Times New Roman Bold" w:eastAsia="SimSun" w:hAnsi="Times New Roman Bold" w:cs="Times New Roman"/>
      <w:smallCaps/>
      <w:sz w:val="20"/>
      <w:szCs w:val="20"/>
      <w:lang w:val="x-none" w:eastAsia="x-none"/>
    </w:rPr>
  </w:style>
  <w:style w:type="character" w:customStyle="1" w:styleId="head5Char">
    <w:name w:val="head5 Char"/>
    <w:link w:val="head5"/>
    <w:rsid w:val="00427EC9"/>
    <w:rPr>
      <w:rFonts w:ascii="Times New Roman Bold" w:eastAsia="SimSun" w:hAnsi="Times New Roman Bold" w:cs="Times New Roman"/>
      <w:b/>
      <w:i/>
      <w:smallCaps/>
      <w:sz w:val="20"/>
      <w:szCs w:val="20"/>
      <w:lang w:val="x-none" w:eastAsia="x-none"/>
    </w:rPr>
  </w:style>
  <w:style w:type="character" w:styleId="Hyperlink">
    <w:name w:val="Hyperlink"/>
    <w:uiPriority w:val="99"/>
    <w:unhideWhenUsed/>
    <w:rsid w:val="00427EC9"/>
    <w:rPr>
      <w:color w:val="0000FF"/>
      <w:u w:val="single"/>
    </w:rPr>
  </w:style>
  <w:style w:type="table" w:styleId="TableGrid">
    <w:name w:val="Table Grid"/>
    <w:basedOn w:val="TableNormal"/>
    <w:uiPriority w:val="39"/>
    <w:rsid w:val="00427E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SAnnexHeading">
    <w:name w:val="PDS Annex Heading"/>
    <w:next w:val="Normal"/>
    <w:uiPriority w:val="99"/>
    <w:rsid w:val="00427EC9"/>
    <w:pPr>
      <w:keepNext/>
      <w:spacing w:after="120" w:line="240" w:lineRule="auto"/>
      <w:jc w:val="center"/>
    </w:pPr>
    <w:rPr>
      <w:rFonts w:ascii="Times New Roman" w:eastAsia="SimSu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427EC9"/>
    <w:pPr>
      <w:spacing w:after="200"/>
    </w:pPr>
    <w:rPr>
      <w:b/>
      <w:bCs/>
    </w:rPr>
  </w:style>
  <w:style w:type="character" w:customStyle="1" w:styleId="CommentSubjectChar">
    <w:name w:val="Comment Subject Char"/>
    <w:basedOn w:val="CommentTextChar"/>
    <w:link w:val="CommentSubject"/>
    <w:uiPriority w:val="99"/>
    <w:semiHidden/>
    <w:rsid w:val="00427EC9"/>
    <w:rPr>
      <w:rFonts w:ascii="Times New Roman" w:eastAsia="Times New Roman" w:hAnsi="Times New Roman" w:cs="Times New Roman"/>
      <w:b/>
      <w:bCs/>
      <w:sz w:val="20"/>
      <w:szCs w:val="20"/>
      <w:lang w:val="x-none" w:eastAsia="x-none"/>
    </w:rPr>
  </w:style>
  <w:style w:type="paragraph" w:styleId="Header">
    <w:name w:val="header"/>
    <w:aliases w:val="Section Header"/>
    <w:basedOn w:val="Normal"/>
    <w:link w:val="HeaderChar"/>
    <w:uiPriority w:val="99"/>
    <w:unhideWhenUsed/>
    <w:rsid w:val="00427EC9"/>
    <w:pPr>
      <w:keepNext/>
      <w:keepLines/>
      <w:tabs>
        <w:tab w:val="center" w:pos="4680"/>
        <w:tab w:val="right" w:pos="9360"/>
      </w:tabs>
      <w:spacing w:after="0" w:line="240" w:lineRule="auto"/>
      <w:contextualSpacing/>
      <w:jc w:val="both"/>
    </w:pPr>
    <w:rPr>
      <w:rFonts w:ascii="Times New Roman" w:eastAsia="SimSun" w:hAnsi="Times New Roman" w:cs="Times New Roman"/>
    </w:rPr>
  </w:style>
  <w:style w:type="character" w:customStyle="1" w:styleId="HeaderChar">
    <w:name w:val="Header Char"/>
    <w:aliases w:val="Section Header Char"/>
    <w:basedOn w:val="DefaultParagraphFont"/>
    <w:link w:val="Header"/>
    <w:uiPriority w:val="99"/>
    <w:rsid w:val="00427EC9"/>
    <w:rPr>
      <w:rFonts w:ascii="Times New Roman" w:eastAsia="SimSun" w:hAnsi="Times New Roman" w:cs="Times New Roman"/>
    </w:rPr>
  </w:style>
  <w:style w:type="paragraph" w:styleId="Footer">
    <w:name w:val="footer"/>
    <w:basedOn w:val="Normal"/>
    <w:link w:val="FooterChar"/>
    <w:uiPriority w:val="99"/>
    <w:unhideWhenUsed/>
    <w:rsid w:val="00427EC9"/>
    <w:pPr>
      <w:keepNext/>
      <w:keepLines/>
      <w:tabs>
        <w:tab w:val="center" w:pos="4680"/>
        <w:tab w:val="right" w:pos="9360"/>
      </w:tabs>
      <w:spacing w:after="0" w:line="240" w:lineRule="auto"/>
      <w:contextualSpacing/>
      <w:jc w:val="both"/>
    </w:pPr>
    <w:rPr>
      <w:rFonts w:ascii="Times New Roman" w:eastAsia="SimSun" w:hAnsi="Times New Roman" w:cs="Times New Roman"/>
    </w:rPr>
  </w:style>
  <w:style w:type="character" w:customStyle="1" w:styleId="FooterChar">
    <w:name w:val="Footer Char"/>
    <w:basedOn w:val="DefaultParagraphFont"/>
    <w:link w:val="Footer"/>
    <w:uiPriority w:val="99"/>
    <w:rsid w:val="00427EC9"/>
    <w:rPr>
      <w:rFonts w:ascii="Times New Roman" w:eastAsia="SimSun" w:hAnsi="Times New Roman" w:cs="Times New Roman"/>
    </w:rPr>
  </w:style>
  <w:style w:type="character" w:customStyle="1" w:styleId="DefaultChar">
    <w:name w:val="Default Char"/>
    <w:link w:val="Default"/>
    <w:locked/>
    <w:rsid w:val="00427EC9"/>
    <w:rPr>
      <w:rFonts w:ascii="Arial" w:eastAsia="SimSun" w:hAnsi="Arial" w:cs="Times New Roman"/>
      <w:color w:val="000000"/>
      <w:sz w:val="24"/>
      <w:szCs w:val="24"/>
      <w:lang w:val="en-CA"/>
    </w:rPr>
  </w:style>
  <w:style w:type="paragraph" w:customStyle="1" w:styleId="FreeFormAAA">
    <w:name w:val="Free Form A A A"/>
    <w:rsid w:val="00427EC9"/>
    <w:pPr>
      <w:spacing w:after="0" w:line="240" w:lineRule="auto"/>
    </w:pPr>
    <w:rPr>
      <w:rFonts w:ascii="Helvetica" w:eastAsia="ヒラギノ角ゴ Pro W3" w:hAnsi="Helvetica" w:cs="Times New Roman"/>
      <w:color w:val="000000"/>
      <w:sz w:val="24"/>
      <w:szCs w:val="20"/>
      <w:lang w:eastAsia="en-GB"/>
    </w:rPr>
  </w:style>
  <w:style w:type="paragraph" w:customStyle="1" w:styleId="Pa10">
    <w:name w:val="Pa10"/>
    <w:basedOn w:val="Normal"/>
    <w:next w:val="Normal"/>
    <w:uiPriority w:val="99"/>
    <w:rsid w:val="00427EC9"/>
    <w:pPr>
      <w:keepNext/>
      <w:keepLines/>
      <w:autoSpaceDE w:val="0"/>
      <w:autoSpaceDN w:val="0"/>
      <w:adjustRightInd w:val="0"/>
      <w:spacing w:after="0" w:line="181" w:lineRule="atLeast"/>
      <w:contextualSpacing/>
      <w:jc w:val="both"/>
    </w:pPr>
    <w:rPr>
      <w:rFonts w:ascii="Arial" w:eastAsia="Calibri" w:hAnsi="Arial" w:cs="Arial"/>
      <w:sz w:val="24"/>
      <w:szCs w:val="24"/>
    </w:rPr>
  </w:style>
  <w:style w:type="paragraph" w:styleId="Revision">
    <w:name w:val="Revision"/>
    <w:hidden/>
    <w:uiPriority w:val="99"/>
    <w:semiHidden/>
    <w:rsid w:val="00427EC9"/>
    <w:pPr>
      <w:spacing w:after="0" w:line="240" w:lineRule="auto"/>
    </w:pPr>
    <w:rPr>
      <w:rFonts w:ascii="Calibri" w:eastAsia="SimSun" w:hAnsi="Calibri" w:cs="Times New Roman"/>
    </w:rPr>
  </w:style>
  <w:style w:type="character" w:customStyle="1" w:styleId="UnresolvedMention1">
    <w:name w:val="Unresolved Mention1"/>
    <w:uiPriority w:val="99"/>
    <w:semiHidden/>
    <w:unhideWhenUsed/>
    <w:rsid w:val="00427EC9"/>
    <w:rPr>
      <w:color w:val="605E5C"/>
      <w:shd w:val="clear" w:color="auto" w:fill="E1DFDD"/>
    </w:rPr>
  </w:style>
  <w:style w:type="character" w:styleId="FollowedHyperlink">
    <w:name w:val="FollowedHyperlink"/>
    <w:uiPriority w:val="99"/>
    <w:semiHidden/>
    <w:unhideWhenUsed/>
    <w:rsid w:val="00427EC9"/>
    <w:rPr>
      <w:color w:val="800080"/>
      <w:u w:val="single"/>
    </w:rPr>
  </w:style>
  <w:style w:type="character" w:customStyle="1" w:styleId="UnresolvedMention2">
    <w:name w:val="Unresolved Mention2"/>
    <w:uiPriority w:val="99"/>
    <w:semiHidden/>
    <w:unhideWhenUsed/>
    <w:rsid w:val="00427EC9"/>
    <w:rPr>
      <w:color w:val="605E5C"/>
      <w:shd w:val="clear" w:color="auto" w:fill="E1DFDD"/>
    </w:rPr>
  </w:style>
  <w:style w:type="character" w:customStyle="1" w:styleId="normaltextrun">
    <w:name w:val="normaltextrun"/>
    <w:basedOn w:val="DefaultParagraphFont"/>
    <w:rsid w:val="00427EC9"/>
  </w:style>
  <w:style w:type="paragraph" w:customStyle="1" w:styleId="paragraph">
    <w:name w:val="paragraph"/>
    <w:basedOn w:val="Normal"/>
    <w:rsid w:val="00427EC9"/>
    <w:pPr>
      <w:keepNext/>
      <w:keepLines/>
      <w:spacing w:before="100" w:beforeAutospacing="1" w:after="100" w:afterAutospacing="1" w:line="240" w:lineRule="auto"/>
      <w:contextualSpacing/>
      <w:jc w:val="both"/>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27EC9"/>
    <w:pPr>
      <w:keepNext/>
      <w:keepLines/>
      <w:spacing w:after="120" w:line="240" w:lineRule="auto"/>
      <w:ind w:left="220"/>
      <w:contextualSpacing/>
      <w:jc w:val="both"/>
    </w:pPr>
    <w:rPr>
      <w:rFonts w:ascii="Times New Roman" w:eastAsia="SimSun" w:hAnsi="Times New Roman" w:cs="Times New Roman"/>
    </w:rPr>
  </w:style>
  <w:style w:type="paragraph" w:styleId="TOC3">
    <w:name w:val="toc 3"/>
    <w:basedOn w:val="Normal"/>
    <w:next w:val="Normal"/>
    <w:autoRedefine/>
    <w:uiPriority w:val="39"/>
    <w:unhideWhenUsed/>
    <w:rsid w:val="00427EC9"/>
    <w:pPr>
      <w:keepNext/>
      <w:keepLines/>
      <w:spacing w:after="120" w:line="240" w:lineRule="auto"/>
      <w:ind w:left="440"/>
      <w:contextualSpacing/>
      <w:jc w:val="both"/>
    </w:pPr>
    <w:rPr>
      <w:rFonts w:ascii="Times New Roman" w:eastAsia="SimSun" w:hAnsi="Times New Roman" w:cs="Times New Roman"/>
    </w:rPr>
  </w:style>
  <w:style w:type="table" w:customStyle="1" w:styleId="TableGrid0">
    <w:name w:val="TableGrid"/>
    <w:rsid w:val="00427EC9"/>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Caption">
    <w:name w:val="caption"/>
    <w:aliases w:val="Caption_Tabela,Caption tabela,2,TabelOverskrift,Caption Char Char Char Char Char,Caption Char Char Char,Map,Tabelle,Beschriftung Char,Beschriftung Char1 Char,Beschriftung Char Char Char Char,Beschriftung Char Char1,Beschriftung1,Char1"/>
    <w:basedOn w:val="Normal"/>
    <w:next w:val="Normal"/>
    <w:link w:val="CaptionChar"/>
    <w:uiPriority w:val="35"/>
    <w:unhideWhenUsed/>
    <w:qFormat/>
    <w:rsid w:val="00427EC9"/>
    <w:pPr>
      <w:keepNext/>
      <w:keepLines/>
      <w:spacing w:after="120" w:line="240" w:lineRule="auto"/>
      <w:contextualSpacing/>
      <w:jc w:val="center"/>
    </w:pPr>
    <w:rPr>
      <w:rFonts w:ascii="Times New Roman" w:eastAsia="SimSun" w:hAnsi="Times New Roman" w:cs="Times New Roman"/>
      <w:b/>
      <w:bCs/>
      <w:sz w:val="20"/>
      <w:szCs w:val="20"/>
      <w:lang w:val="x-none" w:eastAsia="x-none"/>
    </w:rPr>
  </w:style>
  <w:style w:type="character" w:customStyle="1" w:styleId="CaptionChar">
    <w:name w:val="Caption Char"/>
    <w:aliases w:val="Caption_Tabela Char,Caption tabela Char,2 Char,TabelOverskrift Char,Caption Char Char Char Char Char Char,Caption Char Char Char Char,Map Char,Tabelle Char,Beschriftung Char Char,Beschriftung Char1 Char Char,Beschriftung Char Char1 Char"/>
    <w:link w:val="Caption"/>
    <w:uiPriority w:val="35"/>
    <w:rsid w:val="00427EC9"/>
    <w:rPr>
      <w:rFonts w:ascii="Times New Roman" w:eastAsia="SimSun" w:hAnsi="Times New Roman" w:cs="Times New Roman"/>
      <w:b/>
      <w:bCs/>
      <w:sz w:val="20"/>
      <w:szCs w:val="20"/>
      <w:lang w:val="x-none" w:eastAsia="x-none"/>
    </w:rPr>
  </w:style>
  <w:style w:type="paragraph" w:customStyle="1" w:styleId="CaptionSlika">
    <w:name w:val="Caption_Slika"/>
    <w:basedOn w:val="Caption"/>
    <w:qFormat/>
    <w:rsid w:val="00427EC9"/>
    <w:pPr>
      <w:spacing w:before="60" w:after="160"/>
    </w:pPr>
    <w:rPr>
      <w:rFonts w:ascii="Calibri" w:eastAsia="Calibri" w:hAnsi="Calibri"/>
      <w:i/>
      <w:szCs w:val="18"/>
      <w:lang w:val="en-GB"/>
    </w:rPr>
  </w:style>
  <w:style w:type="table" w:customStyle="1" w:styleId="TableGrid1">
    <w:name w:val="Table Grid1"/>
    <w:basedOn w:val="TableNormal"/>
    <w:next w:val="TableGrid"/>
    <w:uiPriority w:val="59"/>
    <w:rsid w:val="00427EC9"/>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7E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7E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427EC9"/>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427EC9"/>
    <w:pPr>
      <w:keepNext/>
      <w:keepLines/>
      <w:spacing w:line="240" w:lineRule="exact"/>
      <w:contextualSpacing/>
      <w:jc w:val="both"/>
    </w:pPr>
    <w:rPr>
      <w:vertAlign w:val="superscript"/>
    </w:rPr>
  </w:style>
  <w:style w:type="paragraph" w:styleId="TOC1">
    <w:name w:val="toc 1"/>
    <w:basedOn w:val="Normal"/>
    <w:next w:val="Normal"/>
    <w:autoRedefine/>
    <w:uiPriority w:val="39"/>
    <w:unhideWhenUsed/>
    <w:rsid w:val="00427EC9"/>
    <w:pPr>
      <w:keepNext/>
      <w:keepLines/>
      <w:tabs>
        <w:tab w:val="left" w:pos="720"/>
        <w:tab w:val="right" w:leader="dot" w:pos="9730"/>
      </w:tabs>
      <w:spacing w:after="120" w:line="240" w:lineRule="auto"/>
      <w:contextualSpacing/>
      <w:jc w:val="both"/>
    </w:pPr>
    <w:rPr>
      <w:rFonts w:ascii="Times New Roman" w:eastAsia="SimSu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uiPriority w:val="99"/>
    <w:rsid w:val="00427EC9"/>
    <w:pPr>
      <w:keepNext/>
      <w:keepLines/>
      <w:spacing w:after="0" w:line="240" w:lineRule="exact"/>
      <w:contextualSpacing/>
      <w:jc w:val="both"/>
    </w:pPr>
    <w:rPr>
      <w:rFonts w:ascii="Calibri" w:eastAsia="Calibri" w:hAnsi="Calibri" w:cs="Times New Roman"/>
      <w:sz w:val="20"/>
      <w:szCs w:val="20"/>
      <w:vertAlign w:val="superscript"/>
      <w:lang w:val="x-none" w:eastAsia="x-none"/>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uiPriority w:val="99"/>
    <w:rsid w:val="00427EC9"/>
    <w:pPr>
      <w:keepNext/>
      <w:keepLines/>
      <w:spacing w:before="40" w:line="240" w:lineRule="exact"/>
      <w:contextualSpacing/>
      <w:jc w:val="both"/>
    </w:pPr>
    <w:rPr>
      <w:rFonts w:ascii="Corbel" w:eastAsia="Calibri" w:hAnsi="Corbel" w:cs="Times New Roman"/>
      <w:sz w:val="20"/>
      <w:szCs w:val="20"/>
      <w:vertAlign w:val="superscript"/>
      <w:lang w:val="en-GB"/>
    </w:rPr>
  </w:style>
  <w:style w:type="character" w:customStyle="1" w:styleId="tlid-translation">
    <w:name w:val="tlid-translation"/>
    <w:rsid w:val="00427EC9"/>
  </w:style>
  <w:style w:type="table" w:styleId="TableGridLight">
    <w:name w:val="Grid Table Light"/>
    <w:basedOn w:val="TableNormal"/>
    <w:uiPriority w:val="40"/>
    <w:rsid w:val="00427EC9"/>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427EC9"/>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ootnoteTextCharChar2CharChar1">
    <w:name w:val="Footnote Text Char Char2 Char Char1"/>
    <w:basedOn w:val="Normal"/>
    <w:next w:val="FootnoteText"/>
    <w:uiPriority w:val="99"/>
    <w:unhideWhenUsed/>
    <w:qFormat/>
    <w:rsid w:val="00427EC9"/>
    <w:pPr>
      <w:spacing w:before="120" w:after="0" w:line="240" w:lineRule="auto"/>
      <w:jc w:val="both"/>
    </w:pPr>
    <w:rPr>
      <w:rFonts w:ascii="Calibri" w:eastAsia="Calibri" w:hAnsi="Calibri"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propisi/propisi-u-pripremi" TargetMode="External"/><Relationship Id="rId13" Type="http://schemas.openxmlformats.org/officeDocument/2006/relationships/hyperlink" Target="http://www.mfi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dalena.arsic@mfin.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fin.gov.r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gdalena.arsic@mfin.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jects-operations/environmental-and-social-framework/brief/environmental-and-social-frame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5F2A-2C27-40B4-8A1A-739EC76E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Kreso</dc:creator>
  <cp:keywords/>
  <dc:description/>
  <cp:lastModifiedBy>DICEI</cp:lastModifiedBy>
  <cp:revision>11</cp:revision>
  <dcterms:created xsi:type="dcterms:W3CDTF">2022-11-23T13:00:00Z</dcterms:created>
  <dcterms:modified xsi:type="dcterms:W3CDTF">2022-12-16T12:19:00Z</dcterms:modified>
</cp:coreProperties>
</file>