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03" w:rsidRDefault="009D48D3">
      <w:pPr>
        <w:spacing w:after="150"/>
        <w:jc w:val="right"/>
      </w:pP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CE2903" w:rsidRDefault="009D48D3">
      <w:pPr>
        <w:spacing w:after="150"/>
      </w:pPr>
      <w:r>
        <w:rPr>
          <w:color w:val="000000"/>
        </w:rPr>
        <w:t> </w:t>
      </w:r>
    </w:p>
    <w:p w:rsidR="00CE2903" w:rsidRDefault="009D48D3">
      <w:pPr>
        <w:spacing w:after="150"/>
      </w:pPr>
      <w:r>
        <w:rPr>
          <w:color w:val="000000"/>
        </w:rPr>
        <w:t> 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53а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г)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заштити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становништва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15/16,</w:t>
      </w:r>
      <w:r>
        <w:rPr>
          <w:color w:val="000000"/>
        </w:rPr>
        <w:t xml:space="preserve"> 68/20 и 136/20)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E2903" w:rsidRDefault="009D48D3">
      <w:pPr>
        <w:spacing w:after="225"/>
        <w:jc w:val="center"/>
      </w:pPr>
      <w:r>
        <w:rPr>
          <w:b/>
          <w:color w:val="000000"/>
        </w:rPr>
        <w:t>УРЕДБУ</w:t>
      </w:r>
    </w:p>
    <w:p w:rsidR="00CE2903" w:rsidRDefault="009D48D3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подстицајним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имунизацију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спречавање</w:t>
      </w:r>
      <w:proofErr w:type="spellEnd"/>
      <w:r>
        <w:rPr>
          <w:b/>
          <w:color w:val="000000"/>
        </w:rPr>
        <w:t xml:space="preserve"> и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сузбијање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заразне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</w:t>
      </w:r>
    </w:p>
    <w:p w:rsidR="00CE2903" w:rsidRDefault="009D48D3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46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2021, 54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2021.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усмерене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поспешивање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имунизације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</w:t>
      </w:r>
      <w:r>
        <w:rPr>
          <w:color w:val="000000"/>
        </w:rPr>
        <w:t>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извршиоци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31. </w:t>
      </w:r>
      <w:proofErr w:type="spellStart"/>
      <w:proofErr w:type="gramStart"/>
      <w:r>
        <w:rPr>
          <w:color w:val="000000"/>
        </w:rPr>
        <w:t>мајем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вакцине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COVID-19, </w:t>
      </w:r>
      <w:proofErr w:type="spellStart"/>
      <w:r>
        <w:rPr>
          <w:color w:val="000000"/>
        </w:rPr>
        <w:t>чију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ефикасност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квалитет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медицинска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издала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исказали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интересовање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иму</w:t>
      </w:r>
      <w:r>
        <w:rPr>
          <w:b/>
          <w:color w:val="000000"/>
        </w:rPr>
        <w:t>низацију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еУправа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31. </w:t>
      </w:r>
      <w:proofErr w:type="spellStart"/>
      <w:proofErr w:type="gramStart"/>
      <w:r>
        <w:rPr>
          <w:b/>
          <w:color w:val="000000"/>
        </w:rPr>
        <w:t>мајем</w:t>
      </w:r>
      <w:proofErr w:type="spellEnd"/>
      <w:proofErr w:type="gramEnd"/>
      <w:r>
        <w:rPr>
          <w:b/>
          <w:color w:val="000000"/>
        </w:rPr>
        <w:t xml:space="preserve"> 2021. </w:t>
      </w:r>
      <w:proofErr w:type="spellStart"/>
      <w:proofErr w:type="gramStart"/>
      <w:r>
        <w:rPr>
          <w:b/>
          <w:color w:val="000000"/>
        </w:rPr>
        <w:t>године</w:t>
      </w:r>
      <w:proofErr w:type="spellEnd"/>
      <w:proofErr w:type="gram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најмање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вакцине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7. </w:t>
      </w:r>
      <w:proofErr w:type="spellStart"/>
      <w:proofErr w:type="gramStart"/>
      <w:r>
        <w:rPr>
          <w:b/>
          <w:color w:val="000000"/>
        </w:rPr>
        <w:t>јуном</w:t>
      </w:r>
      <w:proofErr w:type="spellEnd"/>
      <w:proofErr w:type="gramEnd"/>
      <w:r>
        <w:rPr>
          <w:b/>
          <w:color w:val="000000"/>
        </w:rPr>
        <w:t xml:space="preserve"> 2021. </w:t>
      </w:r>
      <w:proofErr w:type="spellStart"/>
      <w:proofErr w:type="gramStart"/>
      <w:r>
        <w:rPr>
          <w:b/>
          <w:color w:val="000000"/>
        </w:rPr>
        <w:t>године</w:t>
      </w:r>
      <w:proofErr w:type="spellEnd"/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3.000,00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</w:t>
      </w:r>
      <w:r>
        <w:rPr>
          <w:color w:val="000000"/>
        </w:rPr>
        <w:t>евенцији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спречавања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сузбијања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заразне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).</w:t>
      </w:r>
    </w:p>
    <w:p w:rsidR="00CE2903" w:rsidRDefault="009D48D3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54/2021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јуна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15. </w:t>
      </w:r>
      <w:proofErr w:type="spellStart"/>
      <w:proofErr w:type="gramStart"/>
      <w:r>
        <w:rPr>
          <w:color w:val="000000"/>
        </w:rPr>
        <w:t>јуна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CE2903" w:rsidRDefault="009D48D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CE2903" w:rsidRDefault="009D48D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регистарски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;</w:t>
      </w:r>
    </w:p>
    <w:p w:rsidR="00CE2903" w:rsidRDefault="009D48D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назив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банку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плаћују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информационо-комуникационих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E2903" w:rsidRDefault="009D48D3">
      <w:pPr>
        <w:spacing w:after="150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</w:t>
      </w:r>
      <w:r>
        <w:rPr>
          <w:color w:val="000000"/>
        </w:rPr>
        <w:t>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пријављеним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прикупљају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обрађују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</w:t>
      </w:r>
      <w:r>
        <w:rPr>
          <w:color w:val="000000"/>
        </w:rPr>
        <w:t>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евиденцијама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Канцелар</w:t>
      </w:r>
      <w:r>
        <w:rPr>
          <w:color w:val="000000"/>
        </w:rPr>
        <w:t>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Институт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Јовановић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Батут</w:t>
      </w:r>
      <w:proofErr w:type="spellEnd"/>
      <w:r>
        <w:rPr>
          <w:color w:val="000000"/>
        </w:rPr>
        <w:t>”.</w:t>
      </w:r>
      <w:proofErr w:type="gramEnd"/>
    </w:p>
    <w:p w:rsidR="00CE2903" w:rsidRDefault="009D48D3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</w:t>
      </w:r>
      <w:r>
        <w:rPr>
          <w:color w:val="000000"/>
        </w:rPr>
        <w:t>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започиње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права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јуну</w:t>
      </w:r>
      <w:proofErr w:type="spell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proofErr w:type="gram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додатну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</w:t>
      </w:r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притвора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казна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.</w:t>
      </w:r>
      <w:proofErr w:type="gramEnd"/>
    </w:p>
    <w:p w:rsidR="00CE2903" w:rsidRDefault="009D48D3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обезбеђење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штедионица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примаоцу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штедионица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Изабрана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</w:t>
      </w:r>
      <w:r>
        <w:rPr>
          <w:color w:val="000000"/>
        </w:rPr>
        <w:t>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оквирни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физичких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отварање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r>
        <w:rPr>
          <w:color w:val="000000"/>
        </w:rPr>
        <w:t xml:space="preserve">JП 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готовине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штедионица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а.д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трансакција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пружање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lastRenderedPageBreak/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</w:t>
      </w:r>
      <w:r>
        <w:rPr>
          <w:color w:val="000000"/>
        </w:rPr>
        <w:t>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платним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угаси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клијентом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дописом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имејлом</w:t>
      </w:r>
      <w:proofErr w:type="spellEnd"/>
      <w:r>
        <w:rPr>
          <w:color w:val="000000"/>
        </w:rPr>
        <w:t>, SMS-</w:t>
      </w:r>
      <w:proofErr w:type="spellStart"/>
      <w:r>
        <w:rPr>
          <w:color w:val="000000"/>
        </w:rPr>
        <w:t>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апликацији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банкарства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обавести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клијента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</w:t>
      </w:r>
      <w:r>
        <w:rPr>
          <w:color w:val="000000"/>
        </w:rPr>
        <w:t>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, 5.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ове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CE2903" w:rsidRDefault="009D48D3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E2903" w:rsidRDefault="009D48D3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110-4184/2021</w:t>
      </w:r>
    </w:p>
    <w:p w:rsidR="00CE2903" w:rsidRDefault="009D48D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6.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E2903" w:rsidRDefault="009D48D3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CE2903" w:rsidRDefault="009D48D3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CE2903" w:rsidRDefault="009D48D3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CE2903" w:rsidRDefault="009D48D3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УРЕДБЕ</w:t>
      </w:r>
    </w:p>
    <w:p w:rsidR="00CE2903" w:rsidRDefault="009D48D3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допуни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подстицајним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мерама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имунизацију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спречавање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сузбијање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заразне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болести</w:t>
      </w:r>
      <w:proofErr w:type="spellEnd"/>
      <w:r>
        <w:rPr>
          <w:i/>
          <w:color w:val="000000"/>
        </w:rPr>
        <w:t xml:space="preserve"> COVID-19: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54/2021-3</w:t>
      </w:r>
    </w:p>
    <w:p w:rsidR="00CE2903" w:rsidRDefault="009D48D3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2.</w:t>
      </w:r>
    </w:p>
    <w:p w:rsidR="00CE2903" w:rsidRDefault="009D48D3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</w:t>
      </w:r>
      <w:r>
        <w:rPr>
          <w:b/>
          <w:color w:val="000000"/>
        </w:rPr>
        <w:t>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CE2903" w:rsidRDefault="009D48D3">
      <w:pPr>
        <w:spacing w:after="150"/>
        <w:jc w:val="center"/>
      </w:pPr>
      <w:r>
        <w:rPr>
          <w:color w:val="000000"/>
        </w:rPr>
        <w:t> </w:t>
      </w:r>
    </w:p>
    <w:p w:rsidR="00CE2903" w:rsidRDefault="009D48D3">
      <w:pPr>
        <w:spacing w:after="150"/>
        <w:jc w:val="right"/>
      </w:pPr>
      <w:r>
        <w:rPr>
          <w:color w:val="000000"/>
        </w:rPr>
        <w:t> </w:t>
      </w:r>
    </w:p>
    <w:sectPr w:rsidR="00CE29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03"/>
    <w:rsid w:val="009D48D3"/>
    <w:rsid w:val="00C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AF2A1-89F9-4C13-9CDC-7532AD38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2021-06-01T06:49:00Z</dcterms:created>
  <dcterms:modified xsi:type="dcterms:W3CDTF">2021-06-01T06:49:00Z</dcterms:modified>
</cp:coreProperties>
</file>