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343" w:rsidRDefault="00090C9A">
      <w:pPr>
        <w:spacing w:line="210" w:lineRule="atLeast"/>
        <w:jc w:val="center"/>
      </w:pPr>
      <w:bookmarkStart w:id="0" w:name="_GoBack"/>
      <w:bookmarkEnd w:id="0"/>
      <w:r>
        <w:rPr>
          <w:rFonts w:ascii="Verdana" w:eastAsia="Verdana" w:hAnsi="Verdana" w:cs="Verdana"/>
          <w:b/>
        </w:rPr>
        <w:t>ЗАКОН</w:t>
      </w:r>
    </w:p>
    <w:p w:rsidR="00A77343" w:rsidRDefault="00090C9A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о порезу на увоз угљенично интензивних производа</w:t>
      </w:r>
    </w:p>
    <w:p w:rsidR="00A77343" w:rsidRDefault="00090C9A">
      <w:pPr>
        <w:spacing w:line="210" w:lineRule="atLeast"/>
        <w:jc w:val="center"/>
      </w:pPr>
      <w:r>
        <w:rPr>
          <w:rFonts w:ascii="Verdana" w:eastAsia="Verdana" w:hAnsi="Verdana" w:cs="Verdana"/>
        </w:rPr>
        <w:t>"Службени гласник РС", бр. 109 од 4. децембра 2025, 80 од 31. августа 2026.</w:t>
      </w:r>
    </w:p>
    <w:p w:rsidR="00A77343" w:rsidRDefault="00090C9A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Уводна одредба</w:t>
      </w:r>
    </w:p>
    <w:p w:rsidR="00A77343" w:rsidRDefault="00090C9A">
      <w:pPr>
        <w:spacing w:line="210" w:lineRule="atLeast"/>
        <w:jc w:val="center"/>
      </w:pPr>
      <w:r>
        <w:rPr>
          <w:rFonts w:ascii="Verdana" w:eastAsia="Verdana" w:hAnsi="Verdana" w:cs="Verdana"/>
        </w:rPr>
        <w:t>Члан 1.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Овим законом утврђује се порез на увоз угљенично интензивних производа (у даљем тексту: порез).</w:t>
      </w:r>
    </w:p>
    <w:p w:rsidR="00A77343" w:rsidRDefault="00090C9A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Угљенично интензивни производ</w:t>
      </w:r>
    </w:p>
    <w:p w:rsidR="00A77343" w:rsidRDefault="00090C9A">
      <w:pPr>
        <w:spacing w:line="210" w:lineRule="atLeast"/>
        <w:jc w:val="center"/>
      </w:pPr>
      <w:r>
        <w:rPr>
          <w:rFonts w:ascii="Verdana" w:eastAsia="Verdana" w:hAnsi="Verdana" w:cs="Verdana"/>
        </w:rPr>
        <w:t>Члан 2.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Угљеничнo интензиван пр</w:t>
      </w:r>
      <w:r>
        <w:rPr>
          <w:rFonts w:ascii="Verdana" w:eastAsia="Verdana" w:hAnsi="Verdana" w:cs="Verdana"/>
        </w:rPr>
        <w:t>оизвод је роба која се увози у Републику Србију, а обухваћена је неком од следећих категорија: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1) за гвожђе и челик из тарифних ознака номенклатуре Царинске тарифе: 2601 12 00; 7201; 7202 1; 7202 4; 7202 6; 7203; 7206; 7207; 7218; 7224; 7205; 7208; 7209; 7</w:t>
      </w:r>
      <w:r>
        <w:rPr>
          <w:rFonts w:ascii="Verdana" w:eastAsia="Verdana" w:hAnsi="Verdana" w:cs="Verdana"/>
        </w:rPr>
        <w:t>210; 7211; 7212; 7213; 7214; 7215; 7216; 7217; 7219; 7220; 7221; 7222; 7223; 7225; 7226; 7227; 7228; 7229; 7301; 7302; 7303 00; 7304; 7305; 7306; 7307; 7308; 7309 00; 7311 00; 7318 и 7326;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 xml:space="preserve">2) за цемент из тарифних ознака номенклатуре Царинске тарифе: 2523 </w:t>
      </w:r>
      <w:r>
        <w:rPr>
          <w:rFonts w:ascii="Verdana" w:eastAsia="Verdana" w:hAnsi="Verdana" w:cs="Verdana"/>
        </w:rPr>
        <w:t>10 00; 2523 21 00; 2523 29 00; 2523 90 00 и 2523 30 00;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3) за ђубриво из тарифних ознака номенклатуре Царинске тарифе: 2808 00 00; 2814; 2834 21 00; 3102 (осим: 3102 10) и 3105 (осим: 3105 60 00);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4) за алуминијум из тарифних ознака номенклатуре Царинске т</w:t>
      </w:r>
      <w:r>
        <w:rPr>
          <w:rFonts w:ascii="Verdana" w:eastAsia="Verdana" w:hAnsi="Verdana" w:cs="Verdana"/>
        </w:rPr>
        <w:t>арифе: 7601; 7603; 7604; 7605; 7606; 7607; 7608; 7609 00 00; 7610; 7611 00 00; 7612; 7613 00 00; 7614 и 7616.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На тарифне ознаке из става 1. овог члана примењују се прописи о усклађивању номенклатуре Царинске тарифе.</w:t>
      </w:r>
    </w:p>
    <w:p w:rsidR="00A77343" w:rsidRDefault="00090C9A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Значење термина</w:t>
      </w:r>
    </w:p>
    <w:p w:rsidR="00A77343" w:rsidRDefault="00090C9A">
      <w:pPr>
        <w:spacing w:line="210" w:lineRule="atLeast"/>
        <w:jc w:val="center"/>
      </w:pPr>
      <w:r>
        <w:rPr>
          <w:rFonts w:ascii="Verdana" w:eastAsia="Verdana" w:hAnsi="Verdana" w:cs="Verdana"/>
        </w:rPr>
        <w:t>Члан 3.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Поједини појмови</w:t>
      </w:r>
      <w:r>
        <w:rPr>
          <w:rFonts w:ascii="Verdana" w:eastAsia="Verdana" w:hAnsi="Verdana" w:cs="Verdana"/>
        </w:rPr>
        <w:t xml:space="preserve"> коришћени у овом закону имају следеће значење: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1) надлежни орган је Пореска управа Републике Србије;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2) емисија CO</w:t>
      </w:r>
      <w:r>
        <w:rPr>
          <w:rFonts w:ascii="Verdana" w:eastAsia="Verdana" w:hAnsi="Verdana" w:cs="Verdana"/>
          <w:vertAlign w:val="subscript"/>
        </w:rPr>
        <w:t>2</w:t>
      </w:r>
      <w:r>
        <w:rPr>
          <w:rFonts w:ascii="Verdana" w:eastAsia="Verdana" w:hAnsi="Verdana" w:cs="Verdana"/>
        </w:rPr>
        <w:t>eq означава количину емисија одређених гасова са ефектом стаклене баште која је изражена у еквиваленту угљен-диоксида;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 xml:space="preserve">3) валидатор је лице </w:t>
      </w:r>
      <w:r>
        <w:rPr>
          <w:rFonts w:ascii="Verdana" w:eastAsia="Verdana" w:hAnsi="Verdana" w:cs="Verdana"/>
        </w:rPr>
        <w:t>акредитовано за верификацију емисија CO2eq од стране тела које је члан Међународног акредитационог форума (енг. IAF);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4) увоз је стављање робе у слободан промет, у складу са царинским прописима Републике Србије.</w:t>
      </w:r>
    </w:p>
    <w:p w:rsidR="00A77343" w:rsidRDefault="00090C9A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Предмет опорезивања</w:t>
      </w:r>
    </w:p>
    <w:p w:rsidR="00A77343" w:rsidRDefault="00090C9A">
      <w:pPr>
        <w:spacing w:line="210" w:lineRule="atLeast"/>
        <w:jc w:val="center"/>
      </w:pPr>
      <w:r>
        <w:rPr>
          <w:rFonts w:ascii="Verdana" w:eastAsia="Verdana" w:hAnsi="Verdana" w:cs="Verdana"/>
        </w:rPr>
        <w:t>Члан 4.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lastRenderedPageBreak/>
        <w:t>Порез се обрачун</w:t>
      </w:r>
      <w:r>
        <w:rPr>
          <w:rFonts w:ascii="Verdana" w:eastAsia="Verdana" w:hAnsi="Verdana" w:cs="Verdana"/>
        </w:rPr>
        <w:t>ава и плаћа на увоз угљенично интензивних производа у Републику Србију, у складу са овим законом.</w:t>
      </w:r>
    </w:p>
    <w:p w:rsidR="00A77343" w:rsidRDefault="00090C9A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Обвезник пореза</w:t>
      </w:r>
    </w:p>
    <w:p w:rsidR="00A77343" w:rsidRDefault="00090C9A">
      <w:pPr>
        <w:spacing w:line="210" w:lineRule="atLeast"/>
        <w:jc w:val="center"/>
      </w:pPr>
      <w:r>
        <w:rPr>
          <w:rFonts w:ascii="Verdana" w:eastAsia="Verdana" w:hAnsi="Verdana" w:cs="Verdana"/>
        </w:rPr>
        <w:t>Члан 5.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Обвезник пореза (у даљем тексту: обвезник) је лице које увози угљенично интензивни производ у своје име и за свој рачун, а у случају посредног царинског заступања, у складу са царинским прописима, обвезник је лице за чији рачун се угљенично интензивни прои</w:t>
      </w:r>
      <w:r>
        <w:rPr>
          <w:rFonts w:ascii="Verdana" w:eastAsia="Verdana" w:hAnsi="Verdana" w:cs="Verdana"/>
        </w:rPr>
        <w:t>зводи увозе у Републику Србију.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Лице из става 1. овог члана не сматра се обвезником у смислу овог закона ако је у пореском периоду за који се подноси пореска пријава из члана 10. овог закона укупно увезло мање од пет тона угљеничнo интензивних производа.</w:t>
      </w:r>
    </w:p>
    <w:p w:rsidR="00A77343" w:rsidRDefault="00090C9A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П</w:t>
      </w:r>
      <w:r>
        <w:rPr>
          <w:rFonts w:ascii="Verdana" w:eastAsia="Verdana" w:hAnsi="Verdana" w:cs="Verdana"/>
          <w:b/>
        </w:rPr>
        <w:t>ореска основица</w:t>
      </w:r>
    </w:p>
    <w:p w:rsidR="00A77343" w:rsidRDefault="00090C9A">
      <w:pPr>
        <w:spacing w:line="210" w:lineRule="atLeast"/>
        <w:jc w:val="center"/>
      </w:pPr>
      <w:r>
        <w:rPr>
          <w:rFonts w:ascii="Verdana" w:eastAsia="Verdana" w:hAnsi="Verdana" w:cs="Verdana"/>
        </w:rPr>
        <w:t>Члан 6.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Пореску основицу за обрачун пореза (у даљем тексту: основица) чини укупна количина емисија CO</w:t>
      </w:r>
      <w:r>
        <w:rPr>
          <w:rFonts w:ascii="Verdana" w:eastAsia="Verdana" w:hAnsi="Verdana" w:cs="Verdana"/>
          <w:vertAlign w:val="subscript"/>
        </w:rPr>
        <w:t>2</w:t>
      </w:r>
      <w:r>
        <w:rPr>
          <w:rFonts w:ascii="Verdana" w:eastAsia="Verdana" w:hAnsi="Verdana" w:cs="Verdana"/>
        </w:rPr>
        <w:t>eq која је настала током процеса производње угљенично интензивних производа, а који су увезени у Републику Србију од стране обвезника у пореском периоду.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Основица у вези са појединачним угљенично интензивним производом утврђује се као: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1) реално настала ко</w:t>
      </w:r>
      <w:r>
        <w:rPr>
          <w:rFonts w:ascii="Verdana" w:eastAsia="Verdana" w:hAnsi="Verdana" w:cs="Verdana"/>
        </w:rPr>
        <w:t>личина емисија CO</w:t>
      </w:r>
      <w:r>
        <w:rPr>
          <w:rFonts w:ascii="Verdana" w:eastAsia="Verdana" w:hAnsi="Verdana" w:cs="Verdana"/>
          <w:vertAlign w:val="subscript"/>
        </w:rPr>
        <w:t>2</w:t>
      </w:r>
      <w:r>
        <w:rPr>
          <w:rFonts w:ascii="Verdana" w:eastAsia="Verdana" w:hAnsi="Verdana" w:cs="Verdana"/>
        </w:rPr>
        <w:t>eq у вези са угљенично интензивним производом, потврђена у извештају валидатора, умањена за референтну количину емисија или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2) процењена настала количина емисија CO</w:t>
      </w:r>
      <w:r>
        <w:rPr>
          <w:rFonts w:ascii="Verdana" w:eastAsia="Verdana" w:hAnsi="Verdana" w:cs="Verdana"/>
          <w:vertAlign w:val="subscript"/>
        </w:rPr>
        <w:t>2</w:t>
      </w:r>
      <w:r>
        <w:rPr>
          <w:rFonts w:ascii="Verdana" w:eastAsia="Verdana" w:hAnsi="Verdana" w:cs="Verdana"/>
        </w:rPr>
        <w:t>eq у вези са угљенично интензивним производом, у случају да из било ког р</w:t>
      </w:r>
      <w:r>
        <w:rPr>
          <w:rFonts w:ascii="Verdana" w:eastAsia="Verdana" w:hAnsi="Verdana" w:cs="Verdana"/>
        </w:rPr>
        <w:t>азлога валидатор не може да потврди реално насталу количину емисија CO</w:t>
      </w:r>
      <w:r>
        <w:rPr>
          <w:rFonts w:ascii="Verdana" w:eastAsia="Verdana" w:hAnsi="Verdana" w:cs="Verdana"/>
          <w:vertAlign w:val="subscript"/>
        </w:rPr>
        <w:t>2</w:t>
      </w:r>
      <w:r>
        <w:rPr>
          <w:rFonts w:ascii="Verdana" w:eastAsia="Verdana" w:hAnsi="Verdana" w:cs="Verdana"/>
        </w:rPr>
        <w:t>eq у вези са таквим угљенично интензивним производом.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Уколико валидатор из става 2. овог члана нема седиште, односно пребивалиште у Републици Србији, надлежни орган прихвата извештај та</w:t>
      </w:r>
      <w:r>
        <w:rPr>
          <w:rFonts w:ascii="Verdana" w:eastAsia="Verdana" w:hAnsi="Verdana" w:cs="Verdana"/>
        </w:rPr>
        <w:t>квог валидатора у случају да су испуњени следећи услови: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1) валидатор има седиште, односно пребивалиште у земљи порекла угљенично интензивног производа на који се односи извештај;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2) земља у којој валидатор има седиште, односно пребивалиште признаје извешт</w:t>
      </w:r>
      <w:r>
        <w:rPr>
          <w:rFonts w:ascii="Verdana" w:eastAsia="Verdana" w:hAnsi="Verdana" w:cs="Verdana"/>
        </w:rPr>
        <w:t>аје који су сачинили валидатори са седиштем, односно пребивалиштем у Републици Србији.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Референтна количина емисија из става 2. тачка 1) овог члана представља производ износа референтних вредности емисија које су утврђене за одређени производни процес, одно</w:t>
      </w:r>
      <w:r>
        <w:rPr>
          <w:rFonts w:ascii="Verdana" w:eastAsia="Verdana" w:hAnsi="Verdana" w:cs="Verdana"/>
        </w:rPr>
        <w:t>сно активност као неизбежне упркос употреби најнапредније расположиве технологије и количину произведеног производа, односно обим предузете активности у току пореског периода.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Процењена настала количина емисија CO</w:t>
      </w:r>
      <w:r>
        <w:rPr>
          <w:rFonts w:ascii="Verdana" w:eastAsia="Verdana" w:hAnsi="Verdana" w:cs="Verdana"/>
          <w:vertAlign w:val="subscript"/>
        </w:rPr>
        <w:t>2</w:t>
      </w:r>
      <w:r>
        <w:rPr>
          <w:rFonts w:ascii="Verdana" w:eastAsia="Verdana" w:hAnsi="Verdana" w:cs="Verdana"/>
        </w:rPr>
        <w:t>eq у вези са појединачним угљенично интенз</w:t>
      </w:r>
      <w:r>
        <w:rPr>
          <w:rFonts w:ascii="Verdana" w:eastAsia="Verdana" w:hAnsi="Verdana" w:cs="Verdana"/>
        </w:rPr>
        <w:t xml:space="preserve">ивним производом из става 2. тачка 2) овог члана представља производ количине увезеног угљенично интензивног производа </w:t>
      </w:r>
      <w:r>
        <w:rPr>
          <w:rFonts w:ascii="Verdana" w:eastAsia="Verdana" w:hAnsi="Verdana" w:cs="Verdana"/>
        </w:rPr>
        <w:lastRenderedPageBreak/>
        <w:t>и подразумеваних вредности емисија CO</w:t>
      </w:r>
      <w:r>
        <w:rPr>
          <w:rFonts w:ascii="Verdana" w:eastAsia="Verdana" w:hAnsi="Verdana" w:cs="Verdana"/>
          <w:vertAlign w:val="subscript"/>
        </w:rPr>
        <w:t>2</w:t>
      </w:r>
      <w:r>
        <w:rPr>
          <w:rFonts w:ascii="Verdana" w:eastAsia="Verdana" w:hAnsi="Verdana" w:cs="Verdana"/>
        </w:rPr>
        <w:t>eq у мерној јединици тона CO</w:t>
      </w:r>
      <w:r>
        <w:rPr>
          <w:rFonts w:ascii="Verdana" w:eastAsia="Verdana" w:hAnsi="Verdana" w:cs="Verdana"/>
          <w:vertAlign w:val="subscript"/>
        </w:rPr>
        <w:t>2</w:t>
      </w:r>
      <w:r>
        <w:rPr>
          <w:rFonts w:ascii="Verdana" w:eastAsia="Verdana" w:hAnsi="Verdana" w:cs="Verdana"/>
        </w:rPr>
        <w:t>eq по тони угљенично интензивног производа.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Министар надлежан за посло</w:t>
      </w:r>
      <w:r>
        <w:rPr>
          <w:rFonts w:ascii="Verdana" w:eastAsia="Verdana" w:hAnsi="Verdana" w:cs="Verdana"/>
        </w:rPr>
        <w:t>ве заштите животне средине ближе прописује референтне вредности из става 4. овог члана и подразумеване вредности емисија CO</w:t>
      </w:r>
      <w:r>
        <w:rPr>
          <w:rFonts w:ascii="Verdana" w:eastAsia="Verdana" w:hAnsi="Verdana" w:cs="Verdana"/>
          <w:vertAlign w:val="subscript"/>
        </w:rPr>
        <w:t>2</w:t>
      </w:r>
      <w:r>
        <w:rPr>
          <w:rFonts w:ascii="Verdana" w:eastAsia="Verdana" w:hAnsi="Verdana" w:cs="Verdana"/>
        </w:rPr>
        <w:t>eq из става 5. овог члана, уз коришћење признатих међународних вредности.</w:t>
      </w:r>
    </w:p>
    <w:p w:rsidR="00A77343" w:rsidRDefault="00090C9A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Порески период</w:t>
      </w:r>
    </w:p>
    <w:p w:rsidR="00A77343" w:rsidRDefault="00090C9A">
      <w:pPr>
        <w:spacing w:line="210" w:lineRule="atLeast"/>
        <w:jc w:val="center"/>
      </w:pPr>
      <w:r>
        <w:rPr>
          <w:rFonts w:ascii="Verdana" w:eastAsia="Verdana" w:hAnsi="Verdana" w:cs="Verdana"/>
        </w:rPr>
        <w:t>Члан 7.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Порески период је календарска годин</w:t>
      </w:r>
      <w:r>
        <w:rPr>
          <w:rFonts w:ascii="Verdana" w:eastAsia="Verdana" w:hAnsi="Verdana" w:cs="Verdana"/>
        </w:rPr>
        <w:t>а.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 xml:space="preserve">Изузетно од става 1. овог члана, порески период се разликује од календарске године у случају престанка или отпочињања обављања делатности у току године, укључујући и статусне промене, покретања поступка стечаја или ликвидације, као и у случају обуставе </w:t>
      </w:r>
      <w:r>
        <w:rPr>
          <w:rFonts w:ascii="Verdana" w:eastAsia="Verdana" w:hAnsi="Verdana" w:cs="Verdana"/>
        </w:rPr>
        <w:t>стечајног поступка услед продаје стечајног дужника као правног лица, односно обуставе поступка ликвидације, у току године.</w:t>
      </w:r>
    </w:p>
    <w:p w:rsidR="00A77343" w:rsidRDefault="00090C9A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Износ пореза</w:t>
      </w:r>
    </w:p>
    <w:p w:rsidR="00A77343" w:rsidRDefault="00090C9A">
      <w:pPr>
        <w:spacing w:line="210" w:lineRule="atLeast"/>
        <w:jc w:val="center"/>
      </w:pPr>
      <w:r>
        <w:rPr>
          <w:rFonts w:ascii="Verdana" w:eastAsia="Verdana" w:hAnsi="Verdana" w:cs="Verdana"/>
        </w:rPr>
        <w:t>Члан 8.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Износ пореза обрачунава се као производ основице из члана 6. овог закона и износа пореза за CO</w:t>
      </w:r>
      <w:r>
        <w:rPr>
          <w:rFonts w:ascii="Verdana" w:eastAsia="Verdana" w:hAnsi="Verdana" w:cs="Verdana"/>
          <w:vertAlign w:val="subscript"/>
        </w:rPr>
        <w:t>2</w:t>
      </w:r>
      <w:r>
        <w:rPr>
          <w:rFonts w:ascii="Verdana" w:eastAsia="Verdana" w:hAnsi="Verdana" w:cs="Verdana"/>
        </w:rPr>
        <w:t>eq по тони из ста</w:t>
      </w:r>
      <w:r>
        <w:rPr>
          <w:rFonts w:ascii="Verdana" w:eastAsia="Verdana" w:hAnsi="Verdana" w:cs="Verdana"/>
        </w:rPr>
        <w:t>ва 2. овог члана.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Износ пореза је 4 евра за једну тону CO</w:t>
      </w:r>
      <w:r>
        <w:rPr>
          <w:rFonts w:ascii="Verdana" w:eastAsia="Verdana" w:hAnsi="Verdana" w:cs="Verdana"/>
          <w:vertAlign w:val="subscript"/>
        </w:rPr>
        <w:t>2</w:t>
      </w:r>
      <w:r>
        <w:rPr>
          <w:rFonts w:ascii="Verdana" w:eastAsia="Verdana" w:hAnsi="Verdana" w:cs="Verdana"/>
        </w:rPr>
        <w:t>eq, у динарској противвредности.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Динарска противвредност из става 2. овог члана утврђује се по званичном средњем курсу евра Народне банке Србије на последњи дан пореског периода за који се пореска п</w:t>
      </w:r>
      <w:r>
        <w:rPr>
          <w:rFonts w:ascii="Verdana" w:eastAsia="Verdana" w:hAnsi="Verdana" w:cs="Verdana"/>
        </w:rPr>
        <w:t>ријава подноси.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Изузетно, у случајевима из члана 7. став 2. овог закона, осим у случају отпочињања обављања делатности у току године, динарска противвредност из става 2. овог члана утврђује се по званичном средњем курсу евра Народне банке Србије на дан 31.</w:t>
      </w:r>
      <w:r>
        <w:rPr>
          <w:rFonts w:ascii="Verdana" w:eastAsia="Verdana" w:hAnsi="Verdana" w:cs="Verdana"/>
        </w:rPr>
        <w:t xml:space="preserve"> децембар године која претходи години у којој је започео да тече рок за подношење пореске пријаве.</w:t>
      </w:r>
    </w:p>
    <w:p w:rsidR="00A77343" w:rsidRDefault="00090C9A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Рок за плаћање пореза</w:t>
      </w:r>
    </w:p>
    <w:p w:rsidR="00A77343" w:rsidRDefault="00090C9A">
      <w:pPr>
        <w:spacing w:line="210" w:lineRule="atLeast"/>
        <w:jc w:val="center"/>
      </w:pPr>
      <w:r>
        <w:rPr>
          <w:rFonts w:ascii="Verdana" w:eastAsia="Verdana" w:hAnsi="Verdana" w:cs="Verdana"/>
        </w:rPr>
        <w:t>Члан 9.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Обвезник је дужан да плати порез у року за подношење пореске пријаве.</w:t>
      </w:r>
    </w:p>
    <w:p w:rsidR="00A77343" w:rsidRDefault="00090C9A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Пореска пријава</w:t>
      </w:r>
    </w:p>
    <w:p w:rsidR="00A77343" w:rsidRDefault="00090C9A">
      <w:pPr>
        <w:spacing w:line="210" w:lineRule="atLeast"/>
        <w:jc w:val="center"/>
      </w:pPr>
      <w:r>
        <w:rPr>
          <w:rFonts w:ascii="Verdana" w:eastAsia="Verdana" w:hAnsi="Verdana" w:cs="Verdana"/>
        </w:rPr>
        <w:t>Члан 10.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Обвезник је дужан да надлежном органу поднесе пореску пријаву у којој је исказан порез за порески период.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Уз пореску пријаву из става 1. овог члана обвезник подноси документ о верификацији емисија повезаних са угљенично интензивним производима.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Пореска при</w:t>
      </w:r>
      <w:r>
        <w:rPr>
          <w:rFonts w:ascii="Verdana" w:eastAsia="Verdana" w:hAnsi="Verdana" w:cs="Verdana"/>
        </w:rPr>
        <w:t>јава из става 1. овог члана подноси се искључиво у електронском облику.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lastRenderedPageBreak/>
        <w:t>Министар надлежан за послове финансија ближе прописује облик, садржину и начин подношења пореске пријаве, као и пратеће документације.</w:t>
      </w:r>
    </w:p>
    <w:p w:rsidR="00A77343" w:rsidRDefault="00090C9A">
      <w:pPr>
        <w:spacing w:line="210" w:lineRule="atLeast"/>
        <w:jc w:val="center"/>
      </w:pPr>
      <w:r>
        <w:rPr>
          <w:rFonts w:ascii="Verdana" w:eastAsia="Verdana" w:hAnsi="Verdana" w:cs="Verdana"/>
        </w:rPr>
        <w:t>Члан 11.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Пореска пријава се подноси најкасније до</w:t>
      </w:r>
      <w:r>
        <w:rPr>
          <w:rFonts w:ascii="Verdana" w:eastAsia="Verdana" w:hAnsi="Verdana" w:cs="Verdana"/>
        </w:rPr>
        <w:t xml:space="preserve"> 31. маја текућег пореског периода за претходни порески период.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 xml:space="preserve">Подаци садржани у пореској пријави из става 1. овог члана морају одговарати подацима садржаним у прописно попуњеним царинским декларацијама по којима су угљенично интензивни производи увезени </w:t>
      </w:r>
      <w:r>
        <w:rPr>
          <w:rFonts w:ascii="Verdana" w:eastAsia="Verdana" w:hAnsi="Verdana" w:cs="Verdana"/>
        </w:rPr>
        <w:t>у Републику Србију.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 xml:space="preserve">У случају престанка обављања делатности из члана 7. став 2. овог закона, пореска пријава за текући порески период се подноси у роковима који су прописани законом којим се уређује порез на доходак грађана за подношење пријаве за приходе </w:t>
      </w:r>
      <w:r>
        <w:rPr>
          <w:rFonts w:ascii="Verdana" w:eastAsia="Verdana" w:hAnsi="Verdana" w:cs="Verdana"/>
        </w:rPr>
        <w:t>од самосталне делатности, односно законом којим се уређује порез на добит правних лица за подношење пријаве за порез на добит правних лица.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У року из става 3. овог члана се подноси и пореска пријава за претходни порески период, а најкасније до 31. маја текућег пореског периода.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  <w:b/>
        </w:rPr>
        <w:t>Изузетно од ст. 1, 3. и 4. овог члана, пореске пријаве за пореске периоде који се завршавају до 31. децембра 2026. го</w:t>
      </w:r>
      <w:r>
        <w:rPr>
          <w:rFonts w:ascii="Verdana" w:eastAsia="Verdana" w:hAnsi="Verdana" w:cs="Verdana"/>
          <w:b/>
        </w:rPr>
        <w:t>дине, као и у случају престанка обављања делатности до 31. марта 2027. године, подносе се у периоду од 1. априла 2027. године до 31. маја 2027. године.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*Службени гласник РС, број 80/2026</w:t>
      </w:r>
    </w:p>
    <w:p w:rsidR="00A77343" w:rsidRDefault="00090C9A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Порески кредит</w:t>
      </w:r>
    </w:p>
    <w:p w:rsidR="00A77343" w:rsidRDefault="00090C9A">
      <w:pPr>
        <w:spacing w:line="210" w:lineRule="atLeast"/>
        <w:jc w:val="center"/>
      </w:pPr>
      <w:r>
        <w:rPr>
          <w:rFonts w:ascii="Verdana" w:eastAsia="Verdana" w:hAnsi="Verdana" w:cs="Verdana"/>
        </w:rPr>
        <w:t>Члан 12.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Обвезник има право на порески кредит у виси</w:t>
      </w:r>
      <w:r>
        <w:rPr>
          <w:rFonts w:ascii="Verdana" w:eastAsia="Verdana" w:hAnsi="Verdana" w:cs="Verdana"/>
        </w:rPr>
        <w:t>ни извршеног плаћања по основу производње угљенично интензивног производа у земљи порекла тог производа.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Порески кредит из става 1. овог члана је износ за који се умањује обрачунати порез.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Плаћање из става 1. овог члана подразумева сваку врсту накнаде чије</w:t>
      </w:r>
      <w:r>
        <w:rPr>
          <w:rFonts w:ascii="Verdana" w:eastAsia="Verdana" w:hAnsi="Verdana" w:cs="Verdana"/>
        </w:rPr>
        <w:t xml:space="preserve"> је плаћање извршено на име емисије CO</w:t>
      </w:r>
      <w:r>
        <w:rPr>
          <w:rFonts w:ascii="Verdana" w:eastAsia="Verdana" w:hAnsi="Verdana" w:cs="Verdana"/>
          <w:vertAlign w:val="subscript"/>
        </w:rPr>
        <w:t>2</w:t>
      </w:r>
      <w:r>
        <w:rPr>
          <w:rFonts w:ascii="Verdana" w:eastAsia="Verdana" w:hAnsi="Verdana" w:cs="Verdana"/>
        </w:rPr>
        <w:t>eq у вези са угљенично интензивним производом који је увезен у Републику Србију.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Право на порески кредит остварује се под условом да обвезник уз пореску пријаву из члана 10. овог закона достави: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1) доказ о извршеном п</w:t>
      </w:r>
      <w:r>
        <w:rPr>
          <w:rFonts w:ascii="Verdana" w:eastAsia="Verdana" w:hAnsi="Verdana" w:cs="Verdana"/>
        </w:rPr>
        <w:t>лаћању из става 1. овог члана;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2) податке о висини плаћеног износа у валути земље порекла, као и у еврима уколико валута земље порекла није евро, у складу са средњим курсом Народне банке Србије на дан плаћања;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3) идентификацију угљенично интензивних произв</w:t>
      </w:r>
      <w:r>
        <w:rPr>
          <w:rFonts w:ascii="Verdana" w:eastAsia="Verdana" w:hAnsi="Verdana" w:cs="Verdana"/>
        </w:rPr>
        <w:t>ода и количину емисија CO</w:t>
      </w:r>
      <w:r>
        <w:rPr>
          <w:rFonts w:ascii="Verdana" w:eastAsia="Verdana" w:hAnsi="Verdana" w:cs="Verdana"/>
          <w:vertAlign w:val="subscript"/>
        </w:rPr>
        <w:t>2</w:t>
      </w:r>
      <w:r>
        <w:rPr>
          <w:rFonts w:ascii="Verdana" w:eastAsia="Verdana" w:hAnsi="Verdana" w:cs="Verdana"/>
        </w:rPr>
        <w:t>eq на које се плаћање из става 1. овог члана односи;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lastRenderedPageBreak/>
        <w:t>4) податак о методологији обрачуна емисија CO</w:t>
      </w:r>
      <w:r>
        <w:rPr>
          <w:rFonts w:ascii="Verdana" w:eastAsia="Verdana" w:hAnsi="Verdana" w:cs="Verdana"/>
          <w:vertAlign w:val="subscript"/>
        </w:rPr>
        <w:t>2</w:t>
      </w:r>
      <w:r>
        <w:rPr>
          <w:rFonts w:ascii="Verdana" w:eastAsia="Verdana" w:hAnsi="Verdana" w:cs="Verdana"/>
        </w:rPr>
        <w:t>eq на основу којих је извршено плаћање из става 1. овог члана;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5) временски период на који се плаћање односи.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Порески кредит може д</w:t>
      </w:r>
      <w:r>
        <w:rPr>
          <w:rFonts w:ascii="Verdana" w:eastAsia="Verdana" w:hAnsi="Verdana" w:cs="Verdana"/>
        </w:rPr>
        <w:t>а се користи само за порески период у којем је извршен увоз или за порески период који непосредно следи пореском периоду у којем је извршен увоз.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Министар надлежан за послове финансија ближе прописује начин остваривања права на порески кредит из става 1. о</w:t>
      </w:r>
      <w:r>
        <w:rPr>
          <w:rFonts w:ascii="Verdana" w:eastAsia="Verdana" w:hAnsi="Verdana" w:cs="Verdana"/>
        </w:rPr>
        <w:t>вог члана, начин обрачуна висине пореског кредита из става 1. овог члана и документацију потребну за верификацију плаћања у земљи порекла.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 xml:space="preserve">Порески кредит не може бити виши од сразмерног износа пореза који би био утврђен у складу са овим законом, у случају </w:t>
      </w:r>
      <w:r>
        <w:rPr>
          <w:rFonts w:ascii="Verdana" w:eastAsia="Verdana" w:hAnsi="Verdana" w:cs="Verdana"/>
        </w:rPr>
        <w:t>да је производња увезених угљенично интензивних производа извршена у постројењу које се налази на територији Републике Србије.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Порески кредит не може се искористити у износу вишем од пореске обавезе исказане у пореској пријави за порески период на који се порески кредит односи.</w:t>
      </w:r>
    </w:p>
    <w:p w:rsidR="00A77343" w:rsidRDefault="00090C9A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Достављање података</w:t>
      </w:r>
    </w:p>
    <w:p w:rsidR="00A77343" w:rsidRDefault="00090C9A">
      <w:pPr>
        <w:spacing w:line="210" w:lineRule="atLeast"/>
        <w:jc w:val="center"/>
      </w:pPr>
      <w:r>
        <w:rPr>
          <w:rFonts w:ascii="Verdana" w:eastAsia="Verdana" w:hAnsi="Verdana" w:cs="Verdana"/>
        </w:rPr>
        <w:t>Члан 13.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Управа царина Републике Србије надлежном органу доставља податке о којима в</w:t>
      </w:r>
      <w:r>
        <w:rPr>
          <w:rFonts w:ascii="Verdana" w:eastAsia="Verdana" w:hAnsi="Verdana" w:cs="Verdana"/>
        </w:rPr>
        <w:t>оди евиденцију, а који су у вези са увозом угљенично интензивних производа.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Министар надлежан за послове финансија ближе прописује рокове и податке које Управа царина Републике Србије доставља надлежном органу у вези са ставом 1. овог члана.</w:t>
      </w:r>
    </w:p>
    <w:p w:rsidR="00A77343" w:rsidRDefault="00090C9A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Примена закона</w:t>
      </w:r>
      <w:r>
        <w:rPr>
          <w:rFonts w:ascii="Verdana" w:eastAsia="Verdana" w:hAnsi="Verdana" w:cs="Verdana"/>
          <w:b/>
        </w:rPr>
        <w:t xml:space="preserve"> којим се уређују порески поступак и пореска администрација</w:t>
      </w:r>
    </w:p>
    <w:p w:rsidR="00A77343" w:rsidRDefault="00090C9A">
      <w:pPr>
        <w:spacing w:line="210" w:lineRule="atLeast"/>
        <w:jc w:val="center"/>
      </w:pPr>
      <w:r>
        <w:rPr>
          <w:rFonts w:ascii="Verdana" w:eastAsia="Verdana" w:hAnsi="Verdana" w:cs="Verdana"/>
        </w:rPr>
        <w:t>Члан 14.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У погледу утврђивања и наплате пореза, правних лекова, застарелости права на утврђивање и права на наплату пореза, казнених одредаба и других питања која нису уређена овим законом примењу</w:t>
      </w:r>
      <w:r>
        <w:rPr>
          <w:rFonts w:ascii="Verdana" w:eastAsia="Verdana" w:hAnsi="Verdana" w:cs="Verdana"/>
        </w:rPr>
        <w:t>ју се одредбе закона којим се уређују порески поступак и пореска администрација.</w:t>
      </w:r>
    </w:p>
    <w:p w:rsidR="00A77343" w:rsidRDefault="00090C9A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Подзаконски акти</w:t>
      </w:r>
    </w:p>
    <w:p w:rsidR="00A77343" w:rsidRDefault="00090C9A">
      <w:pPr>
        <w:spacing w:line="210" w:lineRule="atLeast"/>
        <w:jc w:val="center"/>
      </w:pPr>
      <w:r>
        <w:rPr>
          <w:rFonts w:ascii="Verdana" w:eastAsia="Verdana" w:hAnsi="Verdana" w:cs="Verdana"/>
        </w:rPr>
        <w:t>Члан 15.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Подзаконски акти неопходни за примену овог закона доносе се у року од 180 дана од дана ступања на снагу овог закона.</w:t>
      </w:r>
    </w:p>
    <w:p w:rsidR="00A77343" w:rsidRDefault="00090C9A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 xml:space="preserve">Примена на територији Аутономне </w:t>
      </w:r>
      <w:r>
        <w:rPr>
          <w:rFonts w:ascii="Verdana" w:eastAsia="Verdana" w:hAnsi="Verdana" w:cs="Verdana"/>
          <w:b/>
        </w:rPr>
        <w:t>покрајине Косово и Метохија</w:t>
      </w:r>
    </w:p>
    <w:p w:rsidR="00A77343" w:rsidRDefault="00090C9A">
      <w:pPr>
        <w:spacing w:line="210" w:lineRule="atLeast"/>
        <w:jc w:val="center"/>
      </w:pPr>
      <w:r>
        <w:rPr>
          <w:rFonts w:ascii="Verdana" w:eastAsia="Verdana" w:hAnsi="Verdana" w:cs="Verdana"/>
        </w:rPr>
        <w:t>Члан 16.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Влада Републике Србије уредиће извршавање овог закона на територији Аутономне покрајине Косово и Метохија за време важења Резолуције Савета безбедности ОУН број 1244.</w:t>
      </w:r>
    </w:p>
    <w:p w:rsidR="00A77343" w:rsidRDefault="00090C9A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lastRenderedPageBreak/>
        <w:t>Прелазне и завршне одредбе</w:t>
      </w:r>
    </w:p>
    <w:p w:rsidR="00A77343" w:rsidRDefault="00090C9A">
      <w:pPr>
        <w:spacing w:line="210" w:lineRule="atLeast"/>
        <w:jc w:val="center"/>
      </w:pPr>
      <w:r>
        <w:rPr>
          <w:rFonts w:ascii="Verdana" w:eastAsia="Verdana" w:hAnsi="Verdana" w:cs="Verdana"/>
        </w:rPr>
        <w:t>Члан 17.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Одредбе члана 12</w:t>
      </w:r>
      <w:r>
        <w:rPr>
          <w:rFonts w:ascii="Verdana" w:eastAsia="Verdana" w:hAnsi="Verdana" w:cs="Verdana"/>
        </w:rPr>
        <w:t>. овог закона примењиваће се десет година од дана почетка примене овог закона.</w:t>
      </w:r>
    </w:p>
    <w:p w:rsidR="00A77343" w:rsidRDefault="00090C9A">
      <w:pPr>
        <w:spacing w:line="210" w:lineRule="atLeast"/>
        <w:jc w:val="center"/>
      </w:pPr>
      <w:r>
        <w:rPr>
          <w:rFonts w:ascii="Verdana" w:eastAsia="Verdana" w:hAnsi="Verdana" w:cs="Verdana"/>
        </w:rPr>
        <w:t>Члан 18.</w:t>
      </w:r>
    </w:p>
    <w:p w:rsidR="00A77343" w:rsidRDefault="00090C9A">
      <w:pPr>
        <w:spacing w:line="210" w:lineRule="atLeast"/>
      </w:pPr>
      <w:r>
        <w:rPr>
          <w:rFonts w:ascii="Verdana" w:eastAsia="Verdana" w:hAnsi="Verdana" w:cs="Verdana"/>
        </w:rPr>
        <w:t>Овај закон ступа на снагу осмог дана од дана објављивања у „Службеном гласнику Републике Србије”, а примењује се од 1. јануара 2026. године.</w:t>
      </w:r>
    </w:p>
    <w:sectPr w:rsidR="00A77343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43"/>
    <w:rsid w:val="00090C9A"/>
    <w:rsid w:val="00A7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8338C1-CAD0-4C6C-A066-2FFB58E03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1603</Words>
  <Characters>9140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 Knеžević</dc:creator>
  <cp:lastModifiedBy>Jasmina Knеžević</cp:lastModifiedBy>
  <cp:revision>2</cp:revision>
  <dcterms:created xsi:type="dcterms:W3CDTF">2026-09-09T08:07:00Z</dcterms:created>
  <dcterms:modified xsi:type="dcterms:W3CDTF">2026-09-09T08:07:00Z</dcterms:modified>
</cp:coreProperties>
</file>