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0F9" w:rsidRPr="003777DC" w:rsidRDefault="003777DC">
      <w:pPr>
        <w:spacing w:after="150"/>
        <w:rPr>
          <w:lang w:val="sr-Cyrl-RS"/>
        </w:rPr>
      </w:pPr>
      <w:bookmarkStart w:id="0" w:name="_GoBack"/>
      <w:r w:rsidRPr="003777DC">
        <w:rPr>
          <w:rFonts w:ascii="Arial"/>
          <w:color w:val="000000"/>
          <w:lang w:val="sr-Cyrl-RS"/>
        </w:rPr>
        <w:t>﻿</w:t>
      </w:r>
      <w:r w:rsidRPr="003777DC">
        <w:rPr>
          <w:lang w:val="sr-Cyrl-RS"/>
        </w:rPr>
        <w:t xml:space="preserve"> 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На основу члана 44. став 5. Закона о буџету Републике Србије за 2023. годину („Службени гласник РС”, број 138/22),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Министар финансија доноси</w:t>
      </w:r>
    </w:p>
    <w:p w:rsidR="008660F9" w:rsidRPr="003777DC" w:rsidRDefault="003777DC">
      <w:pPr>
        <w:spacing w:after="225"/>
        <w:jc w:val="center"/>
        <w:rPr>
          <w:lang w:val="sr-Cyrl-RS"/>
        </w:rPr>
      </w:pPr>
      <w:r w:rsidRPr="003777DC">
        <w:rPr>
          <w:b/>
          <w:color w:val="000000"/>
          <w:lang w:val="sr-Cyrl-RS"/>
        </w:rPr>
        <w:t>ПРАВИЛНИК</w:t>
      </w:r>
    </w:p>
    <w:p w:rsidR="008660F9" w:rsidRPr="003777DC" w:rsidRDefault="003777DC">
      <w:pPr>
        <w:spacing w:after="150"/>
        <w:jc w:val="center"/>
        <w:rPr>
          <w:lang w:val="sr-Cyrl-RS"/>
        </w:rPr>
      </w:pPr>
      <w:r w:rsidRPr="003777DC">
        <w:rPr>
          <w:b/>
          <w:color w:val="000000"/>
          <w:lang w:val="sr-Cyrl-RS"/>
        </w:rPr>
        <w:t>о начину и садржају извештавања о броју запослених код корисника средстава буџета локалне власти у 2023. години</w:t>
      </w:r>
    </w:p>
    <w:p w:rsidR="008660F9" w:rsidRPr="003777DC" w:rsidRDefault="003777DC">
      <w:pPr>
        <w:spacing w:after="120"/>
        <w:jc w:val="center"/>
        <w:rPr>
          <w:lang w:val="sr-Cyrl-RS"/>
        </w:rPr>
      </w:pPr>
      <w:r w:rsidRPr="003777DC">
        <w:rPr>
          <w:color w:val="000000"/>
          <w:lang w:val="sr-Cyrl-RS"/>
        </w:rPr>
        <w:t>Члан 1.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Овим правилником прописују се начин и садржај извештавања локалне власти о броју запослених код директних и индиректних корисн</w:t>
      </w:r>
      <w:r w:rsidRPr="003777DC">
        <w:rPr>
          <w:color w:val="000000"/>
          <w:lang w:val="sr-Cyrl-RS"/>
        </w:rPr>
        <w:t>ика средстава буџета локалне власти (у даљем тексту: корисници буџета) у 2023. години.</w:t>
      </w:r>
    </w:p>
    <w:p w:rsidR="008660F9" w:rsidRPr="003777DC" w:rsidRDefault="003777DC">
      <w:pPr>
        <w:spacing w:after="120"/>
        <w:jc w:val="center"/>
        <w:rPr>
          <w:lang w:val="sr-Cyrl-RS"/>
        </w:rPr>
      </w:pPr>
      <w:r w:rsidRPr="003777DC">
        <w:rPr>
          <w:color w:val="000000"/>
          <w:lang w:val="sr-Cyrl-RS"/>
        </w:rPr>
        <w:t>Члан 2.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Локална власт подноси Министарству финансија извештај о броју запослених на неодређено и одређено време, сагласно члану 44. став 4. Закона о буџету Републике Срб</w:t>
      </w:r>
      <w:r w:rsidRPr="003777DC">
        <w:rPr>
          <w:color w:val="000000"/>
          <w:lang w:val="sr-Cyrl-RS"/>
        </w:rPr>
        <w:t>ије за 2023. годину („Службени гласник РС”, број 138/22), на обрасцу Преглед броја запослених код корисника буџета локалне власти (у даљем тексту: Образац 1).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Образац 1 одштампан је уз овај правилник и чини његов саставни део.</w:t>
      </w:r>
    </w:p>
    <w:p w:rsidR="008660F9" w:rsidRPr="003777DC" w:rsidRDefault="003777DC">
      <w:pPr>
        <w:spacing w:after="120"/>
        <w:jc w:val="center"/>
        <w:rPr>
          <w:lang w:val="sr-Cyrl-RS"/>
        </w:rPr>
      </w:pPr>
      <w:r w:rsidRPr="003777DC">
        <w:rPr>
          <w:color w:val="000000"/>
          <w:lang w:val="sr-Cyrl-RS"/>
        </w:rPr>
        <w:t>Члан 3.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 xml:space="preserve">У заглављу Обрасца 1 </w:t>
      </w:r>
      <w:r w:rsidRPr="003777DC">
        <w:rPr>
          <w:color w:val="000000"/>
          <w:lang w:val="sr-Cyrl-RS"/>
        </w:rPr>
        <w:t>попуњавају се следећи подаци: ознака трезора, при чему се аутоматски попуњава назив јединице локалне власти (општина, град, аутономна покрајина), број запослених у месецу за који се доставља извештај и назив акта којим су планирани расходи за плате – Одлук</w:t>
      </w:r>
      <w:r w:rsidRPr="003777DC">
        <w:rPr>
          <w:color w:val="000000"/>
          <w:lang w:val="sr-Cyrl-RS"/>
        </w:rPr>
        <w:t>а о буџету за 2023. годину или Одлука о привременом финансирању за 2023. годину.</w:t>
      </w:r>
    </w:p>
    <w:p w:rsidR="008660F9" w:rsidRPr="003777DC" w:rsidRDefault="003777DC">
      <w:pPr>
        <w:spacing w:after="120"/>
        <w:jc w:val="center"/>
        <w:rPr>
          <w:lang w:val="sr-Cyrl-RS"/>
        </w:rPr>
      </w:pPr>
      <w:r w:rsidRPr="003777DC">
        <w:rPr>
          <w:color w:val="000000"/>
          <w:lang w:val="sr-Cyrl-RS"/>
        </w:rPr>
        <w:t>Члан 4.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У Образац 1 подаци се уносе према групама, односно категоријама корисника буџета, који су наведени у колони 1, на следећи начин: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1) у колону 2 уноси се податак о броју</w:t>
      </w:r>
      <w:r w:rsidRPr="003777DC">
        <w:rPr>
          <w:color w:val="000000"/>
          <w:lang w:val="sr-Cyrl-RS"/>
        </w:rPr>
        <w:t xml:space="preserve"> изабраних лица код корисника буџета чије се плате финансирају из извора 01 – Општи приходи и примања буџета у месецу за који се доставља извештај;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2) у колону 3 уноси се податак о броју именованих и постављених лица код корисника буџета чије се плате фина</w:t>
      </w:r>
      <w:r w:rsidRPr="003777DC">
        <w:rPr>
          <w:color w:val="000000"/>
          <w:lang w:val="sr-Cyrl-RS"/>
        </w:rPr>
        <w:t>нсирају из извора 01 – Општи приходи и примања буџета у месецу за који се доставља извештај;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3) у колонама 4–8 уносе се подаци о броју запослених на неодређено време у месецу за који се доставља извештај, и то: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lastRenderedPageBreak/>
        <w:t>(1) у колону 4 уносе се подаци о броју запосл</w:t>
      </w:r>
      <w:r w:rsidRPr="003777DC">
        <w:rPr>
          <w:color w:val="000000"/>
          <w:lang w:val="sr-Cyrl-RS"/>
        </w:rPr>
        <w:t>ених чије су се плате у потпуности или делимично финансирале из извора 01 – Општи приходи и примања буџета;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(2) у колону 5 уносе се подаци о броју запослених чије су се плате у целини финансирале из извора 04 – Сопствени приходи буџетских корисника;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 xml:space="preserve">(3) у </w:t>
      </w:r>
      <w:r w:rsidRPr="003777DC">
        <w:rPr>
          <w:color w:val="000000"/>
          <w:lang w:val="sr-Cyrl-RS"/>
        </w:rPr>
        <w:t>колону 6 уносе се подаци о броју запослених чије су се плате у целини финансирале из извора 05–08;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(4) у колону 7 уносе се подаци о броју запослених чије су се плате у целини финансирале из извора 09–12;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(5) у колону 8 уносе се подаци о броју запослених чи</w:t>
      </w:r>
      <w:r w:rsidRPr="003777DC">
        <w:rPr>
          <w:color w:val="000000"/>
          <w:lang w:val="sr-Cyrl-RS"/>
        </w:rPr>
        <w:t>је су се плате у целини финансирале из извора 13–17;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4) у колонама 9–13 уносе се подаци о броју запослених на одређено време у месецу за који се доставља извештај, и то: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(1) у колону 9 уносе се подаци о броју запослених чије су се плате у потпуности или де</w:t>
      </w:r>
      <w:r w:rsidRPr="003777DC">
        <w:rPr>
          <w:color w:val="000000"/>
          <w:lang w:val="sr-Cyrl-RS"/>
        </w:rPr>
        <w:t>лимично финансирале из извора 01 – Општи приходи и примања буџета;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(2) у колону 10 уносе се подаци о броју запослених чије су се плате у целини финансирале из извора 04 – Сопствени приходи буџетских корисника;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 xml:space="preserve">(3) у колону 11 уносе се подаци о броју </w:t>
      </w:r>
      <w:r w:rsidRPr="003777DC">
        <w:rPr>
          <w:color w:val="000000"/>
          <w:lang w:val="sr-Cyrl-RS"/>
        </w:rPr>
        <w:t>запослених чије су се плате у целини финансирале из извора 05–08;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(4) у колону 12 уносе се подаци о броју запослених чије су се плате у целини финансирале из извора 09–12;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(5) у колону 13 уносе се подаци о броју запослених чије су се плате у целини финанси</w:t>
      </w:r>
      <w:r w:rsidRPr="003777DC">
        <w:rPr>
          <w:color w:val="000000"/>
          <w:lang w:val="sr-Cyrl-RS"/>
        </w:rPr>
        <w:t>рале из извора 13–17;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5) у колону 14 не уносе се подаци, већ она аутоматски сабира број запослених из колона 2–13;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6) у колоне 15 и 16 уноси се обрачунски период за који је исплаћена плата запосленима тако што се бира ознака првог и последњег дела плате ис</w:t>
      </w:r>
      <w:r w:rsidRPr="003777DC">
        <w:rPr>
          <w:color w:val="000000"/>
          <w:lang w:val="sr-Cyrl-RS"/>
        </w:rPr>
        <w:t>плаћеног у извештајном периоду (нпр. за извештавање у фебруару у колони 15 бира се опција „јануар_01_Први део плате”, а у колони 16 „јануар_01_Коначна исплата”).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У случају када је у извештајном периоду исплаћен само један део плате или је плата исплаћена у</w:t>
      </w:r>
      <w:r w:rsidRPr="003777DC">
        <w:rPr>
          <w:color w:val="000000"/>
          <w:lang w:val="sr-Cyrl-RS"/>
        </w:rPr>
        <w:t xml:space="preserve"> једном делу, бира се опција само у колони 15.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У случају кад су одређени подаци наведени у колонама 15 и 16 различити за поједине кориснике буџета у оквиру група, односно категорија из колоне 1, подаци се исказују на основу претежног стања за групу, односн</w:t>
      </w:r>
      <w:r w:rsidRPr="003777DC">
        <w:rPr>
          <w:color w:val="000000"/>
          <w:lang w:val="sr-Cyrl-RS"/>
        </w:rPr>
        <w:t>о категорију.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lastRenderedPageBreak/>
        <w:t>Податак о броју запослених на одређено време код корисника буџета наводи се без запослених на одређено време који се ангажују ради замене одсутног запосленог (због боловања и др.).</w:t>
      </w:r>
    </w:p>
    <w:p w:rsidR="008660F9" w:rsidRPr="003777DC" w:rsidRDefault="003777DC">
      <w:pPr>
        <w:spacing w:after="120"/>
        <w:jc w:val="center"/>
        <w:rPr>
          <w:lang w:val="sr-Cyrl-RS"/>
        </w:rPr>
      </w:pPr>
      <w:r w:rsidRPr="003777DC">
        <w:rPr>
          <w:color w:val="000000"/>
          <w:lang w:val="sr-Cyrl-RS"/>
        </w:rPr>
        <w:t>Члан 5.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Градови достављају консолидоване извештаје на Обрасцу</w:t>
      </w:r>
      <w:r w:rsidRPr="003777DC">
        <w:rPr>
          <w:color w:val="000000"/>
          <w:lang w:val="sr-Cyrl-RS"/>
        </w:rPr>
        <w:t xml:space="preserve"> 1 за кориснике средстава буџета града и буџета градских општина.</w:t>
      </w:r>
    </w:p>
    <w:p w:rsidR="008660F9" w:rsidRPr="003777DC" w:rsidRDefault="003777DC">
      <w:pPr>
        <w:spacing w:after="120"/>
        <w:jc w:val="center"/>
        <w:rPr>
          <w:lang w:val="sr-Cyrl-RS"/>
        </w:rPr>
      </w:pPr>
      <w:r w:rsidRPr="003777DC">
        <w:rPr>
          <w:color w:val="000000"/>
          <w:lang w:val="sr-Cyrl-RS"/>
        </w:rPr>
        <w:t>Члан 6.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Попуњени Образац 1, у складу са овим правилником, доставља се до 15. у месецу за претходни месец.</w:t>
      </w:r>
    </w:p>
    <w:p w:rsidR="008660F9" w:rsidRPr="003777DC" w:rsidRDefault="003777DC">
      <w:pPr>
        <w:spacing w:after="120"/>
        <w:jc w:val="center"/>
        <w:rPr>
          <w:lang w:val="sr-Cyrl-RS"/>
        </w:rPr>
      </w:pPr>
      <w:r w:rsidRPr="003777DC">
        <w:rPr>
          <w:color w:val="000000"/>
          <w:lang w:val="sr-Cyrl-RS"/>
        </w:rPr>
        <w:t>Члан 7.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У електронском облику Образац 1 преузима се са сајта Министарства финансија.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Попуњени Образац 1 доставља се Министарству финансија електронским путем на адресу jls@mfin.gov.rs. Потписани и скенирани обрасци достављају се Министарству финансија електронским путем на адресу jls@mfin.gov.rs.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Корекције попуњеног Обрасца 1 прихватају с</w:t>
      </w:r>
      <w:r w:rsidRPr="003777DC">
        <w:rPr>
          <w:color w:val="000000"/>
          <w:lang w:val="sr-Cyrl-RS"/>
        </w:rPr>
        <w:t>е у периоду од два месеца након истека извештајног периода за одређени месец.</w:t>
      </w:r>
    </w:p>
    <w:p w:rsidR="008660F9" w:rsidRPr="003777DC" w:rsidRDefault="003777DC">
      <w:pPr>
        <w:spacing w:after="120"/>
        <w:jc w:val="center"/>
        <w:rPr>
          <w:lang w:val="sr-Cyrl-RS"/>
        </w:rPr>
      </w:pPr>
      <w:r w:rsidRPr="003777DC">
        <w:rPr>
          <w:color w:val="000000"/>
          <w:lang w:val="sr-Cyrl-RS"/>
        </w:rPr>
        <w:t>Члан 8.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color w:val="000000"/>
          <w:lang w:val="sr-Cyrl-RS"/>
        </w:rPr>
        <w:t>Овај правилник ступа на снагу наредног дана од дана објављивања у „Службеном гласнику Републике Србије”.</w:t>
      </w:r>
    </w:p>
    <w:p w:rsidR="008660F9" w:rsidRPr="003777DC" w:rsidRDefault="003777DC">
      <w:pPr>
        <w:spacing w:after="150"/>
        <w:jc w:val="right"/>
        <w:rPr>
          <w:lang w:val="sr-Cyrl-RS"/>
        </w:rPr>
      </w:pPr>
      <w:r w:rsidRPr="003777DC">
        <w:rPr>
          <w:color w:val="000000"/>
          <w:lang w:val="sr-Cyrl-RS"/>
        </w:rPr>
        <w:t>Број 110-00-69/2023-03</w:t>
      </w:r>
    </w:p>
    <w:p w:rsidR="008660F9" w:rsidRPr="003777DC" w:rsidRDefault="003777DC">
      <w:pPr>
        <w:spacing w:after="150"/>
        <w:jc w:val="right"/>
        <w:rPr>
          <w:lang w:val="sr-Cyrl-RS"/>
        </w:rPr>
      </w:pPr>
      <w:r w:rsidRPr="003777DC">
        <w:rPr>
          <w:color w:val="000000"/>
          <w:lang w:val="sr-Cyrl-RS"/>
        </w:rPr>
        <w:t>У Београду, 8. марта 2023. године</w:t>
      </w:r>
    </w:p>
    <w:p w:rsidR="008660F9" w:rsidRPr="003777DC" w:rsidRDefault="003777DC">
      <w:pPr>
        <w:spacing w:after="150"/>
        <w:jc w:val="right"/>
        <w:rPr>
          <w:lang w:val="sr-Cyrl-RS"/>
        </w:rPr>
      </w:pPr>
      <w:r w:rsidRPr="003777DC">
        <w:rPr>
          <w:color w:val="000000"/>
          <w:lang w:val="sr-Cyrl-RS"/>
        </w:rPr>
        <w:t>Министар</w:t>
      </w:r>
      <w:r w:rsidRPr="003777DC">
        <w:rPr>
          <w:color w:val="000000"/>
          <w:lang w:val="sr-Cyrl-RS"/>
        </w:rPr>
        <w:t>,</w:t>
      </w:r>
    </w:p>
    <w:p w:rsidR="008660F9" w:rsidRPr="003777DC" w:rsidRDefault="003777DC">
      <w:pPr>
        <w:spacing w:after="150"/>
        <w:jc w:val="right"/>
        <w:rPr>
          <w:lang w:val="sr-Cyrl-RS"/>
        </w:rPr>
      </w:pPr>
      <w:r w:rsidRPr="003777DC">
        <w:rPr>
          <w:b/>
          <w:color w:val="000000"/>
          <w:lang w:val="sr-Cyrl-RS"/>
        </w:rPr>
        <w:t>Синиша Мали,</w:t>
      </w:r>
      <w:r w:rsidRPr="003777DC">
        <w:rPr>
          <w:color w:val="000000"/>
          <w:lang w:val="sr-Cyrl-RS"/>
        </w:rPr>
        <w:t xml:space="preserve"> с.р.</w:t>
      </w:r>
    </w:p>
    <w:p w:rsidR="008660F9" w:rsidRPr="003777DC" w:rsidRDefault="003777DC">
      <w:pPr>
        <w:spacing w:after="150"/>
        <w:rPr>
          <w:lang w:val="sr-Cyrl-RS"/>
        </w:rPr>
      </w:pPr>
      <w:r w:rsidRPr="003777DC">
        <w:rPr>
          <w:noProof/>
          <w:lang w:val="sr-Cyrl-RS"/>
        </w:rPr>
        <w:lastRenderedPageBreak/>
        <w:drawing>
          <wp:inline distT="0" distB="0" distL="0" distR="0">
            <wp:extent cx="5732145" cy="40724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60F9" w:rsidRPr="003777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F9"/>
    <w:rsid w:val="003777DC"/>
    <w:rsid w:val="0086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08B984-E6C1-44C3-A623-64514C0B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2023-03-20T07:55:00Z</dcterms:created>
  <dcterms:modified xsi:type="dcterms:W3CDTF">2023-03-20T07:55:00Z</dcterms:modified>
</cp:coreProperties>
</file>