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B3" w:rsidRDefault="00C22FA5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фактурисању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44/21),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4A63B3" w:rsidRDefault="00C22FA5">
      <w:pPr>
        <w:spacing w:after="225"/>
        <w:jc w:val="center"/>
      </w:pPr>
      <w:r>
        <w:rPr>
          <w:b/>
          <w:color w:val="000000"/>
        </w:rPr>
        <w:t>УРЕДБУ</w:t>
      </w:r>
    </w:p>
    <w:p w:rsidR="004A63B3" w:rsidRDefault="00C22FA5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чувања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стављања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увид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фактура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обезбеђивања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веродостојности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интегритета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садржине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фактура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папирном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облику</w:t>
      </w:r>
      <w:proofErr w:type="spellEnd"/>
    </w:p>
    <w:p w:rsidR="004A63B3" w:rsidRDefault="00C22FA5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2021, 132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2021.</w:t>
      </w:r>
    </w:p>
    <w:p w:rsidR="004A63B3" w:rsidRDefault="00C22FA5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>
        <w:rPr>
          <w:color w:val="000000"/>
        </w:rPr>
        <w:t>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веродостојности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папирном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>.</w:t>
      </w:r>
    </w:p>
    <w:p w:rsidR="004A63B3" w:rsidRDefault="00C22FA5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фактурисању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>. 44/21 и 129/21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веродостојност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</w:t>
      </w:r>
      <w:r>
        <w:rPr>
          <w:color w:val="000000"/>
        </w:rPr>
        <w:t>андарда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претр</w:t>
      </w:r>
      <w:r>
        <w:rPr>
          <w:color w:val="000000"/>
        </w:rPr>
        <w:t>аживати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преузимати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примили</w:t>
      </w:r>
      <w:proofErr w:type="spellEnd"/>
      <w:r>
        <w:rPr>
          <w:color w:val="000000"/>
        </w:rPr>
        <w:t>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претраживање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објашњења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интерно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</w:t>
      </w:r>
      <w:proofErr w:type="spellEnd"/>
      <w:r>
        <w:rPr>
          <w:color w:val="000000"/>
        </w:rPr>
        <w:t>).</w:t>
      </w:r>
    </w:p>
    <w:p w:rsidR="004A63B3" w:rsidRDefault="00C22FA5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132/2021</w:t>
      </w:r>
    </w:p>
    <w:p w:rsidR="004A63B3" w:rsidRDefault="00C22FA5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</w:t>
      </w:r>
      <w:r>
        <w:rPr>
          <w:color w:val="000000"/>
        </w:rPr>
        <w:t>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технолошких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веродостојност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порекла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</w:t>
      </w:r>
      <w:r>
        <w:rPr>
          <w:color w:val="000000"/>
        </w:rPr>
        <w:t>спуњавање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стандарда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</w:t>
      </w:r>
      <w:r>
        <w:rPr>
          <w:color w:val="000000"/>
        </w:rPr>
        <w:t>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нарушавања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>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</w:t>
      </w:r>
      <w:r>
        <w:rPr>
          <w:color w:val="000000"/>
        </w:rPr>
        <w:t>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>.</w:t>
      </w:r>
    </w:p>
    <w:p w:rsidR="004A63B3" w:rsidRDefault="00C22FA5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2. и 3.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Стављањ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брз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ефикасан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безбедан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добровољног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систематичан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>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увид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r>
        <w:rPr>
          <w:color w:val="000000"/>
        </w:rPr>
        <w:t>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>.</w:t>
      </w:r>
    </w:p>
    <w:p w:rsidR="004A63B3" w:rsidRDefault="00C22FA5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штампање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добровољног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веродостојност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интегритет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>:</w:t>
      </w:r>
    </w:p>
    <w:p w:rsidR="004A63B3" w:rsidRDefault="00C22FA5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папирни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генерисана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;</w:t>
      </w:r>
    </w:p>
    <w:p w:rsidR="004A63B3" w:rsidRDefault="00C22FA5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папирни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>; и</w:t>
      </w:r>
    </w:p>
    <w:p w:rsidR="004A63B3" w:rsidRDefault="00C22FA5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штампање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преузимањ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штампању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>.</w:t>
      </w:r>
    </w:p>
    <w:p w:rsidR="004A63B3" w:rsidRDefault="00C22FA5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6.</w:t>
      </w:r>
    </w:p>
    <w:p w:rsidR="004A63B3" w:rsidRDefault="00C22FA5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маја</w:t>
      </w:r>
      <w:proofErr w:type="spellEnd"/>
      <w:r>
        <w:rPr>
          <w:b/>
          <w:color w:val="000000"/>
        </w:rPr>
        <w:t xml:space="preserve"> 2022.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4A63B3" w:rsidRDefault="00C22FA5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132/2021</w:t>
      </w:r>
    </w:p>
    <w:p w:rsidR="004A63B3" w:rsidRDefault="00C22FA5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110-6406/2021</w:t>
      </w:r>
    </w:p>
    <w:p w:rsidR="004A63B3" w:rsidRDefault="00C22FA5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9.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4A63B3" w:rsidRDefault="00C22FA5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4A63B3" w:rsidRDefault="00C22FA5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4A63B3" w:rsidRDefault="00C22FA5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4A63B3" w:rsidRDefault="00C22FA5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УРЕДБЕ</w:t>
      </w:r>
    </w:p>
    <w:p w:rsidR="004A63B3" w:rsidRDefault="00C22FA5">
      <w:pPr>
        <w:spacing w:after="150"/>
        <w:jc w:val="center"/>
      </w:pP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Уредбе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условима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начину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чувања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стављања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увид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електронских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факт</w:t>
      </w:r>
      <w:r>
        <w:rPr>
          <w:i/>
          <w:color w:val="000000"/>
        </w:rPr>
        <w:t>ура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начину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обезбеђивања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веродостојности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интегритета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садржине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фактура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папирном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облику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132/2021-44</w:t>
      </w:r>
    </w:p>
    <w:p w:rsidR="004A63B3" w:rsidRDefault="00C22FA5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3.</w:t>
      </w:r>
    </w:p>
    <w:p w:rsidR="004A63B3" w:rsidRDefault="00C22FA5">
      <w:pPr>
        <w:spacing w:after="150"/>
      </w:pP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4A63B3" w:rsidRDefault="00C22FA5">
      <w:pPr>
        <w:spacing w:after="150"/>
        <w:jc w:val="right"/>
      </w:pPr>
      <w:r>
        <w:rPr>
          <w:color w:val="000000"/>
        </w:rPr>
        <w:t> </w:t>
      </w:r>
    </w:p>
    <w:sectPr w:rsidR="004A63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3"/>
    <w:rsid w:val="004A63B3"/>
    <w:rsid w:val="00C2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94798-5690-40F6-B973-28F741D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2022-01-04T12:37:00Z</dcterms:created>
  <dcterms:modified xsi:type="dcterms:W3CDTF">2022-01-04T12:37:00Z</dcterms:modified>
</cp:coreProperties>
</file>