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42C" w:rsidRPr="005C6DBD" w:rsidRDefault="005C6DBD" w:rsidP="005C6DBD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5C6DBD">
        <w:rPr>
          <w:rFonts w:ascii="Times New Roman" w:hAnsi="Times New Roman" w:cs="Times New Roman"/>
          <w:b/>
          <w:lang w:val="sr-Cyrl-RS"/>
        </w:rPr>
        <w:t>О Б Р А З Л О Ж Е Њ Е</w:t>
      </w:r>
    </w:p>
    <w:p w:rsidR="005C6DBD" w:rsidRPr="00EA5053" w:rsidRDefault="005C6DBD" w:rsidP="00355DE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447106" w:rsidRPr="00EA5053" w:rsidRDefault="00447106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 w:rsidRPr="00EA5053">
        <w:rPr>
          <w:rFonts w:ascii="Times New Roman" w:hAnsi="Times New Roman" w:cs="Times New Roman"/>
          <w:b/>
          <w:bCs/>
          <w:lang w:val="sr-Cyrl-RS"/>
        </w:rPr>
        <w:t>I. У</w:t>
      </w:r>
      <w:r w:rsidR="005C6DBD" w:rsidRPr="00EA5053">
        <w:rPr>
          <w:rFonts w:ascii="Times New Roman" w:hAnsi="Times New Roman" w:cs="Times New Roman"/>
          <w:b/>
          <w:bCs/>
          <w:lang w:val="sr-Cyrl-RS"/>
        </w:rPr>
        <w:t>ставни основ за доношење закона</w:t>
      </w:r>
    </w:p>
    <w:p w:rsidR="00447106" w:rsidRPr="00EA5053" w:rsidRDefault="00447106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A5053">
        <w:rPr>
          <w:rFonts w:ascii="Times New Roman" w:hAnsi="Times New Roman" w:cs="Times New Roman"/>
          <w:lang w:val="sr-Cyrl-RS"/>
        </w:rPr>
        <w:t>Уставни основ за доношење овог закона садржан је у члану 97. тачка 6. и члану 99. став 1. тачка 7. Устава Републике Србије, којим се утврђује да Република Србија, између осталог, уређује и обезбеђује јединствено тржиште и систем обављања појединих привредних и других делатности.</w:t>
      </w:r>
    </w:p>
    <w:p w:rsidR="00447106" w:rsidRPr="00EA5053" w:rsidRDefault="00447106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447106" w:rsidRPr="00EA5053" w:rsidRDefault="001E3FBD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 w:rsidRPr="00EA5053">
        <w:rPr>
          <w:rFonts w:ascii="Times New Roman" w:hAnsi="Times New Roman" w:cs="Times New Roman"/>
          <w:b/>
          <w:bCs/>
          <w:lang w:val="sr-Cyrl-RS"/>
        </w:rPr>
        <w:t>II. Р</w:t>
      </w:r>
      <w:r w:rsidR="005C6DBD" w:rsidRPr="00EA5053">
        <w:rPr>
          <w:rFonts w:ascii="Times New Roman" w:hAnsi="Times New Roman" w:cs="Times New Roman"/>
          <w:b/>
          <w:bCs/>
          <w:lang w:val="sr-Cyrl-RS"/>
        </w:rPr>
        <w:t>азлози за доношење закона</w:t>
      </w:r>
    </w:p>
    <w:p w:rsidR="00C6442C" w:rsidRPr="00EA5053" w:rsidRDefault="00C6442C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 w:rsidRPr="00EA5053">
        <w:rPr>
          <w:rFonts w:ascii="Times New Roman" w:hAnsi="Times New Roman" w:cs="Times New Roman"/>
          <w:b/>
          <w:bCs/>
          <w:lang w:val="sr-Cyrl-RS"/>
        </w:rPr>
        <w:t>Анализа постојећег стања и разлози за</w:t>
      </w:r>
      <w:r w:rsidR="008954CF" w:rsidRPr="00EA5053">
        <w:rPr>
          <w:rFonts w:ascii="Times New Roman" w:hAnsi="Times New Roman" w:cs="Times New Roman"/>
          <w:b/>
          <w:bCs/>
          <w:lang w:val="sr-Cyrl-RS"/>
        </w:rPr>
        <w:t xml:space="preserve"> измене закона</w:t>
      </w:r>
      <w:r w:rsidRPr="00EA5053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:rsidR="00C6442C" w:rsidRPr="00EA5053" w:rsidRDefault="00C6442C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A5053">
        <w:rPr>
          <w:rFonts w:ascii="Times New Roman" w:hAnsi="Times New Roman" w:cs="Times New Roman"/>
          <w:lang w:val="sr-Cyrl-RS"/>
        </w:rPr>
        <w:t xml:space="preserve">Закон о </w:t>
      </w:r>
      <w:proofErr w:type="spellStart"/>
      <w:r w:rsidRPr="00EA5053">
        <w:rPr>
          <w:rFonts w:ascii="Times New Roman" w:hAnsi="Times New Roman" w:cs="Times New Roman"/>
          <w:lang w:val="sr-Cyrl-RS"/>
        </w:rPr>
        <w:t>факторингу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(„Службени гласник РС”, бр. 62/2013 и 30/2018) представљао је значајан корак у стварању регулаторног оквира за пружање услуга </w:t>
      </w:r>
      <w:proofErr w:type="spellStart"/>
      <w:r w:rsidRPr="00EA5053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у Републици Србији. Међутим, развој финансијског тржишта, појава нових пословних модела и идентификоване правне празнине указале су на потребу за његовим унапређењем.</w:t>
      </w:r>
    </w:p>
    <w:p w:rsidR="00C6442C" w:rsidRPr="00EA5053" w:rsidRDefault="00CD4581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A5053">
        <w:rPr>
          <w:rFonts w:ascii="Times New Roman" w:hAnsi="Times New Roman" w:cs="Times New Roman"/>
          <w:lang w:val="sr-Cyrl-RS"/>
        </w:rPr>
        <w:t xml:space="preserve">Примена постојећег закона у пракси указала је на потребу за даљим унапређењем регулаторног оквира у правцу прецизнијег уређења правног положаја учесника у </w:t>
      </w:r>
      <w:proofErr w:type="spellStart"/>
      <w:r w:rsidRPr="00EA5053">
        <w:rPr>
          <w:rFonts w:ascii="Times New Roman" w:hAnsi="Times New Roman" w:cs="Times New Roman"/>
          <w:lang w:val="sr-Cyrl-RS"/>
        </w:rPr>
        <w:t>факторинг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трансакцијама, проширења класификације врста </w:t>
      </w:r>
      <w:proofErr w:type="spellStart"/>
      <w:r w:rsidRPr="00EA5053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и увођења додатних механизама транспарентности, нарочито у погледу евиденције уступљених </w:t>
      </w:r>
      <w:r w:rsidR="00EA5053" w:rsidRPr="00EA5053">
        <w:rPr>
          <w:rFonts w:ascii="Times New Roman" w:hAnsi="Times New Roman" w:cs="Times New Roman"/>
          <w:lang w:val="sr-Cyrl-RS"/>
        </w:rPr>
        <w:t>фактура</w:t>
      </w:r>
      <w:r w:rsidRPr="00EA5053">
        <w:rPr>
          <w:rFonts w:ascii="Times New Roman" w:hAnsi="Times New Roman" w:cs="Times New Roman"/>
          <w:lang w:val="sr-Cyrl-RS"/>
        </w:rPr>
        <w:t>.</w:t>
      </w:r>
    </w:p>
    <w:p w:rsidR="00CD4581" w:rsidRPr="00EA5053" w:rsidRDefault="00CD4581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highlight w:val="yellow"/>
          <w:lang w:val="sr-Cyrl-RS"/>
        </w:rPr>
      </w:pPr>
    </w:p>
    <w:p w:rsidR="000E6CAC" w:rsidRPr="00EA5053" w:rsidRDefault="000E6CAC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 w:rsidRPr="00EA5053">
        <w:rPr>
          <w:rFonts w:ascii="Times New Roman" w:hAnsi="Times New Roman" w:cs="Times New Roman"/>
          <w:b/>
          <w:bCs/>
          <w:lang w:val="sr-Cyrl-RS"/>
        </w:rPr>
        <w:t>Проблеми које пропис треба да реши</w:t>
      </w:r>
    </w:p>
    <w:p w:rsidR="00C6442C" w:rsidRPr="00EA5053" w:rsidRDefault="000E6CAC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 w:rsidRPr="00EA5053">
        <w:rPr>
          <w:rFonts w:ascii="Times New Roman" w:hAnsi="Times New Roman" w:cs="Times New Roman"/>
          <w:b/>
          <w:bCs/>
          <w:lang w:val="sr-Cyrl-RS"/>
        </w:rPr>
        <w:t xml:space="preserve">Ефикаснији надзор над делатношћу </w:t>
      </w:r>
      <w:proofErr w:type="spellStart"/>
      <w:r w:rsidRPr="00EA5053">
        <w:rPr>
          <w:rFonts w:ascii="Times New Roman" w:hAnsi="Times New Roman" w:cs="Times New Roman"/>
          <w:b/>
          <w:bCs/>
          <w:lang w:val="sr-Cyrl-RS"/>
        </w:rPr>
        <w:t>факторинга</w:t>
      </w:r>
      <w:proofErr w:type="spellEnd"/>
    </w:p>
    <w:p w:rsidR="00C6442C" w:rsidRPr="00EA5053" w:rsidRDefault="00C6442C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A5053">
        <w:rPr>
          <w:rFonts w:ascii="Times New Roman" w:hAnsi="Times New Roman" w:cs="Times New Roman"/>
          <w:lang w:val="sr-Cyrl-RS"/>
        </w:rPr>
        <w:t xml:space="preserve">С обзиром на потребу за ефикаснијим надзором над активностима </w:t>
      </w:r>
      <w:proofErr w:type="spellStart"/>
      <w:r w:rsidRPr="00EA5053">
        <w:rPr>
          <w:rFonts w:ascii="Times New Roman" w:hAnsi="Times New Roman" w:cs="Times New Roman"/>
          <w:lang w:val="sr-Cyrl-RS"/>
        </w:rPr>
        <w:t>пружалаца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EA5053">
        <w:rPr>
          <w:rFonts w:ascii="Times New Roman" w:hAnsi="Times New Roman" w:cs="Times New Roman"/>
          <w:lang w:val="sr-Cyrl-RS"/>
        </w:rPr>
        <w:t>факторинг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услуга и бољу интеграцију система евиденције потраживања у ширу финансијску инфраструктуру, предложено је </w:t>
      </w:r>
      <w:r w:rsidR="000E6CAC" w:rsidRPr="00EA5053">
        <w:rPr>
          <w:rFonts w:ascii="Times New Roman" w:hAnsi="Times New Roman" w:cs="Times New Roman"/>
          <w:lang w:val="sr-Cyrl-RS"/>
        </w:rPr>
        <w:t xml:space="preserve">да се </w:t>
      </w:r>
      <w:r w:rsidRPr="00EA5053">
        <w:rPr>
          <w:rFonts w:ascii="Times New Roman" w:hAnsi="Times New Roman" w:cs="Times New Roman"/>
          <w:lang w:val="sr-Cyrl-RS"/>
        </w:rPr>
        <w:t xml:space="preserve">надзорне надлежности повере Комисији за хартије од вредности. Ова институција, као специјализовано регулаторно тело са развијеним капацитетима за праћење финансијских трансакција и тржишних учесника, има институционалне и техничке претпоставке за развој функционалног система надзора у области </w:t>
      </w:r>
      <w:proofErr w:type="spellStart"/>
      <w:r w:rsidRPr="00EA5053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Pr="00EA5053">
        <w:rPr>
          <w:rFonts w:ascii="Times New Roman" w:hAnsi="Times New Roman" w:cs="Times New Roman"/>
          <w:lang w:val="sr-Cyrl-RS"/>
        </w:rPr>
        <w:t>.</w:t>
      </w:r>
    </w:p>
    <w:p w:rsidR="00C6442C" w:rsidRPr="00EA5053" w:rsidRDefault="00C6442C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C6442C" w:rsidRPr="00EA5053" w:rsidRDefault="00C6442C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 w:rsidRPr="00EA5053">
        <w:rPr>
          <w:rFonts w:ascii="Times New Roman" w:hAnsi="Times New Roman" w:cs="Times New Roman"/>
          <w:b/>
          <w:bCs/>
          <w:lang w:val="sr-Cyrl-RS"/>
        </w:rPr>
        <w:t xml:space="preserve">Потреба за успостављањем </w:t>
      </w:r>
      <w:r w:rsidR="00417929" w:rsidRPr="00417929">
        <w:rPr>
          <w:rFonts w:ascii="Times New Roman" w:hAnsi="Times New Roman" w:cs="Times New Roman"/>
          <w:b/>
          <w:bCs/>
          <w:lang w:val="sr-Cyrl-RS"/>
        </w:rPr>
        <w:t>Централн</w:t>
      </w:r>
      <w:r w:rsidR="005C6DBD">
        <w:rPr>
          <w:rFonts w:ascii="Times New Roman" w:hAnsi="Times New Roman" w:cs="Times New Roman"/>
          <w:b/>
          <w:bCs/>
          <w:lang w:val="sr-Cyrl-RS"/>
        </w:rPr>
        <w:t>е</w:t>
      </w:r>
      <w:r w:rsidR="00417929" w:rsidRPr="00417929">
        <w:rPr>
          <w:rFonts w:ascii="Times New Roman" w:hAnsi="Times New Roman" w:cs="Times New Roman"/>
          <w:b/>
          <w:bCs/>
          <w:lang w:val="sr-Cyrl-RS"/>
        </w:rPr>
        <w:t xml:space="preserve"> евиденција </w:t>
      </w:r>
      <w:proofErr w:type="spellStart"/>
      <w:r w:rsidR="00417929" w:rsidRPr="00417929">
        <w:rPr>
          <w:rFonts w:ascii="Times New Roman" w:hAnsi="Times New Roman" w:cs="Times New Roman"/>
          <w:b/>
          <w:bCs/>
          <w:lang w:val="sr-Cyrl-RS"/>
        </w:rPr>
        <w:t>факторинга</w:t>
      </w:r>
      <w:proofErr w:type="spellEnd"/>
      <w:r w:rsidR="00417929" w:rsidRPr="00417929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417929">
        <w:rPr>
          <w:rFonts w:ascii="Times New Roman" w:hAnsi="Times New Roman" w:cs="Times New Roman"/>
          <w:b/>
          <w:bCs/>
          <w:lang w:val="sr-Cyrl-RS"/>
        </w:rPr>
        <w:t>(ЦЕФ)</w:t>
      </w:r>
    </w:p>
    <w:p w:rsidR="00C6442C" w:rsidRPr="00EA5053" w:rsidRDefault="00C6442C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A5053">
        <w:rPr>
          <w:rFonts w:ascii="Times New Roman" w:hAnsi="Times New Roman" w:cs="Times New Roman"/>
          <w:lang w:val="sr-Cyrl-RS"/>
        </w:rPr>
        <w:t xml:space="preserve">Успостављање </w:t>
      </w:r>
      <w:r w:rsidR="000344F1">
        <w:rPr>
          <w:rFonts w:ascii="Times New Roman" w:hAnsi="Times New Roman" w:cs="Times New Roman"/>
          <w:lang w:val="sr-Cyrl-RS"/>
        </w:rPr>
        <w:t xml:space="preserve">централне евиденције </w:t>
      </w:r>
      <w:proofErr w:type="spellStart"/>
      <w:r w:rsidR="000344F1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="00A25158">
        <w:rPr>
          <w:rFonts w:ascii="Times New Roman" w:hAnsi="Times New Roman" w:cs="Times New Roman"/>
          <w:lang w:val="sr-Cyrl-RS"/>
        </w:rPr>
        <w:t xml:space="preserve"> </w:t>
      </w:r>
      <w:r w:rsidRPr="00EA5053">
        <w:rPr>
          <w:rFonts w:ascii="Times New Roman" w:hAnsi="Times New Roman" w:cs="Times New Roman"/>
          <w:lang w:val="sr-Cyrl-RS"/>
        </w:rPr>
        <w:t>има за циљ да се обезбеди поуздан и проверљив систем евиденције, чиме се обезбеђује пуна транспарентност трансакција, спречава</w:t>
      </w:r>
      <w:r w:rsidR="00EB3CD5" w:rsidRPr="00EA5053">
        <w:rPr>
          <w:rFonts w:ascii="Times New Roman" w:hAnsi="Times New Roman" w:cs="Times New Roman"/>
          <w:lang w:val="sr-Cyrl-RS"/>
        </w:rPr>
        <w:t>ју</w:t>
      </w:r>
      <w:r w:rsidRPr="00EA5053">
        <w:rPr>
          <w:rFonts w:ascii="Times New Roman" w:hAnsi="Times New Roman" w:cs="Times New Roman"/>
          <w:lang w:val="sr-Cyrl-RS"/>
        </w:rPr>
        <w:t xml:space="preserve"> двострука уступања и омогућава тржишна валоризација потраживања. На овај начин се гради поверење у тржиште, олакшава наплата и финансирање, подстиче укључење нових учесника</w:t>
      </w:r>
      <w:r w:rsidR="008954CF" w:rsidRPr="00EA5053">
        <w:rPr>
          <w:rFonts w:ascii="Times New Roman" w:hAnsi="Times New Roman" w:cs="Times New Roman"/>
          <w:lang w:val="sr-Cyrl-RS"/>
        </w:rPr>
        <w:t xml:space="preserve"> и смањује могућност за преваре</w:t>
      </w:r>
      <w:r w:rsidRPr="00EA5053">
        <w:rPr>
          <w:rFonts w:ascii="Times New Roman" w:hAnsi="Times New Roman" w:cs="Times New Roman"/>
          <w:lang w:val="sr-Cyrl-RS"/>
        </w:rPr>
        <w:t>.</w:t>
      </w:r>
      <w:r w:rsidR="008954CF" w:rsidRPr="00EA5053">
        <w:rPr>
          <w:rFonts w:ascii="Times New Roman" w:hAnsi="Times New Roman" w:cs="Times New Roman"/>
          <w:lang w:val="sr-Cyrl-RS"/>
        </w:rPr>
        <w:t xml:space="preserve"> </w:t>
      </w:r>
    </w:p>
    <w:p w:rsidR="00C6442C" w:rsidRPr="00EA5053" w:rsidRDefault="00C6442C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highlight w:val="yellow"/>
          <w:lang w:val="sr-Cyrl-RS"/>
        </w:rPr>
      </w:pPr>
    </w:p>
    <w:p w:rsidR="00C6442C" w:rsidRPr="00EA5053" w:rsidRDefault="00C6442C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 w:rsidRPr="00EA5053">
        <w:rPr>
          <w:rFonts w:ascii="Times New Roman" w:hAnsi="Times New Roman" w:cs="Times New Roman"/>
          <w:b/>
          <w:bCs/>
          <w:lang w:val="sr-Cyrl-RS"/>
        </w:rPr>
        <w:t>Усаглашавање са међународним стандардима</w:t>
      </w:r>
    </w:p>
    <w:p w:rsidR="00C6442C" w:rsidRPr="00EA5053" w:rsidRDefault="00C6442C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A5053">
        <w:rPr>
          <w:rFonts w:ascii="Times New Roman" w:hAnsi="Times New Roman" w:cs="Times New Roman"/>
          <w:lang w:val="sr-Cyrl-RS"/>
        </w:rPr>
        <w:t>Измене закона усмерене су и на усклађивање са међународним стандардима и најбољим праксама</w:t>
      </w:r>
      <w:r w:rsidR="00EB3CD5" w:rsidRPr="00EA5053">
        <w:rPr>
          <w:rFonts w:ascii="Times New Roman" w:hAnsi="Times New Roman" w:cs="Times New Roman"/>
          <w:lang w:val="sr-Cyrl-RS"/>
        </w:rPr>
        <w:t>, на начин који је прилагођен тржишту Републике Србије</w:t>
      </w:r>
      <w:r w:rsidRPr="00EA5053">
        <w:rPr>
          <w:rFonts w:ascii="Times New Roman" w:hAnsi="Times New Roman" w:cs="Times New Roman"/>
          <w:lang w:val="sr-Cyrl-RS"/>
        </w:rPr>
        <w:t xml:space="preserve">, укључујући </w:t>
      </w:r>
      <w:r w:rsidR="008954CF" w:rsidRPr="00EA5053">
        <w:rPr>
          <w:rFonts w:ascii="Times New Roman" w:hAnsi="Times New Roman" w:cs="Times New Roman"/>
          <w:lang w:val="sr-Cyrl-RS"/>
        </w:rPr>
        <w:t>,,</w:t>
      </w:r>
      <w:r w:rsidRPr="00EA5053">
        <w:rPr>
          <w:rFonts w:ascii="Times New Roman" w:hAnsi="Times New Roman" w:cs="Times New Roman"/>
          <w:lang w:val="sr-Cyrl-RS"/>
        </w:rPr>
        <w:t xml:space="preserve">UNIDROIT </w:t>
      </w:r>
      <w:proofErr w:type="spellStart"/>
      <w:r w:rsidRPr="00EA5053">
        <w:rPr>
          <w:rFonts w:ascii="Times New Roman" w:hAnsi="Times New Roman" w:cs="Times New Roman"/>
          <w:lang w:val="sr-Cyrl-RS"/>
        </w:rPr>
        <w:t>Model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EA5053">
        <w:rPr>
          <w:rFonts w:ascii="Times New Roman" w:hAnsi="Times New Roman" w:cs="Times New Roman"/>
          <w:lang w:val="sr-Cyrl-RS"/>
        </w:rPr>
        <w:t>Law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EA5053">
        <w:rPr>
          <w:rFonts w:ascii="Times New Roman" w:hAnsi="Times New Roman" w:cs="Times New Roman"/>
          <w:lang w:val="sr-Cyrl-RS"/>
        </w:rPr>
        <w:t>on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EA5053">
        <w:rPr>
          <w:rFonts w:ascii="Times New Roman" w:hAnsi="Times New Roman" w:cs="Times New Roman"/>
          <w:lang w:val="sr-Cyrl-RS"/>
        </w:rPr>
        <w:t>Factoring</w:t>
      </w:r>
      <w:proofErr w:type="spellEnd"/>
      <w:r w:rsidR="008954CF" w:rsidRPr="00EA5053">
        <w:rPr>
          <w:rFonts w:ascii="Times New Roman" w:hAnsi="Times New Roman" w:cs="Times New Roman"/>
          <w:lang w:val="sr-Cyrl-RS"/>
        </w:rPr>
        <w:t>“</w:t>
      </w:r>
      <w:r w:rsidRPr="00EA5053">
        <w:rPr>
          <w:rFonts w:ascii="Times New Roman" w:hAnsi="Times New Roman" w:cs="Times New Roman"/>
          <w:lang w:val="sr-Cyrl-RS"/>
        </w:rPr>
        <w:t xml:space="preserve">, који препознаје потребу за транспарентношћу у евиденцији уступљених потраживања, флексибилност у избору врсте </w:t>
      </w:r>
      <w:proofErr w:type="spellStart"/>
      <w:r w:rsidRPr="00EA5053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и неопходност правне сигурности за повериоце, дужнике и инвеститоре.</w:t>
      </w:r>
    </w:p>
    <w:p w:rsidR="00EB3CD5" w:rsidRPr="00EA5053" w:rsidRDefault="00EB3CD5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A5053">
        <w:rPr>
          <w:rFonts w:ascii="Times New Roman" w:hAnsi="Times New Roman" w:cs="Times New Roman"/>
          <w:lang w:val="sr-Cyrl-RS"/>
        </w:rPr>
        <w:t xml:space="preserve">Планираним изменама настоји се да се, у складу са захтевима савременог тржишта и добром међународном праксом, омогући већи степен транспарентности, </w:t>
      </w:r>
      <w:proofErr w:type="spellStart"/>
      <w:r w:rsidRPr="00EA5053">
        <w:rPr>
          <w:rFonts w:ascii="Times New Roman" w:hAnsi="Times New Roman" w:cs="Times New Roman"/>
          <w:lang w:val="sr-Cyrl-RS"/>
        </w:rPr>
        <w:t>предвидивости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и безбедности у промету потраживања. Успостављање јединствен</w:t>
      </w:r>
      <w:r w:rsidR="007F3FFA">
        <w:rPr>
          <w:rFonts w:ascii="Times New Roman" w:hAnsi="Times New Roman" w:cs="Times New Roman"/>
          <w:lang w:val="sr-Cyrl-RS"/>
        </w:rPr>
        <w:t>е</w:t>
      </w:r>
      <w:r w:rsidRPr="00EA5053">
        <w:rPr>
          <w:rFonts w:ascii="Times New Roman" w:hAnsi="Times New Roman" w:cs="Times New Roman"/>
          <w:lang w:val="sr-Cyrl-RS"/>
        </w:rPr>
        <w:t xml:space="preserve"> </w:t>
      </w:r>
      <w:r w:rsidR="007F3FFA">
        <w:rPr>
          <w:rFonts w:ascii="Times New Roman" w:hAnsi="Times New Roman" w:cs="Times New Roman"/>
          <w:lang w:val="sr-Cyrl-RS"/>
        </w:rPr>
        <w:t xml:space="preserve">централне евиденције </w:t>
      </w:r>
      <w:proofErr w:type="spellStart"/>
      <w:r w:rsidR="007F3FFA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представља кључни корак ка уређенијем секундарном тржишту потраживања. </w:t>
      </w:r>
      <w:r w:rsidRPr="00EA5053">
        <w:rPr>
          <w:rFonts w:ascii="Times New Roman" w:hAnsi="Times New Roman" w:cs="Times New Roman"/>
          <w:lang w:val="sr-Cyrl-RS"/>
        </w:rPr>
        <w:lastRenderedPageBreak/>
        <w:t xml:space="preserve">Овим изменама додатно се прецизирају правни ефекти </w:t>
      </w:r>
      <w:proofErr w:type="spellStart"/>
      <w:r w:rsidRPr="00EA5053">
        <w:rPr>
          <w:rFonts w:ascii="Times New Roman" w:hAnsi="Times New Roman" w:cs="Times New Roman"/>
          <w:lang w:val="sr-Cyrl-RS"/>
        </w:rPr>
        <w:t>факторинг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трансакција, </w:t>
      </w:r>
      <w:r w:rsidR="00EA5053" w:rsidRPr="00EA5053">
        <w:rPr>
          <w:rFonts w:ascii="Times New Roman" w:hAnsi="Times New Roman" w:cs="Times New Roman"/>
          <w:lang w:val="sr-Cyrl-RS"/>
        </w:rPr>
        <w:t>прецизније дефинише</w:t>
      </w:r>
      <w:r w:rsidRPr="00EA5053">
        <w:rPr>
          <w:rFonts w:ascii="Times New Roman" w:hAnsi="Times New Roman" w:cs="Times New Roman"/>
          <w:lang w:val="sr-Cyrl-RS"/>
        </w:rPr>
        <w:t xml:space="preserve"> нови обл</w:t>
      </w:r>
      <w:r w:rsidR="00EA5053" w:rsidRPr="00EA5053">
        <w:rPr>
          <w:rFonts w:ascii="Times New Roman" w:hAnsi="Times New Roman" w:cs="Times New Roman"/>
          <w:lang w:val="sr-Cyrl-RS"/>
        </w:rPr>
        <w:t>ик</w:t>
      </w:r>
      <w:r w:rsidRPr="00EA5053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EA5053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у складу са међународним стандардима, попут </w:t>
      </w:r>
      <w:r w:rsidR="00EA5053" w:rsidRPr="00EA5053">
        <w:rPr>
          <w:rFonts w:ascii="Times New Roman" w:hAnsi="Times New Roman" w:cs="Times New Roman"/>
          <w:lang w:val="sr-Cyrl-RS"/>
        </w:rPr>
        <w:t xml:space="preserve">,,UNIDROIT </w:t>
      </w:r>
      <w:proofErr w:type="spellStart"/>
      <w:r w:rsidR="00EA5053" w:rsidRPr="00EA5053">
        <w:rPr>
          <w:rFonts w:ascii="Times New Roman" w:hAnsi="Times New Roman" w:cs="Times New Roman"/>
          <w:lang w:val="sr-Cyrl-RS"/>
        </w:rPr>
        <w:t>Model</w:t>
      </w:r>
      <w:proofErr w:type="spellEnd"/>
      <w:r w:rsidR="00EA5053" w:rsidRPr="00EA5053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EA5053" w:rsidRPr="00EA5053">
        <w:rPr>
          <w:rFonts w:ascii="Times New Roman" w:hAnsi="Times New Roman" w:cs="Times New Roman"/>
          <w:lang w:val="sr-Cyrl-RS"/>
        </w:rPr>
        <w:t>Law</w:t>
      </w:r>
      <w:proofErr w:type="spellEnd"/>
      <w:r w:rsidR="00EA5053" w:rsidRPr="00EA5053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EA5053" w:rsidRPr="00EA5053">
        <w:rPr>
          <w:rFonts w:ascii="Times New Roman" w:hAnsi="Times New Roman" w:cs="Times New Roman"/>
          <w:lang w:val="sr-Cyrl-RS"/>
        </w:rPr>
        <w:t>on</w:t>
      </w:r>
      <w:proofErr w:type="spellEnd"/>
      <w:r w:rsidR="00EA5053" w:rsidRPr="00EA5053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EA5053" w:rsidRPr="00EA5053">
        <w:rPr>
          <w:rFonts w:ascii="Times New Roman" w:hAnsi="Times New Roman" w:cs="Times New Roman"/>
          <w:lang w:val="sr-Cyrl-RS"/>
        </w:rPr>
        <w:t>Factoring</w:t>
      </w:r>
      <w:proofErr w:type="spellEnd"/>
      <w:r w:rsidR="005C6DBD" w:rsidRPr="00EA5053">
        <w:rPr>
          <w:rFonts w:ascii="Times New Roman" w:hAnsi="Times New Roman" w:cs="Times New Roman"/>
          <w:lang w:val="sr-Cyrl-RS"/>
        </w:rPr>
        <w:t>”</w:t>
      </w:r>
      <w:r w:rsidRPr="00EA5053">
        <w:rPr>
          <w:rFonts w:ascii="Times New Roman" w:hAnsi="Times New Roman" w:cs="Times New Roman"/>
          <w:lang w:val="sr-Cyrl-RS"/>
        </w:rPr>
        <w:t xml:space="preserve">, и подстиче се дигитализација пословних процеса. Очекује се да ће предложене измене омогућити боље </w:t>
      </w:r>
      <w:proofErr w:type="spellStart"/>
      <w:r w:rsidRPr="00EA5053">
        <w:rPr>
          <w:rFonts w:ascii="Times New Roman" w:hAnsi="Times New Roman" w:cs="Times New Roman"/>
          <w:lang w:val="sr-Cyrl-RS"/>
        </w:rPr>
        <w:t>позиционирање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Србије у оквиру европских механизама за размену података о е-фактурама, као и јачање поверења инвеститора и правну сигурност у финансијском сектору.</w:t>
      </w:r>
    </w:p>
    <w:p w:rsidR="00EA5053" w:rsidRPr="00EA5053" w:rsidRDefault="00EA5053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EA5053" w:rsidRPr="00EB59B9" w:rsidRDefault="00EA5053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 w:rsidRPr="00EB59B9">
        <w:rPr>
          <w:rFonts w:ascii="Times New Roman" w:hAnsi="Times New Roman" w:cs="Times New Roman"/>
          <w:b/>
          <w:bCs/>
          <w:lang w:val="sr-Cyrl-RS"/>
        </w:rPr>
        <w:t xml:space="preserve">Дигитализација пословања </w:t>
      </w:r>
    </w:p>
    <w:p w:rsidR="00EA5053" w:rsidRPr="00EA5053" w:rsidRDefault="00EA5053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A5053">
        <w:rPr>
          <w:rFonts w:ascii="Times New Roman" w:hAnsi="Times New Roman" w:cs="Times New Roman"/>
          <w:lang w:val="sr-Cyrl-RS"/>
        </w:rPr>
        <w:t xml:space="preserve">Један од кључних циљева предложених измена закона јесте унапређење правног оквира у правцу дигитализације пословних процеса. Омогућавањем да пратећа документација уз уговоре о </w:t>
      </w:r>
      <w:proofErr w:type="spellStart"/>
      <w:r w:rsidRPr="00EA5053">
        <w:rPr>
          <w:rFonts w:ascii="Times New Roman" w:hAnsi="Times New Roman" w:cs="Times New Roman"/>
          <w:lang w:val="sr-Cyrl-RS"/>
        </w:rPr>
        <w:t>факторингу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буде сачињена у електронској форми, стварају се предуслови за бржи, ефикаснији и трошковно повољнији проток информација међу уговорним странама, као и према надлежним органима.</w:t>
      </w:r>
    </w:p>
    <w:p w:rsidR="00EA5053" w:rsidRPr="00EA5053" w:rsidRDefault="00EA5053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Latn-RS"/>
        </w:rPr>
      </w:pPr>
      <w:r w:rsidRPr="00EA5053">
        <w:rPr>
          <w:rFonts w:ascii="Times New Roman" w:hAnsi="Times New Roman" w:cs="Times New Roman"/>
          <w:lang w:val="sr-Cyrl-RS"/>
        </w:rPr>
        <w:t>Електронска форма документације је усклађена са савременим пословним потребама и технолошким капацитетима учесника на тржишту, и омогућава лаку интеграцију са другим дигиталним системима</w:t>
      </w:r>
      <w:r>
        <w:rPr>
          <w:rFonts w:ascii="Times New Roman" w:hAnsi="Times New Roman" w:cs="Times New Roman"/>
          <w:lang w:val="sr-Latn-RS"/>
        </w:rPr>
        <w:t>.</w:t>
      </w:r>
    </w:p>
    <w:p w:rsidR="00EA5053" w:rsidRPr="00EB59B9" w:rsidRDefault="00EA5053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highlight w:val="yellow"/>
          <w:lang w:val="sr-Latn-RS"/>
        </w:rPr>
      </w:pPr>
      <w:r w:rsidRPr="00EB59B9">
        <w:rPr>
          <w:rFonts w:ascii="Times New Roman" w:hAnsi="Times New Roman" w:cs="Times New Roman"/>
          <w:lang w:val="ru-RU"/>
        </w:rPr>
        <w:t>На овај начин се јача транспарентност, смањује административни терет и подстиче правна сигурност у електронском пословању.</w:t>
      </w:r>
    </w:p>
    <w:p w:rsidR="005C6DBD" w:rsidRDefault="005C6DBD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511AA8" w:rsidRPr="00EB59B9" w:rsidRDefault="000E7A16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 w:rsidRPr="00EB59B9">
        <w:rPr>
          <w:rFonts w:ascii="Times New Roman" w:hAnsi="Times New Roman" w:cs="Times New Roman"/>
          <w:b/>
          <w:bCs/>
          <w:lang w:val="sr-Cyrl-RS"/>
        </w:rPr>
        <w:t>Циљеви који се законом постижу</w:t>
      </w:r>
    </w:p>
    <w:p w:rsidR="000B6963" w:rsidRDefault="000E7A16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Latn-RS"/>
        </w:rPr>
      </w:pPr>
      <w:r w:rsidRPr="00EB59B9">
        <w:rPr>
          <w:rFonts w:ascii="Times New Roman" w:hAnsi="Times New Roman" w:cs="Times New Roman"/>
          <w:lang w:val="sr-Cyrl-RS"/>
        </w:rPr>
        <w:t xml:space="preserve">Основни циљ предложених измена је подизање нивоа заштите поверилаца и инвеститора кроз бољу правну сигурност и транспарентност. </w:t>
      </w:r>
      <w:r w:rsidR="00A47CA1" w:rsidRPr="00EB59B9">
        <w:rPr>
          <w:rFonts w:ascii="Times New Roman" w:hAnsi="Times New Roman" w:cs="Times New Roman"/>
          <w:lang w:val="sr-Cyrl-RS"/>
        </w:rPr>
        <w:t>З</w:t>
      </w:r>
      <w:r w:rsidRPr="00EB59B9">
        <w:rPr>
          <w:rFonts w:ascii="Times New Roman" w:hAnsi="Times New Roman" w:cs="Times New Roman"/>
          <w:lang w:val="sr-Cyrl-RS"/>
        </w:rPr>
        <w:t xml:space="preserve">аконом се уводи обавеза регистрације сваке </w:t>
      </w:r>
      <w:r w:rsidR="00A25158">
        <w:rPr>
          <w:rFonts w:ascii="Times New Roman" w:hAnsi="Times New Roman" w:cs="Times New Roman"/>
          <w:lang w:val="sr-Cyrl-RS"/>
        </w:rPr>
        <w:t>уступљене</w:t>
      </w:r>
      <w:r w:rsidRPr="00EB59B9">
        <w:rPr>
          <w:rFonts w:ascii="Times New Roman" w:hAnsi="Times New Roman" w:cs="Times New Roman"/>
          <w:lang w:val="sr-Cyrl-RS"/>
        </w:rPr>
        <w:t xml:space="preserve"> фактуре</w:t>
      </w:r>
      <w:r w:rsidR="00A47CA1" w:rsidRPr="00EB59B9">
        <w:rPr>
          <w:rFonts w:ascii="Times New Roman" w:hAnsi="Times New Roman" w:cs="Times New Roman"/>
          <w:lang w:val="sr-Cyrl-RS"/>
        </w:rPr>
        <w:t xml:space="preserve"> кроз </w:t>
      </w:r>
      <w:r w:rsidR="007F3FFA">
        <w:rPr>
          <w:rFonts w:ascii="Times New Roman" w:hAnsi="Times New Roman" w:cs="Times New Roman"/>
          <w:lang w:val="sr-Cyrl-RS"/>
        </w:rPr>
        <w:t xml:space="preserve">централну евиденцију </w:t>
      </w:r>
      <w:proofErr w:type="spellStart"/>
      <w:r w:rsidR="007F3FFA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Pr="00EB59B9">
        <w:rPr>
          <w:rFonts w:ascii="Times New Roman" w:hAnsi="Times New Roman" w:cs="Times New Roman"/>
          <w:lang w:val="sr-Cyrl-RS"/>
        </w:rPr>
        <w:t xml:space="preserve">, и обезбеђује усклађеност са међународним стандардима, укључујући </w:t>
      </w:r>
      <w:r w:rsidR="00A47CA1" w:rsidRPr="00EB59B9">
        <w:rPr>
          <w:rFonts w:ascii="Times New Roman" w:hAnsi="Times New Roman" w:cs="Times New Roman"/>
          <w:lang w:val="sr-Cyrl-RS"/>
        </w:rPr>
        <w:t>,,</w:t>
      </w:r>
      <w:r w:rsidRPr="00EB59B9">
        <w:rPr>
          <w:rFonts w:ascii="Times New Roman" w:hAnsi="Times New Roman" w:cs="Times New Roman"/>
          <w:lang w:val="sr-Cyrl-RS"/>
        </w:rPr>
        <w:t xml:space="preserve">UNIDROIT </w:t>
      </w:r>
      <w:proofErr w:type="spellStart"/>
      <w:r w:rsidRPr="00EB59B9">
        <w:rPr>
          <w:rFonts w:ascii="Times New Roman" w:hAnsi="Times New Roman" w:cs="Times New Roman"/>
          <w:lang w:val="sr-Cyrl-RS"/>
        </w:rPr>
        <w:t>Model</w:t>
      </w:r>
      <w:proofErr w:type="spellEnd"/>
      <w:r w:rsidRPr="00EB59B9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EB59B9">
        <w:rPr>
          <w:rFonts w:ascii="Times New Roman" w:hAnsi="Times New Roman" w:cs="Times New Roman"/>
          <w:lang w:val="sr-Cyrl-RS"/>
        </w:rPr>
        <w:t>Law</w:t>
      </w:r>
      <w:proofErr w:type="spellEnd"/>
      <w:r w:rsidRPr="00EB59B9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EB59B9">
        <w:rPr>
          <w:rFonts w:ascii="Times New Roman" w:hAnsi="Times New Roman" w:cs="Times New Roman"/>
          <w:lang w:val="sr-Cyrl-RS"/>
        </w:rPr>
        <w:t>on</w:t>
      </w:r>
      <w:proofErr w:type="spellEnd"/>
      <w:r w:rsidRPr="00EB59B9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EB59B9">
        <w:rPr>
          <w:rFonts w:ascii="Times New Roman" w:hAnsi="Times New Roman" w:cs="Times New Roman"/>
          <w:lang w:val="sr-Cyrl-RS"/>
        </w:rPr>
        <w:t>Factoring</w:t>
      </w:r>
      <w:proofErr w:type="spellEnd"/>
      <w:r w:rsidR="005C6DBD" w:rsidRPr="00EA5053">
        <w:rPr>
          <w:rFonts w:ascii="Times New Roman" w:hAnsi="Times New Roman" w:cs="Times New Roman"/>
          <w:lang w:val="sr-Cyrl-RS"/>
        </w:rPr>
        <w:t>”</w:t>
      </w:r>
      <w:r w:rsidRPr="00EB59B9">
        <w:rPr>
          <w:rFonts w:ascii="Times New Roman" w:hAnsi="Times New Roman" w:cs="Times New Roman"/>
          <w:lang w:val="sr-Cyrl-RS"/>
        </w:rPr>
        <w:t xml:space="preserve">, који препознаје потребу за транспарентном евиденцијом уступања потраживања. </w:t>
      </w:r>
    </w:p>
    <w:p w:rsidR="00511AA8" w:rsidRPr="00EB59B9" w:rsidRDefault="00511AA8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EB59B9">
        <w:rPr>
          <w:rFonts w:ascii="Times New Roman" w:hAnsi="Times New Roman" w:cs="Times New Roman"/>
          <w:lang w:val="ru-RU"/>
        </w:rPr>
        <w:t>Поред унапређења правне сигурности и транспарентности тржишта факторинга, један од кључних циљева предложених измена је и унапређење институционалног надзора над пружаоцима факторинг услуга. Пренос појединих надлежности на Комисију за хартије од вредности омогућава ефикаснији, стручно утемељен и технолошки напреднији надзорни механизам, усклађен са савременим финансијским токовима.</w:t>
      </w:r>
    </w:p>
    <w:p w:rsidR="00657F9D" w:rsidRPr="00EA62B0" w:rsidRDefault="00511AA8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B59B9">
        <w:rPr>
          <w:rFonts w:ascii="Times New Roman" w:hAnsi="Times New Roman" w:cs="Times New Roman"/>
          <w:lang w:val="ru-RU"/>
        </w:rPr>
        <w:t xml:space="preserve">Такође, предложене измене имају за циљ да подстакну </w:t>
      </w:r>
      <w:r w:rsidRPr="005C6DBD">
        <w:rPr>
          <w:rFonts w:ascii="Times New Roman" w:hAnsi="Times New Roman" w:cs="Times New Roman"/>
          <w:bCs/>
          <w:lang w:val="ru-RU"/>
        </w:rPr>
        <w:t xml:space="preserve">даљу </w:t>
      </w:r>
      <w:r w:rsidRPr="005C6DBD">
        <w:rPr>
          <w:rFonts w:ascii="Times New Roman" w:hAnsi="Times New Roman" w:cs="Times New Roman"/>
          <w:lang w:val="ru-RU"/>
        </w:rPr>
        <w:t>дигитализацију</w:t>
      </w:r>
      <w:r w:rsidRPr="00EB59B9">
        <w:rPr>
          <w:rFonts w:ascii="Times New Roman" w:hAnsi="Times New Roman" w:cs="Times New Roman"/>
          <w:lang w:val="ru-RU"/>
        </w:rPr>
        <w:t xml:space="preserve"> пословних процеса, увођењем могућности </w:t>
      </w:r>
      <w:r w:rsidR="003B3989">
        <w:rPr>
          <w:rFonts w:ascii="Times New Roman" w:hAnsi="Times New Roman" w:cs="Times New Roman"/>
          <w:lang w:val="sr-Cyrl-RS"/>
        </w:rPr>
        <w:t>сачињавања</w:t>
      </w:r>
      <w:r w:rsidRPr="00EB59B9">
        <w:rPr>
          <w:rFonts w:ascii="Times New Roman" w:hAnsi="Times New Roman" w:cs="Times New Roman"/>
          <w:lang w:val="ru-RU"/>
        </w:rPr>
        <w:t xml:space="preserve"> пратеће документације</w:t>
      </w:r>
      <w:r w:rsidR="003B3989">
        <w:rPr>
          <w:rFonts w:ascii="Times New Roman" w:hAnsi="Times New Roman" w:cs="Times New Roman"/>
          <w:lang w:val="ru-RU"/>
        </w:rPr>
        <w:t xml:space="preserve"> у електронском облигу</w:t>
      </w:r>
      <w:r w:rsidRPr="00EB59B9">
        <w:rPr>
          <w:rFonts w:ascii="Times New Roman" w:hAnsi="Times New Roman" w:cs="Times New Roman"/>
          <w:lang w:val="ru-RU"/>
        </w:rPr>
        <w:t>, успостављањем централизовано</w:t>
      </w:r>
      <w:r w:rsidR="000344F1">
        <w:rPr>
          <w:rFonts w:ascii="Times New Roman" w:hAnsi="Times New Roman" w:cs="Times New Roman"/>
          <w:lang w:val="ru-RU"/>
        </w:rPr>
        <w:t>е евиденције факторинга</w:t>
      </w:r>
      <w:r w:rsidRPr="00EB59B9">
        <w:rPr>
          <w:rFonts w:ascii="Times New Roman" w:hAnsi="Times New Roman" w:cs="Times New Roman"/>
          <w:lang w:val="ru-RU"/>
        </w:rPr>
        <w:t xml:space="preserve">  и омогућавањем интеграције са постојећим е</w:t>
      </w:r>
      <w:r w:rsidRPr="00EB59B9">
        <w:rPr>
          <w:rFonts w:ascii="Times New Roman" w:hAnsi="Times New Roman" w:cs="Times New Roman"/>
          <w:lang w:val="ru-RU"/>
        </w:rPr>
        <w:noBreakHyphen/>
        <w:t>системима. На тај начин се убрзава комуникација, смањују трошкови, повећава правна предвидивост и подржава развој дигиталне економије у Србији.</w:t>
      </w:r>
    </w:p>
    <w:p w:rsidR="005C6DBD" w:rsidRDefault="005C6DBD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0B6963" w:rsidRPr="00EB59B9" w:rsidRDefault="000B6963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 w:rsidRPr="00EB59B9">
        <w:rPr>
          <w:rFonts w:ascii="Times New Roman" w:hAnsi="Times New Roman" w:cs="Times New Roman"/>
          <w:b/>
          <w:bCs/>
          <w:lang w:val="sr-Cyrl-RS"/>
        </w:rPr>
        <w:t>Разматране могућности за решавање проблема без доношења закона</w:t>
      </w:r>
    </w:p>
    <w:p w:rsidR="000B6963" w:rsidRDefault="000B6963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Latn-RS"/>
        </w:rPr>
      </w:pPr>
      <w:r w:rsidRPr="00EB59B9">
        <w:rPr>
          <w:rFonts w:ascii="Times New Roman" w:hAnsi="Times New Roman" w:cs="Times New Roman"/>
          <w:lang w:val="sr-Cyrl-RS"/>
        </w:rPr>
        <w:t xml:space="preserve">Узимајући у обзир ограничености постојећег закона, као и чињеницу да не постоји подзаконска регулатива која би омогућила успостављање регистра без законског основа, одлучено је да се проблем реши путем измене самог закона. Промене се односе на </w:t>
      </w:r>
      <w:r w:rsidR="00A25158">
        <w:rPr>
          <w:rFonts w:ascii="Times New Roman" w:hAnsi="Times New Roman" w:cs="Times New Roman"/>
          <w:lang w:val="sr-Cyrl-RS"/>
        </w:rPr>
        <w:t xml:space="preserve">успостављање </w:t>
      </w:r>
      <w:r w:rsidR="000344F1">
        <w:rPr>
          <w:rFonts w:ascii="Times New Roman" w:hAnsi="Times New Roman" w:cs="Times New Roman"/>
          <w:lang w:val="sr-Cyrl-RS"/>
        </w:rPr>
        <w:t xml:space="preserve">централне евиденције </w:t>
      </w:r>
      <w:proofErr w:type="spellStart"/>
      <w:r w:rsidR="000344F1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Pr="00EB59B9">
        <w:rPr>
          <w:rFonts w:ascii="Times New Roman" w:hAnsi="Times New Roman" w:cs="Times New Roman"/>
          <w:lang w:val="sr-Cyrl-RS"/>
        </w:rPr>
        <w:t xml:space="preserve">, надлежности и обавезе учесника, те није било могуће решити их само интерним актима </w:t>
      </w:r>
      <w:r w:rsidR="007923F3" w:rsidRPr="00EB59B9">
        <w:rPr>
          <w:rFonts w:ascii="Times New Roman" w:hAnsi="Times New Roman" w:cs="Times New Roman"/>
          <w:lang w:val="sr-Cyrl-RS"/>
        </w:rPr>
        <w:t>Министарства.</w:t>
      </w:r>
    </w:p>
    <w:p w:rsidR="00511AA8" w:rsidRPr="00EB59B9" w:rsidRDefault="00511AA8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Latn-RS"/>
        </w:rPr>
      </w:pPr>
    </w:p>
    <w:p w:rsidR="000B6963" w:rsidRPr="00EA5053" w:rsidRDefault="003B725D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 w:rsidRPr="00EA5053">
        <w:rPr>
          <w:rFonts w:ascii="Times New Roman" w:hAnsi="Times New Roman" w:cs="Times New Roman"/>
          <w:b/>
          <w:bCs/>
          <w:lang w:val="sr-Cyrl-RS"/>
        </w:rPr>
        <w:t>III. О</w:t>
      </w:r>
      <w:r w:rsidR="005C6DBD" w:rsidRPr="00EA5053">
        <w:rPr>
          <w:rFonts w:ascii="Times New Roman" w:hAnsi="Times New Roman" w:cs="Times New Roman"/>
          <w:b/>
          <w:bCs/>
          <w:lang w:val="sr-Cyrl-RS"/>
        </w:rPr>
        <w:t>бјашњење појединачних решења</w:t>
      </w:r>
    </w:p>
    <w:p w:rsidR="003B725D" w:rsidRPr="00EA5053" w:rsidRDefault="003B725D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5C6DBD">
        <w:rPr>
          <w:rFonts w:ascii="Times New Roman" w:hAnsi="Times New Roman" w:cs="Times New Roman"/>
          <w:bCs/>
          <w:lang w:val="sr-Cyrl-RS"/>
        </w:rPr>
        <w:lastRenderedPageBreak/>
        <w:t>Чланом 1</w:t>
      </w:r>
      <w:r w:rsidR="00D356C6" w:rsidRPr="005C6DBD">
        <w:rPr>
          <w:rFonts w:ascii="Times New Roman" w:hAnsi="Times New Roman" w:cs="Times New Roman"/>
          <w:bCs/>
          <w:lang w:val="sr-Cyrl-RS"/>
        </w:rPr>
        <w:t>.</w:t>
      </w:r>
      <w:r w:rsidRPr="00EA5053">
        <w:rPr>
          <w:rFonts w:ascii="Times New Roman" w:hAnsi="Times New Roman" w:cs="Times New Roman"/>
          <w:lang w:val="sr-Cyrl-RS"/>
        </w:rPr>
        <w:t xml:space="preserve"> </w:t>
      </w:r>
      <w:r w:rsidR="00D356C6">
        <w:rPr>
          <w:rFonts w:ascii="Times New Roman" w:hAnsi="Times New Roman" w:cs="Times New Roman"/>
          <w:lang w:val="sr-Cyrl-RS"/>
        </w:rPr>
        <w:t>П</w:t>
      </w:r>
      <w:r w:rsidRPr="00EA5053">
        <w:rPr>
          <w:rFonts w:ascii="Times New Roman" w:hAnsi="Times New Roman" w:cs="Times New Roman"/>
          <w:lang w:val="sr-Cyrl-RS"/>
        </w:rPr>
        <w:t xml:space="preserve">редлога закона допуњује се члан 2. став 1. тачка 1) Закона о </w:t>
      </w:r>
      <w:proofErr w:type="spellStart"/>
      <w:r w:rsidRPr="00EA5053">
        <w:rPr>
          <w:rFonts w:ascii="Times New Roman" w:hAnsi="Times New Roman" w:cs="Times New Roman"/>
          <w:lang w:val="sr-Cyrl-RS"/>
        </w:rPr>
        <w:t>факторингу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, ради </w:t>
      </w:r>
      <w:r w:rsidR="00D70E22" w:rsidRPr="00EA5053">
        <w:rPr>
          <w:rFonts w:ascii="Times New Roman" w:hAnsi="Times New Roman" w:cs="Times New Roman"/>
          <w:lang w:val="sr-Cyrl-RS"/>
        </w:rPr>
        <w:t>ширег</w:t>
      </w:r>
      <w:r w:rsidRPr="00EA5053">
        <w:rPr>
          <w:rFonts w:ascii="Times New Roman" w:hAnsi="Times New Roman" w:cs="Times New Roman"/>
          <w:lang w:val="sr-Cyrl-RS"/>
        </w:rPr>
        <w:t xml:space="preserve"> дефинисања појма </w:t>
      </w:r>
      <w:proofErr w:type="spellStart"/>
      <w:r w:rsidRPr="00EA5053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="00D70E22" w:rsidRPr="00EA5053">
        <w:rPr>
          <w:rFonts w:ascii="Times New Roman" w:hAnsi="Times New Roman" w:cs="Times New Roman"/>
          <w:lang w:val="sr-Cyrl-RS"/>
        </w:rPr>
        <w:t xml:space="preserve">, тако да обухвата авансни </w:t>
      </w:r>
      <w:proofErr w:type="spellStart"/>
      <w:r w:rsidR="00D70E22" w:rsidRPr="00EA5053">
        <w:rPr>
          <w:rFonts w:ascii="Times New Roman" w:hAnsi="Times New Roman" w:cs="Times New Roman"/>
          <w:lang w:val="sr-Cyrl-RS"/>
        </w:rPr>
        <w:t>факторинг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. У складу са УНИДРОИТ Модел законом о </w:t>
      </w:r>
      <w:proofErr w:type="spellStart"/>
      <w:r w:rsidRPr="00EA5053">
        <w:rPr>
          <w:rFonts w:ascii="Times New Roman" w:hAnsi="Times New Roman" w:cs="Times New Roman"/>
          <w:lang w:val="sr-Cyrl-RS"/>
        </w:rPr>
        <w:t>факторингу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(</w:t>
      </w:r>
      <w:r w:rsidR="008954CF" w:rsidRPr="00EA5053">
        <w:rPr>
          <w:rFonts w:ascii="Times New Roman" w:hAnsi="Times New Roman" w:cs="Times New Roman"/>
          <w:lang w:val="sr-Cyrl-RS"/>
        </w:rPr>
        <w:t>,,</w:t>
      </w:r>
      <w:r w:rsidRPr="00EA5053">
        <w:rPr>
          <w:rFonts w:ascii="Times New Roman" w:hAnsi="Times New Roman" w:cs="Times New Roman"/>
          <w:lang w:val="sr-Cyrl-RS"/>
        </w:rPr>
        <w:t xml:space="preserve">UNIDROIT </w:t>
      </w:r>
      <w:proofErr w:type="spellStart"/>
      <w:r w:rsidRPr="00EA5053">
        <w:rPr>
          <w:rFonts w:ascii="Times New Roman" w:hAnsi="Times New Roman" w:cs="Times New Roman"/>
          <w:lang w:val="sr-Cyrl-RS"/>
        </w:rPr>
        <w:t>Model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EA5053">
        <w:rPr>
          <w:rFonts w:ascii="Times New Roman" w:hAnsi="Times New Roman" w:cs="Times New Roman"/>
          <w:lang w:val="sr-Cyrl-RS"/>
        </w:rPr>
        <w:t>Law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EA5053">
        <w:rPr>
          <w:rFonts w:ascii="Times New Roman" w:hAnsi="Times New Roman" w:cs="Times New Roman"/>
          <w:lang w:val="sr-Cyrl-RS"/>
        </w:rPr>
        <w:t>on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EA5053">
        <w:rPr>
          <w:rFonts w:ascii="Times New Roman" w:hAnsi="Times New Roman" w:cs="Times New Roman"/>
          <w:lang w:val="sr-Cyrl-RS"/>
        </w:rPr>
        <w:t>Factoring</w:t>
      </w:r>
      <w:proofErr w:type="spellEnd"/>
      <w:r w:rsidR="005C6DBD" w:rsidRPr="00EA5053">
        <w:rPr>
          <w:rFonts w:ascii="Times New Roman" w:hAnsi="Times New Roman" w:cs="Times New Roman"/>
          <w:lang w:val="sr-Cyrl-RS"/>
        </w:rPr>
        <w:t>”</w:t>
      </w:r>
      <w:r w:rsidRPr="00EA5053">
        <w:rPr>
          <w:rFonts w:ascii="Times New Roman" w:hAnsi="Times New Roman" w:cs="Times New Roman"/>
          <w:lang w:val="sr-Cyrl-RS"/>
        </w:rPr>
        <w:t>), новим формулацијама се јасно разграничавају два основна модела ове финансијске услуге: класични откуп потраживања (купопродаја) и уступање потраживања ради наплате као авансног плаћања</w:t>
      </w:r>
      <w:r w:rsidR="003B41EE" w:rsidRPr="00EA5053">
        <w:rPr>
          <w:rFonts w:ascii="Times New Roman" w:hAnsi="Times New Roman" w:cs="Times New Roman"/>
          <w:lang w:val="sr-Cyrl-RS"/>
        </w:rPr>
        <w:t xml:space="preserve"> (авансни </w:t>
      </w:r>
      <w:proofErr w:type="spellStart"/>
      <w:r w:rsidR="003B41EE" w:rsidRPr="00EA5053">
        <w:rPr>
          <w:rFonts w:ascii="Times New Roman" w:hAnsi="Times New Roman" w:cs="Times New Roman"/>
          <w:lang w:val="sr-Cyrl-RS"/>
        </w:rPr>
        <w:t>факторинг</w:t>
      </w:r>
      <w:proofErr w:type="spellEnd"/>
      <w:r w:rsidR="003B41EE" w:rsidRPr="00EA5053">
        <w:rPr>
          <w:rFonts w:ascii="Times New Roman" w:hAnsi="Times New Roman" w:cs="Times New Roman"/>
          <w:lang w:val="sr-Cyrl-RS"/>
        </w:rPr>
        <w:t>)</w:t>
      </w:r>
      <w:r w:rsidRPr="00EA5053">
        <w:rPr>
          <w:rFonts w:ascii="Times New Roman" w:hAnsi="Times New Roman" w:cs="Times New Roman"/>
          <w:lang w:val="sr-Cyrl-RS"/>
        </w:rPr>
        <w:t xml:space="preserve">. На тај начин, у домаћи правни оквир </w:t>
      </w:r>
      <w:r w:rsidR="009751D2" w:rsidRPr="00EA5053">
        <w:rPr>
          <w:rFonts w:ascii="Times New Roman" w:hAnsi="Times New Roman" w:cs="Times New Roman"/>
          <w:lang w:val="sr-Cyrl-RS"/>
        </w:rPr>
        <w:t xml:space="preserve">се </w:t>
      </w:r>
      <w:r w:rsidRPr="00EA5053">
        <w:rPr>
          <w:rFonts w:ascii="Times New Roman" w:hAnsi="Times New Roman" w:cs="Times New Roman"/>
          <w:lang w:val="sr-Cyrl-RS"/>
        </w:rPr>
        <w:t>уводи концепт такозваног „аванса на основу уступљеног потраживања“ (</w:t>
      </w:r>
      <w:proofErr w:type="spellStart"/>
      <w:r w:rsidRPr="00EA5053">
        <w:rPr>
          <w:rFonts w:ascii="Times New Roman" w:hAnsi="Times New Roman" w:cs="Times New Roman"/>
          <w:lang w:val="sr-Cyrl-RS"/>
        </w:rPr>
        <w:t>advance-based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EA5053">
        <w:rPr>
          <w:rFonts w:ascii="Times New Roman" w:hAnsi="Times New Roman" w:cs="Times New Roman"/>
          <w:lang w:val="sr-Cyrl-RS"/>
        </w:rPr>
        <w:t>factoring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), који представља праксу већ присутну у пословању </w:t>
      </w:r>
      <w:proofErr w:type="spellStart"/>
      <w:r w:rsidRPr="00EA5053">
        <w:rPr>
          <w:rFonts w:ascii="Times New Roman" w:hAnsi="Times New Roman" w:cs="Times New Roman"/>
          <w:lang w:val="sr-Cyrl-RS"/>
        </w:rPr>
        <w:t>факторинг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компанија у Републици Србији, али до сада није био изричито препознат у законском тексту.</w:t>
      </w:r>
    </w:p>
    <w:p w:rsidR="003B725D" w:rsidRPr="00EA5053" w:rsidRDefault="003B725D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A5053">
        <w:rPr>
          <w:rFonts w:ascii="Times New Roman" w:hAnsi="Times New Roman" w:cs="Times New Roman"/>
          <w:lang w:val="sr-Cyrl-RS"/>
        </w:rPr>
        <w:t xml:space="preserve">Циљ ове измене је да се повећа правна сигурност у примени различитих облика </w:t>
      </w:r>
      <w:proofErr w:type="spellStart"/>
      <w:r w:rsidRPr="00EA5053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Pr="00EA5053">
        <w:rPr>
          <w:rFonts w:ascii="Times New Roman" w:hAnsi="Times New Roman" w:cs="Times New Roman"/>
          <w:lang w:val="sr-Cyrl-RS"/>
        </w:rPr>
        <w:t>, унапреди транспарентност у уговорним односима између учесника, као и да се омогући даље приближавање домаћег законодавства најбољим међународним праксама.</w:t>
      </w:r>
    </w:p>
    <w:p w:rsidR="003B725D" w:rsidRPr="00EA5053" w:rsidRDefault="003B725D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A5053">
        <w:rPr>
          <w:rFonts w:ascii="Times New Roman" w:hAnsi="Times New Roman" w:cs="Times New Roman"/>
          <w:lang w:val="sr-Cyrl-RS"/>
        </w:rPr>
        <w:t xml:space="preserve">Допуњавањем члана 2. став 1. тачка 4) </w:t>
      </w:r>
      <w:proofErr w:type="spellStart"/>
      <w:r w:rsidRPr="00EA5053">
        <w:rPr>
          <w:rFonts w:ascii="Times New Roman" w:hAnsi="Times New Roman" w:cs="Times New Roman"/>
          <w:lang w:val="sr-Cyrl-RS"/>
        </w:rPr>
        <w:t>подтачка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1), </w:t>
      </w:r>
      <w:r w:rsidR="00A25158">
        <w:rPr>
          <w:rFonts w:ascii="Times New Roman" w:hAnsi="Times New Roman" w:cs="Times New Roman"/>
          <w:lang w:val="sr-Cyrl-RS"/>
        </w:rPr>
        <w:t xml:space="preserve">и става 2. </w:t>
      </w:r>
      <w:r w:rsidRPr="00EA5053">
        <w:rPr>
          <w:rFonts w:ascii="Times New Roman" w:hAnsi="Times New Roman" w:cs="Times New Roman"/>
          <w:lang w:val="sr-Cyrl-RS"/>
        </w:rPr>
        <w:t xml:space="preserve">проширује се круг лица која могу наступати као уступиоци потраживања у </w:t>
      </w:r>
      <w:proofErr w:type="spellStart"/>
      <w:r w:rsidRPr="00EA5053">
        <w:rPr>
          <w:rFonts w:ascii="Times New Roman" w:hAnsi="Times New Roman" w:cs="Times New Roman"/>
          <w:lang w:val="sr-Cyrl-RS"/>
        </w:rPr>
        <w:t>факторинг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трансакцијама. Поред привредних друштава и предузетника, новим формулацијама предвиђено је да такав положај могу имати и друге организационе форме које у пракси обављају делатност ради стицања добити или у оквиру економске активности – као што су задруге, регистрована пољопривредна газдинства, пословна удружења, установе и друга правна лица.</w:t>
      </w:r>
    </w:p>
    <w:p w:rsidR="003B725D" w:rsidRPr="00EA5053" w:rsidRDefault="003B725D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A5053">
        <w:rPr>
          <w:rFonts w:ascii="Times New Roman" w:hAnsi="Times New Roman" w:cs="Times New Roman"/>
          <w:lang w:val="sr-Cyrl-RS"/>
        </w:rPr>
        <w:t xml:space="preserve">Овом допуном усклађује се законски оквир са стварним тржишним потребама и структурама, подстиче раст тржишта </w:t>
      </w:r>
      <w:proofErr w:type="spellStart"/>
      <w:r w:rsidRPr="00EA5053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и омогућава веће укључивање малих и средњих економских субјеката у финансирање путем овог инструмента.</w:t>
      </w:r>
    </w:p>
    <w:p w:rsidR="00381DBB" w:rsidRPr="00EA5053" w:rsidRDefault="003B725D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5C6DBD">
        <w:rPr>
          <w:rFonts w:ascii="Times New Roman" w:hAnsi="Times New Roman" w:cs="Times New Roman"/>
          <w:bCs/>
          <w:lang w:val="sr-Cyrl-RS"/>
        </w:rPr>
        <w:t>Чланом 2</w:t>
      </w:r>
      <w:r w:rsidR="00D356C6" w:rsidRPr="005C6DBD">
        <w:rPr>
          <w:rFonts w:ascii="Times New Roman" w:hAnsi="Times New Roman" w:cs="Times New Roman"/>
          <w:bCs/>
          <w:lang w:val="sr-Cyrl-RS"/>
        </w:rPr>
        <w:t>.</w:t>
      </w:r>
      <w:r w:rsidR="00D356C6">
        <w:rPr>
          <w:rFonts w:ascii="Times New Roman" w:hAnsi="Times New Roman" w:cs="Times New Roman"/>
          <w:lang w:val="sr-Cyrl-RS"/>
        </w:rPr>
        <w:t xml:space="preserve"> Предлога закона</w:t>
      </w:r>
      <w:r w:rsidRPr="00EA5053">
        <w:rPr>
          <w:rFonts w:ascii="Times New Roman" w:hAnsi="Times New Roman" w:cs="Times New Roman"/>
          <w:lang w:val="sr-Cyrl-RS"/>
        </w:rPr>
        <w:t xml:space="preserve"> </w:t>
      </w:r>
      <w:r w:rsidR="00381DBB" w:rsidRPr="00EA5053">
        <w:rPr>
          <w:rFonts w:ascii="Times New Roman" w:hAnsi="Times New Roman" w:cs="Times New Roman"/>
          <w:lang w:val="sr-Cyrl-RS"/>
        </w:rPr>
        <w:t xml:space="preserve">врши се прецизирање постојећих одредаба члана 7. Закона у делу који се односи на документацију која се подноси уз захтев за издавање дозволе за обављање послова </w:t>
      </w:r>
      <w:proofErr w:type="spellStart"/>
      <w:r w:rsidR="00381DBB" w:rsidRPr="00EA5053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="00381DBB" w:rsidRPr="00EA5053">
        <w:rPr>
          <w:rFonts w:ascii="Times New Roman" w:hAnsi="Times New Roman" w:cs="Times New Roman"/>
          <w:lang w:val="sr-Cyrl-RS"/>
        </w:rPr>
        <w:t xml:space="preserve">. </w:t>
      </w:r>
      <w:r w:rsidR="00381DBB" w:rsidRPr="00A25158">
        <w:rPr>
          <w:rFonts w:ascii="Times New Roman" w:hAnsi="Times New Roman" w:cs="Times New Roman"/>
          <w:lang w:val="sr-Cyrl-RS"/>
        </w:rPr>
        <w:t xml:space="preserve">У том циљу, тачка 5. мења се тако што се уводи обавеза достављања </w:t>
      </w:r>
      <w:r w:rsidR="00A25158" w:rsidRPr="00A25158">
        <w:rPr>
          <w:rFonts w:ascii="Times New Roman" w:hAnsi="Times New Roman" w:cs="Times New Roman"/>
          <w:lang w:val="sr-Cyrl-RS"/>
        </w:rPr>
        <w:t xml:space="preserve">доказ да оснивач, односно стварни власник, сарадник, као и члан органа управљања правног лица које је регистровано за обављање </w:t>
      </w:r>
      <w:proofErr w:type="spellStart"/>
      <w:r w:rsidR="00A25158" w:rsidRPr="00A25158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="00A25158" w:rsidRPr="00A25158">
        <w:rPr>
          <w:rFonts w:ascii="Times New Roman" w:hAnsi="Times New Roman" w:cs="Times New Roman"/>
          <w:lang w:val="sr-Cyrl-RS"/>
        </w:rPr>
        <w:t>, није осуђен правноснажном пресудом за кривична дела у смислу закона којим се уређује одговорност правних лица за кривична дела, односно уколико је оснивач, стварни власник, сарадник као и члан органа управљања правног лица физичко лице, да није правноснажно осуђено за кривична дела</w:t>
      </w:r>
      <w:r w:rsidR="00381DBB" w:rsidRPr="00A25158">
        <w:rPr>
          <w:rFonts w:ascii="Times New Roman" w:hAnsi="Times New Roman" w:cs="Times New Roman"/>
          <w:lang w:val="sr-Cyrl-RS"/>
        </w:rPr>
        <w:t>, уместо достављања оверене изјаве оснивача о уплати капитала.</w:t>
      </w:r>
      <w:r w:rsidR="00F14583">
        <w:rPr>
          <w:rFonts w:ascii="Times New Roman" w:hAnsi="Times New Roman" w:cs="Times New Roman"/>
          <w:lang w:val="sr-Cyrl-RS"/>
        </w:rPr>
        <w:t xml:space="preserve"> Ставом 2. дефинише се које лице се сматра сарадником.</w:t>
      </w:r>
    </w:p>
    <w:p w:rsidR="00381DBB" w:rsidRPr="00EA5053" w:rsidRDefault="00381DBB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A5053">
        <w:rPr>
          <w:rFonts w:ascii="Times New Roman" w:hAnsi="Times New Roman" w:cs="Times New Roman"/>
          <w:lang w:val="sr-Cyrl-RS"/>
        </w:rPr>
        <w:t>Овом изменом постиже се усаглашавање са Законом о спречавању прања новца и финансирања тероризма</w:t>
      </w:r>
      <w:r w:rsidR="00D356C6">
        <w:rPr>
          <w:rFonts w:ascii="Times New Roman" w:hAnsi="Times New Roman" w:cs="Times New Roman"/>
          <w:lang w:val="sr-Cyrl-RS"/>
        </w:rPr>
        <w:t xml:space="preserve"> </w:t>
      </w:r>
      <w:r w:rsidR="00D356C6" w:rsidRPr="00D356C6">
        <w:rPr>
          <w:rFonts w:ascii="Times New Roman" w:hAnsi="Times New Roman" w:cs="Times New Roman"/>
          <w:lang w:val="sr-Cyrl-RS"/>
        </w:rPr>
        <w:t>(</w:t>
      </w:r>
      <w:r w:rsidR="005C6DBD">
        <w:rPr>
          <w:rFonts w:ascii="Times New Roman" w:hAnsi="Times New Roman" w:cs="Times New Roman"/>
          <w:lang w:val="sr-Cyrl-RS"/>
        </w:rPr>
        <w:t>„</w:t>
      </w:r>
      <w:r w:rsidR="00D356C6" w:rsidRPr="00D356C6">
        <w:rPr>
          <w:rFonts w:ascii="Times New Roman" w:hAnsi="Times New Roman" w:cs="Times New Roman"/>
          <w:lang w:val="sr-Cyrl-RS"/>
        </w:rPr>
        <w:t>Сл</w:t>
      </w:r>
      <w:r w:rsidR="005C6DBD">
        <w:rPr>
          <w:rFonts w:ascii="Times New Roman" w:hAnsi="Times New Roman" w:cs="Times New Roman"/>
          <w:lang w:val="sr-Cyrl-RS"/>
        </w:rPr>
        <w:t>ужбени</w:t>
      </w:r>
      <w:r w:rsidR="00D356C6" w:rsidRPr="00D356C6">
        <w:rPr>
          <w:rFonts w:ascii="Times New Roman" w:hAnsi="Times New Roman" w:cs="Times New Roman"/>
          <w:lang w:val="sr-Cyrl-RS"/>
        </w:rPr>
        <w:t xml:space="preserve"> гласник РС</w:t>
      </w:r>
      <w:r w:rsidR="005C6DBD" w:rsidRPr="00EA5053">
        <w:rPr>
          <w:rFonts w:ascii="Times New Roman" w:hAnsi="Times New Roman" w:cs="Times New Roman"/>
          <w:lang w:val="sr-Cyrl-RS"/>
        </w:rPr>
        <w:t>”</w:t>
      </w:r>
      <w:r w:rsidR="00D356C6" w:rsidRPr="00D356C6">
        <w:rPr>
          <w:rFonts w:ascii="Times New Roman" w:hAnsi="Times New Roman" w:cs="Times New Roman"/>
          <w:lang w:val="sr-Cyrl-RS"/>
        </w:rPr>
        <w:t>, бр. 113/2017, 91/2019, 153/2020, 92/2023, 94/2024 и 19/2025)</w:t>
      </w:r>
      <w:r w:rsidRPr="00EA5053">
        <w:rPr>
          <w:rFonts w:ascii="Times New Roman" w:hAnsi="Times New Roman" w:cs="Times New Roman"/>
          <w:lang w:val="sr-Cyrl-RS"/>
        </w:rPr>
        <w:t xml:space="preserve">, као и са релевантним подзаконским актима. Циљ измене је да се обезбеди транспарентност и идентификација лица која имају крајњу контролу над правним лицем које обавља послове </w:t>
      </w:r>
      <w:proofErr w:type="spellStart"/>
      <w:r w:rsidRPr="00EA5053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Pr="00EA5053">
        <w:rPr>
          <w:rFonts w:ascii="Times New Roman" w:hAnsi="Times New Roman" w:cs="Times New Roman"/>
          <w:lang w:val="sr-Cyrl-RS"/>
        </w:rPr>
        <w:t>, што представља важан елемент процене ризика у области финансијских услуга.</w:t>
      </w:r>
    </w:p>
    <w:p w:rsidR="003B725D" w:rsidRPr="00EA5053" w:rsidRDefault="00381DBB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A5053">
        <w:rPr>
          <w:rFonts w:ascii="Times New Roman" w:hAnsi="Times New Roman" w:cs="Times New Roman"/>
          <w:lang w:val="sr-Cyrl-RS"/>
        </w:rPr>
        <w:t>С</w:t>
      </w:r>
      <w:r w:rsidR="003B725D" w:rsidRPr="00EA5053">
        <w:rPr>
          <w:rFonts w:ascii="Times New Roman" w:hAnsi="Times New Roman" w:cs="Times New Roman"/>
          <w:lang w:val="sr-Cyrl-RS"/>
        </w:rPr>
        <w:t xml:space="preserve">тавом 3. члана 7. Закона већ је прописано да Министарство решењем одлучује о захтеву из става 1. у року од 15 дана од дана пријема уредног захтева, уколико је подносилац претходно доставио Министарству доказ о извршеној уплати основног новчаног капитала. Имајући у виду да Министарство не може издати решење пре него што такав доказ буде достављен, обавеза достављања оверене изјаве о уплати капитала, како је раније била прописана, показала се као непотребна и представљала је административно оптерећење без правног ефекта. У том смислу, предложена измена </w:t>
      </w:r>
      <w:r w:rsidRPr="00EA5053">
        <w:rPr>
          <w:rFonts w:ascii="Times New Roman" w:hAnsi="Times New Roman" w:cs="Times New Roman"/>
          <w:lang w:val="sr-Cyrl-RS"/>
        </w:rPr>
        <w:t xml:space="preserve">додатно </w:t>
      </w:r>
      <w:r w:rsidR="003B725D" w:rsidRPr="00EA5053">
        <w:rPr>
          <w:rFonts w:ascii="Times New Roman" w:hAnsi="Times New Roman" w:cs="Times New Roman"/>
          <w:lang w:val="sr-Cyrl-RS"/>
        </w:rPr>
        <w:t>доприноси поједностављењу и убрзању поступка.</w:t>
      </w:r>
    </w:p>
    <w:p w:rsidR="003B725D" w:rsidRPr="00EA5053" w:rsidRDefault="003B725D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A5053">
        <w:rPr>
          <w:rFonts w:ascii="Times New Roman" w:hAnsi="Times New Roman" w:cs="Times New Roman"/>
          <w:lang w:val="sr-Cyrl-RS"/>
        </w:rPr>
        <w:lastRenderedPageBreak/>
        <w:t>Даље, у ставу 8. истог члана, врши се терминолошко усклађивање и прецизирање. Уместо раније формулације „оснивач, односно власник привредног друштва</w:t>
      </w:r>
      <w:r w:rsidR="005C6DBD" w:rsidRPr="00EA5053">
        <w:rPr>
          <w:rFonts w:ascii="Times New Roman" w:hAnsi="Times New Roman" w:cs="Times New Roman"/>
          <w:lang w:val="sr-Cyrl-RS"/>
        </w:rPr>
        <w:t>”</w:t>
      </w:r>
      <w:r w:rsidRPr="00EA5053">
        <w:rPr>
          <w:rFonts w:ascii="Times New Roman" w:hAnsi="Times New Roman" w:cs="Times New Roman"/>
          <w:lang w:val="sr-Cyrl-RS"/>
        </w:rPr>
        <w:t>, прописује се „</w:t>
      </w:r>
      <w:proofErr w:type="spellStart"/>
      <w:r w:rsidR="005C6DBD">
        <w:rPr>
          <w:rFonts w:ascii="Times New Roman" w:hAnsi="Times New Roman" w:cs="Times New Roman"/>
          <w:lang w:val="sr-Cyrl-RS"/>
        </w:rPr>
        <w:t>факторинг</w:t>
      </w:r>
      <w:proofErr w:type="spellEnd"/>
      <w:r w:rsidR="005C6DBD">
        <w:rPr>
          <w:rFonts w:ascii="Times New Roman" w:hAnsi="Times New Roman" w:cs="Times New Roman"/>
          <w:lang w:val="sr-Cyrl-RS"/>
        </w:rPr>
        <w:t xml:space="preserve"> </w:t>
      </w:r>
      <w:r w:rsidRPr="00EA5053">
        <w:rPr>
          <w:rFonts w:ascii="Times New Roman" w:hAnsi="Times New Roman" w:cs="Times New Roman"/>
          <w:lang w:val="sr-Cyrl-RS"/>
        </w:rPr>
        <w:t xml:space="preserve">друштво, односно директор </w:t>
      </w:r>
      <w:proofErr w:type="spellStart"/>
      <w:r w:rsidR="005C6DBD">
        <w:rPr>
          <w:rFonts w:ascii="Times New Roman" w:hAnsi="Times New Roman" w:cs="Times New Roman"/>
          <w:lang w:val="sr-Cyrl-RS"/>
        </w:rPr>
        <w:t>факторинг</w:t>
      </w:r>
      <w:proofErr w:type="spellEnd"/>
      <w:r w:rsidR="005C6DBD">
        <w:rPr>
          <w:rFonts w:ascii="Times New Roman" w:hAnsi="Times New Roman" w:cs="Times New Roman"/>
          <w:lang w:val="sr-Cyrl-RS"/>
        </w:rPr>
        <w:t xml:space="preserve"> </w:t>
      </w:r>
      <w:r w:rsidRPr="00EA5053">
        <w:rPr>
          <w:rFonts w:ascii="Times New Roman" w:hAnsi="Times New Roman" w:cs="Times New Roman"/>
          <w:lang w:val="sr-Cyrl-RS"/>
        </w:rPr>
        <w:t>друштва</w:t>
      </w:r>
      <w:r w:rsidR="005C6DBD" w:rsidRPr="00EA5053">
        <w:rPr>
          <w:rFonts w:ascii="Times New Roman" w:hAnsi="Times New Roman" w:cs="Times New Roman"/>
          <w:lang w:val="sr-Cyrl-RS"/>
        </w:rPr>
        <w:t>”</w:t>
      </w:r>
      <w:r w:rsidRPr="00EA5053">
        <w:rPr>
          <w:rFonts w:ascii="Times New Roman" w:hAnsi="Times New Roman" w:cs="Times New Roman"/>
          <w:lang w:val="sr-Cyrl-RS"/>
        </w:rPr>
        <w:t>, како би се ускладила законска терминологија са правним статусом обвезника. Такође, рок за достављање обавештења се од сада рачуна од дана регистрације промене код надлежног органа, што омогућава већу извесност у примени, усклађује се са праксом Агенције за привредне регистре и смањује простор за неуједначено тумачење.</w:t>
      </w:r>
    </w:p>
    <w:p w:rsidR="003B725D" w:rsidRPr="00EA5053" w:rsidRDefault="003B725D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A5053">
        <w:rPr>
          <w:rFonts w:ascii="Times New Roman" w:hAnsi="Times New Roman" w:cs="Times New Roman"/>
          <w:lang w:val="sr-Cyrl-RS"/>
        </w:rPr>
        <w:t>Овим изменама се доприноси бољој техничкој примени, ефикасности поступака и смањењу административног терета.</w:t>
      </w:r>
    </w:p>
    <w:p w:rsidR="004803F6" w:rsidRPr="00EA5053" w:rsidRDefault="00B12E44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5C6DBD">
        <w:rPr>
          <w:rFonts w:ascii="Times New Roman" w:hAnsi="Times New Roman" w:cs="Times New Roman"/>
          <w:bCs/>
          <w:lang w:val="sr-Cyrl-RS"/>
        </w:rPr>
        <w:t>Чланом 3.</w:t>
      </w:r>
      <w:r w:rsidR="004803F6" w:rsidRPr="00EA5053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D356C6">
        <w:rPr>
          <w:rFonts w:ascii="Times New Roman" w:hAnsi="Times New Roman" w:cs="Times New Roman"/>
          <w:lang w:val="sr-Cyrl-RS"/>
        </w:rPr>
        <w:t>П</w:t>
      </w:r>
      <w:r w:rsidR="004803F6" w:rsidRPr="00EB59B9">
        <w:rPr>
          <w:rFonts w:ascii="Times New Roman" w:hAnsi="Times New Roman" w:cs="Times New Roman"/>
          <w:lang w:val="sr-Cyrl-RS"/>
        </w:rPr>
        <w:t>редлога закона</w:t>
      </w:r>
      <w:r w:rsidRPr="00EA5053">
        <w:rPr>
          <w:rFonts w:ascii="Times New Roman" w:hAnsi="Times New Roman" w:cs="Times New Roman"/>
          <w:lang w:val="sr-Cyrl-RS"/>
        </w:rPr>
        <w:t xml:space="preserve"> </w:t>
      </w:r>
      <w:r w:rsidR="004803F6" w:rsidRPr="00EA5053">
        <w:rPr>
          <w:rFonts w:ascii="Times New Roman" w:hAnsi="Times New Roman" w:cs="Times New Roman"/>
          <w:lang w:val="sr-Cyrl-RS"/>
        </w:rPr>
        <w:t xml:space="preserve">врши се измена члана 8. врши се прецизирање услова под којима </w:t>
      </w:r>
      <w:proofErr w:type="spellStart"/>
      <w:r w:rsidR="004803F6" w:rsidRPr="00EA5053">
        <w:rPr>
          <w:rFonts w:ascii="Times New Roman" w:hAnsi="Times New Roman" w:cs="Times New Roman"/>
          <w:lang w:val="sr-Cyrl-RS"/>
        </w:rPr>
        <w:t>факторинг</w:t>
      </w:r>
      <w:proofErr w:type="spellEnd"/>
      <w:r w:rsidR="004803F6" w:rsidRPr="00EA5053">
        <w:rPr>
          <w:rFonts w:ascii="Times New Roman" w:hAnsi="Times New Roman" w:cs="Times New Roman"/>
          <w:lang w:val="sr-Cyrl-RS"/>
        </w:rPr>
        <w:t xml:space="preserve"> друштву престаје важење дозволе за обављање послова </w:t>
      </w:r>
      <w:proofErr w:type="spellStart"/>
      <w:r w:rsidR="004803F6" w:rsidRPr="00EA5053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="004803F6" w:rsidRPr="00EA5053">
        <w:rPr>
          <w:rFonts w:ascii="Times New Roman" w:hAnsi="Times New Roman" w:cs="Times New Roman"/>
          <w:lang w:val="sr-Cyrl-RS"/>
        </w:rPr>
        <w:t>. Брише се ранији део одредбе који је предвиђао да дозвола престаје да важи и у случају брисања након спроведеног стечајног поступка, и моменат у коме друштву престаје дозвола се помера на дан правоснажности решења о отварању стечајног поступка.</w:t>
      </w:r>
    </w:p>
    <w:p w:rsidR="004803F6" w:rsidRPr="00EA5053" w:rsidRDefault="004803F6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A5053">
        <w:rPr>
          <w:rFonts w:ascii="Times New Roman" w:hAnsi="Times New Roman" w:cs="Times New Roman"/>
          <w:lang w:val="sr-Cyrl-RS"/>
        </w:rPr>
        <w:t xml:space="preserve">Истовремено, уводи се нова тачка којом се прописује да дозвола престаје да важи по сили закона даном правоснажности решења о отварању стечајног поступка. Овом изменом отклања се раније постојећа правна празнина у погледу последица отварања стечаја над </w:t>
      </w:r>
      <w:proofErr w:type="spellStart"/>
      <w:r w:rsidRPr="00EA5053">
        <w:rPr>
          <w:rFonts w:ascii="Times New Roman" w:hAnsi="Times New Roman" w:cs="Times New Roman"/>
          <w:lang w:val="sr-Cyrl-RS"/>
        </w:rPr>
        <w:t>факторинг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друштвом, с обзиром на то да друштво у том случају по правилу не испуњава капиталне и друге регулаторне услове за обављање послова </w:t>
      </w:r>
      <w:proofErr w:type="spellStart"/>
      <w:r w:rsidRPr="00EA5053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Pr="00EA5053">
        <w:rPr>
          <w:rFonts w:ascii="Times New Roman" w:hAnsi="Times New Roman" w:cs="Times New Roman"/>
          <w:lang w:val="sr-Cyrl-RS"/>
        </w:rPr>
        <w:t>.</w:t>
      </w:r>
    </w:p>
    <w:p w:rsidR="004803F6" w:rsidRPr="00EA5053" w:rsidRDefault="004803F6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A5053">
        <w:rPr>
          <w:rFonts w:ascii="Times New Roman" w:hAnsi="Times New Roman" w:cs="Times New Roman"/>
          <w:lang w:val="sr-Cyrl-RS"/>
        </w:rPr>
        <w:t>Циљ измене је обезбеђивање веће правне извесности и усклађености са логиком поступка надзора и лиценцирања, као и спречавање ситуација у којима би друштво формално задржало дозволу упркос постојању правоснажног решења о отварању стечаја.</w:t>
      </w:r>
    </w:p>
    <w:p w:rsidR="00B12E44" w:rsidRPr="00EA5053" w:rsidRDefault="004803F6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5C6DBD">
        <w:rPr>
          <w:rFonts w:ascii="Times New Roman" w:hAnsi="Times New Roman" w:cs="Times New Roman"/>
          <w:bCs/>
          <w:lang w:val="sr-Cyrl-RS"/>
        </w:rPr>
        <w:t>Чланом 4</w:t>
      </w:r>
      <w:r w:rsidRPr="005C6DBD">
        <w:rPr>
          <w:rFonts w:ascii="Times New Roman" w:hAnsi="Times New Roman" w:cs="Times New Roman"/>
          <w:lang w:val="sr-Cyrl-RS"/>
        </w:rPr>
        <w:t>.</w:t>
      </w:r>
      <w:r w:rsidRPr="00EA5053">
        <w:rPr>
          <w:rFonts w:ascii="Times New Roman" w:hAnsi="Times New Roman" w:cs="Times New Roman"/>
          <w:lang w:val="sr-Cyrl-RS"/>
        </w:rPr>
        <w:t xml:space="preserve"> п</w:t>
      </w:r>
      <w:r w:rsidR="00B12E44" w:rsidRPr="00EA5053">
        <w:rPr>
          <w:rFonts w:ascii="Times New Roman" w:hAnsi="Times New Roman" w:cs="Times New Roman"/>
          <w:lang w:val="sr-Cyrl-RS"/>
        </w:rPr>
        <w:t xml:space="preserve">редлога закона врши се измена члана 14. став 1. тачка 1. Закона, на тај начин што се бришу речи „и International </w:t>
      </w:r>
      <w:proofErr w:type="spellStart"/>
      <w:r w:rsidR="00B12E44" w:rsidRPr="00EA5053">
        <w:rPr>
          <w:rFonts w:ascii="Times New Roman" w:hAnsi="Times New Roman" w:cs="Times New Roman"/>
          <w:lang w:val="sr-Cyrl-RS"/>
        </w:rPr>
        <w:t>Factors</w:t>
      </w:r>
      <w:proofErr w:type="spellEnd"/>
      <w:r w:rsidR="00B12E44" w:rsidRPr="00EA5053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B12E44" w:rsidRPr="00EA5053">
        <w:rPr>
          <w:rFonts w:ascii="Times New Roman" w:hAnsi="Times New Roman" w:cs="Times New Roman"/>
          <w:lang w:val="sr-Cyrl-RS"/>
        </w:rPr>
        <w:t>Group</w:t>
      </w:r>
      <w:proofErr w:type="spellEnd"/>
      <w:r w:rsidR="00B12E44" w:rsidRPr="00EA5053">
        <w:rPr>
          <w:rFonts w:ascii="Times New Roman" w:hAnsi="Times New Roman" w:cs="Times New Roman"/>
          <w:lang w:val="sr-Cyrl-RS"/>
        </w:rPr>
        <w:t xml:space="preserve"> (IFG)</w:t>
      </w:r>
      <w:r w:rsidR="005C6DBD" w:rsidRPr="00EA5053">
        <w:rPr>
          <w:rFonts w:ascii="Times New Roman" w:hAnsi="Times New Roman" w:cs="Times New Roman"/>
          <w:lang w:val="sr-Cyrl-RS"/>
        </w:rPr>
        <w:t>”</w:t>
      </w:r>
      <w:r w:rsidR="00B12E44" w:rsidRPr="00EA5053">
        <w:rPr>
          <w:rFonts w:ascii="Times New Roman" w:hAnsi="Times New Roman" w:cs="Times New Roman"/>
          <w:lang w:val="sr-Cyrl-RS"/>
        </w:rPr>
        <w:t>.</w:t>
      </w:r>
    </w:p>
    <w:p w:rsidR="00B12E44" w:rsidRPr="00EA5053" w:rsidRDefault="00B12E44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A5053">
        <w:rPr>
          <w:rFonts w:ascii="Times New Roman" w:hAnsi="Times New Roman" w:cs="Times New Roman"/>
          <w:lang w:val="sr-Cyrl-RS"/>
        </w:rPr>
        <w:t xml:space="preserve">Ова измена има за циљ ажурирање упућивања на релевантне међународне изворе у складу са организационим променама које су се догодиле у области међународног </w:t>
      </w:r>
      <w:proofErr w:type="spellStart"/>
      <w:r w:rsidRPr="00EA5053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. Наиме, од 2016. године удружења </w:t>
      </w:r>
      <w:proofErr w:type="spellStart"/>
      <w:r w:rsidRPr="00EA5053">
        <w:rPr>
          <w:rFonts w:ascii="Times New Roman" w:hAnsi="Times New Roman" w:cs="Times New Roman"/>
          <w:lang w:val="sr-Cyrl-RS"/>
        </w:rPr>
        <w:t>Factors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EA5053">
        <w:rPr>
          <w:rFonts w:ascii="Times New Roman" w:hAnsi="Times New Roman" w:cs="Times New Roman"/>
          <w:lang w:val="sr-Cyrl-RS"/>
        </w:rPr>
        <w:t>Chain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International (FCI) и International </w:t>
      </w:r>
      <w:proofErr w:type="spellStart"/>
      <w:r w:rsidRPr="00EA5053">
        <w:rPr>
          <w:rFonts w:ascii="Times New Roman" w:hAnsi="Times New Roman" w:cs="Times New Roman"/>
          <w:lang w:val="sr-Cyrl-RS"/>
        </w:rPr>
        <w:t>Factors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EA5053">
        <w:rPr>
          <w:rFonts w:ascii="Times New Roman" w:hAnsi="Times New Roman" w:cs="Times New Roman"/>
          <w:lang w:val="sr-Cyrl-RS"/>
        </w:rPr>
        <w:t>Group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(IFG) спојена су у јединствену организацију која наставља са радом под називом FCI. Новонастала организација преузела је све улоге, стандарде и активности оба претходна удружења, те задржава статус главне референтне институције у области међународног </w:t>
      </w:r>
      <w:proofErr w:type="spellStart"/>
      <w:r w:rsidRPr="00EA5053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Pr="00EA5053">
        <w:rPr>
          <w:rFonts w:ascii="Times New Roman" w:hAnsi="Times New Roman" w:cs="Times New Roman"/>
          <w:lang w:val="sr-Cyrl-RS"/>
        </w:rPr>
        <w:t>.</w:t>
      </w:r>
    </w:p>
    <w:p w:rsidR="003B725D" w:rsidRPr="00EA5053" w:rsidRDefault="00042116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A5053">
        <w:rPr>
          <w:rFonts w:ascii="Times New Roman" w:hAnsi="Times New Roman" w:cs="Times New Roman"/>
          <w:lang w:val="sr-Cyrl-RS"/>
        </w:rPr>
        <w:t>Б</w:t>
      </w:r>
      <w:r w:rsidR="00B12E44" w:rsidRPr="00EA5053">
        <w:rPr>
          <w:rFonts w:ascii="Times New Roman" w:hAnsi="Times New Roman" w:cs="Times New Roman"/>
          <w:lang w:val="sr-Cyrl-RS"/>
        </w:rPr>
        <w:t>рисањем упућивања на сада непостојећу организацију IFG постиже се већа тачност, усаглашеност са актуелним институционалним оквиром и избегавање потенцијалних недоумица у тумачењу одредбе.</w:t>
      </w:r>
    </w:p>
    <w:p w:rsidR="00382E22" w:rsidRPr="00EA5053" w:rsidRDefault="00382E22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5C6DBD">
        <w:rPr>
          <w:rFonts w:ascii="Times New Roman" w:hAnsi="Times New Roman" w:cs="Times New Roman"/>
          <w:bCs/>
          <w:lang w:val="sr-Cyrl-RS"/>
        </w:rPr>
        <w:t xml:space="preserve">Чланом </w:t>
      </w:r>
      <w:r w:rsidR="004803F6" w:rsidRPr="005C6DBD">
        <w:rPr>
          <w:rFonts w:ascii="Times New Roman" w:hAnsi="Times New Roman" w:cs="Times New Roman"/>
          <w:bCs/>
          <w:lang w:val="sr-Cyrl-RS"/>
        </w:rPr>
        <w:t>5</w:t>
      </w:r>
      <w:r w:rsidRPr="005C6DBD">
        <w:rPr>
          <w:rFonts w:ascii="Times New Roman" w:hAnsi="Times New Roman" w:cs="Times New Roman"/>
          <w:bCs/>
          <w:lang w:val="sr-Cyrl-RS"/>
        </w:rPr>
        <w:t>.</w:t>
      </w:r>
      <w:r w:rsidRPr="00EA5053">
        <w:rPr>
          <w:rFonts w:ascii="Times New Roman" w:hAnsi="Times New Roman" w:cs="Times New Roman"/>
          <w:lang w:val="sr-Cyrl-RS"/>
        </w:rPr>
        <w:t xml:space="preserve"> Предлога закона врши се допуна става 4. члана 16. ради прецизнијег уређења поступка враћања потраживања у случају </w:t>
      </w:r>
      <w:proofErr w:type="spellStart"/>
      <w:r w:rsidRPr="00EA5053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са регресом. Поред обавезе враћања самог потраживања уступиоцу, прописује се и обавеза враћања свих пратећих средстава обезбеђења из основног посла (као што су менице, залоге, гаранције и сл.), као и обавеза обавештавања дужника о враћању</w:t>
      </w:r>
      <w:r w:rsidR="00381DBB" w:rsidRPr="00EA5053">
        <w:rPr>
          <w:rFonts w:ascii="Times New Roman" w:hAnsi="Times New Roman" w:cs="Times New Roman"/>
          <w:lang w:val="sr-Cyrl-RS"/>
        </w:rPr>
        <w:t xml:space="preserve"> и рок за поступање</w:t>
      </w:r>
      <w:r w:rsidRPr="00EA5053">
        <w:rPr>
          <w:rFonts w:ascii="Times New Roman" w:hAnsi="Times New Roman" w:cs="Times New Roman"/>
          <w:lang w:val="sr-Cyrl-RS"/>
        </w:rPr>
        <w:t>.</w:t>
      </w:r>
    </w:p>
    <w:p w:rsidR="003B725D" w:rsidRPr="00EA5053" w:rsidRDefault="00382E22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A5053">
        <w:rPr>
          <w:rFonts w:ascii="Times New Roman" w:hAnsi="Times New Roman" w:cs="Times New Roman"/>
          <w:lang w:val="sr-Cyrl-RS"/>
        </w:rPr>
        <w:t xml:space="preserve">Циљ ове допуне је повећање правне сигурности учесника у </w:t>
      </w:r>
      <w:proofErr w:type="spellStart"/>
      <w:r w:rsidRPr="00EA5053">
        <w:rPr>
          <w:rFonts w:ascii="Times New Roman" w:hAnsi="Times New Roman" w:cs="Times New Roman"/>
          <w:lang w:val="sr-Cyrl-RS"/>
        </w:rPr>
        <w:t>факторинг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трансакцијама, као и обезбеђивање транспарентности у поступању након остварења регреса. </w:t>
      </w:r>
    </w:p>
    <w:p w:rsidR="00382E22" w:rsidRPr="00EA5053" w:rsidRDefault="00382E22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5C6DBD">
        <w:rPr>
          <w:rFonts w:ascii="Times New Roman" w:hAnsi="Times New Roman" w:cs="Times New Roman"/>
          <w:bCs/>
          <w:lang w:val="sr-Cyrl-RS"/>
        </w:rPr>
        <w:t xml:space="preserve">Чланом </w:t>
      </w:r>
      <w:r w:rsidR="004803F6" w:rsidRPr="005C6DBD">
        <w:rPr>
          <w:rFonts w:ascii="Times New Roman" w:hAnsi="Times New Roman" w:cs="Times New Roman"/>
          <w:bCs/>
          <w:lang w:val="sr-Cyrl-RS"/>
        </w:rPr>
        <w:t>6</w:t>
      </w:r>
      <w:r w:rsidRPr="005C6DBD">
        <w:rPr>
          <w:rFonts w:ascii="Times New Roman" w:hAnsi="Times New Roman" w:cs="Times New Roman"/>
          <w:bCs/>
          <w:lang w:val="sr-Cyrl-RS"/>
        </w:rPr>
        <w:t>.</w:t>
      </w:r>
      <w:r w:rsidRPr="00EA5053">
        <w:rPr>
          <w:rFonts w:ascii="Times New Roman" w:hAnsi="Times New Roman" w:cs="Times New Roman"/>
          <w:lang w:val="sr-Cyrl-RS"/>
        </w:rPr>
        <w:t xml:space="preserve"> Предлога закона врши се допуна члана 18. став 1. ради прецизнијег дефинисања рокова доспећа потраживања у оквиру обрнутог </w:t>
      </w:r>
      <w:proofErr w:type="spellStart"/>
      <w:r w:rsidRPr="00EA5053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, односно </w:t>
      </w:r>
      <w:proofErr w:type="spellStart"/>
      <w:r w:rsidRPr="00EA5053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у коме је дужник иницијатор посла.</w:t>
      </w:r>
    </w:p>
    <w:p w:rsidR="00382E22" w:rsidRPr="00EA5053" w:rsidRDefault="00382E22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A5053">
        <w:rPr>
          <w:rFonts w:ascii="Times New Roman" w:hAnsi="Times New Roman" w:cs="Times New Roman"/>
          <w:lang w:val="sr-Cyrl-RS"/>
        </w:rPr>
        <w:lastRenderedPageBreak/>
        <w:t xml:space="preserve">Наиме, обзиром да се на ову врсту </w:t>
      </w:r>
      <w:proofErr w:type="spellStart"/>
      <w:r w:rsidRPr="00EA5053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не примењују ограничења из Закона о роковима извршења новчаних обавеза у комерцијалним трансакцијама („Службени гласник РС”, бр. 119/2012, 68/2015, 113/2017, 91/2019, 44/2021, 44/2021 – др. закон, 130/2021, 129/2021 – др. закон и 138/2022), потребно је омогућити странама већу уговорну слободу у погледу дефинисања рокова за доспеће обавеза.</w:t>
      </w:r>
    </w:p>
    <w:p w:rsidR="00382E22" w:rsidRPr="00EA5053" w:rsidRDefault="00382E22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A5053">
        <w:rPr>
          <w:rFonts w:ascii="Times New Roman" w:hAnsi="Times New Roman" w:cs="Times New Roman"/>
          <w:lang w:val="sr-Cyrl-RS"/>
        </w:rPr>
        <w:t xml:space="preserve">Допуном се изричито омогућава уговорним странама да уговоре рок исплате у складу са роком назначеним у фактури или у другом уговореном року, што повећава правну сигурност и </w:t>
      </w:r>
      <w:r w:rsidR="00D70E22" w:rsidRPr="00EA5053">
        <w:rPr>
          <w:rFonts w:ascii="Times New Roman" w:hAnsi="Times New Roman" w:cs="Times New Roman"/>
          <w:lang w:val="sr-Cyrl-RS"/>
        </w:rPr>
        <w:t>предвидљивост</w:t>
      </w:r>
      <w:r w:rsidRPr="00EA5053">
        <w:rPr>
          <w:rFonts w:ascii="Times New Roman" w:hAnsi="Times New Roman" w:cs="Times New Roman"/>
          <w:lang w:val="sr-Cyrl-RS"/>
        </w:rPr>
        <w:t xml:space="preserve"> односа.</w:t>
      </w:r>
    </w:p>
    <w:p w:rsidR="00382E22" w:rsidRPr="00EA5053" w:rsidRDefault="00382E22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A5053">
        <w:rPr>
          <w:rFonts w:ascii="Times New Roman" w:hAnsi="Times New Roman" w:cs="Times New Roman"/>
          <w:lang w:val="sr-Cyrl-RS"/>
        </w:rPr>
        <w:t xml:space="preserve">Слично законско решење већ постоји у законодавству Северне Македоније, где се изричито дозвољава уговорна слобода у погледу доспећа потраживања у </w:t>
      </w:r>
      <w:proofErr w:type="spellStart"/>
      <w:r w:rsidRPr="00EA5053">
        <w:rPr>
          <w:rFonts w:ascii="Times New Roman" w:hAnsi="Times New Roman" w:cs="Times New Roman"/>
          <w:lang w:val="sr-Cyrl-RS"/>
        </w:rPr>
        <w:t>факторинг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аранжманима.</w:t>
      </w:r>
    </w:p>
    <w:p w:rsidR="00382E22" w:rsidRPr="00EA5053" w:rsidRDefault="00382E22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A5053">
        <w:rPr>
          <w:rFonts w:ascii="Times New Roman" w:hAnsi="Times New Roman" w:cs="Times New Roman"/>
          <w:lang w:val="sr-Cyrl-RS"/>
        </w:rPr>
        <w:t xml:space="preserve">Допуна је у складу и са </w:t>
      </w:r>
      <w:r w:rsidR="00042116" w:rsidRPr="00EA5053">
        <w:rPr>
          <w:rFonts w:ascii="Times New Roman" w:hAnsi="Times New Roman" w:cs="Times New Roman"/>
          <w:lang w:val="sr-Cyrl-RS"/>
        </w:rPr>
        <w:t>,,</w:t>
      </w:r>
      <w:r w:rsidRPr="00EA5053">
        <w:rPr>
          <w:rFonts w:ascii="Times New Roman" w:hAnsi="Times New Roman" w:cs="Times New Roman"/>
          <w:lang w:val="sr-Cyrl-RS"/>
        </w:rPr>
        <w:t xml:space="preserve">UNIDROIT </w:t>
      </w:r>
      <w:proofErr w:type="spellStart"/>
      <w:r w:rsidRPr="00EA5053">
        <w:rPr>
          <w:rFonts w:ascii="Times New Roman" w:hAnsi="Times New Roman" w:cs="Times New Roman"/>
          <w:lang w:val="sr-Cyrl-RS"/>
        </w:rPr>
        <w:t>Model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EA5053">
        <w:rPr>
          <w:rFonts w:ascii="Times New Roman" w:hAnsi="Times New Roman" w:cs="Times New Roman"/>
          <w:lang w:val="sr-Cyrl-RS"/>
        </w:rPr>
        <w:t>Law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EA5053">
        <w:rPr>
          <w:rFonts w:ascii="Times New Roman" w:hAnsi="Times New Roman" w:cs="Times New Roman"/>
          <w:lang w:val="sr-Cyrl-RS"/>
        </w:rPr>
        <w:t>on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EA5053">
        <w:rPr>
          <w:rFonts w:ascii="Times New Roman" w:hAnsi="Times New Roman" w:cs="Times New Roman"/>
          <w:lang w:val="sr-Cyrl-RS"/>
        </w:rPr>
        <w:t>Factoring</w:t>
      </w:r>
      <w:proofErr w:type="spellEnd"/>
      <w:r w:rsidR="005C6DBD" w:rsidRPr="00EA5053">
        <w:rPr>
          <w:rFonts w:ascii="Times New Roman" w:hAnsi="Times New Roman" w:cs="Times New Roman"/>
          <w:lang w:val="sr-Cyrl-RS"/>
        </w:rPr>
        <w:t>”</w:t>
      </w:r>
      <w:r w:rsidRPr="00EA5053">
        <w:rPr>
          <w:rFonts w:ascii="Times New Roman" w:hAnsi="Times New Roman" w:cs="Times New Roman"/>
          <w:lang w:val="sr-Cyrl-RS"/>
        </w:rPr>
        <w:t xml:space="preserve">, који не намеће ограничења у погледу рока доспећа уступљених потраживања и оставља питање рокова у надлежности уговора између страна. </w:t>
      </w:r>
      <w:r w:rsidR="00042116" w:rsidRPr="00EA5053">
        <w:rPr>
          <w:rFonts w:ascii="Times New Roman" w:hAnsi="Times New Roman" w:cs="Times New Roman"/>
          <w:lang w:val="sr-Cyrl-RS"/>
        </w:rPr>
        <w:t xml:space="preserve">,,UNIDROIT </w:t>
      </w:r>
      <w:proofErr w:type="spellStart"/>
      <w:r w:rsidR="00042116" w:rsidRPr="00EA5053">
        <w:rPr>
          <w:rFonts w:ascii="Times New Roman" w:hAnsi="Times New Roman" w:cs="Times New Roman"/>
          <w:lang w:val="sr-Cyrl-RS"/>
        </w:rPr>
        <w:t>Model</w:t>
      </w:r>
      <w:proofErr w:type="spellEnd"/>
      <w:r w:rsidR="00042116" w:rsidRPr="00EA5053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042116" w:rsidRPr="00EA5053">
        <w:rPr>
          <w:rFonts w:ascii="Times New Roman" w:hAnsi="Times New Roman" w:cs="Times New Roman"/>
          <w:lang w:val="sr-Cyrl-RS"/>
        </w:rPr>
        <w:t>Law</w:t>
      </w:r>
      <w:proofErr w:type="spellEnd"/>
      <w:r w:rsidR="00042116" w:rsidRPr="00EA5053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042116" w:rsidRPr="00EA5053">
        <w:rPr>
          <w:rFonts w:ascii="Times New Roman" w:hAnsi="Times New Roman" w:cs="Times New Roman"/>
          <w:lang w:val="sr-Cyrl-RS"/>
        </w:rPr>
        <w:t>on</w:t>
      </w:r>
      <w:proofErr w:type="spellEnd"/>
      <w:r w:rsidR="00042116" w:rsidRPr="00EA5053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042116" w:rsidRPr="00EA5053">
        <w:rPr>
          <w:rFonts w:ascii="Times New Roman" w:hAnsi="Times New Roman" w:cs="Times New Roman"/>
          <w:lang w:val="sr-Cyrl-RS"/>
        </w:rPr>
        <w:t>Factoring</w:t>
      </w:r>
      <w:proofErr w:type="spellEnd"/>
      <w:r w:rsidR="005C6DBD" w:rsidRPr="00EA5053">
        <w:rPr>
          <w:rFonts w:ascii="Times New Roman" w:hAnsi="Times New Roman" w:cs="Times New Roman"/>
          <w:lang w:val="sr-Cyrl-RS"/>
        </w:rPr>
        <w:t>”</w:t>
      </w:r>
      <w:r w:rsidRPr="00EA5053">
        <w:rPr>
          <w:rFonts w:ascii="Times New Roman" w:hAnsi="Times New Roman" w:cs="Times New Roman"/>
          <w:lang w:val="sr-Cyrl-RS"/>
        </w:rPr>
        <w:t xml:space="preserve"> омогућава </w:t>
      </w:r>
      <w:proofErr w:type="spellStart"/>
      <w:r w:rsidRPr="00EA5053">
        <w:rPr>
          <w:rFonts w:ascii="Times New Roman" w:hAnsi="Times New Roman" w:cs="Times New Roman"/>
          <w:lang w:val="sr-Cyrl-RS"/>
        </w:rPr>
        <w:t>факторинг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на основу садашњих и будућих потраживања, без ограничења у погледу рокова, што подразумева и ситуације у којима рок доспећа није нужно условљен продајом робе или услуге, већ може бити предмет посебног уговора.</w:t>
      </w:r>
    </w:p>
    <w:p w:rsidR="00382E22" w:rsidRPr="00EA5053" w:rsidRDefault="00382E22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A5053">
        <w:rPr>
          <w:rFonts w:ascii="Times New Roman" w:hAnsi="Times New Roman" w:cs="Times New Roman"/>
          <w:lang w:val="sr-Cyrl-RS"/>
        </w:rPr>
        <w:t>Овим се унапређује регулаторни оквир и подстиче флексибилност и развој иновативних модела финансирања</w:t>
      </w:r>
      <w:r w:rsidR="00B029DB">
        <w:rPr>
          <w:rFonts w:ascii="Times New Roman" w:hAnsi="Times New Roman" w:cs="Times New Roman"/>
          <w:lang w:val="sr-Latn-RS"/>
        </w:rPr>
        <w:t>.</w:t>
      </w:r>
    </w:p>
    <w:p w:rsidR="00952F8C" w:rsidRPr="00EB59B9" w:rsidRDefault="00952F8C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5C6DBD">
        <w:rPr>
          <w:rFonts w:ascii="Times New Roman" w:hAnsi="Times New Roman" w:cs="Times New Roman"/>
          <w:bCs/>
          <w:lang w:val="sr-Cyrl-RS"/>
        </w:rPr>
        <w:t xml:space="preserve">Чланом </w:t>
      </w:r>
      <w:r w:rsidR="004803F6" w:rsidRPr="005C6DBD">
        <w:rPr>
          <w:rFonts w:ascii="Times New Roman" w:hAnsi="Times New Roman" w:cs="Times New Roman"/>
          <w:bCs/>
          <w:lang w:val="sr-Cyrl-RS"/>
        </w:rPr>
        <w:t>7</w:t>
      </w:r>
      <w:r w:rsidRPr="005C6DBD">
        <w:rPr>
          <w:rFonts w:ascii="Times New Roman" w:hAnsi="Times New Roman" w:cs="Times New Roman"/>
          <w:bCs/>
          <w:lang w:val="sr-Cyrl-RS"/>
        </w:rPr>
        <w:t>.</w:t>
      </w:r>
      <w:r w:rsidRPr="005C6DBD">
        <w:rPr>
          <w:rFonts w:ascii="Times New Roman" w:hAnsi="Times New Roman" w:cs="Times New Roman"/>
          <w:lang w:val="sr-Cyrl-RS"/>
        </w:rPr>
        <w:t xml:space="preserve"> чланом</w:t>
      </w:r>
      <w:r w:rsidRPr="00EB59B9">
        <w:rPr>
          <w:rFonts w:ascii="Times New Roman" w:hAnsi="Times New Roman" w:cs="Times New Roman"/>
          <w:lang w:val="sr-Cyrl-RS"/>
        </w:rPr>
        <w:t xml:space="preserve">, уводи се могућност да уговор о </w:t>
      </w:r>
      <w:proofErr w:type="spellStart"/>
      <w:r w:rsidRPr="00EB59B9">
        <w:rPr>
          <w:rFonts w:ascii="Times New Roman" w:hAnsi="Times New Roman" w:cs="Times New Roman"/>
          <w:lang w:val="sr-Cyrl-RS"/>
        </w:rPr>
        <w:t>факторингу</w:t>
      </w:r>
      <w:proofErr w:type="spellEnd"/>
      <w:r w:rsidRPr="00EB59B9">
        <w:rPr>
          <w:rFonts w:ascii="Times New Roman" w:hAnsi="Times New Roman" w:cs="Times New Roman"/>
          <w:lang w:val="sr-Cyrl-RS"/>
        </w:rPr>
        <w:t xml:space="preserve">, ако је закључен у писаној форми и оверен код јавног бележника, има снагу извршне исправе у смислу члана </w:t>
      </w:r>
      <w:r w:rsidR="007267B9" w:rsidRPr="00EB59B9">
        <w:rPr>
          <w:rFonts w:ascii="Times New Roman" w:hAnsi="Times New Roman" w:cs="Times New Roman"/>
          <w:lang w:val="sr-Cyrl-RS"/>
        </w:rPr>
        <w:t>41 става 1. тачке 8)</w:t>
      </w:r>
      <w:r w:rsidRPr="00EB59B9">
        <w:rPr>
          <w:rFonts w:ascii="Times New Roman" w:hAnsi="Times New Roman" w:cs="Times New Roman"/>
          <w:lang w:val="sr-Cyrl-RS"/>
        </w:rPr>
        <w:t xml:space="preserve"> Закона о извршењу и обезбеђењу („Сл</w:t>
      </w:r>
      <w:r w:rsidR="005C6DBD">
        <w:rPr>
          <w:rFonts w:ascii="Times New Roman" w:hAnsi="Times New Roman" w:cs="Times New Roman"/>
          <w:lang w:val="sr-Cyrl-RS"/>
        </w:rPr>
        <w:t>ужбени</w:t>
      </w:r>
      <w:r w:rsidRPr="00EB59B9">
        <w:rPr>
          <w:rFonts w:ascii="Times New Roman" w:hAnsi="Times New Roman" w:cs="Times New Roman"/>
          <w:lang w:val="sr-Cyrl-RS"/>
        </w:rPr>
        <w:t xml:space="preserve"> гласник РС</w:t>
      </w:r>
      <w:r w:rsidR="005C6DBD" w:rsidRPr="00EA5053">
        <w:rPr>
          <w:rFonts w:ascii="Times New Roman" w:hAnsi="Times New Roman" w:cs="Times New Roman"/>
          <w:lang w:val="sr-Cyrl-RS"/>
        </w:rPr>
        <w:t>”</w:t>
      </w:r>
      <w:r w:rsidRPr="00EB59B9">
        <w:rPr>
          <w:rFonts w:ascii="Times New Roman" w:hAnsi="Times New Roman" w:cs="Times New Roman"/>
          <w:lang w:val="sr-Cyrl-RS"/>
        </w:rPr>
        <w:t xml:space="preserve">, бр. 106/2015, 106/2016 – аутентично тумачење, 113/2017, 54/2019 и 9/2020 </w:t>
      </w:r>
      <w:r w:rsidR="007267B9" w:rsidRPr="00B029DB">
        <w:rPr>
          <w:rFonts w:ascii="Times New Roman" w:hAnsi="Times New Roman" w:cs="Times New Roman"/>
          <w:lang w:val="sr-Cyrl-RS"/>
        </w:rPr>
        <w:t>- аутентично</w:t>
      </w:r>
      <w:r w:rsidR="005C6DBD">
        <w:rPr>
          <w:rFonts w:ascii="Times New Roman" w:hAnsi="Times New Roman" w:cs="Times New Roman"/>
          <w:lang w:val="sr-Cyrl-RS"/>
        </w:rPr>
        <w:t xml:space="preserve"> тумачење и 10/2023 - др. закон</w:t>
      </w:r>
      <w:r w:rsidRPr="00EB59B9">
        <w:rPr>
          <w:rFonts w:ascii="Times New Roman" w:hAnsi="Times New Roman" w:cs="Times New Roman"/>
          <w:lang w:val="sr-Cyrl-RS"/>
        </w:rPr>
        <w:t>).</w:t>
      </w:r>
    </w:p>
    <w:p w:rsidR="00952F8C" w:rsidRPr="00EB59B9" w:rsidRDefault="00952F8C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Latn-RS"/>
        </w:rPr>
      </w:pPr>
      <w:r w:rsidRPr="00EB59B9">
        <w:rPr>
          <w:rFonts w:ascii="Times New Roman" w:hAnsi="Times New Roman" w:cs="Times New Roman"/>
          <w:lang w:val="sr-Cyrl-RS"/>
        </w:rPr>
        <w:t xml:space="preserve">Конкретно, члан </w:t>
      </w:r>
      <w:r w:rsidR="007267B9" w:rsidRPr="00EB59B9">
        <w:rPr>
          <w:rFonts w:ascii="Times New Roman" w:hAnsi="Times New Roman" w:cs="Times New Roman"/>
          <w:lang w:val="sr-Cyrl-RS"/>
        </w:rPr>
        <w:t xml:space="preserve">41 става 1. тачке 8. </w:t>
      </w:r>
      <w:r w:rsidRPr="00EB59B9">
        <w:rPr>
          <w:rFonts w:ascii="Times New Roman" w:hAnsi="Times New Roman" w:cs="Times New Roman"/>
          <w:lang w:val="sr-Cyrl-RS"/>
        </w:rPr>
        <w:t xml:space="preserve">прописује да </w:t>
      </w:r>
      <w:r w:rsidR="007267B9" w:rsidRPr="00EB59B9">
        <w:rPr>
          <w:rFonts w:ascii="Times New Roman" w:hAnsi="Times New Roman" w:cs="Times New Roman"/>
          <w:lang w:val="sr-Cyrl-RS"/>
        </w:rPr>
        <w:t xml:space="preserve">је извршна исправа </w:t>
      </w:r>
      <w:r w:rsidR="007267B9" w:rsidRPr="00B029DB">
        <w:rPr>
          <w:rFonts w:ascii="Times New Roman" w:hAnsi="Times New Roman" w:cs="Times New Roman"/>
          <w:lang w:val="sr-Cyrl-RS"/>
        </w:rPr>
        <w:t>,,исправа која је овим или другим законом одређена као извршна исправа</w:t>
      </w:r>
      <w:r w:rsidR="005C6DBD" w:rsidRPr="00EA5053">
        <w:rPr>
          <w:rFonts w:ascii="Times New Roman" w:hAnsi="Times New Roman" w:cs="Times New Roman"/>
          <w:lang w:val="sr-Cyrl-RS"/>
        </w:rPr>
        <w:t>”</w:t>
      </w:r>
      <w:r w:rsidR="007267B9" w:rsidRPr="00B029DB">
        <w:rPr>
          <w:rFonts w:ascii="Times New Roman" w:hAnsi="Times New Roman" w:cs="Times New Roman"/>
          <w:lang w:val="sr-Cyrl-RS"/>
        </w:rPr>
        <w:t xml:space="preserve">, те би се у складу са наведеним уговор о </w:t>
      </w:r>
      <w:proofErr w:type="spellStart"/>
      <w:r w:rsidR="007267B9" w:rsidRPr="00B029DB">
        <w:rPr>
          <w:rFonts w:ascii="Times New Roman" w:hAnsi="Times New Roman" w:cs="Times New Roman"/>
          <w:lang w:val="sr-Cyrl-RS"/>
        </w:rPr>
        <w:t>факторингу</w:t>
      </w:r>
      <w:proofErr w:type="spellEnd"/>
      <w:r w:rsidR="007267B9" w:rsidRPr="00B029DB">
        <w:rPr>
          <w:rFonts w:ascii="Times New Roman" w:hAnsi="Times New Roman" w:cs="Times New Roman"/>
          <w:lang w:val="sr-Cyrl-RS"/>
        </w:rPr>
        <w:t xml:space="preserve"> сматрао извршном исправом ако је </w:t>
      </w:r>
      <w:proofErr w:type="spellStart"/>
      <w:r w:rsidR="00B029DB" w:rsidRPr="00B029DB">
        <w:rPr>
          <w:rFonts w:ascii="Times New Roman" w:hAnsi="Times New Roman" w:cs="Times New Roman"/>
          <w:lang w:val="sr-Cyrl-RS"/>
        </w:rPr>
        <w:t>солемизован</w:t>
      </w:r>
      <w:proofErr w:type="spellEnd"/>
      <w:r w:rsidR="00B029DB" w:rsidRPr="00B029DB">
        <w:rPr>
          <w:rFonts w:ascii="Times New Roman" w:hAnsi="Times New Roman" w:cs="Times New Roman"/>
          <w:lang w:val="sr-Cyrl-RS"/>
        </w:rPr>
        <w:t xml:space="preserve"> код јавног бележника и ако садржи клаузулу садржи изјаву дужника којом пристаје да поверилац на основу споразума о решавању спора путем посредовања, након доспелости потраживања може покренути поступак принудног извршења (клаузула извршности).</w:t>
      </w:r>
    </w:p>
    <w:p w:rsidR="00952F8C" w:rsidRPr="00EB59B9" w:rsidRDefault="00952F8C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B59B9">
        <w:rPr>
          <w:rFonts w:ascii="Times New Roman" w:hAnsi="Times New Roman" w:cs="Times New Roman"/>
          <w:lang w:val="sr-Cyrl-RS"/>
        </w:rPr>
        <w:t xml:space="preserve">Циљ предложеног решења је унапређење наплативости потраживања у </w:t>
      </w:r>
      <w:proofErr w:type="spellStart"/>
      <w:r w:rsidRPr="00EB59B9">
        <w:rPr>
          <w:rFonts w:ascii="Times New Roman" w:hAnsi="Times New Roman" w:cs="Times New Roman"/>
          <w:lang w:val="sr-Cyrl-RS"/>
        </w:rPr>
        <w:t>факторинг</w:t>
      </w:r>
      <w:proofErr w:type="spellEnd"/>
      <w:r w:rsidRPr="00EB59B9">
        <w:rPr>
          <w:rFonts w:ascii="Times New Roman" w:hAnsi="Times New Roman" w:cs="Times New Roman"/>
          <w:lang w:val="sr-Cyrl-RS"/>
        </w:rPr>
        <w:t xml:space="preserve"> трансакцијама, смањење потребе за судским поступцима, као и јачање правне сигурности у уговорним односима.</w:t>
      </w:r>
    </w:p>
    <w:p w:rsidR="00952F8C" w:rsidRPr="00EB59B9" w:rsidRDefault="00952F8C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B59B9">
        <w:rPr>
          <w:rFonts w:ascii="Times New Roman" w:hAnsi="Times New Roman" w:cs="Times New Roman"/>
          <w:lang w:val="sr-Cyrl-RS"/>
        </w:rPr>
        <w:t>Поред тога, проп</w:t>
      </w:r>
      <w:r w:rsidR="00381DBB" w:rsidRPr="00EB59B9">
        <w:rPr>
          <w:rFonts w:ascii="Times New Roman" w:hAnsi="Times New Roman" w:cs="Times New Roman"/>
          <w:lang w:val="sr-Cyrl-RS"/>
        </w:rPr>
        <w:t>исано је</w:t>
      </w:r>
      <w:r w:rsidRPr="00EB59B9">
        <w:rPr>
          <w:rFonts w:ascii="Times New Roman" w:hAnsi="Times New Roman" w:cs="Times New Roman"/>
          <w:lang w:val="sr-Cyrl-RS"/>
        </w:rPr>
        <w:t xml:space="preserve"> да је овера искључиво добровољна, тј. није обавезна, већ зависи од сагласности страна, чиме се не намеће додатно административно оптерећење за све уговоре о </w:t>
      </w:r>
      <w:proofErr w:type="spellStart"/>
      <w:r w:rsidRPr="00EB59B9">
        <w:rPr>
          <w:rFonts w:ascii="Times New Roman" w:hAnsi="Times New Roman" w:cs="Times New Roman"/>
          <w:lang w:val="sr-Cyrl-RS"/>
        </w:rPr>
        <w:t>факторингу</w:t>
      </w:r>
      <w:proofErr w:type="spellEnd"/>
      <w:r w:rsidRPr="00EB59B9">
        <w:rPr>
          <w:rFonts w:ascii="Times New Roman" w:hAnsi="Times New Roman" w:cs="Times New Roman"/>
          <w:lang w:val="sr-Cyrl-RS"/>
        </w:rPr>
        <w:t>, већ се ова могућност користи само у оним ситуацијама када је то странама потребно (нпр. код фактора који желе да унапред обезбеде извршност документа за бржу наплату).</w:t>
      </w:r>
    </w:p>
    <w:p w:rsidR="00952F8C" w:rsidRPr="00EA5053" w:rsidRDefault="00952F8C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5C6DBD">
        <w:rPr>
          <w:rFonts w:ascii="Times New Roman" w:hAnsi="Times New Roman" w:cs="Times New Roman"/>
          <w:bCs/>
          <w:lang w:val="sr-Cyrl-RS"/>
        </w:rPr>
        <w:t xml:space="preserve">Чланом </w:t>
      </w:r>
      <w:r w:rsidR="004803F6" w:rsidRPr="005C6DBD">
        <w:rPr>
          <w:rFonts w:ascii="Times New Roman" w:hAnsi="Times New Roman" w:cs="Times New Roman"/>
          <w:bCs/>
          <w:lang w:val="sr-Cyrl-RS"/>
        </w:rPr>
        <w:t>8</w:t>
      </w:r>
      <w:r w:rsidRPr="005C6DBD">
        <w:rPr>
          <w:rFonts w:ascii="Times New Roman" w:hAnsi="Times New Roman" w:cs="Times New Roman"/>
          <w:bCs/>
          <w:lang w:val="sr-Cyrl-RS"/>
        </w:rPr>
        <w:t xml:space="preserve">. </w:t>
      </w:r>
      <w:r w:rsidRPr="005C6DBD">
        <w:rPr>
          <w:rFonts w:ascii="Times New Roman" w:hAnsi="Times New Roman" w:cs="Times New Roman"/>
          <w:lang w:val="sr-Cyrl-RS"/>
        </w:rPr>
        <w:t>Предлога</w:t>
      </w:r>
      <w:r w:rsidRPr="00EA5053">
        <w:rPr>
          <w:rFonts w:ascii="Times New Roman" w:hAnsi="Times New Roman" w:cs="Times New Roman"/>
          <w:lang w:val="sr-Cyrl-RS"/>
        </w:rPr>
        <w:t xml:space="preserve"> закона уводи се правило да се аутоматско обнављање уговора о </w:t>
      </w:r>
      <w:proofErr w:type="spellStart"/>
      <w:r w:rsidRPr="00EA5053">
        <w:rPr>
          <w:rFonts w:ascii="Times New Roman" w:hAnsi="Times New Roman" w:cs="Times New Roman"/>
          <w:lang w:val="sr-Cyrl-RS"/>
        </w:rPr>
        <w:t>факторингу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може применити искључиво уколико је таква могућност изричито уговорена између страна.</w:t>
      </w:r>
    </w:p>
    <w:p w:rsidR="00952F8C" w:rsidRPr="00EA5053" w:rsidRDefault="00952F8C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A5053">
        <w:rPr>
          <w:rFonts w:ascii="Times New Roman" w:hAnsi="Times New Roman" w:cs="Times New Roman"/>
          <w:lang w:val="sr-Cyrl-RS"/>
        </w:rPr>
        <w:t xml:space="preserve">Циљ ове одредбе је да се обезбеди већи ниво уговорне сигурности и транспарентности, како за уступиоца, тако и за фактора, с обзиром на то да </w:t>
      </w:r>
      <w:proofErr w:type="spellStart"/>
      <w:r w:rsidRPr="00EA5053">
        <w:rPr>
          <w:rFonts w:ascii="Times New Roman" w:hAnsi="Times New Roman" w:cs="Times New Roman"/>
          <w:lang w:val="sr-Cyrl-RS"/>
        </w:rPr>
        <w:t>факторинг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уговори могу подразумевати и финансијске обавезе које се редовно продужавају. Увођењем оваквог услова, спречавају се потенцијалне недоумице или спорови који би могли настати у вези са тим да ли је уговор продужен или не, у одсуству јасне изричите одредбе.</w:t>
      </w:r>
    </w:p>
    <w:p w:rsidR="00382E22" w:rsidRPr="00EA5053" w:rsidRDefault="00952F8C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A5053">
        <w:rPr>
          <w:rFonts w:ascii="Times New Roman" w:hAnsi="Times New Roman" w:cs="Times New Roman"/>
          <w:lang w:val="sr-Cyrl-RS"/>
        </w:rPr>
        <w:lastRenderedPageBreak/>
        <w:t>Овакво решење је у складу са основним принципима облигационог права о слободи уговарања и обавештености страна, као и са пословном праксом у финансијским уговорима, где продужење уговора често има значајне финансијске и правне последице.</w:t>
      </w:r>
    </w:p>
    <w:p w:rsidR="00952F8C" w:rsidRPr="00EA5053" w:rsidRDefault="00952F8C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5C6DBD">
        <w:rPr>
          <w:rFonts w:ascii="Times New Roman" w:hAnsi="Times New Roman" w:cs="Times New Roman"/>
          <w:bCs/>
          <w:lang w:val="sr-Cyrl-RS"/>
        </w:rPr>
        <w:t xml:space="preserve">Чланом </w:t>
      </w:r>
      <w:r w:rsidR="004803F6" w:rsidRPr="005C6DBD">
        <w:rPr>
          <w:rFonts w:ascii="Times New Roman" w:hAnsi="Times New Roman" w:cs="Times New Roman"/>
          <w:bCs/>
          <w:lang w:val="sr-Cyrl-RS"/>
        </w:rPr>
        <w:t>9</w:t>
      </w:r>
      <w:r w:rsidRPr="005C6DBD">
        <w:rPr>
          <w:rFonts w:ascii="Times New Roman" w:hAnsi="Times New Roman" w:cs="Times New Roman"/>
          <w:bCs/>
          <w:lang w:val="sr-Cyrl-RS"/>
        </w:rPr>
        <w:t>.</w:t>
      </w:r>
      <w:r w:rsidRPr="00EA5053">
        <w:rPr>
          <w:rFonts w:ascii="Times New Roman" w:hAnsi="Times New Roman" w:cs="Times New Roman"/>
          <w:lang w:val="sr-Cyrl-RS"/>
        </w:rPr>
        <w:t xml:space="preserve"> Предлога закона врши се допуна постојеће одредбе члана 23. Закона, с циљем бољег усклађивања са тржишним праксама и постојећим дигиталним решењима која се користе у поступку уступања потраживања.</w:t>
      </w:r>
    </w:p>
    <w:p w:rsidR="00D56FD1" w:rsidRPr="00EA5053" w:rsidRDefault="00952F8C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B59B9">
        <w:rPr>
          <w:rFonts w:ascii="Times New Roman" w:hAnsi="Times New Roman" w:cs="Times New Roman"/>
          <w:lang w:val="sr-Cyrl-RS"/>
        </w:rPr>
        <w:t xml:space="preserve">Допуном тачке 1. става 1., омогућава се да предмет уступања буду не само фактуре, већ и други комерцијални документи као што су </w:t>
      </w:r>
      <w:proofErr w:type="spellStart"/>
      <w:r w:rsidRPr="00EB59B9">
        <w:rPr>
          <w:rFonts w:ascii="Times New Roman" w:hAnsi="Times New Roman" w:cs="Times New Roman"/>
          <w:lang w:val="sr-Cyrl-RS"/>
        </w:rPr>
        <w:t>профактуре</w:t>
      </w:r>
      <w:proofErr w:type="spellEnd"/>
      <w:r w:rsidRPr="00EB59B9">
        <w:rPr>
          <w:rFonts w:ascii="Times New Roman" w:hAnsi="Times New Roman" w:cs="Times New Roman"/>
          <w:lang w:val="sr-Cyrl-RS"/>
        </w:rPr>
        <w:t>, авансни рачуни, као и електронске фактуре преузете из система</w:t>
      </w:r>
      <w:r w:rsidR="007F3FFA">
        <w:rPr>
          <w:rFonts w:ascii="Times New Roman" w:hAnsi="Times New Roman" w:cs="Times New Roman"/>
          <w:lang w:val="sr-Cyrl-RS"/>
        </w:rPr>
        <w:t xml:space="preserve"> електронских фактура</w:t>
      </w:r>
      <w:r w:rsidRPr="00EB59B9">
        <w:rPr>
          <w:rFonts w:ascii="Times New Roman" w:hAnsi="Times New Roman" w:cs="Times New Roman"/>
          <w:lang w:val="sr-Cyrl-RS"/>
        </w:rPr>
        <w:t>. На овај начин, проширује се спектар документације која може послужити као основ за уступање потраживања, што је усклађено са реалним пословним моделима и праксом у дигиталном окружењу.</w:t>
      </w:r>
      <w:r w:rsidR="00D56FD1" w:rsidRPr="00EA5053">
        <w:rPr>
          <w:rFonts w:ascii="Times New Roman" w:hAnsi="Times New Roman" w:cs="Times New Roman"/>
          <w:lang w:val="sr-Cyrl-RS"/>
        </w:rPr>
        <w:t xml:space="preserve"> </w:t>
      </w:r>
    </w:p>
    <w:p w:rsidR="00D56FD1" w:rsidRPr="00EA5053" w:rsidRDefault="00D56FD1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A5053">
        <w:rPr>
          <w:rFonts w:ascii="Times New Roman" w:hAnsi="Times New Roman" w:cs="Times New Roman"/>
          <w:lang w:val="sr-Cyrl-RS"/>
        </w:rPr>
        <w:t>Брисањем речи оригинал или копија оверена од стране надлежног органа у истом ставу, укида се обавеза доставе оригинал уговора. Фактор и даље има могућност да у складу са пословним моделом од уступиоца захтева достављање уговора у оригиналу</w:t>
      </w:r>
      <w:r w:rsidR="00B029DB">
        <w:rPr>
          <w:rFonts w:ascii="Times New Roman" w:hAnsi="Times New Roman" w:cs="Times New Roman"/>
          <w:lang w:val="sr-Cyrl-RS"/>
        </w:rPr>
        <w:t xml:space="preserve">, имајући у виду да документација из члана 23. став 1. Закона о </w:t>
      </w:r>
      <w:proofErr w:type="spellStart"/>
      <w:r w:rsidR="00B029DB">
        <w:rPr>
          <w:rFonts w:ascii="Times New Roman" w:hAnsi="Times New Roman" w:cs="Times New Roman"/>
          <w:lang w:val="sr-Cyrl-RS"/>
        </w:rPr>
        <w:t>факторингу</w:t>
      </w:r>
      <w:proofErr w:type="spellEnd"/>
      <w:r w:rsidR="00B029DB">
        <w:rPr>
          <w:rFonts w:ascii="Times New Roman" w:hAnsi="Times New Roman" w:cs="Times New Roman"/>
          <w:lang w:val="sr-Cyrl-RS"/>
        </w:rPr>
        <w:t xml:space="preserve"> представља веродостојну исправу</w:t>
      </w:r>
      <w:r w:rsidRPr="00EA5053">
        <w:rPr>
          <w:rFonts w:ascii="Times New Roman" w:hAnsi="Times New Roman" w:cs="Times New Roman"/>
          <w:lang w:val="sr-Cyrl-RS"/>
        </w:rPr>
        <w:t>.</w:t>
      </w:r>
    </w:p>
    <w:p w:rsidR="00952F8C" w:rsidRPr="00EA5053" w:rsidRDefault="00952F8C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A5053">
        <w:rPr>
          <w:rFonts w:ascii="Times New Roman" w:hAnsi="Times New Roman" w:cs="Times New Roman"/>
          <w:lang w:val="sr-Cyrl-RS"/>
        </w:rPr>
        <w:t>Допуном става 2., предвиђа се могућност да посебан документ који потврђује уступање потраживања буде сачињен у електронској форми, чиме се омогућава даља дигитализација поступака и отклањају недоумице у пракси. Ова измена је у складу са Законом о електронском документу, електронској идентификацији и услугама од поверења у електронском пословању, који изједначава правно дејство електронске и писане форме.</w:t>
      </w:r>
    </w:p>
    <w:p w:rsidR="00952F8C" w:rsidRPr="00EA5053" w:rsidRDefault="00952F8C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A5053">
        <w:rPr>
          <w:rFonts w:ascii="Times New Roman" w:hAnsi="Times New Roman" w:cs="Times New Roman"/>
          <w:lang w:val="sr-Cyrl-RS"/>
        </w:rPr>
        <w:t xml:space="preserve">Циљ ових измена је да се закон усклади са савременим токовима дигитализације у финансијском и трговинском пословању, уз очување правне сигурности странака у </w:t>
      </w:r>
      <w:proofErr w:type="spellStart"/>
      <w:r w:rsidRPr="00EA5053">
        <w:rPr>
          <w:rFonts w:ascii="Times New Roman" w:hAnsi="Times New Roman" w:cs="Times New Roman"/>
          <w:lang w:val="sr-Cyrl-RS"/>
        </w:rPr>
        <w:t>факторинг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пословима</w:t>
      </w:r>
      <w:r w:rsidR="00D56FD1" w:rsidRPr="00EA5053">
        <w:rPr>
          <w:rFonts w:ascii="Times New Roman" w:hAnsi="Times New Roman" w:cs="Times New Roman"/>
          <w:lang w:val="sr-Latn-RS"/>
        </w:rPr>
        <w:t>,</w:t>
      </w:r>
      <w:r w:rsidR="00D56FD1" w:rsidRPr="00EA5053">
        <w:rPr>
          <w:rFonts w:ascii="Times New Roman" w:hAnsi="Times New Roman" w:cs="Times New Roman"/>
          <w:lang w:val="sr-Cyrl-RS"/>
        </w:rPr>
        <w:t xml:space="preserve"> као и да се смањи административно оптерећење</w:t>
      </w:r>
      <w:r w:rsidRPr="00EA5053">
        <w:rPr>
          <w:rFonts w:ascii="Times New Roman" w:hAnsi="Times New Roman" w:cs="Times New Roman"/>
          <w:lang w:val="sr-Cyrl-RS"/>
        </w:rPr>
        <w:t>.</w:t>
      </w:r>
    </w:p>
    <w:p w:rsidR="00400683" w:rsidRPr="00EA5053" w:rsidRDefault="00400683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5C6DBD">
        <w:rPr>
          <w:rFonts w:ascii="Times New Roman" w:hAnsi="Times New Roman" w:cs="Times New Roman"/>
          <w:bCs/>
          <w:lang w:val="sr-Cyrl-RS"/>
        </w:rPr>
        <w:t xml:space="preserve">Чланом </w:t>
      </w:r>
      <w:r w:rsidR="004803F6" w:rsidRPr="005C6DBD">
        <w:rPr>
          <w:rFonts w:ascii="Times New Roman" w:hAnsi="Times New Roman" w:cs="Times New Roman"/>
          <w:bCs/>
          <w:lang w:val="sr-Cyrl-RS"/>
        </w:rPr>
        <w:t>10</w:t>
      </w:r>
      <w:r w:rsidRPr="005C6DBD">
        <w:rPr>
          <w:rFonts w:ascii="Times New Roman" w:hAnsi="Times New Roman" w:cs="Times New Roman"/>
          <w:bCs/>
          <w:lang w:val="sr-Cyrl-RS"/>
        </w:rPr>
        <w:t>.</w:t>
      </w:r>
      <w:r w:rsidRPr="00EA5053">
        <w:rPr>
          <w:rFonts w:ascii="Times New Roman" w:hAnsi="Times New Roman" w:cs="Times New Roman"/>
          <w:lang w:val="sr-Cyrl-RS"/>
        </w:rPr>
        <w:t xml:space="preserve"> Предлога закона допуњује се члан 24. Закона о </w:t>
      </w:r>
      <w:proofErr w:type="spellStart"/>
      <w:r w:rsidRPr="00EA5053">
        <w:rPr>
          <w:rFonts w:ascii="Times New Roman" w:hAnsi="Times New Roman" w:cs="Times New Roman"/>
          <w:lang w:val="sr-Cyrl-RS"/>
        </w:rPr>
        <w:t>факторингу</w:t>
      </w:r>
      <w:proofErr w:type="spellEnd"/>
      <w:r w:rsidRPr="00EA5053">
        <w:rPr>
          <w:rFonts w:ascii="Times New Roman" w:hAnsi="Times New Roman" w:cs="Times New Roman"/>
          <w:lang w:val="sr-Cyrl-RS"/>
        </w:rPr>
        <w:t>, који се односи на обавештавање дужника о уступању потраживања.</w:t>
      </w:r>
    </w:p>
    <w:p w:rsidR="00400683" w:rsidRPr="00EA5053" w:rsidRDefault="00400683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A5053">
        <w:rPr>
          <w:rFonts w:ascii="Times New Roman" w:hAnsi="Times New Roman" w:cs="Times New Roman"/>
          <w:lang w:val="sr-Cyrl-RS"/>
        </w:rPr>
        <w:t xml:space="preserve">Допуном се прописује могућност да се уговором између уступиоца и фактора предвиди да фактор, у име и за рачун уступиоца, изврши обавештавање дужника. Ова пракса је већ присутна на тржишту, нарочито код модела обрнутог </w:t>
      </w:r>
      <w:proofErr w:type="spellStart"/>
      <w:r w:rsidRPr="00EA5053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Pr="00EA5053">
        <w:rPr>
          <w:rFonts w:ascii="Times New Roman" w:hAnsi="Times New Roman" w:cs="Times New Roman"/>
          <w:lang w:val="sr-Cyrl-RS"/>
        </w:rPr>
        <w:t>, али се нормативним уређењем постиже већи степен правне сигурности, транспарентности и усклађености са пословном праксом.</w:t>
      </w:r>
    </w:p>
    <w:p w:rsidR="00400683" w:rsidRPr="00EA5053" w:rsidRDefault="00400683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A5053">
        <w:rPr>
          <w:rFonts w:ascii="Times New Roman" w:hAnsi="Times New Roman" w:cs="Times New Roman"/>
          <w:lang w:val="sr-Cyrl-RS"/>
        </w:rPr>
        <w:t>Овом допуном не долази до преноса обавезе обавештавања са уступиоца на фактора у смислу замене страна у обавези, већ се ради о дозволи уговорних страна да овлашће</w:t>
      </w:r>
      <w:r w:rsidR="00042116" w:rsidRPr="00EA5053">
        <w:rPr>
          <w:rFonts w:ascii="Times New Roman" w:hAnsi="Times New Roman" w:cs="Times New Roman"/>
          <w:lang w:val="sr-Cyrl-RS"/>
        </w:rPr>
        <w:t>ње</w:t>
      </w:r>
      <w:r w:rsidRPr="00EA5053">
        <w:rPr>
          <w:rFonts w:ascii="Times New Roman" w:hAnsi="Times New Roman" w:cs="Times New Roman"/>
          <w:lang w:val="sr-Cyrl-RS"/>
        </w:rPr>
        <w:t xml:space="preserve"> фактор да у њихово име поступа, што је у потпуности у складу са начелима и одредбама Закона о облигационим односима, који препознаје могућност извршења обавеза преко трећих лица у име и за рачун носиоца обавезе.</w:t>
      </w:r>
    </w:p>
    <w:p w:rsidR="00400683" w:rsidRPr="00EA5053" w:rsidRDefault="00400683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A5053">
        <w:rPr>
          <w:rFonts w:ascii="Times New Roman" w:hAnsi="Times New Roman" w:cs="Times New Roman"/>
          <w:lang w:val="sr-Cyrl-RS"/>
        </w:rPr>
        <w:t xml:space="preserve">Изменом се задржава примарна одговорност уступиоца, али се омогућава уговорна делегација радње обавештавања, чиме се постиже флексибилност и прилагођавање уговорним структурама — посебно у дигиталним моделима </w:t>
      </w:r>
      <w:proofErr w:type="spellStart"/>
      <w:r w:rsidRPr="00EA5053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и </w:t>
      </w:r>
      <w:proofErr w:type="spellStart"/>
      <w:r w:rsidRPr="00EA5053">
        <w:rPr>
          <w:rFonts w:ascii="Times New Roman" w:hAnsi="Times New Roman" w:cs="Times New Roman"/>
          <w:lang w:val="sr-Cyrl-RS"/>
        </w:rPr>
        <w:t>платформским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решењима.</w:t>
      </w:r>
    </w:p>
    <w:p w:rsidR="00952F8C" w:rsidRPr="00EA5053" w:rsidRDefault="00400683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A5053">
        <w:rPr>
          <w:rFonts w:ascii="Times New Roman" w:hAnsi="Times New Roman" w:cs="Times New Roman"/>
          <w:lang w:val="sr-Cyrl-RS"/>
        </w:rPr>
        <w:t xml:space="preserve">Допуна је у складу и са </w:t>
      </w:r>
      <w:r w:rsidR="00042116" w:rsidRPr="00EA5053">
        <w:rPr>
          <w:rFonts w:ascii="Times New Roman" w:hAnsi="Times New Roman" w:cs="Times New Roman"/>
          <w:lang w:val="sr-Cyrl-RS"/>
        </w:rPr>
        <w:t xml:space="preserve">,,UNIDROIT </w:t>
      </w:r>
      <w:proofErr w:type="spellStart"/>
      <w:r w:rsidR="00042116" w:rsidRPr="00EA5053">
        <w:rPr>
          <w:rFonts w:ascii="Times New Roman" w:hAnsi="Times New Roman" w:cs="Times New Roman"/>
          <w:lang w:val="sr-Cyrl-RS"/>
        </w:rPr>
        <w:t>Model</w:t>
      </w:r>
      <w:proofErr w:type="spellEnd"/>
      <w:r w:rsidR="00042116" w:rsidRPr="00EA5053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042116" w:rsidRPr="00EA5053">
        <w:rPr>
          <w:rFonts w:ascii="Times New Roman" w:hAnsi="Times New Roman" w:cs="Times New Roman"/>
          <w:lang w:val="sr-Cyrl-RS"/>
        </w:rPr>
        <w:t>Law</w:t>
      </w:r>
      <w:proofErr w:type="spellEnd"/>
      <w:r w:rsidR="00042116" w:rsidRPr="00EA5053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042116" w:rsidRPr="00EA5053">
        <w:rPr>
          <w:rFonts w:ascii="Times New Roman" w:hAnsi="Times New Roman" w:cs="Times New Roman"/>
          <w:lang w:val="sr-Cyrl-RS"/>
        </w:rPr>
        <w:t>on</w:t>
      </w:r>
      <w:proofErr w:type="spellEnd"/>
      <w:r w:rsidR="00042116" w:rsidRPr="00EA5053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042116" w:rsidRPr="00EA5053">
        <w:rPr>
          <w:rFonts w:ascii="Times New Roman" w:hAnsi="Times New Roman" w:cs="Times New Roman"/>
          <w:lang w:val="sr-Cyrl-RS"/>
        </w:rPr>
        <w:t>Factoring</w:t>
      </w:r>
      <w:proofErr w:type="spellEnd"/>
      <w:r w:rsidR="005C6DBD" w:rsidRPr="00EA5053">
        <w:rPr>
          <w:rFonts w:ascii="Times New Roman" w:hAnsi="Times New Roman" w:cs="Times New Roman"/>
          <w:lang w:val="sr-Cyrl-RS"/>
        </w:rPr>
        <w:t>”</w:t>
      </w:r>
      <w:r w:rsidRPr="00EA5053">
        <w:rPr>
          <w:rFonts w:ascii="Times New Roman" w:hAnsi="Times New Roman" w:cs="Times New Roman"/>
          <w:lang w:val="sr-Cyrl-RS"/>
        </w:rPr>
        <w:t>, који оставља слободу странама у погледу начина и форме обавештавања дужника, под условом да је оно извршено на начин који је правно ваљан и довољно јасан за дужника.</w:t>
      </w:r>
    </w:p>
    <w:p w:rsidR="00226627" w:rsidRPr="00EA5053" w:rsidRDefault="00226627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5C6DBD">
        <w:rPr>
          <w:rFonts w:ascii="Times New Roman" w:hAnsi="Times New Roman" w:cs="Times New Roman"/>
          <w:bCs/>
          <w:lang w:val="sr-Cyrl-RS"/>
        </w:rPr>
        <w:t>Чланом 1</w:t>
      </w:r>
      <w:r w:rsidR="00E92098" w:rsidRPr="005C6DBD">
        <w:rPr>
          <w:rFonts w:ascii="Times New Roman" w:hAnsi="Times New Roman" w:cs="Times New Roman"/>
          <w:bCs/>
          <w:lang w:val="sr-Cyrl-RS"/>
        </w:rPr>
        <w:t>1</w:t>
      </w:r>
      <w:r w:rsidRPr="005C6DBD">
        <w:rPr>
          <w:rFonts w:ascii="Times New Roman" w:hAnsi="Times New Roman" w:cs="Times New Roman"/>
          <w:bCs/>
          <w:lang w:val="sr-Cyrl-RS"/>
        </w:rPr>
        <w:t>.</w:t>
      </w:r>
      <w:r w:rsidRPr="005C6DBD">
        <w:rPr>
          <w:rFonts w:ascii="Times New Roman" w:hAnsi="Times New Roman" w:cs="Times New Roman"/>
          <w:lang w:val="sr-Cyrl-RS"/>
        </w:rPr>
        <w:t xml:space="preserve"> Предлога</w:t>
      </w:r>
      <w:r w:rsidRPr="00EA5053">
        <w:rPr>
          <w:rFonts w:ascii="Times New Roman" w:hAnsi="Times New Roman" w:cs="Times New Roman"/>
          <w:lang w:val="sr-Cyrl-RS"/>
        </w:rPr>
        <w:t xml:space="preserve"> закона додаје се нови члан 26а, којим се уређује правна судбина споредних права и средстава обезбеђења у поступку уступања потраживања.</w:t>
      </w:r>
    </w:p>
    <w:p w:rsidR="00226627" w:rsidRPr="00EA5053" w:rsidRDefault="00226627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A5053">
        <w:rPr>
          <w:rFonts w:ascii="Times New Roman" w:hAnsi="Times New Roman" w:cs="Times New Roman"/>
          <w:lang w:val="sr-Cyrl-RS"/>
        </w:rPr>
        <w:lastRenderedPageBreak/>
        <w:t xml:space="preserve">Овом допуном се изричито прецизира да са преносом потраживања на фактора прелазе и сва пратећа споредна права и средства обезбеђења потраживања, као што су: право првенствене наплате, права из залоге, јемства, камате, уговорне казне и друга сродна права, у обиму у којем су уговарана и у складу са садржином уговора о </w:t>
      </w:r>
      <w:proofErr w:type="spellStart"/>
      <w:r w:rsidRPr="00EA5053">
        <w:rPr>
          <w:rFonts w:ascii="Times New Roman" w:hAnsi="Times New Roman" w:cs="Times New Roman"/>
          <w:lang w:val="sr-Cyrl-RS"/>
        </w:rPr>
        <w:t>факторингу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. На тај начин се укида евентуална недоумица у пракси у погледу обима и дејства уступања потраживања, посебно када су у питању </w:t>
      </w:r>
      <w:proofErr w:type="spellStart"/>
      <w:r w:rsidRPr="00EA5053">
        <w:rPr>
          <w:rFonts w:ascii="Times New Roman" w:hAnsi="Times New Roman" w:cs="Times New Roman"/>
          <w:lang w:val="sr-Cyrl-RS"/>
        </w:rPr>
        <w:t>колатерали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и инструментални уговори.</w:t>
      </w:r>
    </w:p>
    <w:p w:rsidR="00226627" w:rsidRPr="00EA5053" w:rsidRDefault="00226627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A5053">
        <w:rPr>
          <w:rFonts w:ascii="Times New Roman" w:hAnsi="Times New Roman" w:cs="Times New Roman"/>
          <w:lang w:val="sr-Cyrl-RS"/>
        </w:rPr>
        <w:t xml:space="preserve">Овај члан уводи и нормативну </w:t>
      </w:r>
      <w:r w:rsidR="00042116" w:rsidRPr="00EA5053">
        <w:rPr>
          <w:rFonts w:ascii="Times New Roman" w:hAnsi="Times New Roman" w:cs="Times New Roman"/>
          <w:lang w:val="sr-Cyrl-RS"/>
        </w:rPr>
        <w:t>јасноћу</w:t>
      </w:r>
      <w:r w:rsidRPr="00EA5053">
        <w:rPr>
          <w:rFonts w:ascii="Times New Roman" w:hAnsi="Times New Roman" w:cs="Times New Roman"/>
          <w:lang w:val="sr-Cyrl-RS"/>
        </w:rPr>
        <w:t xml:space="preserve"> погледу правне технике — није потребно посебно закључивање новог уговора ради преноса споредних права, осим ако посебан закон не предвиђа другачије. Овакво решење је у складу са основним начелима</w:t>
      </w:r>
      <w:r w:rsidR="008B0E17">
        <w:rPr>
          <w:rFonts w:ascii="Times New Roman" w:hAnsi="Times New Roman" w:cs="Times New Roman"/>
          <w:lang w:val="sr-Cyrl-RS"/>
        </w:rPr>
        <w:t xml:space="preserve"> из члана 437, али и других чланова</w:t>
      </w:r>
      <w:r w:rsidRPr="00EA5053">
        <w:rPr>
          <w:rFonts w:ascii="Times New Roman" w:hAnsi="Times New Roman" w:cs="Times New Roman"/>
          <w:lang w:val="sr-Cyrl-RS"/>
        </w:rPr>
        <w:t xml:space="preserve"> </w:t>
      </w:r>
      <w:r w:rsidR="008B0E17">
        <w:rPr>
          <w:rFonts w:ascii="Times New Roman" w:hAnsi="Times New Roman" w:cs="Times New Roman"/>
          <w:lang w:val="sr-Cyrl-RS"/>
        </w:rPr>
        <w:t xml:space="preserve">Закона о облигационим односима </w:t>
      </w:r>
      <w:r w:rsidR="008B0E17" w:rsidRPr="008B0E17">
        <w:rPr>
          <w:rFonts w:ascii="Times New Roman" w:hAnsi="Times New Roman" w:cs="Times New Roman"/>
          <w:lang w:val="sr-Cyrl-RS"/>
        </w:rPr>
        <w:t>(,,Службени лист СФРЈ”, бр. 29/78, 39/85, 45/89 - одлука УСЈ и 57/89, ,,Службени лист СРЈ”, број 31/93, ,,Службени лист СЦГ”, број 1/03 - Уставна повеља и ,,Службени гласник РС”, број 18/20</w:t>
      </w:r>
      <w:r w:rsidRPr="00EA5053">
        <w:rPr>
          <w:rFonts w:ascii="Times New Roman" w:hAnsi="Times New Roman" w:cs="Times New Roman"/>
          <w:lang w:val="sr-Cyrl-RS"/>
        </w:rPr>
        <w:t>)</w:t>
      </w:r>
      <w:r w:rsidR="00042116" w:rsidRPr="00EA5053">
        <w:rPr>
          <w:rFonts w:ascii="Times New Roman" w:hAnsi="Times New Roman" w:cs="Times New Roman"/>
          <w:lang w:val="sr-Cyrl-RS"/>
        </w:rPr>
        <w:t>.</w:t>
      </w:r>
      <w:r w:rsidR="00042116" w:rsidRPr="00EA5053" w:rsidDel="00042116">
        <w:rPr>
          <w:rFonts w:ascii="Times New Roman" w:hAnsi="Times New Roman" w:cs="Times New Roman"/>
          <w:lang w:val="sr-Cyrl-RS"/>
        </w:rPr>
        <w:t xml:space="preserve"> </w:t>
      </w:r>
    </w:p>
    <w:p w:rsidR="00400683" w:rsidRPr="00EA5053" w:rsidRDefault="00226627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A5053">
        <w:rPr>
          <w:rFonts w:ascii="Times New Roman" w:hAnsi="Times New Roman" w:cs="Times New Roman"/>
          <w:lang w:val="sr-Cyrl-RS"/>
        </w:rPr>
        <w:t xml:space="preserve">Изменом се унапређује правна сигурност, ефикасност трансакција и смањује административно оптерећење уговорних страна, нарочито у ситуацијама масовног уступања потраживања, као што је случај код </w:t>
      </w:r>
      <w:proofErr w:type="spellStart"/>
      <w:r w:rsidRPr="00EA5053">
        <w:rPr>
          <w:rFonts w:ascii="Times New Roman" w:hAnsi="Times New Roman" w:cs="Times New Roman"/>
          <w:lang w:val="sr-Cyrl-RS"/>
        </w:rPr>
        <w:t>платформских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и дигиталних модела </w:t>
      </w:r>
      <w:proofErr w:type="spellStart"/>
      <w:r w:rsidRPr="00EA5053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Pr="00EA5053">
        <w:rPr>
          <w:rFonts w:ascii="Times New Roman" w:hAnsi="Times New Roman" w:cs="Times New Roman"/>
          <w:lang w:val="sr-Cyrl-RS"/>
        </w:rPr>
        <w:t>.</w:t>
      </w:r>
    </w:p>
    <w:p w:rsidR="00D93D98" w:rsidRPr="00EA5053" w:rsidRDefault="00D93D98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8762A3">
        <w:rPr>
          <w:rFonts w:ascii="Times New Roman" w:hAnsi="Times New Roman" w:cs="Times New Roman"/>
          <w:bCs/>
          <w:lang w:val="sr-Cyrl-RS"/>
        </w:rPr>
        <w:t>Чланом 1</w:t>
      </w:r>
      <w:r w:rsidR="00E92098" w:rsidRPr="008762A3">
        <w:rPr>
          <w:rFonts w:ascii="Times New Roman" w:hAnsi="Times New Roman" w:cs="Times New Roman"/>
          <w:bCs/>
          <w:lang w:val="sr-Cyrl-RS"/>
        </w:rPr>
        <w:t>2</w:t>
      </w:r>
      <w:r w:rsidRPr="008762A3">
        <w:rPr>
          <w:rFonts w:ascii="Times New Roman" w:hAnsi="Times New Roman" w:cs="Times New Roman"/>
          <w:bCs/>
          <w:lang w:val="sr-Cyrl-RS"/>
        </w:rPr>
        <w:t>.</w:t>
      </w:r>
      <w:r w:rsidRPr="00EA5053">
        <w:rPr>
          <w:rFonts w:ascii="Times New Roman" w:hAnsi="Times New Roman" w:cs="Times New Roman"/>
          <w:lang w:val="sr-Cyrl-RS"/>
        </w:rPr>
        <w:t xml:space="preserve"> Предлога закона допуњује се члан 31. Закона о </w:t>
      </w:r>
      <w:proofErr w:type="spellStart"/>
      <w:r w:rsidRPr="00EA5053">
        <w:rPr>
          <w:rFonts w:ascii="Times New Roman" w:hAnsi="Times New Roman" w:cs="Times New Roman"/>
          <w:lang w:val="sr-Cyrl-RS"/>
        </w:rPr>
        <w:t>факторингу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увођењем става 2, којим се уређује могућност да </w:t>
      </w:r>
      <w:proofErr w:type="spellStart"/>
      <w:r w:rsidRPr="00EA5053">
        <w:rPr>
          <w:rFonts w:ascii="Times New Roman" w:hAnsi="Times New Roman" w:cs="Times New Roman"/>
          <w:lang w:val="sr-Cyrl-RS"/>
        </w:rPr>
        <w:t>факторинг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друштво, уколико то није другачије уговорено,  пренесе доспела потраживања другом правном лицу.</w:t>
      </w:r>
    </w:p>
    <w:p w:rsidR="00D93D98" w:rsidRDefault="00D93D98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A5053">
        <w:rPr>
          <w:rFonts w:ascii="Times New Roman" w:hAnsi="Times New Roman" w:cs="Times New Roman"/>
          <w:lang w:val="sr-Cyrl-RS"/>
        </w:rPr>
        <w:t>Овом допуном се потврђује могућност даљег преноса потраживања од стране фактора, у складу са принципима слободе располагања својином и потраживањем, као и у складу са чл. 438–445. Закона о облигационим односима, којима се регулише уступање потраживања.</w:t>
      </w:r>
    </w:p>
    <w:p w:rsidR="0056161B" w:rsidRPr="00EA5053" w:rsidRDefault="0056161B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Додатно је разматрано да ли прописивање овакве одредбе отвара простор за злоупотребе на тржишту, међутим закључак је да ако је јасно прописано да су у питању искључиво доспела потраживања, та могућност </w:t>
      </w:r>
      <w:r w:rsidR="00F14583">
        <w:rPr>
          <w:rFonts w:ascii="Times New Roman" w:hAnsi="Times New Roman" w:cs="Times New Roman"/>
          <w:lang w:val="sr-Cyrl-RS"/>
        </w:rPr>
        <w:t>је минимална</w:t>
      </w:r>
      <w:r>
        <w:rPr>
          <w:rFonts w:ascii="Times New Roman" w:hAnsi="Times New Roman" w:cs="Times New Roman"/>
          <w:lang w:val="sr-Cyrl-RS"/>
        </w:rPr>
        <w:t>.</w:t>
      </w:r>
    </w:p>
    <w:p w:rsidR="00D93D98" w:rsidRPr="00EA5053" w:rsidRDefault="00D93D98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A5053">
        <w:rPr>
          <w:rFonts w:ascii="Times New Roman" w:hAnsi="Times New Roman" w:cs="Times New Roman"/>
          <w:lang w:val="sr-Cyrl-RS"/>
        </w:rPr>
        <w:t xml:space="preserve">Циљ измене је да се повећа правна сигурност и транспарентност у погледу даљег располагања потраживањем од стране фактора, као и да се омогући несметано функционисање секундарног тржишта потраживања. Посебно у моделима где </w:t>
      </w:r>
      <w:proofErr w:type="spellStart"/>
      <w:r w:rsidRPr="00EA5053">
        <w:rPr>
          <w:rFonts w:ascii="Times New Roman" w:hAnsi="Times New Roman" w:cs="Times New Roman"/>
          <w:lang w:val="sr-Cyrl-RS"/>
        </w:rPr>
        <w:t>факторинг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друштва преносе портфолије потраживања </w:t>
      </w:r>
      <w:r w:rsidR="006D3034" w:rsidRPr="00EA5053">
        <w:rPr>
          <w:rFonts w:ascii="Times New Roman" w:hAnsi="Times New Roman" w:cs="Times New Roman"/>
          <w:lang w:val="sr-Cyrl-RS"/>
        </w:rPr>
        <w:t>инвеститорима.</w:t>
      </w:r>
    </w:p>
    <w:p w:rsidR="00D93D98" w:rsidRPr="00EA5053" w:rsidRDefault="00D93D98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A5053">
        <w:rPr>
          <w:rFonts w:ascii="Times New Roman" w:hAnsi="Times New Roman" w:cs="Times New Roman"/>
          <w:lang w:val="sr-Cyrl-RS"/>
        </w:rPr>
        <w:t xml:space="preserve">Изменом се истовремено не искључује могућност уговорне забране или ограничења преноса, чиме се задржава аутономија воље страна у </w:t>
      </w:r>
      <w:proofErr w:type="spellStart"/>
      <w:r w:rsidRPr="00EA5053">
        <w:rPr>
          <w:rFonts w:ascii="Times New Roman" w:hAnsi="Times New Roman" w:cs="Times New Roman"/>
          <w:lang w:val="sr-Cyrl-RS"/>
        </w:rPr>
        <w:t>факторинг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аранжману.</w:t>
      </w:r>
    </w:p>
    <w:p w:rsidR="00381DBB" w:rsidRPr="00EA5053" w:rsidRDefault="00D93D98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A5053">
        <w:rPr>
          <w:rFonts w:ascii="Times New Roman" w:hAnsi="Times New Roman" w:cs="Times New Roman"/>
          <w:lang w:val="sr-Cyrl-RS"/>
        </w:rPr>
        <w:t>Овакво законско решење је усклађено</w:t>
      </w:r>
      <w:r w:rsidR="00A73A51" w:rsidRPr="00EA5053">
        <w:rPr>
          <w:rFonts w:ascii="Times New Roman" w:hAnsi="Times New Roman" w:cs="Times New Roman"/>
          <w:lang w:val="sr-Cyrl-RS"/>
        </w:rPr>
        <w:t xml:space="preserve"> са </w:t>
      </w:r>
      <w:r w:rsidR="006D3034" w:rsidRPr="00EA5053">
        <w:rPr>
          <w:rFonts w:ascii="Times New Roman" w:hAnsi="Times New Roman" w:cs="Times New Roman"/>
          <w:lang w:val="sr-Cyrl-RS"/>
        </w:rPr>
        <w:t xml:space="preserve">,,UNIDROIT </w:t>
      </w:r>
      <w:proofErr w:type="spellStart"/>
      <w:r w:rsidR="006D3034" w:rsidRPr="00EA5053">
        <w:rPr>
          <w:rFonts w:ascii="Times New Roman" w:hAnsi="Times New Roman" w:cs="Times New Roman"/>
          <w:lang w:val="sr-Cyrl-RS"/>
        </w:rPr>
        <w:t>Model</w:t>
      </w:r>
      <w:proofErr w:type="spellEnd"/>
      <w:r w:rsidR="006D3034" w:rsidRPr="00EA5053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6D3034" w:rsidRPr="00EA5053">
        <w:rPr>
          <w:rFonts w:ascii="Times New Roman" w:hAnsi="Times New Roman" w:cs="Times New Roman"/>
          <w:lang w:val="sr-Cyrl-RS"/>
        </w:rPr>
        <w:t>Law</w:t>
      </w:r>
      <w:proofErr w:type="spellEnd"/>
      <w:r w:rsidR="006D3034" w:rsidRPr="00EA5053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6D3034" w:rsidRPr="00EA5053">
        <w:rPr>
          <w:rFonts w:ascii="Times New Roman" w:hAnsi="Times New Roman" w:cs="Times New Roman"/>
          <w:lang w:val="sr-Cyrl-RS"/>
        </w:rPr>
        <w:t>on</w:t>
      </w:r>
      <w:proofErr w:type="spellEnd"/>
      <w:r w:rsidR="006D3034" w:rsidRPr="00EA5053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6D3034" w:rsidRPr="00EA5053">
        <w:rPr>
          <w:rFonts w:ascii="Times New Roman" w:hAnsi="Times New Roman" w:cs="Times New Roman"/>
          <w:lang w:val="sr-Cyrl-RS"/>
        </w:rPr>
        <w:t>Factoring</w:t>
      </w:r>
      <w:proofErr w:type="spellEnd"/>
      <w:r w:rsidR="008762A3" w:rsidRPr="00EA5053">
        <w:rPr>
          <w:rFonts w:ascii="Times New Roman" w:hAnsi="Times New Roman" w:cs="Times New Roman"/>
          <w:lang w:val="sr-Cyrl-RS"/>
        </w:rPr>
        <w:t>”</w:t>
      </w:r>
      <w:r w:rsidRPr="00EA5053">
        <w:rPr>
          <w:rFonts w:ascii="Times New Roman" w:hAnsi="Times New Roman" w:cs="Times New Roman"/>
          <w:lang w:val="sr-Cyrl-RS"/>
        </w:rPr>
        <w:t>, који препознају право фактора на даље уступање потраживања, осим ако је уговором изричито ограничено.</w:t>
      </w:r>
    </w:p>
    <w:p w:rsidR="009049CE" w:rsidRPr="009049CE" w:rsidRDefault="009049CE" w:rsidP="009049C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lang w:val="sr-Cyrl-RS"/>
        </w:rPr>
      </w:pPr>
      <w:r>
        <w:rPr>
          <w:rFonts w:ascii="Times New Roman" w:hAnsi="Times New Roman" w:cs="Times New Roman"/>
          <w:bCs/>
          <w:lang w:val="sr-Cyrl-RS"/>
        </w:rPr>
        <w:t>Чланом 13. Предлога закона</w:t>
      </w:r>
      <w:r w:rsidRPr="009049CE">
        <w:rPr>
          <w:rFonts w:ascii="Times New Roman" w:hAnsi="Times New Roman" w:cs="Times New Roman"/>
          <w:bCs/>
          <w:lang w:val="sr-Cyrl-RS"/>
        </w:rPr>
        <w:t xml:space="preserve">, након члана 32. додаје се нови члан 32а. којим се уводи обавеза регистрације пренетих потраживања у централну евиденцију </w:t>
      </w:r>
      <w:proofErr w:type="spellStart"/>
      <w:r w:rsidRPr="009049CE">
        <w:rPr>
          <w:rFonts w:ascii="Times New Roman" w:hAnsi="Times New Roman" w:cs="Times New Roman"/>
          <w:bCs/>
          <w:lang w:val="sr-Cyrl-RS"/>
        </w:rPr>
        <w:t>фак</w:t>
      </w:r>
      <w:bookmarkStart w:id="0" w:name="_GoBack"/>
      <w:bookmarkEnd w:id="0"/>
      <w:r w:rsidRPr="009049CE">
        <w:rPr>
          <w:rFonts w:ascii="Times New Roman" w:hAnsi="Times New Roman" w:cs="Times New Roman"/>
          <w:bCs/>
          <w:lang w:val="sr-Cyrl-RS"/>
        </w:rPr>
        <w:t>торинга</w:t>
      </w:r>
      <w:proofErr w:type="spellEnd"/>
      <w:r w:rsidRPr="009049CE">
        <w:rPr>
          <w:rFonts w:ascii="Times New Roman" w:hAnsi="Times New Roman" w:cs="Times New Roman"/>
          <w:bCs/>
          <w:lang w:val="sr-Cyrl-RS"/>
        </w:rPr>
        <w:t>.</w:t>
      </w:r>
    </w:p>
    <w:p w:rsidR="009049CE" w:rsidRPr="009049CE" w:rsidRDefault="005A5F62" w:rsidP="009049C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lang w:val="sr-Cyrl-RS"/>
        </w:rPr>
      </w:pPr>
      <w:r w:rsidRPr="005A5F62">
        <w:rPr>
          <w:rFonts w:ascii="Times New Roman" w:hAnsi="Times New Roman" w:cs="Times New Roman"/>
          <w:bCs/>
          <w:lang w:val="sr-Cyrl-RS"/>
        </w:rPr>
        <w:t xml:space="preserve">Циљ успостављања централне евиденције </w:t>
      </w:r>
      <w:proofErr w:type="spellStart"/>
      <w:r w:rsidRPr="005A5F62">
        <w:rPr>
          <w:rFonts w:ascii="Times New Roman" w:hAnsi="Times New Roman" w:cs="Times New Roman"/>
          <w:bCs/>
          <w:lang w:val="sr-Cyrl-RS"/>
        </w:rPr>
        <w:t>факторинга</w:t>
      </w:r>
      <w:proofErr w:type="spellEnd"/>
      <w:r w:rsidRPr="005A5F62">
        <w:rPr>
          <w:rFonts w:ascii="Times New Roman" w:hAnsi="Times New Roman" w:cs="Times New Roman"/>
          <w:bCs/>
          <w:lang w:val="sr-Cyrl-RS"/>
        </w:rPr>
        <w:t xml:space="preserve"> је јачање правне сигурности и транспарентности на тржишту </w:t>
      </w:r>
      <w:proofErr w:type="spellStart"/>
      <w:r w:rsidRPr="005A5F62">
        <w:rPr>
          <w:rFonts w:ascii="Times New Roman" w:hAnsi="Times New Roman" w:cs="Times New Roman"/>
          <w:bCs/>
          <w:lang w:val="sr-Cyrl-RS"/>
        </w:rPr>
        <w:t>факторинга</w:t>
      </w:r>
      <w:proofErr w:type="spellEnd"/>
      <w:r w:rsidRPr="005A5F62">
        <w:rPr>
          <w:rFonts w:ascii="Times New Roman" w:hAnsi="Times New Roman" w:cs="Times New Roman"/>
          <w:bCs/>
          <w:lang w:val="sr-Cyrl-RS"/>
        </w:rPr>
        <w:t xml:space="preserve"> у Републици Србији. Увођењем централне евиденције </w:t>
      </w:r>
      <w:proofErr w:type="spellStart"/>
      <w:r w:rsidRPr="005A5F62">
        <w:rPr>
          <w:rFonts w:ascii="Times New Roman" w:hAnsi="Times New Roman" w:cs="Times New Roman"/>
          <w:bCs/>
          <w:lang w:val="sr-Cyrl-RS"/>
        </w:rPr>
        <w:t>факторинга</w:t>
      </w:r>
      <w:proofErr w:type="spellEnd"/>
      <w:r w:rsidRPr="005A5F62">
        <w:rPr>
          <w:rFonts w:ascii="Times New Roman" w:hAnsi="Times New Roman" w:cs="Times New Roman"/>
          <w:bCs/>
          <w:lang w:val="sr-Cyrl-RS"/>
        </w:rPr>
        <w:t xml:space="preserve"> ствара се централизована, електронска и ажурна база података о фактурама које су регистроване у систему електронских фактура а које су предмет уговора о </w:t>
      </w:r>
      <w:proofErr w:type="spellStart"/>
      <w:r w:rsidRPr="005A5F62">
        <w:rPr>
          <w:rFonts w:ascii="Times New Roman" w:hAnsi="Times New Roman" w:cs="Times New Roman"/>
          <w:bCs/>
          <w:lang w:val="sr-Cyrl-RS"/>
        </w:rPr>
        <w:t>факторингу</w:t>
      </w:r>
      <w:proofErr w:type="spellEnd"/>
      <w:r w:rsidRPr="005A5F62">
        <w:rPr>
          <w:rFonts w:ascii="Times New Roman" w:hAnsi="Times New Roman" w:cs="Times New Roman"/>
          <w:bCs/>
          <w:lang w:val="sr-Cyrl-RS"/>
        </w:rPr>
        <w:t>, што је од кључног значаја за спречавање злоупотреба и вишеструког уступања исте</w:t>
      </w:r>
      <w:r>
        <w:rPr>
          <w:rFonts w:ascii="Times New Roman" w:hAnsi="Times New Roman" w:cs="Times New Roman"/>
          <w:bCs/>
          <w:lang w:val="sr-Cyrl-RS"/>
        </w:rPr>
        <w:t xml:space="preserve"> фактуре различитим повериоцима</w:t>
      </w:r>
      <w:r w:rsidR="009049CE" w:rsidRPr="009049CE">
        <w:rPr>
          <w:rFonts w:ascii="Times New Roman" w:hAnsi="Times New Roman" w:cs="Times New Roman"/>
          <w:bCs/>
          <w:lang w:val="sr-Cyrl-RS"/>
        </w:rPr>
        <w:t>.</w:t>
      </w:r>
    </w:p>
    <w:p w:rsidR="009049CE" w:rsidRPr="009049CE" w:rsidRDefault="009049CE" w:rsidP="009049C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lang w:val="sr-Cyrl-RS"/>
        </w:rPr>
      </w:pPr>
      <w:r w:rsidRPr="009049CE">
        <w:rPr>
          <w:rFonts w:ascii="Times New Roman" w:hAnsi="Times New Roman" w:cs="Times New Roman"/>
          <w:bCs/>
          <w:lang w:val="sr-Cyrl-RS"/>
        </w:rPr>
        <w:t xml:space="preserve">Евиденција ће омогућити надлежним органима (првенствено Министарству финансија и Комисији за хартије од вредности) несметан увид у регистроване трансакције у циљу обављања надзорне функције, док ће фактори, уступиоци и дужници имати приступ подацима који се на њих односе. Обавеза примене електронске идентификације високог </w:t>
      </w:r>
      <w:r w:rsidRPr="009049CE">
        <w:rPr>
          <w:rFonts w:ascii="Times New Roman" w:hAnsi="Times New Roman" w:cs="Times New Roman"/>
          <w:bCs/>
          <w:lang w:val="sr-Cyrl-RS"/>
        </w:rPr>
        <w:lastRenderedPageBreak/>
        <w:t>нивоа поузданости осигурава да се приступ врши на безбедан начин, у складу са прописима којима се уређује електронска идентификација и електронски документи.</w:t>
      </w:r>
    </w:p>
    <w:p w:rsidR="009049CE" w:rsidRPr="009049CE" w:rsidRDefault="009049CE" w:rsidP="009049C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lang w:val="sr-Cyrl-RS"/>
        </w:rPr>
      </w:pPr>
      <w:r w:rsidRPr="009049CE">
        <w:rPr>
          <w:rFonts w:ascii="Times New Roman" w:hAnsi="Times New Roman" w:cs="Times New Roman"/>
          <w:bCs/>
          <w:lang w:val="sr-Cyrl-RS"/>
        </w:rPr>
        <w:t xml:space="preserve">Централна евиденција </w:t>
      </w:r>
      <w:proofErr w:type="spellStart"/>
      <w:r w:rsidRPr="009049CE">
        <w:rPr>
          <w:rFonts w:ascii="Times New Roman" w:hAnsi="Times New Roman" w:cs="Times New Roman"/>
          <w:bCs/>
          <w:lang w:val="sr-Cyrl-RS"/>
        </w:rPr>
        <w:t>факторинга</w:t>
      </w:r>
      <w:proofErr w:type="spellEnd"/>
      <w:r w:rsidRPr="009049CE">
        <w:rPr>
          <w:rFonts w:ascii="Times New Roman" w:hAnsi="Times New Roman" w:cs="Times New Roman"/>
          <w:bCs/>
          <w:lang w:val="sr-Cyrl-RS"/>
        </w:rPr>
        <w:t xml:space="preserve"> је осмишљена као </w:t>
      </w:r>
      <w:proofErr w:type="spellStart"/>
      <w:r w:rsidRPr="009049CE">
        <w:rPr>
          <w:rFonts w:ascii="Times New Roman" w:hAnsi="Times New Roman" w:cs="Times New Roman"/>
          <w:bCs/>
          <w:lang w:val="sr-Cyrl-RS"/>
        </w:rPr>
        <w:t>интероперабилан</w:t>
      </w:r>
      <w:proofErr w:type="spellEnd"/>
      <w:r w:rsidRPr="009049CE">
        <w:rPr>
          <w:rFonts w:ascii="Times New Roman" w:hAnsi="Times New Roman" w:cs="Times New Roman"/>
          <w:bCs/>
          <w:lang w:val="sr-Cyrl-RS"/>
        </w:rPr>
        <w:t xml:space="preserve"> са постојећим системом електронских фактура (у складу са Законом о електронском фактурисању), чиме се обезбеђује размена релевантних података у реалном времену. Подаци који се евидентирају у централној евиденцији </w:t>
      </w:r>
      <w:proofErr w:type="spellStart"/>
      <w:r w:rsidRPr="009049CE">
        <w:rPr>
          <w:rFonts w:ascii="Times New Roman" w:hAnsi="Times New Roman" w:cs="Times New Roman"/>
          <w:bCs/>
          <w:lang w:val="sr-Cyrl-RS"/>
        </w:rPr>
        <w:t>факторинга</w:t>
      </w:r>
      <w:proofErr w:type="spellEnd"/>
      <w:r w:rsidRPr="009049CE">
        <w:rPr>
          <w:rFonts w:ascii="Times New Roman" w:hAnsi="Times New Roman" w:cs="Times New Roman"/>
          <w:bCs/>
          <w:lang w:val="sr-Cyrl-RS"/>
        </w:rPr>
        <w:t xml:space="preserve"> су усклађени са подацима који већ постоје у систему електронских фактура, уз додатне атрибуте који се односе на статус фактуре у поступку </w:t>
      </w:r>
      <w:proofErr w:type="spellStart"/>
      <w:r w:rsidRPr="009049CE">
        <w:rPr>
          <w:rFonts w:ascii="Times New Roman" w:hAnsi="Times New Roman" w:cs="Times New Roman"/>
          <w:bCs/>
          <w:lang w:val="sr-Cyrl-RS"/>
        </w:rPr>
        <w:t>факторинга</w:t>
      </w:r>
      <w:proofErr w:type="spellEnd"/>
      <w:r w:rsidRPr="009049CE">
        <w:rPr>
          <w:rFonts w:ascii="Times New Roman" w:hAnsi="Times New Roman" w:cs="Times New Roman"/>
          <w:bCs/>
          <w:lang w:val="sr-Cyrl-RS"/>
        </w:rPr>
        <w:t>, чиме се омогућава ефикасно праћење сваког уступљеног потраживања.</w:t>
      </w:r>
    </w:p>
    <w:p w:rsidR="009049CE" w:rsidRDefault="009049CE" w:rsidP="009049C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lang w:val="sr-Cyrl-RS"/>
        </w:rPr>
      </w:pPr>
      <w:r w:rsidRPr="009049CE">
        <w:rPr>
          <w:rFonts w:ascii="Times New Roman" w:hAnsi="Times New Roman" w:cs="Times New Roman"/>
          <w:bCs/>
          <w:lang w:val="sr-Cyrl-RS"/>
        </w:rPr>
        <w:t xml:space="preserve">Правовремено евидентирање уступљених фактура (најкасније првог наредног радног дана од дана закључења уговора о </w:t>
      </w:r>
      <w:proofErr w:type="spellStart"/>
      <w:r w:rsidRPr="009049CE">
        <w:rPr>
          <w:rFonts w:ascii="Times New Roman" w:hAnsi="Times New Roman" w:cs="Times New Roman"/>
          <w:bCs/>
          <w:lang w:val="sr-Cyrl-RS"/>
        </w:rPr>
        <w:t>факторингу</w:t>
      </w:r>
      <w:proofErr w:type="spellEnd"/>
      <w:r w:rsidRPr="009049CE">
        <w:rPr>
          <w:rFonts w:ascii="Times New Roman" w:hAnsi="Times New Roman" w:cs="Times New Roman"/>
          <w:bCs/>
          <w:lang w:val="sr-Cyrl-RS"/>
        </w:rPr>
        <w:t>) обезбеђује актуелност базе и заштиту свих страна у правном послу, а истовремено представља основ за потенцијално повезивање са другим електронским системима (регистром залога и др.) у наредним фазама развоја.</w:t>
      </w:r>
      <w:r>
        <w:rPr>
          <w:rFonts w:ascii="Times New Roman" w:hAnsi="Times New Roman" w:cs="Times New Roman"/>
          <w:bCs/>
          <w:lang w:val="sr-Cyrl-RS"/>
        </w:rPr>
        <w:t xml:space="preserve"> </w:t>
      </w:r>
    </w:p>
    <w:p w:rsidR="00D93D98" w:rsidRPr="00EA5053" w:rsidRDefault="00D93D98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8762A3">
        <w:rPr>
          <w:rFonts w:ascii="Times New Roman" w:hAnsi="Times New Roman" w:cs="Times New Roman"/>
          <w:bCs/>
          <w:lang w:val="sr-Cyrl-RS"/>
        </w:rPr>
        <w:t>Чланом 1</w:t>
      </w:r>
      <w:r w:rsidR="009049CE">
        <w:rPr>
          <w:rFonts w:ascii="Times New Roman" w:hAnsi="Times New Roman" w:cs="Times New Roman"/>
          <w:bCs/>
          <w:lang w:val="sr-Cyrl-RS"/>
        </w:rPr>
        <w:t>4</w:t>
      </w:r>
      <w:r w:rsidRPr="008762A3">
        <w:rPr>
          <w:rFonts w:ascii="Times New Roman" w:hAnsi="Times New Roman" w:cs="Times New Roman"/>
          <w:bCs/>
          <w:lang w:val="sr-Cyrl-RS"/>
        </w:rPr>
        <w:t>.</w:t>
      </w:r>
      <w:r w:rsidRPr="00EA5053">
        <w:rPr>
          <w:rFonts w:ascii="Times New Roman" w:hAnsi="Times New Roman" w:cs="Times New Roman"/>
          <w:lang w:val="sr-Cyrl-RS"/>
        </w:rPr>
        <w:t xml:space="preserve"> Предлога закона врши се измена члана 33. став 1. Закона, тако што се надлежност за надзор над пословањем </w:t>
      </w:r>
      <w:proofErr w:type="spellStart"/>
      <w:r w:rsidRPr="00EA5053">
        <w:rPr>
          <w:rFonts w:ascii="Times New Roman" w:hAnsi="Times New Roman" w:cs="Times New Roman"/>
          <w:lang w:val="sr-Cyrl-RS"/>
        </w:rPr>
        <w:t>факторинг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друштава преноси са Министарства на Комисију за хартије од вредности.</w:t>
      </w:r>
    </w:p>
    <w:p w:rsidR="00D93D98" w:rsidRPr="00EA5053" w:rsidRDefault="00A73A51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A5053">
        <w:rPr>
          <w:rFonts w:ascii="Times New Roman" w:hAnsi="Times New Roman" w:cs="Times New Roman"/>
          <w:lang w:val="sr-Cyrl-RS"/>
        </w:rPr>
        <w:t>И</w:t>
      </w:r>
      <w:r w:rsidR="00D93D98" w:rsidRPr="00EA5053">
        <w:rPr>
          <w:rFonts w:ascii="Times New Roman" w:hAnsi="Times New Roman" w:cs="Times New Roman"/>
          <w:lang w:val="sr-Cyrl-RS"/>
        </w:rPr>
        <w:t>змена има за циљ јачање надзорних капацитета и бољу примену закона у пракси. Имајући у виду сложеност и спец</w:t>
      </w:r>
      <w:r w:rsidRPr="00EA5053">
        <w:rPr>
          <w:rFonts w:ascii="Times New Roman" w:hAnsi="Times New Roman" w:cs="Times New Roman"/>
          <w:lang w:val="sr-Cyrl-RS"/>
        </w:rPr>
        <w:t>ифичност</w:t>
      </w:r>
      <w:r w:rsidR="00D93D98" w:rsidRPr="00EA5053">
        <w:rPr>
          <w:rFonts w:ascii="Times New Roman" w:hAnsi="Times New Roman" w:cs="Times New Roman"/>
          <w:lang w:val="sr-Cyrl-RS"/>
        </w:rPr>
        <w:t xml:space="preserve"> тржишта </w:t>
      </w:r>
      <w:proofErr w:type="spellStart"/>
      <w:r w:rsidR="00D93D98" w:rsidRPr="00EA5053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="00D93D98" w:rsidRPr="00EA5053">
        <w:rPr>
          <w:rFonts w:ascii="Times New Roman" w:hAnsi="Times New Roman" w:cs="Times New Roman"/>
          <w:lang w:val="sr-Cyrl-RS"/>
        </w:rPr>
        <w:t xml:space="preserve">, као и његову повезаност са финансијским тржиштима и институционалним инвеститорима, надзор над </w:t>
      </w:r>
      <w:proofErr w:type="spellStart"/>
      <w:r w:rsidR="00F14583">
        <w:rPr>
          <w:rFonts w:ascii="Times New Roman" w:hAnsi="Times New Roman" w:cs="Times New Roman"/>
          <w:lang w:val="sr-Cyrl-RS"/>
        </w:rPr>
        <w:t>факторинг</w:t>
      </w:r>
      <w:proofErr w:type="spellEnd"/>
      <w:r w:rsidR="00F14583">
        <w:rPr>
          <w:rFonts w:ascii="Times New Roman" w:hAnsi="Times New Roman" w:cs="Times New Roman"/>
          <w:lang w:val="sr-Cyrl-RS"/>
        </w:rPr>
        <w:t xml:space="preserve"> друштвима</w:t>
      </w:r>
      <w:r w:rsidR="00D93D98" w:rsidRPr="00EA5053">
        <w:rPr>
          <w:rFonts w:ascii="Times New Roman" w:hAnsi="Times New Roman" w:cs="Times New Roman"/>
          <w:lang w:val="sr-Cyrl-RS"/>
        </w:rPr>
        <w:t xml:space="preserve"> поверава се Комисији за хартије од вредности као специјализованом телу за регулисање и надзор над финансијским тржиштем у Републици Србији.</w:t>
      </w:r>
    </w:p>
    <w:p w:rsidR="00D93D98" w:rsidRPr="00EA5053" w:rsidRDefault="00D93D98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A5053">
        <w:rPr>
          <w:rFonts w:ascii="Times New Roman" w:hAnsi="Times New Roman" w:cs="Times New Roman"/>
          <w:lang w:val="sr-Cyrl-RS"/>
        </w:rPr>
        <w:t>Комисија за хартије од вредности већ врши надзор над финансијским инструментима, тржиштима капитала и учесницима на том тржишту, као и над спровођењем прописа који се односе на транспарентност, заштиту инвеститора и спречавање злоупотреба тржишта.</w:t>
      </w:r>
    </w:p>
    <w:p w:rsidR="00D93D98" w:rsidRPr="00EA5053" w:rsidRDefault="00D93D98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A5053">
        <w:rPr>
          <w:rFonts w:ascii="Times New Roman" w:hAnsi="Times New Roman" w:cs="Times New Roman"/>
          <w:lang w:val="sr-Cyrl-RS"/>
        </w:rPr>
        <w:t>Према члану 352. тачка 17) Закона о тржишту капитала („Службени гласник РС</w:t>
      </w:r>
      <w:r w:rsidR="008762A3" w:rsidRPr="00EA5053">
        <w:rPr>
          <w:rFonts w:ascii="Times New Roman" w:hAnsi="Times New Roman" w:cs="Times New Roman"/>
          <w:lang w:val="sr-Cyrl-RS"/>
        </w:rPr>
        <w:t>”</w:t>
      </w:r>
      <w:r w:rsidRPr="00EA5053">
        <w:rPr>
          <w:rFonts w:ascii="Times New Roman" w:hAnsi="Times New Roman" w:cs="Times New Roman"/>
          <w:lang w:val="sr-Cyrl-RS"/>
        </w:rPr>
        <w:t xml:space="preserve">, бр. 129/2021), Комисија обавља и друге послове утврђене тим или другим законом. Ова измена се ослања управо на ту одредбу и омогућава Комисији да у оквиру своје надлежности врши надзор и по Закону о </w:t>
      </w:r>
      <w:proofErr w:type="spellStart"/>
      <w:r w:rsidRPr="00EA5053">
        <w:rPr>
          <w:rFonts w:ascii="Times New Roman" w:hAnsi="Times New Roman" w:cs="Times New Roman"/>
          <w:lang w:val="sr-Cyrl-RS"/>
        </w:rPr>
        <w:t>факторингу</w:t>
      </w:r>
      <w:proofErr w:type="spellEnd"/>
      <w:r w:rsidRPr="00EA5053">
        <w:rPr>
          <w:rFonts w:ascii="Times New Roman" w:hAnsi="Times New Roman" w:cs="Times New Roman"/>
          <w:lang w:val="sr-Cyrl-RS"/>
        </w:rPr>
        <w:t>.</w:t>
      </w:r>
    </w:p>
    <w:p w:rsidR="00226627" w:rsidRPr="00EA5053" w:rsidRDefault="00D93D98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B59B9">
        <w:rPr>
          <w:rFonts w:ascii="Times New Roman" w:hAnsi="Times New Roman" w:cs="Times New Roman"/>
          <w:lang w:val="sr-Cyrl-RS"/>
        </w:rPr>
        <w:t xml:space="preserve">Такође, досадашње поступање показује да Министарство финансија нема довољне техничке и кадровске капацитете да у пуном обиму спроведе надзор над свим аспектима тржишта </w:t>
      </w:r>
      <w:proofErr w:type="spellStart"/>
      <w:r w:rsidRPr="00EB59B9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Pr="00EB59B9">
        <w:rPr>
          <w:rFonts w:ascii="Times New Roman" w:hAnsi="Times New Roman" w:cs="Times New Roman"/>
          <w:lang w:val="sr-Cyrl-RS"/>
        </w:rPr>
        <w:t xml:space="preserve">, посебно у делу који се односи на тржишне злоупотребе, секундарне трансакције, и компликоване облике </w:t>
      </w:r>
      <w:proofErr w:type="spellStart"/>
      <w:r w:rsidRPr="00EB59B9">
        <w:rPr>
          <w:rFonts w:ascii="Times New Roman" w:hAnsi="Times New Roman" w:cs="Times New Roman"/>
          <w:lang w:val="sr-Cyrl-RS"/>
        </w:rPr>
        <w:t>секјуритизације</w:t>
      </w:r>
      <w:proofErr w:type="spellEnd"/>
      <w:r w:rsidRPr="00EB59B9">
        <w:rPr>
          <w:rFonts w:ascii="Times New Roman" w:hAnsi="Times New Roman" w:cs="Times New Roman"/>
          <w:lang w:val="sr-Cyrl-RS"/>
        </w:rPr>
        <w:t>. Поверавање ових надлежности Комисији унапредиће транспарентност, ефикасност и правну сигурност на тржишту.</w:t>
      </w:r>
    </w:p>
    <w:p w:rsidR="00EF4A10" w:rsidRPr="00EF4A10" w:rsidRDefault="004E7A99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8762A3">
        <w:rPr>
          <w:rFonts w:ascii="Times New Roman" w:hAnsi="Times New Roman" w:cs="Times New Roman"/>
          <w:bCs/>
          <w:lang w:val="sr-Cyrl-RS"/>
        </w:rPr>
        <w:t>Чланом 1</w:t>
      </w:r>
      <w:r w:rsidR="00E92098" w:rsidRPr="008762A3">
        <w:rPr>
          <w:rFonts w:ascii="Times New Roman" w:hAnsi="Times New Roman" w:cs="Times New Roman"/>
          <w:bCs/>
          <w:lang w:val="sr-Cyrl-RS"/>
        </w:rPr>
        <w:t>5</w:t>
      </w:r>
      <w:r w:rsidRPr="008762A3">
        <w:rPr>
          <w:rFonts w:ascii="Times New Roman" w:hAnsi="Times New Roman" w:cs="Times New Roman"/>
          <w:bCs/>
          <w:lang w:val="sr-Cyrl-RS"/>
        </w:rPr>
        <w:t>.</w:t>
      </w:r>
      <w:r w:rsidRPr="00EA5053">
        <w:rPr>
          <w:rFonts w:ascii="Times New Roman" w:hAnsi="Times New Roman" w:cs="Times New Roman"/>
          <w:lang w:val="sr-Cyrl-RS"/>
        </w:rPr>
        <w:t xml:space="preserve"> Предлога закона, у члан 34. став 1. додаје се нова тачка 7</w:t>
      </w:r>
      <w:r w:rsidR="009049CE">
        <w:rPr>
          <w:rFonts w:ascii="Times New Roman" w:hAnsi="Times New Roman" w:cs="Times New Roman"/>
          <w:lang w:val="sr-Cyrl-RS"/>
        </w:rPr>
        <w:t>)</w:t>
      </w:r>
      <w:r w:rsidRPr="00EA5053">
        <w:rPr>
          <w:rFonts w:ascii="Times New Roman" w:hAnsi="Times New Roman" w:cs="Times New Roman"/>
          <w:lang w:val="sr-Cyrl-RS"/>
        </w:rPr>
        <w:t xml:space="preserve"> којом се прописује прекршајна одговорност у случају непоштовања обавезе </w:t>
      </w:r>
      <w:r w:rsidR="00EF4A10">
        <w:rPr>
          <w:rFonts w:ascii="Times New Roman" w:hAnsi="Times New Roman" w:cs="Times New Roman"/>
          <w:lang w:val="sr-Cyrl-RS"/>
        </w:rPr>
        <w:t>враћања потраживања и обавештења дужника</w:t>
      </w:r>
      <w:r w:rsidR="00857F7F">
        <w:rPr>
          <w:rFonts w:ascii="Times New Roman" w:hAnsi="Times New Roman" w:cs="Times New Roman"/>
          <w:lang w:val="sr-Latn-RS"/>
        </w:rPr>
        <w:t xml:space="preserve"> </w:t>
      </w:r>
      <w:r w:rsidR="00857F7F">
        <w:rPr>
          <w:rFonts w:ascii="Times New Roman" w:hAnsi="Times New Roman" w:cs="Times New Roman"/>
          <w:lang w:val="sr-Cyrl-RS"/>
        </w:rPr>
        <w:t>у прописаном року</w:t>
      </w:r>
      <w:r w:rsidR="00EF4A10">
        <w:rPr>
          <w:rFonts w:ascii="Times New Roman" w:hAnsi="Times New Roman" w:cs="Times New Roman"/>
          <w:lang w:val="sr-Cyrl-RS"/>
        </w:rPr>
        <w:t>, након остварења регресног права.</w:t>
      </w:r>
    </w:p>
    <w:p w:rsidR="004E7A99" w:rsidRPr="00657F9D" w:rsidRDefault="00EF4A10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>Такође, додаје се нова тачка 8</w:t>
      </w:r>
      <w:r w:rsidR="009049CE">
        <w:rPr>
          <w:rFonts w:ascii="Times New Roman" w:hAnsi="Times New Roman" w:cs="Times New Roman"/>
          <w:lang w:val="sr-Cyrl-RS"/>
        </w:rPr>
        <w:t>)</w:t>
      </w:r>
      <w:r>
        <w:rPr>
          <w:rFonts w:ascii="Times New Roman" w:hAnsi="Times New Roman" w:cs="Times New Roman"/>
          <w:lang w:val="sr-Cyrl-RS"/>
        </w:rPr>
        <w:t xml:space="preserve"> којом се прописује прекршајна одговорност у случају непоштовања обавезе </w:t>
      </w:r>
      <w:r w:rsidR="004E7A99" w:rsidRPr="00EA5053">
        <w:rPr>
          <w:rFonts w:ascii="Times New Roman" w:hAnsi="Times New Roman" w:cs="Times New Roman"/>
          <w:lang w:val="sr-Cyrl-RS"/>
        </w:rPr>
        <w:t xml:space="preserve">регистрације уступљених фактура у </w:t>
      </w:r>
      <w:r w:rsidR="007F3FFA">
        <w:rPr>
          <w:rFonts w:ascii="Times New Roman" w:hAnsi="Times New Roman" w:cs="Times New Roman"/>
          <w:lang w:val="sr-Cyrl-RS"/>
        </w:rPr>
        <w:t xml:space="preserve">централној евиденцији </w:t>
      </w:r>
      <w:proofErr w:type="spellStart"/>
      <w:r w:rsidR="007F3FFA">
        <w:rPr>
          <w:rFonts w:ascii="Times New Roman" w:hAnsi="Times New Roman" w:cs="Times New Roman"/>
          <w:lang w:val="sr-Cyrl-RS"/>
        </w:rPr>
        <w:t>факторинга</w:t>
      </w:r>
      <w:proofErr w:type="spellEnd"/>
      <w:r>
        <w:rPr>
          <w:rFonts w:ascii="Times New Roman" w:hAnsi="Times New Roman" w:cs="Times New Roman"/>
          <w:lang w:val="sr-Cyrl-RS"/>
        </w:rPr>
        <w:t>.</w:t>
      </w:r>
    </w:p>
    <w:p w:rsidR="004E7A99" w:rsidRPr="00EA5053" w:rsidRDefault="004E7A99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A5053">
        <w:rPr>
          <w:rFonts w:ascii="Times New Roman" w:hAnsi="Times New Roman" w:cs="Times New Roman"/>
          <w:lang w:val="sr-Cyrl-RS"/>
        </w:rPr>
        <w:t xml:space="preserve">Ова измена представља допуну постојећег система прекршајних одредби са циљем да се обезбеди доследна примена новоуведене обавезе из члана 32а. Пошто регистрација уступљених </w:t>
      </w:r>
      <w:r w:rsidR="000F1C27">
        <w:rPr>
          <w:rFonts w:ascii="Times New Roman" w:hAnsi="Times New Roman" w:cs="Times New Roman"/>
          <w:lang w:val="sr-Cyrl-RS"/>
        </w:rPr>
        <w:t>фактура</w:t>
      </w:r>
      <w:r w:rsidR="000F1C27" w:rsidRPr="00EA5053">
        <w:rPr>
          <w:rFonts w:ascii="Times New Roman" w:hAnsi="Times New Roman" w:cs="Times New Roman"/>
          <w:lang w:val="sr-Cyrl-RS"/>
        </w:rPr>
        <w:t xml:space="preserve"> </w:t>
      </w:r>
      <w:r w:rsidRPr="00EA5053">
        <w:rPr>
          <w:rFonts w:ascii="Times New Roman" w:hAnsi="Times New Roman" w:cs="Times New Roman"/>
          <w:lang w:val="sr-Cyrl-RS"/>
        </w:rPr>
        <w:t xml:space="preserve">у електронски систем представља кључни механизам за обезбеђење транспарентности, правне сигурности и заштите свих страна у </w:t>
      </w:r>
      <w:proofErr w:type="spellStart"/>
      <w:r w:rsidRPr="00EA5053">
        <w:rPr>
          <w:rFonts w:ascii="Times New Roman" w:hAnsi="Times New Roman" w:cs="Times New Roman"/>
          <w:lang w:val="sr-Cyrl-RS"/>
        </w:rPr>
        <w:t>факторинг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послу, неопходно је прописати јасну санкцију у случају </w:t>
      </w:r>
      <w:proofErr w:type="spellStart"/>
      <w:r w:rsidRPr="00EA5053">
        <w:rPr>
          <w:rFonts w:ascii="Times New Roman" w:hAnsi="Times New Roman" w:cs="Times New Roman"/>
          <w:lang w:val="sr-Cyrl-RS"/>
        </w:rPr>
        <w:t>непоступања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по наведеној обавези.</w:t>
      </w:r>
    </w:p>
    <w:p w:rsidR="004E7A99" w:rsidRPr="00EA5053" w:rsidRDefault="004E7A99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A5053">
        <w:rPr>
          <w:rFonts w:ascii="Times New Roman" w:hAnsi="Times New Roman" w:cs="Times New Roman"/>
          <w:lang w:val="sr-Cyrl-RS"/>
        </w:rPr>
        <w:lastRenderedPageBreak/>
        <w:t xml:space="preserve">На овај начин се доприноси унапређењу система контроле и надзора, а казнена одредба делује превентивно и </w:t>
      </w:r>
      <w:proofErr w:type="spellStart"/>
      <w:r w:rsidRPr="00EA5053">
        <w:rPr>
          <w:rFonts w:ascii="Times New Roman" w:hAnsi="Times New Roman" w:cs="Times New Roman"/>
          <w:lang w:val="sr-Cyrl-RS"/>
        </w:rPr>
        <w:t>дисциплинујуће</w:t>
      </w:r>
      <w:proofErr w:type="spellEnd"/>
      <w:r w:rsidRPr="00EA5053">
        <w:rPr>
          <w:rFonts w:ascii="Times New Roman" w:hAnsi="Times New Roman" w:cs="Times New Roman"/>
          <w:lang w:val="sr-Cyrl-RS"/>
        </w:rPr>
        <w:t>, подстичући уредно понашање на тржишту.</w:t>
      </w:r>
    </w:p>
    <w:p w:rsidR="009049CE" w:rsidRDefault="006D3034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8762A3">
        <w:rPr>
          <w:rFonts w:ascii="Times New Roman" w:hAnsi="Times New Roman" w:cs="Times New Roman"/>
          <w:bCs/>
          <w:lang w:val="sr-Cyrl-RS"/>
        </w:rPr>
        <w:t>Члан</w:t>
      </w:r>
      <w:r w:rsidR="009049CE">
        <w:rPr>
          <w:rFonts w:ascii="Times New Roman" w:hAnsi="Times New Roman" w:cs="Times New Roman"/>
          <w:bCs/>
          <w:lang w:val="sr-Cyrl-RS"/>
        </w:rPr>
        <w:t>ом</w:t>
      </w:r>
      <w:r w:rsidRPr="008762A3">
        <w:rPr>
          <w:rFonts w:ascii="Times New Roman" w:hAnsi="Times New Roman" w:cs="Times New Roman"/>
          <w:bCs/>
          <w:lang w:val="sr-Cyrl-RS"/>
        </w:rPr>
        <w:t xml:space="preserve"> 1</w:t>
      </w:r>
      <w:r w:rsidR="00E92098" w:rsidRPr="008762A3">
        <w:rPr>
          <w:rFonts w:ascii="Times New Roman" w:hAnsi="Times New Roman" w:cs="Times New Roman"/>
          <w:bCs/>
          <w:lang w:val="sr-Cyrl-RS"/>
        </w:rPr>
        <w:t>6</w:t>
      </w:r>
      <w:r w:rsidRPr="008762A3">
        <w:rPr>
          <w:rFonts w:ascii="Times New Roman" w:hAnsi="Times New Roman" w:cs="Times New Roman"/>
          <w:bCs/>
          <w:lang w:val="sr-Cyrl-RS"/>
        </w:rPr>
        <w:t>.</w:t>
      </w:r>
      <w:r w:rsidR="009049CE">
        <w:rPr>
          <w:rFonts w:ascii="Times New Roman" w:hAnsi="Times New Roman" w:cs="Times New Roman"/>
          <w:bCs/>
          <w:lang w:val="sr-Cyrl-RS"/>
        </w:rPr>
        <w:t xml:space="preserve"> Предлога закона се врши правно-техничко </w:t>
      </w:r>
      <w:proofErr w:type="spellStart"/>
      <w:r w:rsidR="009049CE">
        <w:rPr>
          <w:rFonts w:ascii="Times New Roman" w:hAnsi="Times New Roman" w:cs="Times New Roman"/>
          <w:bCs/>
          <w:lang w:val="sr-Cyrl-RS"/>
        </w:rPr>
        <w:t>ускађивање</w:t>
      </w:r>
      <w:proofErr w:type="spellEnd"/>
      <w:r w:rsidR="009049CE">
        <w:rPr>
          <w:rFonts w:ascii="Times New Roman" w:hAnsi="Times New Roman" w:cs="Times New Roman"/>
          <w:bCs/>
          <w:lang w:val="sr-Cyrl-RS"/>
        </w:rPr>
        <w:t xml:space="preserve"> нумерације глава.</w:t>
      </w:r>
    </w:p>
    <w:p w:rsidR="00B742AD" w:rsidRPr="00EA5053" w:rsidRDefault="009049CE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Чланом 17. Предлога закона се </w:t>
      </w:r>
      <w:r w:rsidR="008762A3">
        <w:rPr>
          <w:rFonts w:ascii="Times New Roman" w:hAnsi="Times New Roman" w:cs="Times New Roman"/>
          <w:lang w:val="sr-Cyrl-RS"/>
        </w:rPr>
        <w:t xml:space="preserve">прописује </w:t>
      </w:r>
      <w:r w:rsidR="00B742AD" w:rsidRPr="00EA5053">
        <w:rPr>
          <w:rFonts w:ascii="Times New Roman" w:hAnsi="Times New Roman" w:cs="Times New Roman"/>
          <w:lang w:val="sr-Cyrl-RS"/>
        </w:rPr>
        <w:t xml:space="preserve">временски оквир у коме </w:t>
      </w:r>
      <w:r w:rsidR="004803F6" w:rsidRPr="00EA5053">
        <w:rPr>
          <w:rFonts w:ascii="Times New Roman" w:hAnsi="Times New Roman" w:cs="Times New Roman"/>
          <w:lang w:val="sr-Cyrl-RS"/>
        </w:rPr>
        <w:t>су</w:t>
      </w:r>
      <w:r w:rsidR="00B742AD" w:rsidRPr="00EA5053">
        <w:rPr>
          <w:rFonts w:ascii="Times New Roman" w:hAnsi="Times New Roman" w:cs="Times New Roman"/>
          <w:lang w:val="sr-Cyrl-RS"/>
        </w:rPr>
        <w:t xml:space="preserve"> </w:t>
      </w:r>
      <w:r w:rsidR="004803F6" w:rsidRPr="00EA5053">
        <w:rPr>
          <w:rFonts w:ascii="Times New Roman" w:hAnsi="Times New Roman" w:cs="Times New Roman"/>
          <w:lang w:val="sr-Cyrl-RS"/>
        </w:rPr>
        <w:t>Министарство и Комисија за хартије од вредности</w:t>
      </w:r>
      <w:r w:rsidR="00B742AD" w:rsidRPr="00EA5053">
        <w:rPr>
          <w:rFonts w:ascii="Times New Roman" w:hAnsi="Times New Roman" w:cs="Times New Roman"/>
          <w:lang w:val="sr-Cyrl-RS"/>
        </w:rPr>
        <w:t xml:space="preserve"> дужн</w:t>
      </w:r>
      <w:r w:rsidR="004803F6" w:rsidRPr="00EA5053">
        <w:rPr>
          <w:rFonts w:ascii="Times New Roman" w:hAnsi="Times New Roman" w:cs="Times New Roman"/>
          <w:lang w:val="sr-Cyrl-RS"/>
        </w:rPr>
        <w:t>и</w:t>
      </w:r>
      <w:r w:rsidR="00B742AD" w:rsidRPr="00EA5053">
        <w:rPr>
          <w:rFonts w:ascii="Times New Roman" w:hAnsi="Times New Roman" w:cs="Times New Roman"/>
          <w:lang w:val="sr-Cyrl-RS"/>
        </w:rPr>
        <w:t xml:space="preserve"> да донес</w:t>
      </w:r>
      <w:r w:rsidR="004803F6" w:rsidRPr="00EA5053">
        <w:rPr>
          <w:rFonts w:ascii="Times New Roman" w:hAnsi="Times New Roman" w:cs="Times New Roman"/>
          <w:lang w:val="sr-Cyrl-RS"/>
        </w:rPr>
        <w:t>у</w:t>
      </w:r>
      <w:r w:rsidR="00B742AD" w:rsidRPr="00EA5053">
        <w:rPr>
          <w:rFonts w:ascii="Times New Roman" w:hAnsi="Times New Roman" w:cs="Times New Roman"/>
          <w:lang w:val="sr-Cyrl-RS"/>
        </w:rPr>
        <w:t xml:space="preserve"> подзаконске акте потребне за примену закона</w:t>
      </w:r>
      <w:r w:rsidR="004803F6" w:rsidRPr="00EA5053">
        <w:rPr>
          <w:rFonts w:ascii="Times New Roman" w:hAnsi="Times New Roman" w:cs="Times New Roman"/>
          <w:lang w:val="sr-Cyrl-RS"/>
        </w:rPr>
        <w:t>.</w:t>
      </w:r>
    </w:p>
    <w:p w:rsidR="00B742AD" w:rsidRPr="00EA5053" w:rsidRDefault="00B742AD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A5053">
        <w:rPr>
          <w:rFonts w:ascii="Times New Roman" w:hAnsi="Times New Roman" w:cs="Times New Roman"/>
          <w:lang w:val="sr-Cyrl-RS"/>
        </w:rPr>
        <w:t xml:space="preserve">С обзиром на то да успостављање </w:t>
      </w:r>
      <w:r w:rsidR="007F3FFA">
        <w:rPr>
          <w:rFonts w:ascii="Times New Roman" w:hAnsi="Times New Roman" w:cs="Times New Roman"/>
          <w:lang w:val="sr-Cyrl-RS"/>
        </w:rPr>
        <w:t xml:space="preserve">централне евиденције </w:t>
      </w:r>
      <w:proofErr w:type="spellStart"/>
      <w:r w:rsidR="007F3FFA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="004803F6" w:rsidRPr="00EA5053">
        <w:rPr>
          <w:rFonts w:ascii="Times New Roman" w:hAnsi="Times New Roman" w:cs="Times New Roman"/>
          <w:lang w:val="sr-Cyrl-RS"/>
        </w:rPr>
        <w:t xml:space="preserve"> </w:t>
      </w:r>
      <w:r w:rsidRPr="00EA5053">
        <w:rPr>
          <w:rFonts w:ascii="Times New Roman" w:hAnsi="Times New Roman" w:cs="Times New Roman"/>
          <w:lang w:val="sr-Cyrl-RS"/>
        </w:rPr>
        <w:t xml:space="preserve">представља значајну новину у регулаторном оквиру и захтева адекватне припреме – како нормативне тако и технолошке – прописано је одложено дејство одредаба које се односе на функционисање </w:t>
      </w:r>
      <w:r w:rsidR="007F3FFA">
        <w:rPr>
          <w:rFonts w:ascii="Times New Roman" w:hAnsi="Times New Roman" w:cs="Times New Roman"/>
          <w:lang w:val="sr-Cyrl-RS"/>
        </w:rPr>
        <w:t xml:space="preserve">централне евиденције </w:t>
      </w:r>
      <w:proofErr w:type="spellStart"/>
      <w:r w:rsidR="007F3FFA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="0056161B" w:rsidRPr="00EA5053">
        <w:rPr>
          <w:rFonts w:ascii="Times New Roman" w:hAnsi="Times New Roman" w:cs="Times New Roman"/>
          <w:lang w:val="sr-Cyrl-RS"/>
        </w:rPr>
        <w:t xml:space="preserve"> </w:t>
      </w:r>
      <w:r w:rsidRPr="00EA5053">
        <w:rPr>
          <w:rFonts w:ascii="Times New Roman" w:hAnsi="Times New Roman" w:cs="Times New Roman"/>
          <w:lang w:val="sr-Cyrl-RS"/>
        </w:rPr>
        <w:t xml:space="preserve">и обавезе уноса података, у трајању од 12 месеци од ступања на снагу закона. На тај начин се </w:t>
      </w:r>
      <w:r w:rsidR="00A73A51" w:rsidRPr="00EA5053">
        <w:rPr>
          <w:rFonts w:ascii="Times New Roman" w:hAnsi="Times New Roman" w:cs="Times New Roman"/>
          <w:lang w:val="sr-Cyrl-RS"/>
        </w:rPr>
        <w:t xml:space="preserve">Министарству </w:t>
      </w:r>
      <w:r w:rsidRPr="00EA5053">
        <w:rPr>
          <w:rFonts w:ascii="Times New Roman" w:hAnsi="Times New Roman" w:cs="Times New Roman"/>
          <w:lang w:val="sr-Cyrl-RS"/>
        </w:rPr>
        <w:t xml:space="preserve">пружа довољно времена да донесе подзаконска акта и организује техничко успостављање </w:t>
      </w:r>
      <w:r w:rsidR="000F1C27">
        <w:rPr>
          <w:rFonts w:ascii="Times New Roman" w:hAnsi="Times New Roman" w:cs="Times New Roman"/>
          <w:lang w:val="sr-Cyrl-RS"/>
        </w:rPr>
        <w:t xml:space="preserve">централне евиденције </w:t>
      </w:r>
      <w:proofErr w:type="spellStart"/>
      <w:r w:rsidR="000F1C27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Pr="00EA5053">
        <w:rPr>
          <w:rFonts w:ascii="Times New Roman" w:hAnsi="Times New Roman" w:cs="Times New Roman"/>
          <w:lang w:val="sr-Cyrl-RS"/>
        </w:rPr>
        <w:t>, док се обвезницима (</w:t>
      </w:r>
      <w:proofErr w:type="spellStart"/>
      <w:r w:rsidRPr="00EA5053">
        <w:rPr>
          <w:rFonts w:ascii="Times New Roman" w:hAnsi="Times New Roman" w:cs="Times New Roman"/>
          <w:lang w:val="sr-Cyrl-RS"/>
        </w:rPr>
        <w:t>факторинг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друштвима, банкама и другим </w:t>
      </w:r>
      <w:proofErr w:type="spellStart"/>
      <w:r w:rsidRPr="00EA5053">
        <w:rPr>
          <w:rFonts w:ascii="Times New Roman" w:hAnsi="Times New Roman" w:cs="Times New Roman"/>
          <w:lang w:val="sr-Cyrl-RS"/>
        </w:rPr>
        <w:t>пружаоцима</w:t>
      </w:r>
      <w:proofErr w:type="spellEnd"/>
      <w:r w:rsidRPr="00EA5053">
        <w:rPr>
          <w:rFonts w:ascii="Times New Roman" w:hAnsi="Times New Roman" w:cs="Times New Roman"/>
          <w:lang w:val="sr-Cyrl-RS"/>
        </w:rPr>
        <w:t xml:space="preserve"> услуга </w:t>
      </w:r>
      <w:proofErr w:type="spellStart"/>
      <w:r w:rsidRPr="00EA5053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Pr="00EA5053">
        <w:rPr>
          <w:rFonts w:ascii="Times New Roman" w:hAnsi="Times New Roman" w:cs="Times New Roman"/>
          <w:lang w:val="sr-Cyrl-RS"/>
        </w:rPr>
        <w:t>) обезбеђује адекватан рок за прилагођавање интерних система и процедура.</w:t>
      </w:r>
    </w:p>
    <w:p w:rsidR="000B6963" w:rsidRPr="00EA5053" w:rsidRDefault="00B742AD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A5053">
        <w:rPr>
          <w:rFonts w:ascii="Times New Roman" w:hAnsi="Times New Roman" w:cs="Times New Roman"/>
          <w:lang w:val="sr-Cyrl-RS"/>
        </w:rPr>
        <w:t xml:space="preserve">Такође, јасно је прописано да су обвезници дужни да отпочну са уносом података у року од 30 дана од почетка рада </w:t>
      </w:r>
      <w:r w:rsidR="007F3FFA">
        <w:rPr>
          <w:rFonts w:ascii="Times New Roman" w:hAnsi="Times New Roman" w:cs="Times New Roman"/>
          <w:lang w:val="sr-Cyrl-RS"/>
        </w:rPr>
        <w:t xml:space="preserve">централне евиденције </w:t>
      </w:r>
      <w:proofErr w:type="spellStart"/>
      <w:r w:rsidR="007F3FFA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Pr="00EA5053">
        <w:rPr>
          <w:rFonts w:ascii="Times New Roman" w:hAnsi="Times New Roman" w:cs="Times New Roman"/>
          <w:lang w:val="sr-Cyrl-RS"/>
        </w:rPr>
        <w:t>, што омогућава прецизну идентификацију почетка примене ове обавезе.</w:t>
      </w:r>
    </w:p>
    <w:p w:rsidR="008762A3" w:rsidRDefault="008762A3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lang w:val="sr-Latn-RS"/>
        </w:rPr>
      </w:pPr>
    </w:p>
    <w:p w:rsidR="000B6963" w:rsidRPr="00EB59B9" w:rsidRDefault="00490FBD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Latn-RS"/>
        </w:rPr>
        <w:t>IV</w:t>
      </w:r>
      <w:r w:rsidR="008762A3">
        <w:rPr>
          <w:rFonts w:ascii="Times New Roman" w:hAnsi="Times New Roman" w:cs="Times New Roman"/>
          <w:b/>
          <w:bCs/>
          <w:lang w:val="sr-Cyrl-RS"/>
        </w:rPr>
        <w:t>.</w:t>
      </w:r>
      <w:r>
        <w:rPr>
          <w:rFonts w:ascii="Times New Roman" w:hAnsi="Times New Roman" w:cs="Times New Roman"/>
          <w:b/>
          <w:bCs/>
          <w:lang w:val="sr-Latn-RS"/>
        </w:rPr>
        <w:t xml:space="preserve"> </w:t>
      </w:r>
      <w:r w:rsidRPr="00EB59B9">
        <w:rPr>
          <w:rFonts w:ascii="Times New Roman" w:hAnsi="Times New Roman" w:cs="Times New Roman"/>
          <w:b/>
          <w:bCs/>
          <w:lang w:val="sr-Cyrl-RS"/>
        </w:rPr>
        <w:t>А</w:t>
      </w:r>
      <w:r w:rsidR="008762A3" w:rsidRPr="00EB59B9">
        <w:rPr>
          <w:rFonts w:ascii="Times New Roman" w:hAnsi="Times New Roman" w:cs="Times New Roman"/>
          <w:b/>
          <w:bCs/>
          <w:lang w:val="sr-Cyrl-RS"/>
        </w:rPr>
        <w:t>нализа ефеката прописа</w:t>
      </w:r>
    </w:p>
    <w:p w:rsidR="000F138F" w:rsidRPr="000F138F" w:rsidRDefault="000E6CAC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EB59B9">
        <w:rPr>
          <w:rFonts w:ascii="Times New Roman" w:hAnsi="Times New Roman" w:cs="Times New Roman"/>
          <w:lang w:val="sr-Cyrl-RS"/>
        </w:rPr>
        <w:t xml:space="preserve">Очекивани ефекти Усвајањем предложених измена очекује се знатно повећање транспарентности у промету потраживања и раст тржишта </w:t>
      </w:r>
      <w:proofErr w:type="spellStart"/>
      <w:r w:rsidRPr="00EB59B9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Pr="00EB59B9">
        <w:rPr>
          <w:rFonts w:ascii="Times New Roman" w:hAnsi="Times New Roman" w:cs="Times New Roman"/>
          <w:lang w:val="sr-Cyrl-RS"/>
        </w:rPr>
        <w:t xml:space="preserve">. Нови оквир ће смањити правну несигурност у поступању страна у </w:t>
      </w:r>
      <w:proofErr w:type="spellStart"/>
      <w:r w:rsidRPr="00EB59B9">
        <w:rPr>
          <w:rFonts w:ascii="Times New Roman" w:hAnsi="Times New Roman" w:cs="Times New Roman"/>
          <w:lang w:val="sr-Cyrl-RS"/>
        </w:rPr>
        <w:t>факторинг</w:t>
      </w:r>
      <w:proofErr w:type="spellEnd"/>
      <w:r w:rsidRPr="00EB59B9">
        <w:rPr>
          <w:rFonts w:ascii="Times New Roman" w:hAnsi="Times New Roman" w:cs="Times New Roman"/>
          <w:lang w:val="sr-Cyrl-RS"/>
        </w:rPr>
        <w:t xml:space="preserve"> трансакцијама, омогућити бољу повезаност са системом електронских фактура и подстаћи развој секундарног тржишта потраживања. Истовремено, јача се поверење инвеститора и улагача, унапређује положај фактора у поступцима наплате, и постиже боља усаглашеност са европским регулаторним токовима и тржишним стандардима.</w:t>
      </w:r>
    </w:p>
    <w:p w:rsidR="000E6CAC" w:rsidRPr="00EA5053" w:rsidRDefault="000F138F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0F138F">
        <w:rPr>
          <w:rFonts w:ascii="Times New Roman" w:hAnsi="Times New Roman" w:cs="Times New Roman"/>
          <w:lang w:val="sr-Cyrl-RS"/>
        </w:rPr>
        <w:t xml:space="preserve">Предложене измене Закона о </w:t>
      </w:r>
      <w:proofErr w:type="spellStart"/>
      <w:r w:rsidRPr="000F138F">
        <w:rPr>
          <w:rFonts w:ascii="Times New Roman" w:hAnsi="Times New Roman" w:cs="Times New Roman"/>
          <w:lang w:val="sr-Cyrl-RS"/>
        </w:rPr>
        <w:t>факторингу</w:t>
      </w:r>
      <w:proofErr w:type="spellEnd"/>
      <w:r w:rsidRPr="000F138F">
        <w:rPr>
          <w:rFonts w:ascii="Times New Roman" w:hAnsi="Times New Roman" w:cs="Times New Roman"/>
          <w:lang w:val="sr-Cyrl-RS"/>
        </w:rPr>
        <w:t xml:space="preserve"> утицаће пре свега на друштва која пружају </w:t>
      </w:r>
      <w:proofErr w:type="spellStart"/>
      <w:r w:rsidRPr="000F138F">
        <w:rPr>
          <w:rFonts w:ascii="Times New Roman" w:hAnsi="Times New Roman" w:cs="Times New Roman"/>
          <w:lang w:val="sr-Cyrl-RS"/>
        </w:rPr>
        <w:t>факторинг</w:t>
      </w:r>
      <w:proofErr w:type="spellEnd"/>
      <w:r w:rsidRPr="000F138F">
        <w:rPr>
          <w:rFonts w:ascii="Times New Roman" w:hAnsi="Times New Roman" w:cs="Times New Roman"/>
          <w:lang w:val="sr-Cyrl-RS"/>
        </w:rPr>
        <w:t xml:space="preserve"> услуге, Комисију за хартије од вредности као надзорни орган, као и на привредне субјекте који прибегавају </w:t>
      </w:r>
      <w:proofErr w:type="spellStart"/>
      <w:r w:rsidRPr="000F138F">
        <w:rPr>
          <w:rFonts w:ascii="Times New Roman" w:hAnsi="Times New Roman" w:cs="Times New Roman"/>
          <w:lang w:val="sr-Cyrl-RS"/>
        </w:rPr>
        <w:t>факторингу</w:t>
      </w:r>
      <w:proofErr w:type="spellEnd"/>
      <w:r w:rsidRPr="000F138F">
        <w:rPr>
          <w:rFonts w:ascii="Times New Roman" w:hAnsi="Times New Roman" w:cs="Times New Roman"/>
          <w:lang w:val="sr-Cyrl-RS"/>
        </w:rPr>
        <w:t xml:space="preserve"> као моделу финансирања. Нови оквир јача правну сигурност, транспарентност и надзор над тржиштем, а нарочито ће допринети малим и средњим предузећима која се ослањају на брз и доступан извор обртних средстава.</w:t>
      </w:r>
    </w:p>
    <w:p w:rsidR="008762A3" w:rsidRDefault="008762A3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lang w:val="sr-Latn-RS"/>
        </w:rPr>
      </w:pPr>
    </w:p>
    <w:p w:rsidR="000B6963" w:rsidRPr="00EB59B9" w:rsidRDefault="00490FBD" w:rsidP="005C6DB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Latn-RS"/>
        </w:rPr>
        <w:t>V</w:t>
      </w:r>
      <w:r w:rsidR="008762A3">
        <w:rPr>
          <w:rFonts w:ascii="Times New Roman" w:hAnsi="Times New Roman" w:cs="Times New Roman"/>
          <w:b/>
          <w:bCs/>
          <w:lang w:val="sr-Cyrl-RS"/>
        </w:rPr>
        <w:t>.</w:t>
      </w:r>
      <w:r>
        <w:rPr>
          <w:rFonts w:ascii="Times New Roman" w:hAnsi="Times New Roman" w:cs="Times New Roman"/>
          <w:b/>
          <w:bCs/>
          <w:lang w:val="sr-Latn-RS"/>
        </w:rPr>
        <w:t xml:space="preserve"> </w:t>
      </w:r>
      <w:r w:rsidRPr="00EB59B9">
        <w:rPr>
          <w:rFonts w:ascii="Times New Roman" w:hAnsi="Times New Roman" w:cs="Times New Roman"/>
          <w:b/>
          <w:bCs/>
          <w:lang w:val="sr-Cyrl-RS"/>
        </w:rPr>
        <w:t>П</w:t>
      </w:r>
      <w:r w:rsidR="008762A3" w:rsidRPr="00EB59B9">
        <w:rPr>
          <w:rFonts w:ascii="Times New Roman" w:hAnsi="Times New Roman" w:cs="Times New Roman"/>
          <w:b/>
          <w:bCs/>
          <w:lang w:val="sr-Cyrl-RS"/>
        </w:rPr>
        <w:t>роцена финансијских средстава потребних за спровођење прописа</w:t>
      </w:r>
    </w:p>
    <w:p w:rsidR="00BB461E" w:rsidRPr="00BB461E" w:rsidRDefault="00BB461E" w:rsidP="00BB461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BB461E">
        <w:rPr>
          <w:rFonts w:ascii="Times New Roman" w:hAnsi="Times New Roman" w:cs="Times New Roman"/>
          <w:lang w:val="sr-Cyrl-RS"/>
        </w:rPr>
        <w:t xml:space="preserve">Усвајањем овог закона ствара се правни основ за доношење подзаконског акта који ће уредити начин функционисања централне евиденције </w:t>
      </w:r>
      <w:proofErr w:type="spellStart"/>
      <w:r w:rsidRPr="00BB461E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Pr="00BB461E">
        <w:rPr>
          <w:rFonts w:ascii="Times New Roman" w:hAnsi="Times New Roman" w:cs="Times New Roman"/>
          <w:lang w:val="sr-Cyrl-RS"/>
        </w:rPr>
        <w:t xml:space="preserve">, који ће донети Министарство. Наведени акт ће садржати техничке, организационе и </w:t>
      </w:r>
      <w:proofErr w:type="spellStart"/>
      <w:r w:rsidRPr="00BB461E">
        <w:rPr>
          <w:rFonts w:ascii="Times New Roman" w:hAnsi="Times New Roman" w:cs="Times New Roman"/>
          <w:lang w:val="sr-Cyrl-RS"/>
        </w:rPr>
        <w:t>процедурске</w:t>
      </w:r>
      <w:proofErr w:type="spellEnd"/>
      <w:r w:rsidRPr="00BB461E">
        <w:rPr>
          <w:rFonts w:ascii="Times New Roman" w:hAnsi="Times New Roman" w:cs="Times New Roman"/>
          <w:lang w:val="sr-Cyrl-RS"/>
        </w:rPr>
        <w:t xml:space="preserve"> услове за рад, као и начин и рокове уписа података.</w:t>
      </w:r>
    </w:p>
    <w:p w:rsidR="00BB461E" w:rsidRPr="00BB461E" w:rsidRDefault="00BB461E" w:rsidP="00BB461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BB461E">
        <w:rPr>
          <w:rFonts w:ascii="Times New Roman" w:hAnsi="Times New Roman" w:cs="Times New Roman"/>
          <w:lang w:val="sr-Cyrl-RS"/>
        </w:rPr>
        <w:t xml:space="preserve">Финансијска средства за развој и имплементацију централне евиденције </w:t>
      </w:r>
      <w:proofErr w:type="spellStart"/>
      <w:r w:rsidRPr="00BB461E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Pr="00BB461E">
        <w:rPr>
          <w:rFonts w:ascii="Times New Roman" w:hAnsi="Times New Roman" w:cs="Times New Roman"/>
          <w:lang w:val="sr-Cyrl-RS"/>
        </w:rPr>
        <w:t xml:space="preserve"> биће обезбеђена из Зајма број 94859-YF. </w:t>
      </w:r>
    </w:p>
    <w:p w:rsidR="00BB461E" w:rsidRPr="00BB461E" w:rsidRDefault="00BB461E" w:rsidP="00BB461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BB461E">
        <w:rPr>
          <w:rFonts w:ascii="Times New Roman" w:hAnsi="Times New Roman" w:cs="Times New Roman"/>
          <w:lang w:val="sr-Cyrl-RS"/>
        </w:rPr>
        <w:t>Трошкови које ће примена прописа створити привреди</w:t>
      </w:r>
    </w:p>
    <w:p w:rsidR="00BB461E" w:rsidRPr="00BB461E" w:rsidRDefault="00BB461E" w:rsidP="00BB461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BB461E">
        <w:rPr>
          <w:rFonts w:ascii="Times New Roman" w:hAnsi="Times New Roman" w:cs="Times New Roman"/>
          <w:lang w:val="sr-Cyrl-RS"/>
        </w:rPr>
        <w:t xml:space="preserve">Примена прописа неће створити значајне директне трошкове за грађане. За </w:t>
      </w:r>
      <w:proofErr w:type="spellStart"/>
      <w:r w:rsidRPr="00BB461E">
        <w:rPr>
          <w:rFonts w:ascii="Times New Roman" w:hAnsi="Times New Roman" w:cs="Times New Roman"/>
          <w:lang w:val="sr-Cyrl-RS"/>
        </w:rPr>
        <w:t>факторинг</w:t>
      </w:r>
      <w:proofErr w:type="spellEnd"/>
      <w:r w:rsidRPr="00BB461E">
        <w:rPr>
          <w:rFonts w:ascii="Times New Roman" w:hAnsi="Times New Roman" w:cs="Times New Roman"/>
          <w:lang w:val="sr-Cyrl-RS"/>
        </w:rPr>
        <w:t xml:space="preserve"> компаније могу настати минимални трошкови у погледу прилагођавања техничким захтевима централне евиденције </w:t>
      </w:r>
      <w:proofErr w:type="spellStart"/>
      <w:r w:rsidRPr="00BB461E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Pr="00BB461E">
        <w:rPr>
          <w:rFonts w:ascii="Times New Roman" w:hAnsi="Times New Roman" w:cs="Times New Roman"/>
          <w:lang w:val="sr-Cyrl-RS"/>
        </w:rPr>
        <w:t xml:space="preserve"> и обавеза извештавања. Међутим, ти трошкови су краткорочни и вишеструко оправдани дугорочним користима – већом </w:t>
      </w:r>
      <w:r w:rsidRPr="00BB461E">
        <w:rPr>
          <w:rFonts w:ascii="Times New Roman" w:hAnsi="Times New Roman" w:cs="Times New Roman"/>
          <w:lang w:val="sr-Cyrl-RS"/>
        </w:rPr>
        <w:lastRenderedPageBreak/>
        <w:t>правном сигурношћу, бољим управљањем ризиком и већом ефикасношћу у наплати потраживања.</w:t>
      </w:r>
    </w:p>
    <w:p w:rsidR="00BB461E" w:rsidRPr="00BB461E" w:rsidRDefault="00BB461E" w:rsidP="00BB461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BB461E">
        <w:rPr>
          <w:rFonts w:ascii="Times New Roman" w:hAnsi="Times New Roman" w:cs="Times New Roman"/>
          <w:lang w:val="sr-Cyrl-RS"/>
        </w:rPr>
        <w:t>Оправданост трошкова у односу на позитивне последице</w:t>
      </w:r>
    </w:p>
    <w:p w:rsidR="004803F6" w:rsidRDefault="00BB461E" w:rsidP="00BB461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Latn-RS"/>
        </w:rPr>
      </w:pPr>
      <w:r w:rsidRPr="00BB461E">
        <w:rPr>
          <w:rFonts w:ascii="Times New Roman" w:hAnsi="Times New Roman" w:cs="Times New Roman"/>
          <w:lang w:val="sr-Cyrl-RS"/>
        </w:rPr>
        <w:t xml:space="preserve">Позитивни ефекти усвајања овог прописа – као што су смањење злоупотреба, развој секундарног тржишта потраживања, боља контрола и надзор над </w:t>
      </w:r>
      <w:proofErr w:type="spellStart"/>
      <w:r w:rsidRPr="00BB461E">
        <w:rPr>
          <w:rFonts w:ascii="Times New Roman" w:hAnsi="Times New Roman" w:cs="Times New Roman"/>
          <w:lang w:val="sr-Cyrl-RS"/>
        </w:rPr>
        <w:t>факторинг</w:t>
      </w:r>
      <w:proofErr w:type="spellEnd"/>
      <w:r w:rsidRPr="00BB461E">
        <w:rPr>
          <w:rFonts w:ascii="Times New Roman" w:hAnsi="Times New Roman" w:cs="Times New Roman"/>
          <w:lang w:val="sr-Cyrl-RS"/>
        </w:rPr>
        <w:t xml:space="preserve"> трансакцијама, боља заштита поверилаца и подстицање улагања – оправдавају сваки додатни административни или технички трошак који настаје применом новог система.</w:t>
      </w:r>
    </w:p>
    <w:sectPr w:rsidR="004803F6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994" w:rsidRDefault="00D14994" w:rsidP="007610F6">
      <w:pPr>
        <w:spacing w:after="0" w:line="240" w:lineRule="auto"/>
      </w:pPr>
      <w:r>
        <w:separator/>
      </w:r>
    </w:p>
  </w:endnote>
  <w:endnote w:type="continuationSeparator" w:id="0">
    <w:p w:rsidR="00D14994" w:rsidRDefault="00D14994" w:rsidP="00761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23058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10F6" w:rsidRDefault="007610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F6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610F6" w:rsidRDefault="007610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994" w:rsidRDefault="00D14994" w:rsidP="007610F6">
      <w:pPr>
        <w:spacing w:after="0" w:line="240" w:lineRule="auto"/>
      </w:pPr>
      <w:r>
        <w:separator/>
      </w:r>
    </w:p>
  </w:footnote>
  <w:footnote w:type="continuationSeparator" w:id="0">
    <w:p w:rsidR="00D14994" w:rsidRDefault="00D14994" w:rsidP="00761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7DED"/>
    <w:multiLevelType w:val="multilevel"/>
    <w:tmpl w:val="2ABCFC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171DA"/>
    <w:multiLevelType w:val="hybridMultilevel"/>
    <w:tmpl w:val="357E9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333B8"/>
    <w:multiLevelType w:val="multilevel"/>
    <w:tmpl w:val="BE92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D57AD"/>
    <w:multiLevelType w:val="multilevel"/>
    <w:tmpl w:val="2ABCFC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6F5DDA"/>
    <w:multiLevelType w:val="hybridMultilevel"/>
    <w:tmpl w:val="5B0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F6EEC"/>
    <w:multiLevelType w:val="hybridMultilevel"/>
    <w:tmpl w:val="68643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84EB1"/>
    <w:multiLevelType w:val="hybridMultilevel"/>
    <w:tmpl w:val="CAAE19F6"/>
    <w:lvl w:ilvl="0" w:tplc="0EDC8B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C1D06"/>
    <w:multiLevelType w:val="hybridMultilevel"/>
    <w:tmpl w:val="2D707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813DB"/>
    <w:multiLevelType w:val="hybridMultilevel"/>
    <w:tmpl w:val="C1BE1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C5FC0"/>
    <w:multiLevelType w:val="multilevel"/>
    <w:tmpl w:val="2ABCFC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672514"/>
    <w:multiLevelType w:val="hybridMultilevel"/>
    <w:tmpl w:val="523A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962F8"/>
    <w:multiLevelType w:val="multilevel"/>
    <w:tmpl w:val="4412B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BC4900"/>
    <w:multiLevelType w:val="multilevel"/>
    <w:tmpl w:val="A322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5E212A"/>
    <w:multiLevelType w:val="multilevel"/>
    <w:tmpl w:val="DA7E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0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  <w:num w:numId="11">
    <w:abstractNumId w:val="8"/>
  </w:num>
  <w:num w:numId="12">
    <w:abstractNumId w:val="9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84"/>
    <w:rsid w:val="000344F1"/>
    <w:rsid w:val="00042116"/>
    <w:rsid w:val="00044A6C"/>
    <w:rsid w:val="00047834"/>
    <w:rsid w:val="00062595"/>
    <w:rsid w:val="00064492"/>
    <w:rsid w:val="0006561F"/>
    <w:rsid w:val="0008505F"/>
    <w:rsid w:val="00085475"/>
    <w:rsid w:val="000A0141"/>
    <w:rsid w:val="000B6963"/>
    <w:rsid w:val="000E6CAC"/>
    <w:rsid w:val="000E7A16"/>
    <w:rsid w:val="000F138F"/>
    <w:rsid w:val="000F1C27"/>
    <w:rsid w:val="00104623"/>
    <w:rsid w:val="00104AE1"/>
    <w:rsid w:val="00111C65"/>
    <w:rsid w:val="00116571"/>
    <w:rsid w:val="001233D9"/>
    <w:rsid w:val="00126D59"/>
    <w:rsid w:val="00156B56"/>
    <w:rsid w:val="001702D1"/>
    <w:rsid w:val="0017193D"/>
    <w:rsid w:val="00180843"/>
    <w:rsid w:val="001B18F4"/>
    <w:rsid w:val="001B1980"/>
    <w:rsid w:val="001C2F12"/>
    <w:rsid w:val="001D4A11"/>
    <w:rsid w:val="001E3FBD"/>
    <w:rsid w:val="00223301"/>
    <w:rsid w:val="0022381F"/>
    <w:rsid w:val="00224675"/>
    <w:rsid w:val="00226627"/>
    <w:rsid w:val="00226E57"/>
    <w:rsid w:val="0023439B"/>
    <w:rsid w:val="002613B4"/>
    <w:rsid w:val="00286B85"/>
    <w:rsid w:val="002A0234"/>
    <w:rsid w:val="002C0662"/>
    <w:rsid w:val="00303432"/>
    <w:rsid w:val="003139C7"/>
    <w:rsid w:val="00345CD8"/>
    <w:rsid w:val="00355DED"/>
    <w:rsid w:val="00361CD8"/>
    <w:rsid w:val="00381DBB"/>
    <w:rsid w:val="00382E22"/>
    <w:rsid w:val="003B3989"/>
    <w:rsid w:val="003B41EE"/>
    <w:rsid w:val="003B725D"/>
    <w:rsid w:val="003C35CD"/>
    <w:rsid w:val="003D4D61"/>
    <w:rsid w:val="003E29AF"/>
    <w:rsid w:val="003F6C56"/>
    <w:rsid w:val="00400683"/>
    <w:rsid w:val="00417929"/>
    <w:rsid w:val="0044564B"/>
    <w:rsid w:val="00447106"/>
    <w:rsid w:val="00450703"/>
    <w:rsid w:val="00464C0C"/>
    <w:rsid w:val="0047168F"/>
    <w:rsid w:val="00474402"/>
    <w:rsid w:val="004803F6"/>
    <w:rsid w:val="00490680"/>
    <w:rsid w:val="00490FBD"/>
    <w:rsid w:val="004A22BB"/>
    <w:rsid w:val="004E7A99"/>
    <w:rsid w:val="00510BAD"/>
    <w:rsid w:val="00511307"/>
    <w:rsid w:val="00511AA8"/>
    <w:rsid w:val="00543264"/>
    <w:rsid w:val="00547214"/>
    <w:rsid w:val="0056161B"/>
    <w:rsid w:val="00561FB4"/>
    <w:rsid w:val="0057225B"/>
    <w:rsid w:val="00582DAD"/>
    <w:rsid w:val="005A5F62"/>
    <w:rsid w:val="005C0F8C"/>
    <w:rsid w:val="005C6DBD"/>
    <w:rsid w:val="005D20F0"/>
    <w:rsid w:val="005D5712"/>
    <w:rsid w:val="00603400"/>
    <w:rsid w:val="006104B7"/>
    <w:rsid w:val="0061763C"/>
    <w:rsid w:val="006349DB"/>
    <w:rsid w:val="00654C3F"/>
    <w:rsid w:val="0065617B"/>
    <w:rsid w:val="00657F9D"/>
    <w:rsid w:val="00662E94"/>
    <w:rsid w:val="00670AAE"/>
    <w:rsid w:val="0067739D"/>
    <w:rsid w:val="00682179"/>
    <w:rsid w:val="0068329D"/>
    <w:rsid w:val="0068366F"/>
    <w:rsid w:val="006B0798"/>
    <w:rsid w:val="006B684E"/>
    <w:rsid w:val="006D3034"/>
    <w:rsid w:val="006E689D"/>
    <w:rsid w:val="006E7785"/>
    <w:rsid w:val="007055C6"/>
    <w:rsid w:val="007267B9"/>
    <w:rsid w:val="007610F6"/>
    <w:rsid w:val="0077595F"/>
    <w:rsid w:val="00783B3F"/>
    <w:rsid w:val="007923F3"/>
    <w:rsid w:val="00795FF6"/>
    <w:rsid w:val="007A10B7"/>
    <w:rsid w:val="007A1FB5"/>
    <w:rsid w:val="007A7277"/>
    <w:rsid w:val="007B1132"/>
    <w:rsid w:val="007B2CD9"/>
    <w:rsid w:val="007C63E8"/>
    <w:rsid w:val="007D0301"/>
    <w:rsid w:val="007D5368"/>
    <w:rsid w:val="007F0DC0"/>
    <w:rsid w:val="007F3FFA"/>
    <w:rsid w:val="007F68E3"/>
    <w:rsid w:val="008022F4"/>
    <w:rsid w:val="00807C69"/>
    <w:rsid w:val="0084355D"/>
    <w:rsid w:val="00852B24"/>
    <w:rsid w:val="00857F7F"/>
    <w:rsid w:val="008762A3"/>
    <w:rsid w:val="00891332"/>
    <w:rsid w:val="008954CF"/>
    <w:rsid w:val="008B0E17"/>
    <w:rsid w:val="008B1D7D"/>
    <w:rsid w:val="008B4502"/>
    <w:rsid w:val="008D3D4A"/>
    <w:rsid w:val="009006AF"/>
    <w:rsid w:val="009007FD"/>
    <w:rsid w:val="009049CE"/>
    <w:rsid w:val="00952F8C"/>
    <w:rsid w:val="00955E23"/>
    <w:rsid w:val="00962083"/>
    <w:rsid w:val="009751D2"/>
    <w:rsid w:val="00992935"/>
    <w:rsid w:val="0099548A"/>
    <w:rsid w:val="0099613E"/>
    <w:rsid w:val="009A3759"/>
    <w:rsid w:val="009B4AC3"/>
    <w:rsid w:val="009F364D"/>
    <w:rsid w:val="00A100E8"/>
    <w:rsid w:val="00A21356"/>
    <w:rsid w:val="00A25158"/>
    <w:rsid w:val="00A26332"/>
    <w:rsid w:val="00A3028F"/>
    <w:rsid w:val="00A3652E"/>
    <w:rsid w:val="00A40427"/>
    <w:rsid w:val="00A47CA1"/>
    <w:rsid w:val="00A50D84"/>
    <w:rsid w:val="00A52A69"/>
    <w:rsid w:val="00A65C22"/>
    <w:rsid w:val="00A6793B"/>
    <w:rsid w:val="00A73A51"/>
    <w:rsid w:val="00A83ED2"/>
    <w:rsid w:val="00A84824"/>
    <w:rsid w:val="00A944CF"/>
    <w:rsid w:val="00AD2E11"/>
    <w:rsid w:val="00AE65F9"/>
    <w:rsid w:val="00B029DB"/>
    <w:rsid w:val="00B06955"/>
    <w:rsid w:val="00B12E44"/>
    <w:rsid w:val="00B2094C"/>
    <w:rsid w:val="00B44D97"/>
    <w:rsid w:val="00B742AD"/>
    <w:rsid w:val="00B82120"/>
    <w:rsid w:val="00BB3DEF"/>
    <w:rsid w:val="00BB461E"/>
    <w:rsid w:val="00BD6E05"/>
    <w:rsid w:val="00BE2D28"/>
    <w:rsid w:val="00C40EFD"/>
    <w:rsid w:val="00C41AD7"/>
    <w:rsid w:val="00C43407"/>
    <w:rsid w:val="00C6442C"/>
    <w:rsid w:val="00C70F83"/>
    <w:rsid w:val="00C8154C"/>
    <w:rsid w:val="00C91074"/>
    <w:rsid w:val="00C91E1B"/>
    <w:rsid w:val="00C93361"/>
    <w:rsid w:val="00C97FE0"/>
    <w:rsid w:val="00CA0CB1"/>
    <w:rsid w:val="00CA4C43"/>
    <w:rsid w:val="00CB1814"/>
    <w:rsid w:val="00CB412A"/>
    <w:rsid w:val="00CC0CD2"/>
    <w:rsid w:val="00CC314F"/>
    <w:rsid w:val="00CD4581"/>
    <w:rsid w:val="00CE48AF"/>
    <w:rsid w:val="00D07C1E"/>
    <w:rsid w:val="00D104D9"/>
    <w:rsid w:val="00D12492"/>
    <w:rsid w:val="00D14994"/>
    <w:rsid w:val="00D170FA"/>
    <w:rsid w:val="00D17C5D"/>
    <w:rsid w:val="00D356C6"/>
    <w:rsid w:val="00D44B55"/>
    <w:rsid w:val="00D45E35"/>
    <w:rsid w:val="00D56FD1"/>
    <w:rsid w:val="00D674A2"/>
    <w:rsid w:val="00D70E22"/>
    <w:rsid w:val="00D771D8"/>
    <w:rsid w:val="00D93D98"/>
    <w:rsid w:val="00D95A0C"/>
    <w:rsid w:val="00DC6228"/>
    <w:rsid w:val="00E007AF"/>
    <w:rsid w:val="00E375E5"/>
    <w:rsid w:val="00E7176F"/>
    <w:rsid w:val="00E72F95"/>
    <w:rsid w:val="00E756BC"/>
    <w:rsid w:val="00E77C7A"/>
    <w:rsid w:val="00E819B8"/>
    <w:rsid w:val="00E83DB1"/>
    <w:rsid w:val="00E92098"/>
    <w:rsid w:val="00EA5053"/>
    <w:rsid w:val="00EA62B0"/>
    <w:rsid w:val="00EB3CD5"/>
    <w:rsid w:val="00EB59B9"/>
    <w:rsid w:val="00EC78EF"/>
    <w:rsid w:val="00EF2BA5"/>
    <w:rsid w:val="00EF4A10"/>
    <w:rsid w:val="00F06A57"/>
    <w:rsid w:val="00F14583"/>
    <w:rsid w:val="00F17280"/>
    <w:rsid w:val="00F2548F"/>
    <w:rsid w:val="00F366D5"/>
    <w:rsid w:val="00F50849"/>
    <w:rsid w:val="00F67C67"/>
    <w:rsid w:val="00F84DC8"/>
    <w:rsid w:val="00F94891"/>
    <w:rsid w:val="00FD3EC9"/>
    <w:rsid w:val="00FF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F241C1"/>
  <w15:chartTrackingRefBased/>
  <w15:docId w15:val="{3742EF24-ED81-4BB3-89C9-5345A02A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891"/>
  </w:style>
  <w:style w:type="paragraph" w:styleId="Heading1">
    <w:name w:val="heading 1"/>
    <w:basedOn w:val="Normal"/>
    <w:next w:val="Normal"/>
    <w:link w:val="Heading1Char"/>
    <w:uiPriority w:val="9"/>
    <w:qFormat/>
    <w:rsid w:val="00A50D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D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D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D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D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D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D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D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D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D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D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D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D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D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D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D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D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D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D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D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D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D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D84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D17C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7C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7C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5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1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0F6"/>
  </w:style>
  <w:style w:type="paragraph" w:styleId="Footer">
    <w:name w:val="footer"/>
    <w:basedOn w:val="Normal"/>
    <w:link w:val="FooterChar"/>
    <w:uiPriority w:val="99"/>
    <w:unhideWhenUsed/>
    <w:rsid w:val="00761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0F6"/>
  </w:style>
  <w:style w:type="paragraph" w:styleId="Revision">
    <w:name w:val="Revision"/>
    <w:hidden/>
    <w:uiPriority w:val="99"/>
    <w:semiHidden/>
    <w:rsid w:val="007D536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0E22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978C4-63AC-40A8-BC91-56DA5247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4407</Words>
  <Characters>25123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Jelisaveta Janic</dc:creator>
  <cp:keywords/>
  <dc:description/>
  <cp:lastModifiedBy>Branka Đorđević</cp:lastModifiedBy>
  <cp:revision>17</cp:revision>
  <dcterms:created xsi:type="dcterms:W3CDTF">2025-09-11T18:57:00Z</dcterms:created>
  <dcterms:modified xsi:type="dcterms:W3CDTF">2025-09-12T10:20:00Z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cc0d928d-3809-45f5-992d-99b75ec24009</vt:lpwstr>
  </property>
</Properties>
</file>