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69" w:rsidRPr="00CC3E5F" w:rsidRDefault="00CC3E5F" w:rsidP="00BA7ABD">
      <w:pPr>
        <w:spacing w:after="150"/>
        <w:rPr>
          <w:lang w:val="sr-Cyrl-RS"/>
        </w:rPr>
      </w:pPr>
      <w:bookmarkStart w:id="0" w:name="_GoBack"/>
      <w:r w:rsidRPr="00CC3E5F">
        <w:rPr>
          <w:rFonts w:ascii="Tahoma" w:hAnsi="Tahoma" w:cs="Tahoma"/>
          <w:color w:val="000000"/>
          <w:lang w:val="sr-Cyrl-RS"/>
        </w:rPr>
        <w:t>﻿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Н</w:t>
      </w:r>
      <w:r w:rsidRPr="00CC3E5F">
        <w:rPr>
          <w:color w:val="000000"/>
          <w:lang w:val="sr-Cyrl-RS"/>
        </w:rPr>
        <w:t xml:space="preserve">а основу члана 61. став 3. Закона о порезу на добит правних лица („Службени гласник РС”, бр. 25/01, 80/02, 80/02 – др. закон, 43/03, 84/04, </w:t>
      </w:r>
      <w:r w:rsidRPr="00CC3E5F">
        <w:rPr>
          <w:color w:val="000000"/>
          <w:lang w:val="sr-Cyrl-RS"/>
        </w:rPr>
        <w:t>18/10, 101/11, 119/12, 47/13, 108/13, 68/14 – др. закон, 142/14, 91/15 – аутентично тумачење, 112/15, 113/17, 95/18, 86/19, 153/20 и 118/21),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Министар финансија доноси</w:t>
      </w:r>
    </w:p>
    <w:p w:rsidR="00951B69" w:rsidRPr="00CC3E5F" w:rsidRDefault="00CC3E5F">
      <w:pPr>
        <w:spacing w:after="225"/>
        <w:jc w:val="center"/>
        <w:rPr>
          <w:lang w:val="sr-Cyrl-RS"/>
        </w:rPr>
      </w:pPr>
      <w:r w:rsidRPr="00CC3E5F">
        <w:rPr>
          <w:b/>
          <w:color w:val="000000"/>
          <w:lang w:val="sr-Cyrl-RS"/>
        </w:rPr>
        <w:t>ПРАВИЛНИК</w:t>
      </w:r>
    </w:p>
    <w:p w:rsidR="00951B69" w:rsidRPr="00CC3E5F" w:rsidRDefault="00CC3E5F">
      <w:pPr>
        <w:spacing w:after="150"/>
        <w:jc w:val="center"/>
        <w:rPr>
          <w:lang w:val="sr-Cyrl-RS"/>
        </w:rPr>
      </w:pPr>
      <w:r w:rsidRPr="00CC3E5F">
        <w:rPr>
          <w:b/>
          <w:color w:val="000000"/>
          <w:lang w:val="sr-Cyrl-RS"/>
        </w:rPr>
        <w:t xml:space="preserve">о каматним стопама за које се сматра да су у складу са принципом „ван дохвата </w:t>
      </w:r>
      <w:r w:rsidRPr="00CC3E5F">
        <w:rPr>
          <w:b/>
          <w:color w:val="000000"/>
          <w:lang w:val="sr-Cyrl-RS"/>
        </w:rPr>
        <w:t>руке” за 2023. годину</w:t>
      </w:r>
    </w:p>
    <w:p w:rsidR="00951B69" w:rsidRPr="00CC3E5F" w:rsidRDefault="00CC3E5F">
      <w:pPr>
        <w:spacing w:after="120"/>
        <w:jc w:val="center"/>
        <w:rPr>
          <w:lang w:val="sr-Cyrl-RS"/>
        </w:rPr>
      </w:pPr>
      <w:r w:rsidRPr="00CC3E5F">
        <w:rPr>
          <w:color w:val="000000"/>
          <w:lang w:val="sr-Cyrl-RS"/>
        </w:rPr>
        <w:t>Члан 1.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Овим правилником прописују се каматне стопе које се, у складу са принципом „ван дохвата руке”, за 2023. годину, обрачунавају на зајмове, односно кредите између повезаних лица.</w:t>
      </w:r>
    </w:p>
    <w:p w:rsidR="00951B69" w:rsidRPr="00CC3E5F" w:rsidRDefault="00CC3E5F">
      <w:pPr>
        <w:spacing w:after="120"/>
        <w:jc w:val="center"/>
        <w:rPr>
          <w:lang w:val="sr-Cyrl-RS"/>
        </w:rPr>
      </w:pPr>
      <w:r w:rsidRPr="00CC3E5F">
        <w:rPr>
          <w:color w:val="000000"/>
          <w:lang w:val="sr-Cyrl-RS"/>
        </w:rPr>
        <w:t>Члан 2.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 xml:space="preserve">Каматне стопе из члана 1. овог правилника </w:t>
      </w:r>
      <w:r w:rsidRPr="00CC3E5F">
        <w:rPr>
          <w:color w:val="000000"/>
          <w:lang w:val="sr-Cyrl-RS"/>
        </w:rPr>
        <w:t>су: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1) за банке и даваоце финансијског лизинга: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(1) 1,48% на краткорочне кредите у RSD;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(2) 4,47 на дугорочне кредите у RSD;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(3) 3,25% на кредите у EUR и динарске кредите индексиране у EUR;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(4) 4,43% на кредите у USD и динарске кредите индексиране у USD;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</w:t>
      </w:r>
      <w:r w:rsidRPr="00CC3E5F">
        <w:rPr>
          <w:color w:val="000000"/>
          <w:lang w:val="sr-Cyrl-RS"/>
        </w:rPr>
        <w:t>5) 2,63% на кредите у CHF и динарске кредите индексиране у CHF;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(6) 3,70% на кредите у SEK и динарске кредите индексиране у SEK;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(7) 1,88% на кредите у GBP и динарске кредите индексиране у GBP;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(8) 1,91% на кредите у RUB и динарске кредите индексиране у RU</w:t>
      </w:r>
      <w:r w:rsidRPr="00CC3E5F">
        <w:rPr>
          <w:color w:val="000000"/>
          <w:lang w:val="sr-Cyrl-RS"/>
        </w:rPr>
        <w:t>B;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(9) 4,01% на кредите у CNY и динарске кредите индексиране у CNY;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2) за друга привредна друштва: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(1) 3,88% на краткорочне кредите у RSD;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(2) 4,74% на дугорочне кредите у RSD;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(3) 2,98% на краткорочне кредите у EUR и динарске кредите индексиране у EUR;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(4</w:t>
      </w:r>
      <w:r w:rsidRPr="00CC3E5F">
        <w:rPr>
          <w:color w:val="000000"/>
          <w:lang w:val="sr-Cyrl-RS"/>
        </w:rPr>
        <w:t>) 3,22% на дугорочне кредите у EUR и динарске кредите индексиране у EUR;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lastRenderedPageBreak/>
        <w:t>(5) 7,84% на дугорочне кредите у CHF и динарске кредите индексиране у CHF;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(6) 3,18% на краткорочне кредите у USD и динарске кредите индексиране у USD;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 xml:space="preserve">(7) 4,28% на дугорочне кредите </w:t>
      </w:r>
      <w:r w:rsidRPr="00CC3E5F">
        <w:rPr>
          <w:color w:val="000000"/>
          <w:lang w:val="sr-Cyrl-RS"/>
        </w:rPr>
        <w:t>у USD и динарске кредите индексиране у USD.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Каматне стопе из става 1. овог члана примењују се и на зајмове.</w:t>
      </w:r>
    </w:p>
    <w:p w:rsidR="00951B69" w:rsidRPr="00CC3E5F" w:rsidRDefault="00CC3E5F">
      <w:pPr>
        <w:spacing w:after="120"/>
        <w:jc w:val="center"/>
        <w:rPr>
          <w:lang w:val="sr-Cyrl-RS"/>
        </w:rPr>
      </w:pPr>
      <w:r w:rsidRPr="00CC3E5F">
        <w:rPr>
          <w:color w:val="000000"/>
          <w:lang w:val="sr-Cyrl-RS"/>
        </w:rPr>
        <w:t>Члан 3.</w:t>
      </w:r>
    </w:p>
    <w:p w:rsidR="00951B69" w:rsidRPr="00CC3E5F" w:rsidRDefault="00CC3E5F">
      <w:pPr>
        <w:spacing w:after="150"/>
        <w:rPr>
          <w:lang w:val="sr-Cyrl-RS"/>
        </w:rPr>
      </w:pPr>
      <w:r w:rsidRPr="00CC3E5F">
        <w:rPr>
          <w:color w:val="000000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951B69" w:rsidRPr="00CC3E5F" w:rsidRDefault="00CC3E5F">
      <w:pPr>
        <w:spacing w:after="150"/>
        <w:jc w:val="right"/>
        <w:rPr>
          <w:lang w:val="sr-Cyrl-RS"/>
        </w:rPr>
      </w:pPr>
      <w:r w:rsidRPr="00CC3E5F">
        <w:rPr>
          <w:color w:val="000000"/>
          <w:lang w:val="sr-Cyrl-RS"/>
        </w:rPr>
        <w:t>Број 110-00-145/2023-04</w:t>
      </w:r>
    </w:p>
    <w:p w:rsidR="00951B69" w:rsidRPr="00CC3E5F" w:rsidRDefault="00CC3E5F">
      <w:pPr>
        <w:spacing w:after="150"/>
        <w:jc w:val="right"/>
        <w:rPr>
          <w:lang w:val="sr-Cyrl-RS"/>
        </w:rPr>
      </w:pPr>
      <w:r w:rsidRPr="00CC3E5F">
        <w:rPr>
          <w:color w:val="000000"/>
          <w:lang w:val="sr-Cyrl-RS"/>
        </w:rPr>
        <w:t>У Београду, 27</w:t>
      </w:r>
      <w:r w:rsidRPr="00CC3E5F">
        <w:rPr>
          <w:color w:val="000000"/>
          <w:lang w:val="sr-Cyrl-RS"/>
        </w:rPr>
        <w:t>. марта 2023. године</w:t>
      </w:r>
    </w:p>
    <w:p w:rsidR="00951B69" w:rsidRPr="00CC3E5F" w:rsidRDefault="00CC3E5F">
      <w:pPr>
        <w:spacing w:after="150"/>
        <w:jc w:val="right"/>
        <w:rPr>
          <w:lang w:val="sr-Cyrl-RS"/>
        </w:rPr>
      </w:pPr>
      <w:r w:rsidRPr="00CC3E5F">
        <w:rPr>
          <w:color w:val="000000"/>
          <w:lang w:val="sr-Cyrl-RS"/>
        </w:rPr>
        <w:t>Министар,</w:t>
      </w:r>
    </w:p>
    <w:p w:rsidR="00951B69" w:rsidRPr="00CC3E5F" w:rsidRDefault="00CC3E5F">
      <w:pPr>
        <w:spacing w:after="150"/>
        <w:jc w:val="right"/>
        <w:rPr>
          <w:lang w:val="sr-Cyrl-RS"/>
        </w:rPr>
      </w:pPr>
      <w:r w:rsidRPr="00CC3E5F">
        <w:rPr>
          <w:b/>
          <w:color w:val="000000"/>
          <w:lang w:val="sr-Cyrl-RS"/>
        </w:rPr>
        <w:t>Синиша Мали,</w:t>
      </w:r>
      <w:r w:rsidRPr="00CC3E5F">
        <w:rPr>
          <w:color w:val="000000"/>
          <w:lang w:val="sr-Cyrl-RS"/>
        </w:rPr>
        <w:t xml:space="preserve"> с.р.</w:t>
      </w:r>
      <w:bookmarkEnd w:id="0"/>
    </w:p>
    <w:sectPr w:rsidR="00951B69" w:rsidRPr="00CC3E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69"/>
    <w:rsid w:val="00951B69"/>
    <w:rsid w:val="00BA7ABD"/>
    <w:rsid w:val="00C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E0C26-189B-4CE3-9132-7A9B7076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2023-03-30T07:08:00Z</dcterms:created>
  <dcterms:modified xsi:type="dcterms:W3CDTF">2023-03-30T07:09:00Z</dcterms:modified>
</cp:coreProperties>
</file>