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4D2C" w:rsidRPr="00786AC7" w:rsidRDefault="00786AC7">
      <w:pPr>
        <w:spacing w:line="210" w:lineRule="atLeast"/>
        <w:rPr>
          <w:lang w:val="sr-Cyrl-RS"/>
        </w:rPr>
      </w:pPr>
      <w:bookmarkStart w:id="0" w:name="_GoBack"/>
      <w:r w:rsidRPr="00786AC7">
        <w:rPr>
          <w:rFonts w:ascii="Verdana" w:eastAsia="Verdana" w:hAnsi="Verdana" w:cs="Verdana"/>
          <w:lang w:val="sr-Cyrl-RS"/>
        </w:rPr>
        <w:t xml:space="preserve">На основу </w:t>
      </w:r>
      <w:proofErr w:type="spellStart"/>
      <w:r w:rsidRPr="00786AC7">
        <w:rPr>
          <w:rFonts w:ascii="Verdana" w:eastAsia="Verdana" w:hAnsi="Verdana" w:cs="Verdana"/>
          <w:lang w:val="sr-Cyrl-RS"/>
        </w:rPr>
        <w:t>чланa</w:t>
      </w:r>
      <w:proofErr w:type="spellEnd"/>
      <w:r w:rsidRPr="00786AC7">
        <w:rPr>
          <w:rFonts w:ascii="Verdana" w:eastAsia="Verdana" w:hAnsi="Verdana" w:cs="Verdana"/>
          <w:lang w:val="sr-Cyrl-RS"/>
        </w:rPr>
        <w:t xml:space="preserve"> 30. став 2. и члана 35. став 4. Закона о враћању одузете имовине и обештећењу („Службени гласник РС”, бр. 72/11, 108/13, 142/14, 88/15 – УС, 95/18 и 153/20), на предлог Министарства финансија,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Влада доноси</w:t>
      </w:r>
    </w:p>
    <w:p w:rsidR="002F4D2C" w:rsidRPr="00786AC7" w:rsidRDefault="00786AC7">
      <w:pPr>
        <w:spacing w:line="210" w:lineRule="atLeast"/>
        <w:jc w:val="center"/>
        <w:rPr>
          <w:lang w:val="sr-Cyrl-RS"/>
        </w:rPr>
      </w:pPr>
      <w:r w:rsidRPr="00786AC7">
        <w:rPr>
          <w:rFonts w:ascii="Verdana" w:eastAsia="Verdana" w:hAnsi="Verdana" w:cs="Verdana"/>
          <w:b/>
          <w:lang w:val="sr-Cyrl-RS"/>
        </w:rPr>
        <w:t>ОДЛУКУ</w:t>
      </w:r>
    </w:p>
    <w:p w:rsidR="002F4D2C" w:rsidRPr="00786AC7" w:rsidRDefault="00786AC7">
      <w:pPr>
        <w:spacing w:line="210" w:lineRule="atLeast"/>
        <w:jc w:val="center"/>
        <w:rPr>
          <w:lang w:val="sr-Cyrl-RS"/>
        </w:rPr>
      </w:pPr>
      <w:r w:rsidRPr="00786AC7">
        <w:rPr>
          <w:rFonts w:ascii="Verdana" w:eastAsia="Verdana" w:hAnsi="Verdana" w:cs="Verdana"/>
          <w:b/>
          <w:lang w:val="sr-Cyrl-RS"/>
        </w:rPr>
        <w:t>о емисији обвезница Републи</w:t>
      </w:r>
      <w:r w:rsidRPr="00786AC7">
        <w:rPr>
          <w:rFonts w:ascii="Verdana" w:eastAsia="Verdana" w:hAnsi="Verdana" w:cs="Verdana"/>
          <w:b/>
          <w:lang w:val="sr-Cyrl-RS"/>
        </w:rPr>
        <w:t>ке Србије ради измирења обавеза по основу обештећења за одузету имовину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1. Република Србија емитује обвезнице ради регулисања обавеза по основу обештећења за одузету имовину, у смислу Закона о враћању одузете имовине и обештећењу („Службени гласник РС”, бр</w:t>
      </w:r>
      <w:r w:rsidRPr="00786AC7">
        <w:rPr>
          <w:rFonts w:ascii="Verdana" w:eastAsia="Verdana" w:hAnsi="Verdana" w:cs="Verdana"/>
          <w:lang w:val="sr-Cyrl-RS"/>
        </w:rPr>
        <w:t>. 72/11, 108/13, 142/14, 88/15 – УС, 95/18 и 153/20), за износ обештећења који утврђује Агенција за реституцију на основу донетих решења о обештећењу, која су постала правноснажна у периоду од 1. јула 2023. до 30. јуна 2024. године.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2. Основни елементи обв</w:t>
      </w:r>
      <w:r w:rsidRPr="00786AC7">
        <w:rPr>
          <w:rFonts w:ascii="Verdana" w:eastAsia="Verdana" w:hAnsi="Verdana" w:cs="Verdana"/>
          <w:lang w:val="sr-Cyrl-RS"/>
        </w:rPr>
        <w:t>езница из тачке 1. ове одлуке су:</w:t>
      </w:r>
    </w:p>
    <w:tbl>
      <w:tblPr>
        <w:tblW w:w="4950" w:type="pct"/>
        <w:tblInd w:w="1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44"/>
        <w:gridCol w:w="4792"/>
      </w:tblGrid>
      <w:tr w:rsidR="002F4D2C" w:rsidRPr="00786AC7">
        <w:tblPrEx>
          <w:tblCellMar>
            <w:top w:w="0" w:type="dxa"/>
            <w:bottom w:w="0" w:type="dxa"/>
          </w:tblCellMar>
        </w:tblPrEx>
        <w:tc>
          <w:tcPr>
            <w:tcW w:w="0" w:type="auto"/>
          </w:tcPr>
          <w:p w:rsidR="002F4D2C" w:rsidRPr="00786AC7" w:rsidRDefault="00786AC7">
            <w:pPr>
              <w:spacing w:line="210" w:lineRule="atLeast"/>
              <w:rPr>
                <w:lang w:val="sr-Cyrl-RS"/>
              </w:rPr>
            </w:pPr>
            <w:proofErr w:type="spellStart"/>
            <w:r w:rsidRPr="00786AC7">
              <w:rPr>
                <w:rFonts w:ascii="Verdana" w:eastAsia="Verdana" w:hAnsi="Verdana" w:cs="Verdana"/>
                <w:lang w:val="sr-Cyrl-RS"/>
              </w:rPr>
              <w:t>Емитент</w:t>
            </w:r>
            <w:proofErr w:type="spellEnd"/>
          </w:p>
        </w:tc>
        <w:tc>
          <w:tcPr>
            <w:tcW w:w="0" w:type="auto"/>
          </w:tcPr>
          <w:p w:rsidR="002F4D2C" w:rsidRPr="00786AC7" w:rsidRDefault="00786AC7">
            <w:pPr>
              <w:spacing w:line="210" w:lineRule="atLeast"/>
              <w:rPr>
                <w:lang w:val="sr-Cyrl-RS"/>
              </w:rPr>
            </w:pPr>
            <w:r w:rsidRPr="00786AC7">
              <w:rPr>
                <w:rFonts w:ascii="Verdana" w:eastAsia="Verdana" w:hAnsi="Verdana" w:cs="Verdana"/>
                <w:lang w:val="sr-Cyrl-RS"/>
              </w:rPr>
              <w:t>Република Србија</w:t>
            </w:r>
          </w:p>
        </w:tc>
      </w:tr>
      <w:tr w:rsidR="002F4D2C" w:rsidRPr="00786AC7">
        <w:tblPrEx>
          <w:tblCellMar>
            <w:top w:w="0" w:type="dxa"/>
            <w:bottom w:w="0" w:type="dxa"/>
          </w:tblCellMar>
        </w:tblPrEx>
        <w:tc>
          <w:tcPr>
            <w:tcW w:w="0" w:type="auto"/>
          </w:tcPr>
          <w:p w:rsidR="002F4D2C" w:rsidRPr="00786AC7" w:rsidRDefault="00786AC7">
            <w:pPr>
              <w:spacing w:line="210" w:lineRule="atLeast"/>
              <w:rPr>
                <w:lang w:val="sr-Cyrl-RS"/>
              </w:rPr>
            </w:pPr>
            <w:r w:rsidRPr="00786AC7">
              <w:rPr>
                <w:rFonts w:ascii="Verdana" w:eastAsia="Verdana" w:hAnsi="Verdana" w:cs="Verdana"/>
                <w:lang w:val="sr-Cyrl-RS"/>
              </w:rPr>
              <w:t>Износ емисије</w:t>
            </w:r>
          </w:p>
        </w:tc>
        <w:tc>
          <w:tcPr>
            <w:tcW w:w="0" w:type="auto"/>
          </w:tcPr>
          <w:p w:rsidR="002F4D2C" w:rsidRPr="00786AC7" w:rsidRDefault="00786AC7">
            <w:pPr>
              <w:spacing w:line="210" w:lineRule="atLeast"/>
              <w:rPr>
                <w:lang w:val="sr-Cyrl-RS"/>
              </w:rPr>
            </w:pPr>
            <w:r w:rsidRPr="00786AC7">
              <w:rPr>
                <w:rFonts w:ascii="Verdana" w:eastAsia="Verdana" w:hAnsi="Verdana" w:cs="Verdana"/>
                <w:lang w:val="sr-Cyrl-RS"/>
              </w:rPr>
              <w:t>36.300.000,00 евра</w:t>
            </w:r>
          </w:p>
        </w:tc>
      </w:tr>
      <w:tr w:rsidR="002F4D2C" w:rsidRPr="00786AC7">
        <w:tblPrEx>
          <w:tblCellMar>
            <w:top w:w="0" w:type="dxa"/>
            <w:bottom w:w="0" w:type="dxa"/>
          </w:tblCellMar>
        </w:tblPrEx>
        <w:tc>
          <w:tcPr>
            <w:tcW w:w="0" w:type="auto"/>
          </w:tcPr>
          <w:p w:rsidR="002F4D2C" w:rsidRPr="00786AC7" w:rsidRDefault="00786AC7">
            <w:pPr>
              <w:spacing w:line="210" w:lineRule="atLeast"/>
              <w:rPr>
                <w:lang w:val="sr-Cyrl-RS"/>
              </w:rPr>
            </w:pPr>
            <w:r w:rsidRPr="00786AC7">
              <w:rPr>
                <w:rFonts w:ascii="Verdana" w:eastAsia="Verdana" w:hAnsi="Verdana" w:cs="Verdana"/>
                <w:lang w:val="sr-Cyrl-RS"/>
              </w:rPr>
              <w:t>Номинална вредност</w:t>
            </w:r>
          </w:p>
        </w:tc>
        <w:tc>
          <w:tcPr>
            <w:tcW w:w="0" w:type="auto"/>
          </w:tcPr>
          <w:p w:rsidR="002F4D2C" w:rsidRPr="00786AC7" w:rsidRDefault="00786AC7">
            <w:pPr>
              <w:spacing w:line="210" w:lineRule="atLeast"/>
              <w:rPr>
                <w:lang w:val="sr-Cyrl-RS"/>
              </w:rPr>
            </w:pPr>
            <w:r w:rsidRPr="00786AC7">
              <w:rPr>
                <w:rFonts w:ascii="Verdana" w:eastAsia="Verdana" w:hAnsi="Verdana" w:cs="Verdana"/>
                <w:lang w:val="sr-Cyrl-RS"/>
              </w:rPr>
              <w:t>0,01 евра</w:t>
            </w:r>
          </w:p>
        </w:tc>
      </w:tr>
      <w:tr w:rsidR="002F4D2C" w:rsidRPr="00786AC7">
        <w:tblPrEx>
          <w:tblCellMar>
            <w:top w:w="0" w:type="dxa"/>
            <w:bottom w:w="0" w:type="dxa"/>
          </w:tblCellMar>
        </w:tblPrEx>
        <w:tc>
          <w:tcPr>
            <w:tcW w:w="0" w:type="auto"/>
          </w:tcPr>
          <w:p w:rsidR="002F4D2C" w:rsidRPr="00786AC7" w:rsidRDefault="00786AC7">
            <w:pPr>
              <w:spacing w:line="210" w:lineRule="atLeast"/>
              <w:rPr>
                <w:lang w:val="sr-Cyrl-RS"/>
              </w:rPr>
            </w:pPr>
            <w:r w:rsidRPr="00786AC7">
              <w:rPr>
                <w:rFonts w:ascii="Verdana" w:eastAsia="Verdana" w:hAnsi="Verdana" w:cs="Verdana"/>
                <w:lang w:val="sr-Cyrl-RS"/>
              </w:rPr>
              <w:t>Датум емитовања</w:t>
            </w:r>
          </w:p>
        </w:tc>
        <w:tc>
          <w:tcPr>
            <w:tcW w:w="0" w:type="auto"/>
          </w:tcPr>
          <w:p w:rsidR="002F4D2C" w:rsidRPr="00786AC7" w:rsidRDefault="00786AC7">
            <w:pPr>
              <w:spacing w:line="210" w:lineRule="atLeast"/>
              <w:rPr>
                <w:lang w:val="sr-Cyrl-RS"/>
              </w:rPr>
            </w:pPr>
            <w:r w:rsidRPr="00786AC7">
              <w:rPr>
                <w:rFonts w:ascii="Verdana" w:eastAsia="Verdana" w:hAnsi="Verdana" w:cs="Verdana"/>
                <w:lang w:val="sr-Cyrl-RS"/>
              </w:rPr>
              <w:t>15. јануар 2025. године</w:t>
            </w:r>
          </w:p>
        </w:tc>
      </w:tr>
      <w:tr w:rsidR="002F4D2C" w:rsidRPr="00786AC7">
        <w:tblPrEx>
          <w:tblCellMar>
            <w:top w:w="0" w:type="dxa"/>
            <w:bottom w:w="0" w:type="dxa"/>
          </w:tblCellMar>
        </w:tblPrEx>
        <w:tc>
          <w:tcPr>
            <w:tcW w:w="0" w:type="auto"/>
          </w:tcPr>
          <w:p w:rsidR="002F4D2C" w:rsidRPr="00786AC7" w:rsidRDefault="00786AC7">
            <w:pPr>
              <w:spacing w:line="210" w:lineRule="atLeast"/>
              <w:rPr>
                <w:lang w:val="sr-Cyrl-RS"/>
              </w:rPr>
            </w:pPr>
            <w:r w:rsidRPr="00786AC7">
              <w:rPr>
                <w:rFonts w:ascii="Verdana" w:eastAsia="Verdana" w:hAnsi="Verdana" w:cs="Verdana"/>
                <w:lang w:val="sr-Cyrl-RS"/>
              </w:rPr>
              <w:t>Купон:</w:t>
            </w:r>
          </w:p>
        </w:tc>
        <w:tc>
          <w:tcPr>
            <w:tcW w:w="0" w:type="auto"/>
          </w:tcPr>
          <w:p w:rsidR="002F4D2C" w:rsidRPr="00786AC7" w:rsidRDefault="00786AC7">
            <w:pPr>
              <w:spacing w:line="210" w:lineRule="atLeast"/>
              <w:rPr>
                <w:lang w:val="sr-Cyrl-RS"/>
              </w:rPr>
            </w:pPr>
            <w:r w:rsidRPr="00786AC7">
              <w:rPr>
                <w:rFonts w:ascii="Verdana" w:eastAsia="Verdana" w:hAnsi="Verdana" w:cs="Verdana"/>
                <w:lang w:val="sr-Cyrl-RS"/>
              </w:rPr>
              <w:t>без купона</w:t>
            </w:r>
          </w:p>
        </w:tc>
      </w:tr>
    </w:tbl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 xml:space="preserve">Обвезнице из тачке 1. ове одлуке емитују се по серијама, које доспевају у 12 годишњих рата, и то: 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1) обвезнице серије RES12D2026, са датумом доспећа 15. јануар 2026. године, у укупном износу од 3.800.000,00 евра;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2) обвезнице серије RES12D2027, са датумом</w:t>
      </w:r>
      <w:r w:rsidRPr="00786AC7">
        <w:rPr>
          <w:rFonts w:ascii="Verdana" w:eastAsia="Verdana" w:hAnsi="Verdana" w:cs="Verdana"/>
          <w:lang w:val="sr-Cyrl-RS"/>
        </w:rPr>
        <w:t xml:space="preserve"> доспећа 15. јануар 2027. године, у укупном износу од 3.210.000,00 евра;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3) обвезнице серије RES12D2028, са датумом доспећа 15. јануар 2028. године, у укупном износу од 3.160.000,00 евра;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 xml:space="preserve">4) обвезнице серије RES12D2029, са датумом доспећа 15. јануар 2029. </w:t>
      </w:r>
      <w:r w:rsidRPr="00786AC7">
        <w:rPr>
          <w:rFonts w:ascii="Verdana" w:eastAsia="Verdana" w:hAnsi="Verdana" w:cs="Verdana"/>
          <w:lang w:val="sr-Cyrl-RS"/>
        </w:rPr>
        <w:t>године, у укупном износу од 3.110.000,00 евра;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5) обвезнице серије RES12D2030, са датумом доспећа 15. јануар 2030. године, у укупном износу од 3.055.000,00 евра;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6) обвезнице серије RES12D2031, са датумом доспећа 15. јануар 2031. године, у укупном износу о</w:t>
      </w:r>
      <w:r w:rsidRPr="00786AC7">
        <w:rPr>
          <w:rFonts w:ascii="Verdana" w:eastAsia="Verdana" w:hAnsi="Verdana" w:cs="Verdana"/>
          <w:lang w:val="sr-Cyrl-RS"/>
        </w:rPr>
        <w:t>д 3.005.000,00 евра;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7) обвезнице серије RES12D2032, са датумом доспећа 15. јануар 2032. године, у укупном износу од 2.955.000,00 евра;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8) обвезнице серије RES12D2033, са датумом доспећа 15. јануар 2033. године, у укупном износу од 2.905.000,00 евра;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9) об</w:t>
      </w:r>
      <w:r w:rsidRPr="00786AC7">
        <w:rPr>
          <w:rFonts w:ascii="Verdana" w:eastAsia="Verdana" w:hAnsi="Verdana" w:cs="Verdana"/>
          <w:lang w:val="sr-Cyrl-RS"/>
        </w:rPr>
        <w:t>везнице серије RES12D2034, са датумом доспећа 15. јануар 2034. године, у укупном износу од 2.850.000,00 евра;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lastRenderedPageBreak/>
        <w:t>10) обвезнице серије RES12D2035, са датумом доспећа 15. јануар 2035. године, у укупном износу од 2.800.000,00 евра;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11) обвезнице серије RES12D203</w:t>
      </w:r>
      <w:r w:rsidRPr="00786AC7">
        <w:rPr>
          <w:rFonts w:ascii="Verdana" w:eastAsia="Verdana" w:hAnsi="Verdana" w:cs="Verdana"/>
          <w:lang w:val="sr-Cyrl-RS"/>
        </w:rPr>
        <w:t>6, са датумом доспећа 15. јануар 2036. године, у укупном износу од 2.750.000,00 евра;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12) обвезнице серије RES12D2037, са датумом доспећа 15. јануар 2037. године, у укупном износу од 2.700.000,00 евра.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Ако датум доспећа обвезница из тачке 1. ове одлуке пад</w:t>
      </w:r>
      <w:r w:rsidRPr="00786AC7">
        <w:rPr>
          <w:rFonts w:ascii="Verdana" w:eastAsia="Verdana" w:hAnsi="Verdana" w:cs="Verdana"/>
          <w:lang w:val="sr-Cyrl-RS"/>
        </w:rPr>
        <w:t>а у нерадни дан, исплата обвезница извршиће се првог наредног радног дана.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 xml:space="preserve">3. Обвезнице из тачке 1. ове одлуке емитују се у </w:t>
      </w:r>
      <w:proofErr w:type="spellStart"/>
      <w:r w:rsidRPr="00786AC7">
        <w:rPr>
          <w:rFonts w:ascii="Verdana" w:eastAsia="Verdana" w:hAnsi="Verdana" w:cs="Verdana"/>
          <w:lang w:val="sr-Cyrl-RS"/>
        </w:rPr>
        <w:t>нематеријализованом</w:t>
      </w:r>
      <w:proofErr w:type="spellEnd"/>
      <w:r w:rsidRPr="00786AC7">
        <w:rPr>
          <w:rFonts w:ascii="Verdana" w:eastAsia="Verdana" w:hAnsi="Verdana" w:cs="Verdana"/>
          <w:lang w:val="sr-Cyrl-RS"/>
        </w:rPr>
        <w:t xml:space="preserve"> облику и региструју код Централног регистра, депоа и клиринга хартија од вредности АД Београд (у даљем тексту: Ц</w:t>
      </w:r>
      <w:r w:rsidRPr="00786AC7">
        <w:rPr>
          <w:rFonts w:ascii="Verdana" w:eastAsia="Verdana" w:hAnsi="Verdana" w:cs="Verdana"/>
          <w:lang w:val="sr-Cyrl-RS"/>
        </w:rPr>
        <w:t xml:space="preserve">ентрални регистар). 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4. Обвезнице из тачке 1. ове одлуке гласе на име, преносиве су, њихов износ се исказује у целом броју и исплаћују се у еврима.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5. Обвезнице из тачке 1. ове одлуке садрже унапред обрачунату камату у износу од 2% годишње на преостали изн</w:t>
      </w:r>
      <w:r w:rsidRPr="00786AC7">
        <w:rPr>
          <w:rFonts w:ascii="Verdana" w:eastAsia="Verdana" w:hAnsi="Verdana" w:cs="Verdana"/>
          <w:lang w:val="sr-Cyrl-RS"/>
        </w:rPr>
        <w:t>ос обештећења одређен појединачним решењима о обештећењу, од дана правноснажности ових решења до коначне исплате.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6. Упис законитих ималаца обвезница из тачке 1. ове одлуке у Централном регистру врши се 15. јануара 2025. године преносом на власничке рачуне финансијских инструмената, односно на привремене рачуне финансијских инструмената у Централном регистру, за корис</w:t>
      </w:r>
      <w:r w:rsidRPr="00786AC7">
        <w:rPr>
          <w:rFonts w:ascii="Verdana" w:eastAsia="Verdana" w:hAnsi="Verdana" w:cs="Verdana"/>
          <w:lang w:val="sr-Cyrl-RS"/>
        </w:rPr>
        <w:t xml:space="preserve">нике обештећења који нису отворили власнички рачун финансијских инструмената до датума емитовања обвезница. 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7. Износ емисије из тачке 2. ове одлуке, који не буде пренет на власничке, односно привремене рачуне финансијских инструмената до датума доспећа пр</w:t>
      </w:r>
      <w:r w:rsidRPr="00786AC7">
        <w:rPr>
          <w:rFonts w:ascii="Verdana" w:eastAsia="Verdana" w:hAnsi="Verdana" w:cs="Verdana"/>
          <w:lang w:val="sr-Cyrl-RS"/>
        </w:rPr>
        <w:t>ве серије, преноси се са емисионог рачуна на рачун окончања емисије Републике Србије у Централном регистру, на дан доспећа сваке серије.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 xml:space="preserve">8. Промет обвезница из тачке 1. ове одлуке је слободан. </w:t>
      </w:r>
    </w:p>
    <w:p w:rsidR="002F4D2C" w:rsidRPr="00786AC7" w:rsidRDefault="00786AC7">
      <w:pPr>
        <w:spacing w:line="210" w:lineRule="atLeas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9. Ова одлука ступа на снагу осмог дана од дана објављивања у „Службеном гласнику Републике Србије”.</w:t>
      </w:r>
    </w:p>
    <w:p w:rsidR="002F4D2C" w:rsidRPr="00786AC7" w:rsidRDefault="00786AC7">
      <w:pPr>
        <w:spacing w:line="210" w:lineRule="atLeast"/>
        <w:jc w:val="righ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05 број 424-8899/2024</w:t>
      </w:r>
    </w:p>
    <w:p w:rsidR="002F4D2C" w:rsidRPr="00786AC7" w:rsidRDefault="00786AC7">
      <w:pPr>
        <w:spacing w:line="210" w:lineRule="atLeast"/>
        <w:jc w:val="righ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 xml:space="preserve">У Београду, 19. септембра 2024. године  </w:t>
      </w:r>
    </w:p>
    <w:p w:rsidR="002F4D2C" w:rsidRPr="00786AC7" w:rsidRDefault="00786AC7">
      <w:pPr>
        <w:spacing w:line="210" w:lineRule="atLeast"/>
        <w:jc w:val="right"/>
        <w:rPr>
          <w:lang w:val="sr-Cyrl-RS"/>
        </w:rPr>
      </w:pPr>
      <w:r w:rsidRPr="00786AC7">
        <w:rPr>
          <w:rFonts w:ascii="Verdana" w:eastAsia="Verdana" w:hAnsi="Verdana" w:cs="Verdana"/>
          <w:b/>
          <w:lang w:val="sr-Cyrl-RS"/>
        </w:rPr>
        <w:t>Влада</w:t>
      </w:r>
    </w:p>
    <w:p w:rsidR="002F4D2C" w:rsidRPr="00786AC7" w:rsidRDefault="00786AC7">
      <w:pPr>
        <w:spacing w:line="210" w:lineRule="atLeast"/>
        <w:jc w:val="right"/>
        <w:rPr>
          <w:lang w:val="sr-Cyrl-RS"/>
        </w:rPr>
      </w:pPr>
      <w:r w:rsidRPr="00786AC7">
        <w:rPr>
          <w:rFonts w:ascii="Verdana" w:eastAsia="Verdana" w:hAnsi="Verdana" w:cs="Verdana"/>
          <w:lang w:val="sr-Cyrl-RS"/>
        </w:rPr>
        <w:t>Председник,</w:t>
      </w:r>
    </w:p>
    <w:p w:rsidR="002F4D2C" w:rsidRPr="00786AC7" w:rsidRDefault="00786AC7">
      <w:pPr>
        <w:spacing w:line="210" w:lineRule="atLeast"/>
        <w:jc w:val="right"/>
        <w:rPr>
          <w:lang w:val="sr-Cyrl-RS"/>
        </w:rPr>
      </w:pPr>
      <w:r w:rsidRPr="00786AC7">
        <w:rPr>
          <w:rFonts w:ascii="Verdana" w:eastAsia="Verdana" w:hAnsi="Verdana" w:cs="Verdana"/>
          <w:b/>
          <w:lang w:val="sr-Cyrl-RS"/>
        </w:rPr>
        <w:t xml:space="preserve">Милош </w:t>
      </w:r>
      <w:proofErr w:type="spellStart"/>
      <w:r w:rsidRPr="00786AC7">
        <w:rPr>
          <w:rFonts w:ascii="Verdana" w:eastAsia="Verdana" w:hAnsi="Verdana" w:cs="Verdana"/>
          <w:b/>
          <w:lang w:val="sr-Cyrl-RS"/>
        </w:rPr>
        <w:t>Вучевић</w:t>
      </w:r>
      <w:proofErr w:type="spellEnd"/>
      <w:r w:rsidRPr="00786AC7">
        <w:rPr>
          <w:rFonts w:ascii="Verdana" w:eastAsia="Verdana" w:hAnsi="Verdana" w:cs="Verdana"/>
          <w:b/>
          <w:lang w:val="sr-Cyrl-RS"/>
        </w:rPr>
        <w:t>,</w:t>
      </w:r>
      <w:r w:rsidRPr="00786AC7">
        <w:rPr>
          <w:rFonts w:ascii="Verdana" w:eastAsia="Verdana" w:hAnsi="Verdana" w:cs="Verdana"/>
          <w:lang w:val="sr-Cyrl-RS"/>
        </w:rPr>
        <w:t xml:space="preserve"> </w:t>
      </w:r>
      <w:proofErr w:type="spellStart"/>
      <w:r w:rsidRPr="00786AC7">
        <w:rPr>
          <w:rFonts w:ascii="Verdana" w:eastAsia="Verdana" w:hAnsi="Verdana" w:cs="Verdana"/>
          <w:lang w:val="sr-Cyrl-RS"/>
        </w:rPr>
        <w:t>с.р</w:t>
      </w:r>
      <w:proofErr w:type="spellEnd"/>
      <w:r w:rsidRPr="00786AC7">
        <w:rPr>
          <w:rFonts w:ascii="Verdana" w:eastAsia="Verdana" w:hAnsi="Verdana" w:cs="Verdana"/>
          <w:lang w:val="sr-Cyrl-RS"/>
        </w:rPr>
        <w:t>.</w:t>
      </w:r>
      <w:bookmarkEnd w:id="0"/>
    </w:p>
    <w:sectPr w:rsidR="002F4D2C" w:rsidRPr="00786AC7">
      <w:pgSz w:w="11906" w:h="16838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D2C"/>
    <w:rsid w:val="002F4D2C"/>
    <w:rsid w:val="00786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07A63DD-D3B9-4E51-B79F-85268A122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600</Words>
  <Characters>3422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Jasmina Knеžević</dc:creator>
  <cp:lastModifiedBy>Jasmina Knеžević</cp:lastModifiedBy>
  <cp:revision>2</cp:revision>
  <dcterms:created xsi:type="dcterms:W3CDTF">2024-09-23T07:05:00Z</dcterms:created>
  <dcterms:modified xsi:type="dcterms:W3CDTF">2024-09-23T07:05:00Z</dcterms:modified>
</cp:coreProperties>
</file>