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F8" w:rsidRDefault="001E0717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 xml:space="preserve">На основу члана 123. став 11. Закона о играма на срећу („Службени гласник РС”, бр. 18/20 и 94/24) и члана 17. став 4. и члана 24. Закона о Влади („Службени гласник РС”, бр. 55/05, 71/05 – исправка, 101/07, 65/08, 16/11, 68/12 – УС, 72/12, 7/14 – УС, 44/14 </w:t>
      </w:r>
      <w:r>
        <w:rPr>
          <w:rFonts w:ascii="Verdana" w:eastAsia="Verdana" w:hAnsi="Verdana" w:cs="Verdana"/>
        </w:rPr>
        <w:t>и 30/18 – др. закон),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начину означавања, садржини и изгледу ознака којима се означава пословни простор приређивача коме се изриче мера забране приређивања посебних игара на срећу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37 од 23. а</w:t>
      </w:r>
      <w:r>
        <w:rPr>
          <w:rFonts w:ascii="Verdana" w:eastAsia="Verdana" w:hAnsi="Verdana" w:cs="Verdana"/>
        </w:rPr>
        <w:t>прила 2025.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Овим правилником прописују се начин означавања, садржина и изглед ознака Управе за игре на срећу, којима се видно означава пословни простор приређивача коме се изриче мера забране приређивања посебних игара на срећу у складу са чланом 1</w:t>
      </w:r>
      <w:r>
        <w:rPr>
          <w:rFonts w:ascii="Verdana" w:eastAsia="Verdana" w:hAnsi="Verdana" w:cs="Verdana"/>
        </w:rPr>
        <w:t>23. Закона о играма на срећу („Службени гласник РС”, бр. 18/20 и 94/24) (у даљем тексту: Закон).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Означавање пословног простора приређивача који је предмет изрицања мера забране приређивања посебних игара на срећу, врши се обавештењем, траком и плак</w:t>
      </w:r>
      <w:r>
        <w:rPr>
          <w:rFonts w:ascii="Verdana" w:eastAsia="Verdana" w:hAnsi="Verdana" w:cs="Verdana"/>
        </w:rPr>
        <w:t>атом Управе за игре на срећу.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Обавештење из члана 2. овог правилника је у облику положеног правоугаоника и штампа се у димензији А4 формата, односно у величини 21 cm x 29,7 cm.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Подлога обавештења из става 1. овог члана је беле боје, док је садржина</w:t>
      </w:r>
      <w:r>
        <w:rPr>
          <w:rFonts w:ascii="Verdana" w:eastAsia="Verdana" w:hAnsi="Verdana" w:cs="Verdana"/>
        </w:rPr>
        <w:t xml:space="preserve"> обавештења исписана црним словима.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Изглед и садржина обавештења из става 1. овог члана дата је на Обрасцу ОБ УИС – Обавештење Управе за игре на срећу, који је одштампан уз овај правилник и чини његов саставни део.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Обавештење из става 1. овог члана се исти</w:t>
      </w:r>
      <w:r>
        <w:rPr>
          <w:rFonts w:ascii="Verdana" w:eastAsia="Verdana" w:hAnsi="Verdana" w:cs="Verdana"/>
        </w:rPr>
        <w:t>че на улазу у пословни простор и другим спољашњим површинама пословног простора у којем се приређују посебне игре на срећу, а који је предмет инспекцијског надзора.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Трака из члана 2. овог правилника израђује се од ПВЦ самолепиве фолије флуоресцентн</w:t>
      </w:r>
      <w:r>
        <w:rPr>
          <w:rFonts w:ascii="Verdana" w:eastAsia="Verdana" w:hAnsi="Verdana" w:cs="Verdana"/>
        </w:rPr>
        <w:t>о плаве боје, ширине до 10 cm на којој је белом флуоресцентном бојом словима исписан текст: „УПРАВА ЗА ИГРЕ НА СРЕЋУ”.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Укупна дужина текста из става 1. овог члана је до 40 cm, а размак између два текста је до 20 cm.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 xml:space="preserve">Изглед траке из става 1. овог члана дат </w:t>
      </w:r>
      <w:r>
        <w:rPr>
          <w:rFonts w:ascii="Verdana" w:eastAsia="Verdana" w:hAnsi="Verdana" w:cs="Verdana"/>
        </w:rPr>
        <w:t>је на Обрасцу ТР УИС – Трака Управе за игре на срећу, који је одштампан уз овај правилник и чини његов саставни део.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5.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Плакат из члана 2. овог правилника је у облику положеног правоугаоника и штампа се у димензији А4 формата, односно у величини 21 cm</w:t>
      </w:r>
      <w:r>
        <w:rPr>
          <w:rFonts w:ascii="Verdana" w:eastAsia="Verdana" w:hAnsi="Verdana" w:cs="Verdana"/>
        </w:rPr>
        <w:t xml:space="preserve"> x 29,7 cm.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Плакат из става 1. овог члана се израђује на белој подлози, са словним и графичким приказима у црној и белој боји и грбом Републике Србије.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Изглед и садржина плаката из става 1. овог члана дати су на Обрасцу ПЛ УИС – Плакат Управе за игре на ср</w:t>
      </w:r>
      <w:r>
        <w:rPr>
          <w:rFonts w:ascii="Verdana" w:eastAsia="Verdana" w:hAnsi="Verdana" w:cs="Verdana"/>
        </w:rPr>
        <w:t>ећу, који је одштампан уз овај правилник и чини његов саставни део.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Плакат из става 1. овог члана се истиче на улазу у пословни простор у којем се приређују посебне игре на срећу, а који је предмет инспекцијског надзора.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Инспектор Управе за игре на</w:t>
      </w:r>
      <w:r>
        <w:rPr>
          <w:rFonts w:ascii="Verdana" w:eastAsia="Verdana" w:hAnsi="Verdana" w:cs="Verdana"/>
        </w:rPr>
        <w:t xml:space="preserve"> срећу може у току надзора, на улазу у пословни простор у којем се приређују посебне игре на срећу за који се истиче мера забране приређивања посебних игара на срећу, заједно са обавештењем и плакатом из чл. 3. и 5. овог правилника, истакнути и решење о за</w:t>
      </w:r>
      <w:r>
        <w:rPr>
          <w:rFonts w:ascii="Verdana" w:eastAsia="Verdana" w:hAnsi="Verdana" w:cs="Verdana"/>
        </w:rPr>
        <w:t>брани приређивања посебних игара на срећу.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Одредбе овог правилника, које се односе на садржину и изглед обавештења, траке и плаката Управе за игре на срећу, сходно се примењују и у случајевима печаћења пословног простора и објеката у којима се неовлашћено приређују посебне игре на срећу у смислу чл</w:t>
      </w:r>
      <w:r>
        <w:rPr>
          <w:rFonts w:ascii="Verdana" w:eastAsia="Verdana" w:hAnsi="Verdana" w:cs="Verdana"/>
        </w:rPr>
        <w:t>ана 122. став 4. Закона.</w:t>
      </w:r>
    </w:p>
    <w:p w:rsidR="004F76F8" w:rsidRDefault="001E071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4F76F8" w:rsidRDefault="001E0717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001203275 2025 10520 027 000 012 001</w:t>
      </w:r>
    </w:p>
    <w:p w:rsidR="004F76F8" w:rsidRDefault="001E0717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16. априла 2025. године</w:t>
      </w:r>
    </w:p>
    <w:p w:rsidR="004F76F8" w:rsidRDefault="001E0717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4F76F8" w:rsidRDefault="001E0717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Синиша Мали,</w:t>
      </w:r>
      <w:r>
        <w:rPr>
          <w:rFonts w:ascii="Verdana" w:eastAsia="Verdana" w:hAnsi="Verdana" w:cs="Verdana"/>
        </w:rPr>
        <w:t xml:space="preserve"> с.р.</w:t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>
            <wp:extent cx="5000000" cy="7037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AAAWJMfAAAAwJr8AAAAANbkBwAAALAmPwAAAIC1AO6E9iQHz8fNAAAAAElFTkSuQmCC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>
            <wp:extent cx="5000000" cy="70377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AAAAWJMfAAAAwJr8AAAAANYCTE0jtN12Gz0AAAAASUVORK5CYII=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F8" w:rsidRDefault="001E0717">
      <w:pPr>
        <w:spacing w:line="210" w:lineRule="atLeast"/>
      </w:pPr>
      <w:r>
        <w:rPr>
          <w:rFonts w:ascii="Verdana" w:eastAsia="Verdana" w:hAnsi="Verdana" w:cs="Verdana"/>
          <w:noProof/>
        </w:rPr>
        <w:lastRenderedPageBreak/>
        <w:drawing>
          <wp:inline distT="0" distB="0" distL="0" distR="0">
            <wp:extent cx="5000000" cy="70377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DW5AcAAACwJj8AAACANfkBAAAArMkPAAAAYE1+AAAAAGsB6odlqdB8iC8AAAAASUVORK5CYII=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3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6F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F8"/>
    <w:rsid w:val="001E0717"/>
    <w:rsid w:val="004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6E743-B0C2-43CB-8DFA-E5706955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bmp"/><Relationship Id="rId5" Type="http://schemas.openxmlformats.org/officeDocument/2006/relationships/image" Target="media/image2.bmp"/><Relationship Id="rId4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2025-04-28T09:11:00Z</dcterms:created>
  <dcterms:modified xsi:type="dcterms:W3CDTF">2025-04-28T09:11:00Z</dcterms:modified>
</cp:coreProperties>
</file>