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9E24" w14:textId="6819560B" w:rsidR="00EB65E4" w:rsidRDefault="00EB65E4" w:rsidP="00EB65E4">
      <w:pPr>
        <w:shd w:val="clear" w:color="auto" w:fill="FFFFFF"/>
        <w:spacing w:before="100" w:beforeAutospacing="1" w:after="120" w:afterAutospacing="1" w:line="240" w:lineRule="auto"/>
        <w:jc w:val="right"/>
        <w:rPr>
          <w:noProof/>
        </w:rPr>
      </w:pPr>
      <w:r w:rsidRPr="00C737B7">
        <w:rPr>
          <w:rFonts w:ascii="Times New Roman" w:eastAsia="Times New Roman" w:hAnsi="Times New Roman" w:cs="Times New Roman"/>
          <w:noProof/>
          <w:sz w:val="24"/>
          <w:szCs w:val="24"/>
          <w:lang w:val="sr-Cyrl-RS"/>
        </w:rPr>
        <w:t>П Р Е Д Л О Г</w:t>
      </w:r>
    </w:p>
    <w:p w14:paraId="2A409EDD" w14:textId="759EAEBE" w:rsidR="0001691A" w:rsidRPr="00B30084" w:rsidRDefault="0001691A" w:rsidP="0001691A">
      <w:pPr>
        <w:pStyle w:val="basic-paragraph"/>
        <w:shd w:val="clear" w:color="auto" w:fill="FFFFFF"/>
        <w:spacing w:after="120"/>
        <w:ind w:firstLine="720"/>
        <w:jc w:val="both"/>
        <w:rPr>
          <w:noProof/>
          <w:color w:val="333333"/>
        </w:rPr>
      </w:pPr>
      <w:r w:rsidRPr="00B30084">
        <w:rPr>
          <w:noProof/>
        </w:rPr>
        <w:t xml:space="preserve">На основу члана 38. став 1. </w:t>
      </w:r>
      <w:bookmarkStart w:id="0" w:name="_Hlk54807795"/>
      <w:r w:rsidRPr="00B30084">
        <w:rPr>
          <w:noProof/>
        </w:rPr>
        <w:t>Закона о планском систему Републике Србије („Службени гласник РС”, број 30/18)</w:t>
      </w:r>
      <w:bookmarkEnd w:id="0"/>
      <w:r w:rsidRPr="00B30084">
        <w:rPr>
          <w:noProof/>
        </w:rPr>
        <w:t>,</w:t>
      </w:r>
    </w:p>
    <w:p w14:paraId="10C8C55F" w14:textId="24F73EB9" w:rsidR="0001691A" w:rsidRPr="00B30084" w:rsidRDefault="0001691A" w:rsidP="0001691A">
      <w:pPr>
        <w:pStyle w:val="basic-paragraph"/>
        <w:shd w:val="clear" w:color="auto" w:fill="FFFFFF"/>
        <w:spacing w:after="120"/>
        <w:ind w:firstLine="720"/>
        <w:rPr>
          <w:noProof/>
        </w:rPr>
      </w:pPr>
      <w:r w:rsidRPr="00B30084">
        <w:rPr>
          <w:noProof/>
        </w:rPr>
        <w:t>Влада доноси</w:t>
      </w:r>
    </w:p>
    <w:p w14:paraId="3F2D7597" w14:textId="169A7915" w:rsidR="0001691A" w:rsidRPr="00B30084" w:rsidRDefault="0001691A" w:rsidP="0001691A">
      <w:pPr>
        <w:pStyle w:val="basic-paragraph"/>
        <w:shd w:val="clear" w:color="auto" w:fill="FFFFFF"/>
        <w:spacing w:before="0" w:after="0"/>
        <w:ind w:firstLine="720"/>
        <w:jc w:val="center"/>
        <w:rPr>
          <w:b/>
          <w:noProof/>
          <w:lang w:val="sr-Cyrl-RS"/>
        </w:rPr>
      </w:pPr>
      <w:r w:rsidRPr="00B30084">
        <w:rPr>
          <w:b/>
          <w:noProof/>
        </w:rPr>
        <w:t xml:space="preserve">С Т Р А Т Е Г И Ј У </w:t>
      </w:r>
    </w:p>
    <w:p w14:paraId="3F23C749" w14:textId="7E4BA1BD" w:rsidR="0001691A" w:rsidRPr="00B30084" w:rsidRDefault="0001691A" w:rsidP="0001691A">
      <w:pPr>
        <w:pStyle w:val="basic-paragraph"/>
        <w:shd w:val="clear" w:color="auto" w:fill="FFFFFF"/>
        <w:spacing w:before="0" w:after="0"/>
        <w:ind w:firstLine="720"/>
        <w:jc w:val="center"/>
        <w:rPr>
          <w:b/>
          <w:noProof/>
          <w:lang w:val="sr-Cyrl-RS"/>
        </w:rPr>
      </w:pPr>
      <w:r w:rsidRPr="00B30084">
        <w:rPr>
          <w:b/>
          <w:noProof/>
          <w:lang w:val="sr-Cyrl-RS"/>
        </w:rPr>
        <w:t>ЗА РАЗВОЈ ТРЖИШТА КАПИТАЛА ЗА ПЕРИОД ОД 2021. до 2026. ГОДИНЕ</w:t>
      </w:r>
    </w:p>
    <w:p w14:paraId="0E001D5C" w14:textId="6BBA46B4" w:rsidR="002A2250" w:rsidRPr="00B30084" w:rsidRDefault="002A2250" w:rsidP="00E22DA4">
      <w:pPr>
        <w:pStyle w:val="ListParagraph"/>
        <w:numPr>
          <w:ilvl w:val="0"/>
          <w:numId w:val="37"/>
        </w:numPr>
        <w:rPr>
          <w:rFonts w:ascii="Times New Roman" w:hAnsi="Times New Roman" w:cs="Times New Roman"/>
          <w:b/>
          <w:sz w:val="24"/>
          <w:szCs w:val="24"/>
          <w:lang w:val="sr-Cyrl-RS"/>
        </w:rPr>
      </w:pPr>
      <w:r w:rsidRPr="00B30084">
        <w:rPr>
          <w:rFonts w:ascii="Times New Roman" w:hAnsi="Times New Roman" w:cs="Times New Roman"/>
          <w:b/>
          <w:sz w:val="24"/>
          <w:szCs w:val="24"/>
          <w:lang w:val="sr-Cyrl-RS"/>
        </w:rPr>
        <w:t>Увод</w:t>
      </w:r>
    </w:p>
    <w:p w14:paraId="3573127D" w14:textId="66DD6BC1" w:rsidR="002A2250" w:rsidRPr="00B30084" w:rsidRDefault="002A2250" w:rsidP="00E50617">
      <w:pPr>
        <w:snapToGrid w:val="0"/>
        <w:spacing w:before="120" w:after="120" w:line="276" w:lineRule="auto"/>
        <w:ind w:firstLine="720"/>
        <w:jc w:val="both"/>
        <w:rPr>
          <w:rFonts w:ascii="Times New Roman" w:hAnsi="Times New Roman" w:cs="Times New Roman"/>
          <w:sz w:val="24"/>
          <w:szCs w:val="24"/>
          <w:lang w:val="sr-Cyrl-RS"/>
        </w:rPr>
      </w:pPr>
      <w:r w:rsidRPr="00B30084">
        <w:rPr>
          <w:rFonts w:ascii="Times New Roman" w:eastAsia="Cambria" w:hAnsi="Times New Roman" w:cs="Times New Roman"/>
          <w:sz w:val="24"/>
          <w:szCs w:val="24"/>
          <w:lang w:val="sr-Cyrl-RS"/>
        </w:rPr>
        <w:t>Стратегијом</w:t>
      </w:r>
      <w:r w:rsidRPr="00B30084">
        <w:rPr>
          <w:rFonts w:ascii="Times New Roman" w:hAnsi="Times New Roman" w:cs="Times New Roman"/>
          <w:sz w:val="24"/>
          <w:szCs w:val="24"/>
          <w:lang w:val="sr-Cyrl-RS"/>
        </w:rPr>
        <w:t xml:space="preserve"> за развој тржишта капитала у Републици Србији за период 2021–2026. године (у даљем тексту: Стратегија) утврђују се циљеви и мере за развој тржишта капитала у Републици Србији чија имплементација треба да резултира економским растом, унапређењем понуде финансијских инструмената на тржишту и повећањем домаћих и страних инвестиција у привредно</w:t>
      </w:r>
      <w:r w:rsidR="00DB6D85" w:rsidRPr="00B30084">
        <w:rPr>
          <w:rFonts w:ascii="Times New Roman" w:hAnsi="Times New Roman" w:cs="Times New Roman"/>
          <w:sz w:val="24"/>
          <w:szCs w:val="24"/>
          <w:lang w:val="sr-Cyrl-RS"/>
        </w:rPr>
        <w:t>м</w:t>
      </w:r>
      <w:r w:rsidRPr="00B30084">
        <w:rPr>
          <w:rFonts w:ascii="Times New Roman" w:hAnsi="Times New Roman" w:cs="Times New Roman"/>
          <w:sz w:val="24"/>
          <w:szCs w:val="24"/>
          <w:lang w:val="sr-Cyrl-RS"/>
        </w:rPr>
        <w:t xml:space="preserve"> окружењ</w:t>
      </w:r>
      <w:r w:rsidR="00DB6D85" w:rsidRPr="00B30084">
        <w:rPr>
          <w:rFonts w:ascii="Times New Roman" w:hAnsi="Times New Roman" w:cs="Times New Roman"/>
          <w:sz w:val="24"/>
          <w:szCs w:val="24"/>
          <w:lang w:val="sr-Cyrl-RS"/>
        </w:rPr>
        <w:t>у</w:t>
      </w:r>
      <w:r w:rsidRPr="00B30084">
        <w:rPr>
          <w:rFonts w:ascii="Times New Roman" w:hAnsi="Times New Roman" w:cs="Times New Roman"/>
          <w:sz w:val="24"/>
          <w:szCs w:val="24"/>
          <w:lang w:val="sr-Cyrl-RS"/>
        </w:rPr>
        <w:t xml:space="preserve"> Републике Србије. </w:t>
      </w:r>
      <w:r w:rsidR="00E92BCD" w:rsidRPr="00B30084">
        <w:rPr>
          <w:rFonts w:ascii="Times New Roman" w:hAnsi="Times New Roman" w:cs="Times New Roman"/>
          <w:sz w:val="24"/>
          <w:szCs w:val="24"/>
          <w:lang w:val="sr-Cyrl-RS"/>
        </w:rPr>
        <w:t>Развијена тржишта</w:t>
      </w:r>
      <w:r w:rsidRPr="00B30084">
        <w:rPr>
          <w:rFonts w:ascii="Times New Roman" w:hAnsi="Times New Roman" w:cs="Times New Roman"/>
          <w:sz w:val="24"/>
          <w:szCs w:val="24"/>
          <w:lang w:val="sr-Cyrl-RS"/>
        </w:rPr>
        <w:t xml:space="preserve"> капитала могу играти кључну улогу у финансирању економског раста као и да утичу на финансијску стабилност и имплементацију монетарне политике. Оквири који промовишу правну сигурност и економску ефикасност додатно подстичу способност тржишта капитала да служи реалној економији. </w:t>
      </w:r>
      <w:r w:rsidR="0028046E">
        <w:rPr>
          <w:rFonts w:ascii="Times New Roman" w:hAnsi="Times New Roman" w:cs="Times New Roman"/>
          <w:sz w:val="24"/>
          <w:szCs w:val="24"/>
          <w:lang w:val="sr-Cyrl-RS"/>
        </w:rPr>
        <w:t>И</w:t>
      </w:r>
      <w:r w:rsidR="0028046E" w:rsidRPr="00B30084">
        <w:rPr>
          <w:rFonts w:ascii="Times New Roman" w:hAnsi="Times New Roman" w:cs="Times New Roman"/>
          <w:sz w:val="24"/>
          <w:szCs w:val="24"/>
          <w:lang w:val="sr-Cyrl-RS"/>
        </w:rPr>
        <w:t>ницијатив</w:t>
      </w:r>
      <w:r w:rsidR="0028046E">
        <w:rPr>
          <w:rFonts w:ascii="Times New Roman" w:hAnsi="Times New Roman" w:cs="Times New Roman"/>
          <w:sz w:val="24"/>
          <w:szCs w:val="24"/>
          <w:lang w:val="sr-Cyrl-RS"/>
        </w:rPr>
        <w:t>е</w:t>
      </w:r>
      <w:r w:rsidR="0028046E" w:rsidRPr="00B30084">
        <w:rPr>
          <w:rFonts w:ascii="Times New Roman" w:hAnsi="Times New Roman" w:cs="Times New Roman"/>
          <w:sz w:val="24"/>
          <w:szCs w:val="24"/>
          <w:lang w:val="sr-Cyrl-RS"/>
        </w:rPr>
        <w:t xml:space="preserve"> за </w:t>
      </w:r>
      <w:r w:rsidR="0028046E">
        <w:rPr>
          <w:rFonts w:ascii="Times New Roman" w:hAnsi="Times New Roman" w:cs="Times New Roman"/>
          <w:sz w:val="24"/>
          <w:szCs w:val="24"/>
          <w:lang w:val="sr-Cyrl-RS"/>
        </w:rPr>
        <w:t xml:space="preserve">унапређење </w:t>
      </w:r>
      <w:r w:rsidR="0028046E" w:rsidRPr="00B30084">
        <w:rPr>
          <w:rFonts w:ascii="Times New Roman" w:hAnsi="Times New Roman" w:cs="Times New Roman"/>
          <w:sz w:val="24"/>
          <w:szCs w:val="24"/>
          <w:lang w:val="sr-Cyrl-RS"/>
        </w:rPr>
        <w:t xml:space="preserve">тржишта капитала </w:t>
      </w:r>
      <w:r w:rsidR="0028046E" w:rsidRPr="00783415">
        <w:rPr>
          <w:rFonts w:ascii="Times New Roman" w:hAnsi="Times New Roman" w:cs="Times New Roman"/>
          <w:sz w:val="24"/>
          <w:szCs w:val="24"/>
          <w:lang w:val="sr-Cyrl-RS"/>
        </w:rPr>
        <w:t>обично долазе од стране приватног сектора и надлежног регулаторног тела</w:t>
      </w:r>
      <w:r w:rsidR="0028046E" w:rsidRPr="006467D8">
        <w:rPr>
          <w:rFonts w:ascii="Times New Roman" w:hAnsi="Times New Roman" w:cs="Times New Roman"/>
          <w:sz w:val="24"/>
          <w:szCs w:val="24"/>
          <w:lang w:val="sr-Cyrl-RS"/>
        </w:rPr>
        <w:t xml:space="preserve"> </w:t>
      </w:r>
      <w:r w:rsidR="0028046E" w:rsidRPr="00783415">
        <w:rPr>
          <w:rFonts w:ascii="Times New Roman" w:hAnsi="Times New Roman" w:cs="Times New Roman"/>
          <w:sz w:val="24"/>
          <w:szCs w:val="24"/>
          <w:lang w:val="sr-Cyrl-RS"/>
        </w:rPr>
        <w:t xml:space="preserve">за хартије од вредности, </w:t>
      </w:r>
      <w:r w:rsidR="0028046E">
        <w:rPr>
          <w:rFonts w:ascii="Times New Roman" w:hAnsi="Times New Roman" w:cs="Times New Roman"/>
          <w:sz w:val="24"/>
          <w:szCs w:val="24"/>
          <w:lang w:val="sr-Cyrl-RS"/>
        </w:rPr>
        <w:t>што је значајно за</w:t>
      </w:r>
      <w:r w:rsidR="0028046E" w:rsidRPr="00783415">
        <w:rPr>
          <w:rFonts w:ascii="Times New Roman" w:hAnsi="Times New Roman" w:cs="Times New Roman"/>
          <w:sz w:val="24"/>
          <w:szCs w:val="24"/>
          <w:lang w:val="sr-Cyrl-RS"/>
        </w:rPr>
        <w:t xml:space="preserve"> министарства надлежн</w:t>
      </w:r>
      <w:r w:rsidR="0028046E">
        <w:rPr>
          <w:rFonts w:ascii="Times New Roman" w:hAnsi="Times New Roman" w:cs="Times New Roman"/>
          <w:sz w:val="24"/>
          <w:szCs w:val="24"/>
          <w:lang w:val="sr-Cyrl-RS"/>
        </w:rPr>
        <w:t>а</w:t>
      </w:r>
      <w:r w:rsidR="0028046E" w:rsidRPr="00783415">
        <w:rPr>
          <w:rFonts w:ascii="Times New Roman" w:hAnsi="Times New Roman" w:cs="Times New Roman"/>
          <w:sz w:val="24"/>
          <w:szCs w:val="24"/>
          <w:lang w:val="sr-Cyrl-RS"/>
        </w:rPr>
        <w:t xml:space="preserve"> за финансије и привреду и </w:t>
      </w:r>
      <w:r w:rsidR="0028046E">
        <w:rPr>
          <w:rFonts w:ascii="Times New Roman" w:hAnsi="Times New Roman" w:cs="Times New Roman"/>
          <w:sz w:val="24"/>
          <w:szCs w:val="24"/>
          <w:lang w:val="sr-Cyrl-RS"/>
        </w:rPr>
        <w:t>централне</w:t>
      </w:r>
      <w:r w:rsidR="0028046E" w:rsidRPr="00783415">
        <w:rPr>
          <w:rFonts w:ascii="Times New Roman" w:hAnsi="Times New Roman" w:cs="Times New Roman"/>
          <w:sz w:val="24"/>
          <w:szCs w:val="24"/>
          <w:lang w:val="sr-Cyrl-RS"/>
        </w:rPr>
        <w:t xml:space="preserve"> банке </w:t>
      </w:r>
      <w:r w:rsidR="0028046E">
        <w:rPr>
          <w:rFonts w:ascii="Times New Roman" w:hAnsi="Times New Roman" w:cs="Times New Roman"/>
          <w:sz w:val="24"/>
          <w:szCs w:val="24"/>
          <w:lang w:val="sr-Cyrl-RS"/>
        </w:rPr>
        <w:t>који имају за</w:t>
      </w:r>
      <w:r w:rsidR="0028046E" w:rsidRPr="00783415">
        <w:rPr>
          <w:rFonts w:ascii="Times New Roman" w:hAnsi="Times New Roman" w:cs="Times New Roman"/>
          <w:sz w:val="24"/>
          <w:szCs w:val="24"/>
          <w:lang w:val="sr-Cyrl-RS"/>
        </w:rPr>
        <w:t xml:space="preserve"> један од главних циљева развијање јаког и ефикасног тржишта</w:t>
      </w:r>
      <w:r w:rsidR="0028046E" w:rsidRPr="00B30084">
        <w:rPr>
          <w:rFonts w:ascii="Times New Roman" w:hAnsi="Times New Roman" w:cs="Times New Roman"/>
          <w:sz w:val="24"/>
          <w:szCs w:val="24"/>
          <w:lang w:val="sr-Cyrl-RS"/>
        </w:rPr>
        <w:t xml:space="preserve"> капитала, </w:t>
      </w:r>
      <w:r w:rsidR="0028046E">
        <w:rPr>
          <w:rFonts w:ascii="Times New Roman" w:hAnsi="Times New Roman" w:cs="Times New Roman"/>
          <w:sz w:val="24"/>
          <w:szCs w:val="24"/>
          <w:lang w:val="sr-Cyrl-RS"/>
        </w:rPr>
        <w:t xml:space="preserve">а </w:t>
      </w:r>
      <w:r w:rsidR="0028046E" w:rsidRPr="00B30084">
        <w:rPr>
          <w:rFonts w:ascii="Times New Roman" w:hAnsi="Times New Roman" w:cs="Times New Roman"/>
          <w:sz w:val="24"/>
          <w:szCs w:val="24"/>
          <w:lang w:val="sr-Cyrl-RS"/>
        </w:rPr>
        <w:t>нар</w:t>
      </w:r>
      <w:r w:rsidR="0028046E" w:rsidRPr="00B30084">
        <w:rPr>
          <w:rFonts w:ascii="Times New Roman" w:hAnsi="Times New Roman" w:cs="Times New Roman"/>
          <w:sz w:val="24"/>
          <w:szCs w:val="24"/>
          <w:lang w:val="sr-Latn-RS"/>
        </w:rPr>
        <w:t>o</w:t>
      </w:r>
      <w:proofErr w:type="spellStart"/>
      <w:r w:rsidR="0028046E" w:rsidRPr="00B30084">
        <w:rPr>
          <w:rFonts w:ascii="Times New Roman" w:hAnsi="Times New Roman" w:cs="Times New Roman"/>
          <w:sz w:val="24"/>
          <w:szCs w:val="24"/>
          <w:lang w:val="sr-Cyrl-RS"/>
        </w:rPr>
        <w:t>чито</w:t>
      </w:r>
      <w:proofErr w:type="spellEnd"/>
      <w:r w:rsidR="0028046E" w:rsidRPr="00B30084">
        <w:rPr>
          <w:rFonts w:ascii="Times New Roman" w:hAnsi="Times New Roman" w:cs="Times New Roman"/>
          <w:sz w:val="24"/>
          <w:szCs w:val="24"/>
          <w:lang w:val="sr-Cyrl-RS"/>
        </w:rPr>
        <w:t xml:space="preserve"> узимајући у обзир процес интеграција Републике Србије са јединственим тржиштем</w:t>
      </w:r>
      <w:r w:rsidR="0028046E">
        <w:rPr>
          <w:rFonts w:ascii="Times New Roman" w:hAnsi="Times New Roman" w:cs="Times New Roman"/>
          <w:sz w:val="24"/>
          <w:szCs w:val="24"/>
          <w:lang w:val="sr-Cyrl-RS"/>
        </w:rPr>
        <w:t xml:space="preserve"> Европске у</w:t>
      </w:r>
      <w:r w:rsidR="0028046E" w:rsidRPr="00B30084">
        <w:rPr>
          <w:rFonts w:ascii="Times New Roman" w:hAnsi="Times New Roman" w:cs="Times New Roman"/>
          <w:sz w:val="24"/>
          <w:szCs w:val="24"/>
          <w:lang w:val="sr-Cyrl-RS"/>
        </w:rPr>
        <w:t>није.</w:t>
      </w:r>
      <w:r w:rsidRPr="00B30084">
        <w:rPr>
          <w:rFonts w:ascii="Times New Roman" w:hAnsi="Times New Roman" w:cs="Times New Roman"/>
          <w:sz w:val="24"/>
          <w:szCs w:val="24"/>
          <w:lang w:val="sr-Cyrl-RS"/>
        </w:rPr>
        <w:t xml:space="preserve"> Утемељена и ликвидна тржишта капитала доприносе економском расту. На пример, у студији објављеној у децембру 2019. године, Светска банка потврђује да је „пронађена снажна корелација између тржишта капитала и економског раста“ и указује на „повећану пажњу која се даје тржиштима капитала као механизму који потенцијално може помоћи каналисању средст</w:t>
      </w:r>
      <w:r w:rsidR="00886597" w:rsidRPr="00B30084">
        <w:rPr>
          <w:rFonts w:ascii="Times New Roman" w:hAnsi="Times New Roman" w:cs="Times New Roman"/>
          <w:sz w:val="24"/>
          <w:szCs w:val="24"/>
          <w:lang w:val="sr-Cyrl-RS"/>
        </w:rPr>
        <w:t>а</w:t>
      </w:r>
      <w:r w:rsidRPr="00B30084">
        <w:rPr>
          <w:rFonts w:ascii="Times New Roman" w:hAnsi="Times New Roman" w:cs="Times New Roman"/>
          <w:sz w:val="24"/>
          <w:szCs w:val="24"/>
          <w:lang w:val="sr-Cyrl-RS"/>
        </w:rPr>
        <w:t>ва приватног сектора за развој кључних стратешк</w:t>
      </w:r>
      <w:r w:rsidR="00913B20" w:rsidRPr="00B30084">
        <w:rPr>
          <w:rFonts w:ascii="Times New Roman" w:hAnsi="Times New Roman" w:cs="Times New Roman"/>
          <w:sz w:val="24"/>
          <w:szCs w:val="24"/>
          <w:lang w:val="sr-Cyrl-RS"/>
        </w:rPr>
        <w:t>их</w:t>
      </w:r>
      <w:r w:rsidRPr="00B30084">
        <w:rPr>
          <w:rFonts w:ascii="Times New Roman" w:hAnsi="Times New Roman" w:cs="Times New Roman"/>
          <w:sz w:val="24"/>
          <w:szCs w:val="24"/>
          <w:lang w:val="sr-Cyrl-RS"/>
        </w:rPr>
        <w:t xml:space="preserve"> сектор</w:t>
      </w:r>
      <w:r w:rsidR="00913B20" w:rsidRPr="00B30084">
        <w:rPr>
          <w:rFonts w:ascii="Times New Roman" w:hAnsi="Times New Roman" w:cs="Times New Roman"/>
          <w:sz w:val="24"/>
          <w:szCs w:val="24"/>
          <w:lang w:val="sr-Cyrl-RS"/>
        </w:rPr>
        <w:t>а</w:t>
      </w:r>
      <w:r w:rsidRPr="00B30084">
        <w:rPr>
          <w:rFonts w:ascii="Times New Roman" w:hAnsi="Times New Roman" w:cs="Times New Roman"/>
          <w:sz w:val="24"/>
          <w:szCs w:val="24"/>
          <w:lang w:val="sr-Cyrl-RS"/>
        </w:rPr>
        <w:t xml:space="preserve"> привреде, од предузећа до инфраструктуре, станоградње, малих и средњих предузећа као и у борби против климатских промена“.</w:t>
      </w:r>
      <w:r w:rsidRPr="00B30084">
        <w:rPr>
          <w:rStyle w:val="FootnoteReference"/>
          <w:rFonts w:ascii="Times New Roman" w:hAnsi="Times New Roman" w:cs="Times New Roman"/>
          <w:sz w:val="24"/>
          <w:szCs w:val="24"/>
          <w:lang w:val="sr-Cyrl-RS"/>
        </w:rPr>
        <w:footnoteReference w:id="1"/>
      </w:r>
    </w:p>
    <w:p w14:paraId="1A990481" w14:textId="720DD66E" w:rsidR="002A2250" w:rsidRPr="00B30084" w:rsidRDefault="002A2250" w:rsidP="00E50617">
      <w:pPr>
        <w:snapToGrid w:val="0"/>
        <w:spacing w:before="120" w:after="120"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 Такође, реализација мера Стратегије би требало да осигура да</w:t>
      </w:r>
      <w:r w:rsidR="00DB6D85" w:rsidRPr="00B30084">
        <w:rPr>
          <w:rFonts w:ascii="Times New Roman" w:hAnsi="Times New Roman" w:cs="Times New Roman"/>
          <w:sz w:val="24"/>
          <w:szCs w:val="24"/>
          <w:lang w:val="sr-Cyrl-RS"/>
        </w:rPr>
        <w:t xml:space="preserve"> се</w:t>
      </w:r>
      <w:r w:rsidRPr="00B30084">
        <w:rPr>
          <w:rFonts w:ascii="Times New Roman" w:hAnsi="Times New Roman" w:cs="Times New Roman"/>
          <w:sz w:val="24"/>
          <w:szCs w:val="24"/>
          <w:lang w:val="sr-Cyrl-RS"/>
        </w:rPr>
        <w:t xml:space="preserve"> тржиште капитала у Републици Србији развија на један утемељен</w:t>
      </w:r>
      <w:r w:rsidR="00F86C24" w:rsidRPr="00B30084">
        <w:rPr>
          <w:rFonts w:ascii="Times New Roman" w:hAnsi="Times New Roman" w:cs="Times New Roman"/>
          <w:sz w:val="24"/>
          <w:szCs w:val="24"/>
          <w:lang w:val="sr-Cyrl-RS"/>
        </w:rPr>
        <w:t>, транспарентан и свеобухватан</w:t>
      </w:r>
      <w:r w:rsidRPr="00B30084">
        <w:rPr>
          <w:rFonts w:ascii="Times New Roman" w:hAnsi="Times New Roman" w:cs="Times New Roman"/>
          <w:sz w:val="24"/>
          <w:szCs w:val="24"/>
          <w:lang w:val="sr-Cyrl-RS"/>
        </w:rPr>
        <w:t xml:space="preserve"> начин обезбеђу</w:t>
      </w:r>
      <w:r w:rsidR="00EB65E4">
        <w:rPr>
          <w:rFonts w:ascii="Times New Roman" w:hAnsi="Times New Roman" w:cs="Times New Roman"/>
          <w:sz w:val="24"/>
          <w:szCs w:val="24"/>
          <w:lang w:val="sr-Cyrl-RS"/>
        </w:rPr>
        <w:t>ју</w:t>
      </w:r>
      <w:r w:rsidRPr="00B30084">
        <w:rPr>
          <w:rFonts w:ascii="Times New Roman" w:hAnsi="Times New Roman" w:cs="Times New Roman"/>
          <w:sz w:val="24"/>
          <w:szCs w:val="24"/>
          <w:lang w:val="sr-Cyrl-RS"/>
        </w:rPr>
        <w:t xml:space="preserve">ћи атрактивност домаћег тржишта капитала страним правним лицима, </w:t>
      </w:r>
      <w:proofErr w:type="spellStart"/>
      <w:r w:rsidRPr="00B30084">
        <w:rPr>
          <w:rFonts w:ascii="Times New Roman" w:hAnsi="Times New Roman" w:cs="Times New Roman"/>
          <w:sz w:val="24"/>
          <w:szCs w:val="24"/>
          <w:lang w:val="sr-Cyrl-RS"/>
        </w:rPr>
        <w:t>подстичујући</w:t>
      </w:r>
      <w:proofErr w:type="spellEnd"/>
      <w:r w:rsidRPr="00B30084">
        <w:rPr>
          <w:rFonts w:ascii="Times New Roman" w:hAnsi="Times New Roman" w:cs="Times New Roman"/>
          <w:sz w:val="24"/>
          <w:szCs w:val="24"/>
          <w:lang w:val="sr-Cyrl-RS"/>
        </w:rPr>
        <w:t xml:space="preserve"> инвестирање домаћих финан</w:t>
      </w:r>
      <w:r w:rsidR="00EB65E4">
        <w:rPr>
          <w:rFonts w:ascii="Times New Roman" w:hAnsi="Times New Roman" w:cs="Times New Roman"/>
          <w:sz w:val="24"/>
          <w:szCs w:val="24"/>
          <w:lang w:val="sr-Cyrl-RS"/>
        </w:rPr>
        <w:t>с</w:t>
      </w:r>
      <w:r w:rsidRPr="00B30084">
        <w:rPr>
          <w:rFonts w:ascii="Times New Roman" w:hAnsi="Times New Roman" w:cs="Times New Roman"/>
          <w:sz w:val="24"/>
          <w:szCs w:val="24"/>
          <w:lang w:val="sr-Cyrl-RS"/>
        </w:rPr>
        <w:t>ијских средстава у развој привредних друштава</w:t>
      </w:r>
      <w:r w:rsidR="00EB65E4">
        <w:rPr>
          <w:rFonts w:ascii="Times New Roman" w:hAnsi="Times New Roman" w:cs="Times New Roman"/>
          <w:sz w:val="24"/>
          <w:szCs w:val="24"/>
          <w:lang w:val="sr-Cyrl-RS"/>
        </w:rPr>
        <w:t>,</w:t>
      </w:r>
      <w:r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lastRenderedPageBreak/>
        <w:t xml:space="preserve">као и увођење нових </w:t>
      </w:r>
      <w:proofErr w:type="spellStart"/>
      <w:r w:rsidRPr="00B30084">
        <w:rPr>
          <w:rFonts w:ascii="Times New Roman" w:hAnsi="Times New Roman" w:cs="Times New Roman"/>
          <w:sz w:val="24"/>
          <w:szCs w:val="24"/>
          <w:lang w:val="sr-Cyrl-RS"/>
        </w:rPr>
        <w:t>финанијских</w:t>
      </w:r>
      <w:proofErr w:type="spellEnd"/>
      <w:r w:rsidRPr="00B30084">
        <w:rPr>
          <w:rFonts w:ascii="Times New Roman" w:hAnsi="Times New Roman" w:cs="Times New Roman"/>
          <w:sz w:val="24"/>
          <w:szCs w:val="24"/>
          <w:lang w:val="sr-Cyrl-RS"/>
        </w:rPr>
        <w:t xml:space="preserve"> инструмената који би допринели развоју локалних самоуправа као и јавних предузећа.</w:t>
      </w:r>
    </w:p>
    <w:p w14:paraId="114A4A04" w14:textId="4331BE39" w:rsidR="00C11F67" w:rsidRPr="00B30084" w:rsidRDefault="00C11F67" w:rsidP="00E50617">
      <w:pPr>
        <w:snapToGrid w:val="0"/>
        <w:spacing w:before="120" w:after="120"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У тексту Стратегије користиће се следеће скраћенице:</w:t>
      </w:r>
    </w:p>
    <w:tbl>
      <w:tblPr>
        <w:tblW w:w="0" w:type="auto"/>
        <w:tblInd w:w="10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1243"/>
        <w:gridCol w:w="7757"/>
      </w:tblGrid>
      <w:tr w:rsidR="009208BA" w:rsidRPr="00B30084" w14:paraId="76FAAB6C"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7F1DDB10"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ББ</w:t>
            </w:r>
          </w:p>
        </w:tc>
        <w:tc>
          <w:tcPr>
            <w:tcW w:w="7757" w:type="dxa"/>
            <w:tcBorders>
              <w:top w:val="single" w:sz="4" w:space="0" w:color="F2F2F2"/>
              <w:left w:val="single" w:sz="4" w:space="0" w:color="F2F2F2"/>
              <w:bottom w:val="single" w:sz="4" w:space="0" w:color="F2F2F2"/>
              <w:right w:val="single" w:sz="4" w:space="0" w:color="F2F2F2"/>
            </w:tcBorders>
          </w:tcPr>
          <w:p w14:paraId="3769F577"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Београдска берза</w:t>
            </w:r>
          </w:p>
        </w:tc>
      </w:tr>
      <w:tr w:rsidR="009208BA" w:rsidRPr="00B30084" w14:paraId="2CFB4F62"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098F3C3C"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БДП</w:t>
            </w:r>
          </w:p>
        </w:tc>
        <w:tc>
          <w:tcPr>
            <w:tcW w:w="7757" w:type="dxa"/>
            <w:tcBorders>
              <w:top w:val="single" w:sz="4" w:space="0" w:color="F2F2F2"/>
              <w:left w:val="single" w:sz="4" w:space="0" w:color="F2F2F2"/>
              <w:bottom w:val="single" w:sz="4" w:space="0" w:color="F2F2F2"/>
              <w:right w:val="single" w:sz="4" w:space="0" w:color="F2F2F2"/>
            </w:tcBorders>
          </w:tcPr>
          <w:p w14:paraId="57066FC9"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Бруто домаћи производ</w:t>
            </w:r>
          </w:p>
        </w:tc>
      </w:tr>
      <w:tr w:rsidR="009208BA" w:rsidRPr="00B30084" w14:paraId="7BB0506C"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40212284"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ЕБРД</w:t>
            </w:r>
          </w:p>
        </w:tc>
        <w:tc>
          <w:tcPr>
            <w:tcW w:w="7757" w:type="dxa"/>
            <w:tcBorders>
              <w:top w:val="single" w:sz="4" w:space="0" w:color="F2F2F2"/>
              <w:left w:val="single" w:sz="4" w:space="0" w:color="F2F2F2"/>
              <w:bottom w:val="single" w:sz="4" w:space="0" w:color="F2F2F2"/>
              <w:right w:val="single" w:sz="4" w:space="0" w:color="F2F2F2"/>
            </w:tcBorders>
          </w:tcPr>
          <w:p w14:paraId="5235F978"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Европска банка за обнову и развој</w:t>
            </w:r>
          </w:p>
        </w:tc>
      </w:tr>
      <w:tr w:rsidR="009208BA" w:rsidRPr="00B30084" w14:paraId="102137BC" w14:textId="77777777" w:rsidTr="00E32B96">
        <w:tc>
          <w:tcPr>
            <w:tcW w:w="1243" w:type="dxa"/>
            <w:tcBorders>
              <w:top w:val="single" w:sz="4" w:space="0" w:color="F2F2F2"/>
              <w:left w:val="single" w:sz="4" w:space="0" w:color="F2F2F2"/>
              <w:bottom w:val="single" w:sz="4" w:space="0" w:color="F2F2F2"/>
              <w:right w:val="single" w:sz="4" w:space="0" w:color="F2F2F2"/>
            </w:tcBorders>
            <w:hideMark/>
          </w:tcPr>
          <w:p w14:paraId="360A4BA7"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ЕК</w:t>
            </w:r>
          </w:p>
        </w:tc>
        <w:tc>
          <w:tcPr>
            <w:tcW w:w="7757" w:type="dxa"/>
            <w:tcBorders>
              <w:top w:val="single" w:sz="4" w:space="0" w:color="F2F2F2"/>
              <w:left w:val="single" w:sz="4" w:space="0" w:color="F2F2F2"/>
              <w:bottom w:val="single" w:sz="4" w:space="0" w:color="F2F2F2"/>
              <w:right w:val="single" w:sz="4" w:space="0" w:color="F2F2F2"/>
            </w:tcBorders>
            <w:hideMark/>
          </w:tcPr>
          <w:p w14:paraId="4405086E"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Европска комисија</w:t>
            </w:r>
          </w:p>
        </w:tc>
      </w:tr>
      <w:tr w:rsidR="009208BA" w:rsidRPr="00B30084" w14:paraId="1FED382F" w14:textId="77777777" w:rsidTr="00E32B96">
        <w:tc>
          <w:tcPr>
            <w:tcW w:w="1243" w:type="dxa"/>
            <w:tcBorders>
              <w:top w:val="single" w:sz="4" w:space="0" w:color="F2F2F2"/>
              <w:left w:val="single" w:sz="4" w:space="0" w:color="F2F2F2"/>
              <w:bottom w:val="single" w:sz="4" w:space="0" w:color="F2F2F2"/>
              <w:right w:val="single" w:sz="4" w:space="0" w:color="F2F2F2"/>
            </w:tcBorders>
            <w:hideMark/>
          </w:tcPr>
          <w:p w14:paraId="6563DD9E"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ЕУ</w:t>
            </w:r>
          </w:p>
        </w:tc>
        <w:tc>
          <w:tcPr>
            <w:tcW w:w="7757" w:type="dxa"/>
            <w:tcBorders>
              <w:top w:val="single" w:sz="4" w:space="0" w:color="F2F2F2"/>
              <w:left w:val="single" w:sz="4" w:space="0" w:color="F2F2F2"/>
              <w:bottom w:val="single" w:sz="4" w:space="0" w:color="F2F2F2"/>
              <w:right w:val="single" w:sz="4" w:space="0" w:color="F2F2F2"/>
            </w:tcBorders>
            <w:hideMark/>
          </w:tcPr>
          <w:p w14:paraId="4339EAB0"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Европска унија</w:t>
            </w:r>
          </w:p>
        </w:tc>
      </w:tr>
      <w:tr w:rsidR="009208BA" w:rsidRPr="00B30084" w14:paraId="4738D4C1"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6A91192C"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КХоВ</w:t>
            </w:r>
          </w:p>
        </w:tc>
        <w:tc>
          <w:tcPr>
            <w:tcW w:w="7757" w:type="dxa"/>
            <w:tcBorders>
              <w:top w:val="single" w:sz="4" w:space="0" w:color="F2F2F2"/>
              <w:left w:val="single" w:sz="4" w:space="0" w:color="F2F2F2"/>
              <w:bottom w:val="single" w:sz="4" w:space="0" w:color="F2F2F2"/>
              <w:right w:val="single" w:sz="4" w:space="0" w:color="F2F2F2"/>
            </w:tcBorders>
          </w:tcPr>
          <w:p w14:paraId="5B7F8C5E"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Комисија за хартије од вредности</w:t>
            </w:r>
          </w:p>
        </w:tc>
      </w:tr>
      <w:tr w:rsidR="009208BA" w:rsidRPr="00B30084" w14:paraId="190E8745"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6A46CB73"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MИФИД II</w:t>
            </w:r>
          </w:p>
        </w:tc>
        <w:tc>
          <w:tcPr>
            <w:tcW w:w="7757" w:type="dxa"/>
            <w:tcBorders>
              <w:top w:val="single" w:sz="4" w:space="0" w:color="F2F2F2"/>
              <w:left w:val="single" w:sz="4" w:space="0" w:color="F2F2F2"/>
              <w:bottom w:val="single" w:sz="4" w:space="0" w:color="F2F2F2"/>
              <w:right w:val="single" w:sz="4" w:space="0" w:color="F2F2F2"/>
            </w:tcBorders>
          </w:tcPr>
          <w:p w14:paraId="38F7E4BA"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proofErr w:type="spellStart"/>
            <w:r w:rsidRPr="00B30084">
              <w:rPr>
                <w:rFonts w:ascii="Times New Roman" w:hAnsi="Times New Roman" w:cs="Times New Roman"/>
                <w:color w:val="111111"/>
                <w:sz w:val="24"/>
                <w:szCs w:val="24"/>
                <w:shd w:val="clear" w:color="auto" w:fill="FFFFFF"/>
                <w:lang w:val="sr-Cyrl-RS"/>
              </w:rPr>
              <w:t>Markets</w:t>
            </w:r>
            <w:proofErr w:type="spellEnd"/>
            <w:r w:rsidRPr="00B30084">
              <w:rPr>
                <w:rFonts w:ascii="Times New Roman" w:hAnsi="Times New Roman" w:cs="Times New Roman"/>
                <w:color w:val="111111"/>
                <w:sz w:val="24"/>
                <w:szCs w:val="24"/>
                <w:shd w:val="clear" w:color="auto" w:fill="FFFFFF"/>
                <w:lang w:val="sr-Cyrl-RS"/>
              </w:rPr>
              <w:t xml:space="preserve"> </w:t>
            </w:r>
            <w:proofErr w:type="spellStart"/>
            <w:r w:rsidRPr="00B30084">
              <w:rPr>
                <w:rFonts w:ascii="Times New Roman" w:hAnsi="Times New Roman" w:cs="Times New Roman"/>
                <w:color w:val="111111"/>
                <w:sz w:val="24"/>
                <w:szCs w:val="24"/>
                <w:shd w:val="clear" w:color="auto" w:fill="FFFFFF"/>
                <w:lang w:val="sr-Cyrl-RS"/>
              </w:rPr>
              <w:t>In</w:t>
            </w:r>
            <w:proofErr w:type="spellEnd"/>
            <w:r w:rsidRPr="00B30084">
              <w:rPr>
                <w:rFonts w:ascii="Times New Roman" w:hAnsi="Times New Roman" w:cs="Times New Roman"/>
                <w:color w:val="111111"/>
                <w:sz w:val="24"/>
                <w:szCs w:val="24"/>
                <w:shd w:val="clear" w:color="auto" w:fill="FFFFFF"/>
                <w:lang w:val="sr-Cyrl-RS"/>
              </w:rPr>
              <w:t xml:space="preserve"> </w:t>
            </w:r>
            <w:proofErr w:type="spellStart"/>
            <w:r w:rsidRPr="00B30084">
              <w:rPr>
                <w:rFonts w:ascii="Times New Roman" w:hAnsi="Times New Roman" w:cs="Times New Roman"/>
                <w:color w:val="111111"/>
                <w:sz w:val="24"/>
                <w:szCs w:val="24"/>
                <w:shd w:val="clear" w:color="auto" w:fill="FFFFFF"/>
                <w:lang w:val="sr-Cyrl-RS"/>
              </w:rPr>
              <w:t>Financial</w:t>
            </w:r>
            <w:proofErr w:type="spellEnd"/>
            <w:r w:rsidRPr="00B30084">
              <w:rPr>
                <w:rFonts w:ascii="Times New Roman" w:hAnsi="Times New Roman" w:cs="Times New Roman"/>
                <w:color w:val="111111"/>
                <w:sz w:val="24"/>
                <w:szCs w:val="24"/>
                <w:shd w:val="clear" w:color="auto" w:fill="FFFFFF"/>
                <w:lang w:val="sr-Cyrl-RS"/>
              </w:rPr>
              <w:t xml:space="preserve"> </w:t>
            </w:r>
            <w:proofErr w:type="spellStart"/>
            <w:r w:rsidRPr="00B30084">
              <w:rPr>
                <w:rFonts w:ascii="Times New Roman" w:hAnsi="Times New Roman" w:cs="Times New Roman"/>
                <w:color w:val="111111"/>
                <w:sz w:val="24"/>
                <w:szCs w:val="24"/>
                <w:shd w:val="clear" w:color="auto" w:fill="FFFFFF"/>
                <w:lang w:val="sr-Cyrl-RS"/>
              </w:rPr>
              <w:t>Instruments</w:t>
            </w:r>
            <w:proofErr w:type="spellEnd"/>
            <w:r w:rsidRPr="00B30084">
              <w:rPr>
                <w:rFonts w:ascii="Times New Roman" w:hAnsi="Times New Roman" w:cs="Times New Roman"/>
                <w:color w:val="111111"/>
                <w:sz w:val="24"/>
                <w:szCs w:val="24"/>
                <w:shd w:val="clear" w:color="auto" w:fill="FFFFFF"/>
                <w:lang w:val="sr-Cyrl-RS"/>
              </w:rPr>
              <w:t xml:space="preserve"> </w:t>
            </w:r>
            <w:proofErr w:type="spellStart"/>
            <w:r w:rsidRPr="00B30084">
              <w:rPr>
                <w:rFonts w:ascii="Times New Roman" w:hAnsi="Times New Roman" w:cs="Times New Roman"/>
                <w:color w:val="111111"/>
                <w:sz w:val="24"/>
                <w:szCs w:val="24"/>
                <w:shd w:val="clear" w:color="auto" w:fill="FFFFFF"/>
                <w:lang w:val="sr-Cyrl-RS"/>
              </w:rPr>
              <w:t>Directive</w:t>
            </w:r>
            <w:proofErr w:type="spellEnd"/>
          </w:p>
        </w:tc>
      </w:tr>
      <w:tr w:rsidR="009208BA" w:rsidRPr="00B30084" w14:paraId="1D095607" w14:textId="77777777" w:rsidTr="00E32B96">
        <w:tc>
          <w:tcPr>
            <w:tcW w:w="1243" w:type="dxa"/>
            <w:tcBorders>
              <w:top w:val="single" w:sz="4" w:space="0" w:color="F2F2F2"/>
              <w:left w:val="single" w:sz="4" w:space="0" w:color="F2F2F2"/>
              <w:bottom w:val="single" w:sz="4" w:space="0" w:color="F2F2F2"/>
              <w:right w:val="single" w:sz="4" w:space="0" w:color="F2F2F2"/>
            </w:tcBorders>
            <w:hideMark/>
          </w:tcPr>
          <w:p w14:paraId="5D68116B"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МПНТР</w:t>
            </w:r>
          </w:p>
        </w:tc>
        <w:tc>
          <w:tcPr>
            <w:tcW w:w="7757" w:type="dxa"/>
            <w:tcBorders>
              <w:top w:val="single" w:sz="4" w:space="0" w:color="F2F2F2"/>
              <w:left w:val="single" w:sz="4" w:space="0" w:color="F2F2F2"/>
              <w:bottom w:val="single" w:sz="4" w:space="0" w:color="F2F2F2"/>
              <w:right w:val="single" w:sz="4" w:space="0" w:color="F2F2F2"/>
            </w:tcBorders>
            <w:hideMark/>
          </w:tcPr>
          <w:p w14:paraId="7C712E47"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Министарство просвете, науке и технолошког развоја</w:t>
            </w:r>
          </w:p>
        </w:tc>
      </w:tr>
      <w:tr w:rsidR="009208BA" w:rsidRPr="00B30084" w14:paraId="04986E9F" w14:textId="77777777" w:rsidTr="00E32B96">
        <w:tc>
          <w:tcPr>
            <w:tcW w:w="1243" w:type="dxa"/>
            <w:tcBorders>
              <w:top w:val="single" w:sz="4" w:space="0" w:color="F2F2F2"/>
              <w:left w:val="single" w:sz="4" w:space="0" w:color="F2F2F2"/>
              <w:bottom w:val="single" w:sz="4" w:space="0" w:color="F2F2F2"/>
              <w:right w:val="single" w:sz="4" w:space="0" w:color="F2F2F2"/>
            </w:tcBorders>
            <w:hideMark/>
          </w:tcPr>
          <w:p w14:paraId="0A360451"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Мфин</w:t>
            </w:r>
          </w:p>
        </w:tc>
        <w:tc>
          <w:tcPr>
            <w:tcW w:w="7757" w:type="dxa"/>
            <w:tcBorders>
              <w:top w:val="single" w:sz="4" w:space="0" w:color="F2F2F2"/>
              <w:left w:val="single" w:sz="4" w:space="0" w:color="F2F2F2"/>
              <w:bottom w:val="single" w:sz="4" w:space="0" w:color="F2F2F2"/>
              <w:right w:val="single" w:sz="4" w:space="0" w:color="F2F2F2"/>
            </w:tcBorders>
            <w:hideMark/>
          </w:tcPr>
          <w:p w14:paraId="55504CA0"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Министарство финансија</w:t>
            </w:r>
          </w:p>
        </w:tc>
      </w:tr>
      <w:tr w:rsidR="009208BA" w:rsidRPr="00B30084" w14:paraId="25D7BFC7"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66D86ABA"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proofErr w:type="spellStart"/>
            <w:r w:rsidRPr="00B30084">
              <w:rPr>
                <w:rFonts w:ascii="Times New Roman" w:eastAsia="Times New Roman" w:hAnsi="Times New Roman" w:cs="Times New Roman"/>
                <w:sz w:val="24"/>
                <w:szCs w:val="24"/>
                <w:lang w:val="sr-Cyrl-RS" w:eastAsia="de-DE"/>
              </w:rPr>
              <w:t>Мприв</w:t>
            </w:r>
            <w:proofErr w:type="spellEnd"/>
          </w:p>
        </w:tc>
        <w:tc>
          <w:tcPr>
            <w:tcW w:w="7757" w:type="dxa"/>
            <w:tcBorders>
              <w:top w:val="single" w:sz="4" w:space="0" w:color="F2F2F2"/>
              <w:left w:val="single" w:sz="4" w:space="0" w:color="F2F2F2"/>
              <w:bottom w:val="single" w:sz="4" w:space="0" w:color="F2F2F2"/>
              <w:right w:val="single" w:sz="4" w:space="0" w:color="F2F2F2"/>
            </w:tcBorders>
          </w:tcPr>
          <w:p w14:paraId="17835EC7"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Министарство привреде</w:t>
            </w:r>
          </w:p>
        </w:tc>
      </w:tr>
      <w:tr w:rsidR="009208BA" w:rsidRPr="00B30084" w14:paraId="518C2496"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60E4F3B5"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МДУЛС</w:t>
            </w:r>
          </w:p>
        </w:tc>
        <w:tc>
          <w:tcPr>
            <w:tcW w:w="7757" w:type="dxa"/>
            <w:tcBorders>
              <w:top w:val="single" w:sz="4" w:space="0" w:color="F2F2F2"/>
              <w:left w:val="single" w:sz="4" w:space="0" w:color="F2F2F2"/>
              <w:bottom w:val="single" w:sz="4" w:space="0" w:color="F2F2F2"/>
              <w:right w:val="single" w:sz="4" w:space="0" w:color="F2F2F2"/>
            </w:tcBorders>
          </w:tcPr>
          <w:p w14:paraId="4A664C5B"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Министарство државне управе и локалне самоуправе</w:t>
            </w:r>
          </w:p>
        </w:tc>
      </w:tr>
      <w:tr w:rsidR="00824D2A" w:rsidRPr="00B30084" w14:paraId="3D79E260"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24E88893" w14:textId="6F681519" w:rsidR="00824D2A" w:rsidRPr="00B30084" w:rsidRDefault="00824D2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Pr>
                <w:rFonts w:ascii="Times New Roman" w:eastAsia="Times New Roman" w:hAnsi="Times New Roman" w:cs="Times New Roman"/>
                <w:sz w:val="24"/>
                <w:szCs w:val="24"/>
                <w:lang w:val="sr-Cyrl-RS" w:eastAsia="de-DE"/>
              </w:rPr>
              <w:t>НБФИ</w:t>
            </w:r>
          </w:p>
        </w:tc>
        <w:tc>
          <w:tcPr>
            <w:tcW w:w="7757" w:type="dxa"/>
            <w:tcBorders>
              <w:top w:val="single" w:sz="4" w:space="0" w:color="F2F2F2"/>
              <w:left w:val="single" w:sz="4" w:space="0" w:color="F2F2F2"/>
              <w:bottom w:val="single" w:sz="4" w:space="0" w:color="F2F2F2"/>
              <w:right w:val="single" w:sz="4" w:space="0" w:color="F2F2F2"/>
            </w:tcBorders>
          </w:tcPr>
          <w:p w14:paraId="07CC237B" w14:textId="3956E71B" w:rsidR="00824D2A" w:rsidRPr="00B30084" w:rsidRDefault="00824D2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Pr>
                <w:rFonts w:ascii="Times New Roman" w:eastAsia="Times New Roman" w:hAnsi="Times New Roman" w:cs="Times New Roman"/>
                <w:sz w:val="24"/>
                <w:szCs w:val="24"/>
                <w:lang w:val="sr-Cyrl-RS" w:eastAsia="de-DE"/>
              </w:rPr>
              <w:t>Небанкарске финансијске институције</w:t>
            </w:r>
          </w:p>
        </w:tc>
      </w:tr>
      <w:tr w:rsidR="009208BA" w:rsidRPr="00B30084" w14:paraId="317047BA"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08646D0E"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РС</w:t>
            </w:r>
          </w:p>
        </w:tc>
        <w:tc>
          <w:tcPr>
            <w:tcW w:w="7757" w:type="dxa"/>
            <w:tcBorders>
              <w:top w:val="single" w:sz="4" w:space="0" w:color="F2F2F2"/>
              <w:left w:val="single" w:sz="4" w:space="0" w:color="F2F2F2"/>
              <w:bottom w:val="single" w:sz="4" w:space="0" w:color="F2F2F2"/>
              <w:right w:val="single" w:sz="4" w:space="0" w:color="F2F2F2"/>
            </w:tcBorders>
          </w:tcPr>
          <w:p w14:paraId="0FB86E68"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Република Србија</w:t>
            </w:r>
          </w:p>
        </w:tc>
      </w:tr>
      <w:tr w:rsidR="009208BA" w:rsidRPr="00B30084" w14:paraId="2EDF6ECE"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3B7C6A09"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ЦРХоВ</w:t>
            </w:r>
          </w:p>
        </w:tc>
        <w:tc>
          <w:tcPr>
            <w:tcW w:w="7757" w:type="dxa"/>
            <w:tcBorders>
              <w:top w:val="single" w:sz="4" w:space="0" w:color="F2F2F2"/>
              <w:left w:val="single" w:sz="4" w:space="0" w:color="F2F2F2"/>
              <w:bottom w:val="single" w:sz="4" w:space="0" w:color="F2F2F2"/>
              <w:right w:val="single" w:sz="4" w:space="0" w:color="F2F2F2"/>
            </w:tcBorders>
          </w:tcPr>
          <w:p w14:paraId="2EFCAF57" w14:textId="4C12488D"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Централни регистар</w:t>
            </w:r>
            <w:r w:rsidR="00404903">
              <w:rPr>
                <w:rFonts w:ascii="Times New Roman" w:eastAsia="Times New Roman" w:hAnsi="Times New Roman" w:cs="Times New Roman"/>
                <w:sz w:val="24"/>
                <w:szCs w:val="24"/>
                <w:lang w:val="sr-Cyrl-RS" w:eastAsia="de-DE"/>
              </w:rPr>
              <w:t>, депо и клиринг</w:t>
            </w:r>
            <w:r w:rsidRPr="00B30084">
              <w:rPr>
                <w:rFonts w:ascii="Times New Roman" w:eastAsia="Times New Roman" w:hAnsi="Times New Roman" w:cs="Times New Roman"/>
                <w:sz w:val="24"/>
                <w:szCs w:val="24"/>
                <w:lang w:val="sr-Cyrl-RS" w:eastAsia="de-DE"/>
              </w:rPr>
              <w:t xml:space="preserve"> хартија од вредности</w:t>
            </w:r>
          </w:p>
        </w:tc>
      </w:tr>
      <w:tr w:rsidR="009208BA" w:rsidRPr="00B30084" w14:paraId="7CA1A724"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4CAA9247"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ЦСДР</w:t>
            </w:r>
          </w:p>
        </w:tc>
        <w:tc>
          <w:tcPr>
            <w:tcW w:w="7757" w:type="dxa"/>
            <w:tcBorders>
              <w:top w:val="single" w:sz="4" w:space="0" w:color="F2F2F2"/>
              <w:left w:val="single" w:sz="4" w:space="0" w:color="F2F2F2"/>
              <w:bottom w:val="single" w:sz="4" w:space="0" w:color="F2F2F2"/>
              <w:right w:val="single" w:sz="4" w:space="0" w:color="F2F2F2"/>
            </w:tcBorders>
          </w:tcPr>
          <w:p w14:paraId="46BA8589"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proofErr w:type="spellStart"/>
            <w:r w:rsidRPr="00B30084">
              <w:rPr>
                <w:rStyle w:val="Emphasis"/>
                <w:rFonts w:ascii="Times New Roman" w:hAnsi="Times New Roman" w:cs="Times New Roman"/>
                <w:bCs/>
                <w:i w:val="0"/>
                <w:iCs w:val="0"/>
                <w:sz w:val="24"/>
                <w:szCs w:val="24"/>
                <w:shd w:val="clear" w:color="auto" w:fill="FFFFFF"/>
                <w:lang w:val="sr-Cyrl-RS"/>
              </w:rPr>
              <w:t>Central</w:t>
            </w:r>
            <w:proofErr w:type="spellEnd"/>
            <w:r w:rsidRPr="00B30084">
              <w:rPr>
                <w:rStyle w:val="Emphasis"/>
                <w:rFonts w:ascii="Times New Roman" w:hAnsi="Times New Roman" w:cs="Times New Roman"/>
                <w:bCs/>
                <w:i w:val="0"/>
                <w:iCs w:val="0"/>
                <w:sz w:val="24"/>
                <w:szCs w:val="24"/>
                <w:shd w:val="clear" w:color="auto" w:fill="FFFFFF"/>
                <w:lang w:val="sr-Cyrl-RS"/>
              </w:rPr>
              <w:t xml:space="preserve"> </w:t>
            </w:r>
            <w:proofErr w:type="spellStart"/>
            <w:r w:rsidRPr="00B30084">
              <w:rPr>
                <w:rStyle w:val="Emphasis"/>
                <w:rFonts w:ascii="Times New Roman" w:hAnsi="Times New Roman" w:cs="Times New Roman"/>
                <w:bCs/>
                <w:i w:val="0"/>
                <w:iCs w:val="0"/>
                <w:sz w:val="24"/>
                <w:szCs w:val="24"/>
                <w:shd w:val="clear" w:color="auto" w:fill="FFFFFF"/>
                <w:lang w:val="sr-Cyrl-RS"/>
              </w:rPr>
              <w:t>Securities</w:t>
            </w:r>
            <w:proofErr w:type="spellEnd"/>
            <w:r w:rsidRPr="00B30084">
              <w:rPr>
                <w:rFonts w:ascii="Times New Roman" w:hAnsi="Times New Roman" w:cs="Times New Roman"/>
                <w:sz w:val="24"/>
                <w:szCs w:val="24"/>
                <w:shd w:val="clear" w:color="auto" w:fill="FFFFFF"/>
                <w:lang w:val="sr-Cyrl-RS"/>
              </w:rPr>
              <w:t> </w:t>
            </w:r>
            <w:proofErr w:type="spellStart"/>
            <w:r w:rsidRPr="00B30084">
              <w:rPr>
                <w:rFonts w:ascii="Times New Roman" w:hAnsi="Times New Roman" w:cs="Times New Roman"/>
                <w:sz w:val="24"/>
                <w:szCs w:val="24"/>
                <w:shd w:val="clear" w:color="auto" w:fill="FFFFFF"/>
                <w:lang w:val="sr-Cyrl-RS"/>
              </w:rPr>
              <w:t>Depository</w:t>
            </w:r>
            <w:proofErr w:type="spellEnd"/>
            <w:r w:rsidRPr="00B30084">
              <w:rPr>
                <w:rFonts w:ascii="Times New Roman" w:hAnsi="Times New Roman" w:cs="Times New Roman"/>
                <w:sz w:val="24"/>
                <w:szCs w:val="24"/>
                <w:shd w:val="clear" w:color="auto" w:fill="FFFFFF"/>
                <w:lang w:val="sr-Cyrl-RS"/>
              </w:rPr>
              <w:t xml:space="preserve"> </w:t>
            </w:r>
            <w:proofErr w:type="spellStart"/>
            <w:r w:rsidRPr="00B30084">
              <w:rPr>
                <w:rFonts w:ascii="Times New Roman" w:hAnsi="Times New Roman" w:cs="Times New Roman"/>
                <w:sz w:val="24"/>
                <w:szCs w:val="24"/>
                <w:shd w:val="clear" w:color="auto" w:fill="FFFFFF"/>
                <w:lang w:val="sr-Cyrl-RS"/>
              </w:rPr>
              <w:t>Regulation</w:t>
            </w:r>
            <w:proofErr w:type="spellEnd"/>
          </w:p>
        </w:tc>
      </w:tr>
      <w:tr w:rsidR="009208BA" w:rsidRPr="00B30084" w14:paraId="26DA897F"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60961021"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ПКС</w:t>
            </w:r>
          </w:p>
        </w:tc>
        <w:tc>
          <w:tcPr>
            <w:tcW w:w="7757" w:type="dxa"/>
            <w:tcBorders>
              <w:top w:val="single" w:sz="4" w:space="0" w:color="F2F2F2"/>
              <w:left w:val="single" w:sz="4" w:space="0" w:color="F2F2F2"/>
              <w:bottom w:val="single" w:sz="4" w:space="0" w:color="F2F2F2"/>
              <w:right w:val="single" w:sz="4" w:space="0" w:color="F2F2F2"/>
            </w:tcBorders>
          </w:tcPr>
          <w:p w14:paraId="77F5AC29" w14:textId="77777777" w:rsidR="009208BA" w:rsidRPr="00B30084" w:rsidRDefault="009208BA" w:rsidP="00E32B96">
            <w:pPr>
              <w:spacing w:before="100" w:beforeAutospacing="1" w:after="100" w:afterAutospacing="1" w:line="276" w:lineRule="auto"/>
              <w:jc w:val="both"/>
              <w:rPr>
                <w:rStyle w:val="Emphasis"/>
                <w:rFonts w:ascii="Times New Roman" w:hAnsi="Times New Roman" w:cs="Times New Roman"/>
                <w:bCs/>
                <w:i w:val="0"/>
                <w:iCs w:val="0"/>
                <w:sz w:val="24"/>
                <w:szCs w:val="24"/>
                <w:shd w:val="clear" w:color="auto" w:fill="FFFFFF"/>
                <w:lang w:val="sr-Cyrl-RS"/>
              </w:rPr>
            </w:pPr>
            <w:r w:rsidRPr="00B30084">
              <w:rPr>
                <w:rStyle w:val="Emphasis"/>
                <w:rFonts w:ascii="Times New Roman" w:hAnsi="Times New Roman" w:cs="Times New Roman"/>
                <w:bCs/>
                <w:i w:val="0"/>
                <w:iCs w:val="0"/>
                <w:sz w:val="24"/>
                <w:szCs w:val="24"/>
                <w:shd w:val="clear" w:color="auto" w:fill="FFFFFF"/>
                <w:lang w:val="sr-Cyrl-RS"/>
              </w:rPr>
              <w:t>Привредна комора Србије</w:t>
            </w:r>
          </w:p>
        </w:tc>
      </w:tr>
      <w:tr w:rsidR="009208BA" w:rsidRPr="00B30084" w14:paraId="4B023937" w14:textId="77777777" w:rsidTr="00E32B96">
        <w:tc>
          <w:tcPr>
            <w:tcW w:w="1243" w:type="dxa"/>
            <w:tcBorders>
              <w:top w:val="single" w:sz="4" w:space="0" w:color="F2F2F2"/>
              <w:left w:val="single" w:sz="4" w:space="0" w:color="F2F2F2"/>
              <w:bottom w:val="single" w:sz="4" w:space="0" w:color="F2F2F2"/>
              <w:right w:val="single" w:sz="4" w:space="0" w:color="F2F2F2"/>
            </w:tcBorders>
          </w:tcPr>
          <w:p w14:paraId="28D9967E" w14:textId="77777777" w:rsidR="009208BA" w:rsidRPr="00B30084" w:rsidRDefault="009208BA" w:rsidP="00E32B96">
            <w:pPr>
              <w:spacing w:before="100" w:beforeAutospacing="1" w:after="100" w:afterAutospacing="1" w:line="276" w:lineRule="auto"/>
              <w:jc w:val="both"/>
              <w:rPr>
                <w:rFonts w:ascii="Times New Roman" w:eastAsia="Times New Roman" w:hAnsi="Times New Roman" w:cs="Times New Roman"/>
                <w:sz w:val="24"/>
                <w:szCs w:val="24"/>
                <w:lang w:val="sr-Cyrl-RS" w:eastAsia="de-DE"/>
              </w:rPr>
            </w:pPr>
            <w:r w:rsidRPr="00B30084">
              <w:rPr>
                <w:rFonts w:ascii="Times New Roman" w:eastAsia="Times New Roman" w:hAnsi="Times New Roman" w:cs="Times New Roman"/>
                <w:sz w:val="24"/>
                <w:szCs w:val="24"/>
                <w:lang w:val="sr-Cyrl-RS" w:eastAsia="de-DE"/>
              </w:rPr>
              <w:t>ПУ</w:t>
            </w:r>
          </w:p>
        </w:tc>
        <w:tc>
          <w:tcPr>
            <w:tcW w:w="7757" w:type="dxa"/>
            <w:tcBorders>
              <w:top w:val="single" w:sz="4" w:space="0" w:color="F2F2F2"/>
              <w:left w:val="single" w:sz="4" w:space="0" w:color="F2F2F2"/>
              <w:bottom w:val="single" w:sz="4" w:space="0" w:color="F2F2F2"/>
              <w:right w:val="single" w:sz="4" w:space="0" w:color="F2F2F2"/>
            </w:tcBorders>
          </w:tcPr>
          <w:p w14:paraId="3E6F32F2" w14:textId="77777777" w:rsidR="009208BA" w:rsidRPr="00B30084" w:rsidRDefault="009208BA" w:rsidP="00E32B96">
            <w:pPr>
              <w:spacing w:before="100" w:beforeAutospacing="1" w:after="100" w:afterAutospacing="1" w:line="276" w:lineRule="auto"/>
              <w:jc w:val="both"/>
              <w:rPr>
                <w:rStyle w:val="Emphasis"/>
                <w:rFonts w:ascii="Times New Roman" w:hAnsi="Times New Roman" w:cs="Times New Roman"/>
                <w:bCs/>
                <w:i w:val="0"/>
                <w:iCs w:val="0"/>
                <w:sz w:val="24"/>
                <w:szCs w:val="24"/>
                <w:shd w:val="clear" w:color="auto" w:fill="FFFFFF"/>
                <w:lang w:val="sr-Cyrl-RS"/>
              </w:rPr>
            </w:pPr>
            <w:r w:rsidRPr="00B30084">
              <w:rPr>
                <w:rStyle w:val="Emphasis"/>
                <w:rFonts w:ascii="Times New Roman" w:hAnsi="Times New Roman" w:cs="Times New Roman"/>
                <w:bCs/>
                <w:i w:val="0"/>
                <w:iCs w:val="0"/>
                <w:sz w:val="24"/>
                <w:szCs w:val="24"/>
                <w:shd w:val="clear" w:color="auto" w:fill="FFFFFF"/>
                <w:lang w:val="sr-Cyrl-RS"/>
              </w:rPr>
              <w:t>Пореска Управа</w:t>
            </w:r>
          </w:p>
        </w:tc>
      </w:tr>
    </w:tbl>
    <w:p w14:paraId="665B5AA9" w14:textId="77777777" w:rsidR="00C11F67" w:rsidRPr="00B30084" w:rsidRDefault="00C11F67" w:rsidP="00C11F67">
      <w:pPr>
        <w:snapToGrid w:val="0"/>
        <w:spacing w:before="120" w:after="120" w:line="276" w:lineRule="auto"/>
        <w:jc w:val="both"/>
        <w:rPr>
          <w:rFonts w:ascii="Times New Roman" w:hAnsi="Times New Roman" w:cs="Times New Roman"/>
          <w:sz w:val="24"/>
          <w:szCs w:val="24"/>
          <w:lang w:val="sr-Cyrl-RS"/>
        </w:rPr>
      </w:pPr>
    </w:p>
    <w:p w14:paraId="0CAEAB29" w14:textId="3C1EFE1A" w:rsidR="002A2250" w:rsidRPr="00B30084" w:rsidRDefault="002A2250" w:rsidP="00275E1F">
      <w:pPr>
        <w:pStyle w:val="Heading2"/>
      </w:pPr>
      <w:bookmarkStart w:id="1" w:name="_Toc23616554"/>
      <w:bookmarkStart w:id="2" w:name="_Toc23617533"/>
      <w:bookmarkStart w:id="3" w:name="_Toc23719957"/>
      <w:bookmarkStart w:id="4" w:name="_Toc25879176"/>
      <w:bookmarkStart w:id="5" w:name="_Toc27869123"/>
      <w:r w:rsidRPr="00B30084">
        <w:rPr>
          <w:rFonts w:eastAsia="Cambria"/>
        </w:rPr>
        <w:t xml:space="preserve">Правни </w:t>
      </w:r>
      <w:r w:rsidRPr="00B30084">
        <w:t>основ</w:t>
      </w:r>
      <w:bookmarkEnd w:id="1"/>
      <w:bookmarkEnd w:id="2"/>
      <w:bookmarkEnd w:id="3"/>
      <w:bookmarkEnd w:id="4"/>
      <w:bookmarkEnd w:id="5"/>
    </w:p>
    <w:p w14:paraId="23E8FF77" w14:textId="77688861" w:rsidR="002A2250" w:rsidRPr="00B30084" w:rsidRDefault="002A2250" w:rsidP="00E50617">
      <w:pPr>
        <w:pStyle w:val="Pasus"/>
        <w:snapToGrid w:val="0"/>
        <w:spacing w:before="120" w:after="120" w:line="276" w:lineRule="auto"/>
        <w:rPr>
          <w:rFonts w:ascii="Times New Roman" w:hAnsi="Times New Roman" w:cs="Times New Roman"/>
          <w:sz w:val="24"/>
          <w:szCs w:val="24"/>
        </w:rPr>
      </w:pPr>
      <w:r w:rsidRPr="00B30084">
        <w:rPr>
          <w:rFonts w:ascii="Times New Roman" w:hAnsi="Times New Roman" w:cs="Times New Roman"/>
          <w:sz w:val="24"/>
          <w:szCs w:val="24"/>
        </w:rPr>
        <w:t>Правни основ за израду Стратегије је чл</w:t>
      </w:r>
      <w:r w:rsidR="00EB65E4">
        <w:rPr>
          <w:rFonts w:ascii="Times New Roman" w:hAnsi="Times New Roman" w:cs="Times New Roman"/>
          <w:sz w:val="24"/>
          <w:szCs w:val="24"/>
        </w:rPr>
        <w:t>ан</w:t>
      </w:r>
      <w:r w:rsidRPr="00B30084">
        <w:rPr>
          <w:rFonts w:ascii="Times New Roman" w:hAnsi="Times New Roman" w:cs="Times New Roman"/>
          <w:sz w:val="24"/>
          <w:szCs w:val="24"/>
        </w:rPr>
        <w:t xml:space="preserve"> </w:t>
      </w:r>
      <w:r w:rsidRPr="00B30084">
        <w:rPr>
          <w:rFonts w:ascii="Times New Roman" w:eastAsia="Times New Roman" w:hAnsi="Times New Roman" w:cs="Times New Roman"/>
          <w:sz w:val="24"/>
          <w:szCs w:val="24"/>
        </w:rPr>
        <w:t xml:space="preserve"> 38. став 1. </w:t>
      </w:r>
      <w:r w:rsidRPr="00B30084">
        <w:rPr>
          <w:rFonts w:ascii="Times New Roman" w:hAnsi="Times New Roman" w:cs="Times New Roman"/>
          <w:sz w:val="24"/>
          <w:szCs w:val="24"/>
        </w:rPr>
        <w:t>Закона о планском систему („Службени гласник РС”, број 30/18).</w:t>
      </w:r>
      <w:r w:rsidR="00C72D92" w:rsidRPr="00B30084">
        <w:rPr>
          <w:rFonts w:ascii="Times New Roman" w:hAnsi="Times New Roman" w:cs="Times New Roman"/>
          <w:sz w:val="24"/>
          <w:szCs w:val="24"/>
        </w:rPr>
        <w:t xml:space="preserve"> Стратегија се доноси и као обавеза </w:t>
      </w:r>
      <w:r w:rsidR="006A4E87" w:rsidRPr="00B30084">
        <w:rPr>
          <w:rFonts w:ascii="Times New Roman" w:hAnsi="Times New Roman" w:cs="Times New Roman"/>
          <w:sz w:val="24"/>
          <w:szCs w:val="24"/>
        </w:rPr>
        <w:t>у оквиру аранжмана закључених са Међународним монетарним фондом („ММФ”) током 2019. и 2021. године, у складу са чл. 50. Закона о планском систему.</w:t>
      </w:r>
    </w:p>
    <w:p w14:paraId="2CC3A6DE" w14:textId="77777777" w:rsidR="006D6929" w:rsidRPr="00B30084" w:rsidRDefault="006D6929" w:rsidP="00E50617">
      <w:pPr>
        <w:pStyle w:val="Pasus"/>
        <w:snapToGrid w:val="0"/>
        <w:spacing w:before="120" w:after="120" w:line="276" w:lineRule="auto"/>
        <w:rPr>
          <w:rFonts w:ascii="Times New Roman" w:hAnsi="Times New Roman" w:cs="Times New Roman"/>
          <w:sz w:val="24"/>
          <w:szCs w:val="24"/>
        </w:rPr>
      </w:pPr>
    </w:p>
    <w:p w14:paraId="76F595A7" w14:textId="791A0093" w:rsidR="002A2250" w:rsidRPr="00B30084" w:rsidRDefault="002A2250" w:rsidP="00275E1F">
      <w:pPr>
        <w:pStyle w:val="Heading2"/>
        <w:rPr>
          <w:rFonts w:eastAsia="Cambria"/>
        </w:rPr>
      </w:pPr>
      <w:bookmarkStart w:id="6" w:name="_Toc23616555"/>
      <w:bookmarkStart w:id="7" w:name="_Toc23617534"/>
      <w:bookmarkStart w:id="8" w:name="_Toc23719958"/>
      <w:bookmarkStart w:id="9" w:name="_Toc25879177"/>
      <w:bookmarkStart w:id="10" w:name="_Toc27869124"/>
      <w:r w:rsidRPr="00B30084">
        <w:rPr>
          <w:rFonts w:eastAsia="Cambria"/>
        </w:rPr>
        <w:t>Разлози за доношење</w:t>
      </w:r>
      <w:bookmarkStart w:id="11" w:name="_Hlk24356928"/>
      <w:bookmarkEnd w:id="6"/>
      <w:bookmarkEnd w:id="7"/>
      <w:bookmarkEnd w:id="8"/>
      <w:bookmarkEnd w:id="9"/>
      <w:bookmarkEnd w:id="10"/>
    </w:p>
    <w:p w14:paraId="7DF3D15B" w14:textId="48BD77A8" w:rsidR="00E10A5E" w:rsidRPr="00B30084" w:rsidRDefault="00E10A5E" w:rsidP="00E10A5E">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Влада Републике Србије,</w:t>
      </w:r>
      <w:r w:rsidR="00AD5DF3" w:rsidRPr="00B30084">
        <w:rPr>
          <w:rFonts w:ascii="Times New Roman" w:hAnsi="Times New Roman" w:cs="Times New Roman"/>
          <w:sz w:val="24"/>
          <w:szCs w:val="24"/>
          <w:lang w:val="en-GB"/>
        </w:rPr>
        <w:t xml:space="preserve"> </w:t>
      </w:r>
      <w:proofErr w:type="spellStart"/>
      <w:r w:rsidR="00AD5DF3" w:rsidRPr="00B30084">
        <w:rPr>
          <w:rFonts w:ascii="Times New Roman" w:hAnsi="Times New Roman" w:cs="Times New Roman"/>
          <w:sz w:val="24"/>
          <w:szCs w:val="24"/>
          <w:lang w:val="en-GB"/>
        </w:rPr>
        <w:t>први</w:t>
      </w:r>
      <w:proofErr w:type="spellEnd"/>
      <w:r w:rsidR="00AD5DF3" w:rsidRPr="00B30084">
        <w:rPr>
          <w:rFonts w:ascii="Times New Roman" w:hAnsi="Times New Roman" w:cs="Times New Roman"/>
          <w:sz w:val="24"/>
          <w:szCs w:val="24"/>
          <w:lang w:val="en-GB"/>
        </w:rPr>
        <w:t xml:space="preserve"> </w:t>
      </w:r>
      <w:proofErr w:type="spellStart"/>
      <w:r w:rsidR="00AD5DF3" w:rsidRPr="00B30084">
        <w:rPr>
          <w:rFonts w:ascii="Times New Roman" w:hAnsi="Times New Roman" w:cs="Times New Roman"/>
          <w:sz w:val="24"/>
          <w:szCs w:val="24"/>
          <w:lang w:val="en-GB"/>
        </w:rPr>
        <w:t>пут</w:t>
      </w:r>
      <w:proofErr w:type="spellEnd"/>
      <w:r w:rsidR="00AD5DF3" w:rsidRPr="00B30084">
        <w:rPr>
          <w:rFonts w:ascii="Times New Roman" w:hAnsi="Times New Roman" w:cs="Times New Roman"/>
          <w:sz w:val="24"/>
          <w:szCs w:val="24"/>
          <w:lang w:val="en-GB"/>
        </w:rPr>
        <w:t xml:space="preserve"> </w:t>
      </w:r>
      <w:r w:rsidR="00AD5DF3" w:rsidRPr="00B30084">
        <w:rPr>
          <w:rFonts w:ascii="Times New Roman" w:hAnsi="Times New Roman" w:cs="Times New Roman"/>
          <w:sz w:val="24"/>
          <w:szCs w:val="24"/>
          <w:lang w:val="sr-Cyrl-RS"/>
        </w:rPr>
        <w:t xml:space="preserve">доноси </w:t>
      </w:r>
      <w:r w:rsidR="001A20B9" w:rsidRPr="00B30084">
        <w:rPr>
          <w:rFonts w:ascii="Times New Roman" w:hAnsi="Times New Roman" w:cs="Times New Roman"/>
          <w:sz w:val="24"/>
          <w:szCs w:val="24"/>
          <w:lang w:val="sr-Cyrl-RS"/>
        </w:rPr>
        <w:t>С</w:t>
      </w:r>
      <w:r w:rsidRPr="00B30084">
        <w:rPr>
          <w:rFonts w:ascii="Times New Roman" w:hAnsi="Times New Roman" w:cs="Times New Roman"/>
          <w:sz w:val="24"/>
          <w:szCs w:val="24"/>
          <w:lang w:val="sr-Cyrl-RS"/>
        </w:rPr>
        <w:t>тратегиј</w:t>
      </w:r>
      <w:r w:rsidR="00AD5DF3" w:rsidRPr="00B30084">
        <w:rPr>
          <w:rFonts w:ascii="Times New Roman" w:hAnsi="Times New Roman" w:cs="Times New Roman"/>
          <w:sz w:val="24"/>
          <w:szCs w:val="24"/>
          <w:lang w:val="sr-Cyrl-RS"/>
        </w:rPr>
        <w:t>у</w:t>
      </w:r>
      <w:r w:rsidRPr="00B30084">
        <w:rPr>
          <w:rFonts w:ascii="Times New Roman" w:hAnsi="Times New Roman" w:cs="Times New Roman"/>
          <w:sz w:val="24"/>
          <w:szCs w:val="24"/>
          <w:lang w:val="sr-Cyrl-RS"/>
        </w:rPr>
        <w:t xml:space="preserve">, </w:t>
      </w:r>
      <w:r w:rsidR="00AD5DF3" w:rsidRPr="00B30084">
        <w:rPr>
          <w:rFonts w:ascii="Times New Roman" w:hAnsi="Times New Roman" w:cs="Times New Roman"/>
          <w:sz w:val="24"/>
          <w:szCs w:val="24"/>
          <w:lang w:val="sr-Cyrl-RS"/>
        </w:rPr>
        <w:t>са</w:t>
      </w:r>
      <w:r w:rsidRPr="00B30084">
        <w:rPr>
          <w:rFonts w:ascii="Times New Roman" w:hAnsi="Times New Roman" w:cs="Times New Roman"/>
          <w:sz w:val="24"/>
          <w:szCs w:val="24"/>
          <w:lang w:val="sr-Cyrl-RS"/>
        </w:rPr>
        <w:t xml:space="preserve"> циљ</w:t>
      </w:r>
      <w:r w:rsidR="00AD5DF3" w:rsidRPr="00B30084">
        <w:rPr>
          <w:rFonts w:ascii="Times New Roman" w:hAnsi="Times New Roman" w:cs="Times New Roman"/>
          <w:sz w:val="24"/>
          <w:szCs w:val="24"/>
          <w:lang w:val="sr-Cyrl-RS"/>
        </w:rPr>
        <w:t>ем</w:t>
      </w:r>
      <w:r w:rsidRPr="00B30084">
        <w:rPr>
          <w:rFonts w:ascii="Times New Roman" w:hAnsi="Times New Roman" w:cs="Times New Roman"/>
          <w:sz w:val="24"/>
          <w:szCs w:val="24"/>
          <w:lang w:val="sr-Cyrl-RS"/>
        </w:rPr>
        <w:t xml:space="preserve"> пружањ</w:t>
      </w:r>
      <w:r w:rsidR="00AD5DF3" w:rsidRPr="00B30084">
        <w:rPr>
          <w:rFonts w:ascii="Times New Roman" w:hAnsi="Times New Roman" w:cs="Times New Roman"/>
          <w:sz w:val="24"/>
          <w:szCs w:val="24"/>
          <w:lang w:val="sr-Cyrl-RS"/>
        </w:rPr>
        <w:t>а</w:t>
      </w:r>
      <w:r w:rsidRPr="00B30084">
        <w:rPr>
          <w:rFonts w:ascii="Times New Roman" w:hAnsi="Times New Roman" w:cs="Times New Roman"/>
          <w:sz w:val="24"/>
          <w:szCs w:val="24"/>
          <w:lang w:val="sr-Cyrl-RS"/>
        </w:rPr>
        <w:t xml:space="preserve"> подршке одрживом</w:t>
      </w:r>
      <w:r w:rsidR="00A90CAA">
        <w:rPr>
          <w:rFonts w:ascii="Times New Roman" w:hAnsi="Times New Roman" w:cs="Times New Roman"/>
          <w:sz w:val="24"/>
          <w:szCs w:val="24"/>
          <w:lang w:val="sr-Cyrl-RS"/>
        </w:rPr>
        <w:t xml:space="preserve"> економском расту</w:t>
      </w:r>
      <w:r w:rsidR="00EB65E4">
        <w:rPr>
          <w:rFonts w:ascii="Times New Roman" w:hAnsi="Times New Roman" w:cs="Times New Roman"/>
          <w:sz w:val="24"/>
          <w:szCs w:val="24"/>
          <w:lang w:val="sr-Cyrl-RS"/>
        </w:rPr>
        <w:t>,</w:t>
      </w:r>
      <w:r w:rsidR="00A90CAA">
        <w:rPr>
          <w:rFonts w:ascii="Times New Roman" w:hAnsi="Times New Roman" w:cs="Times New Roman"/>
          <w:sz w:val="24"/>
          <w:szCs w:val="24"/>
          <w:lang w:val="sr-Cyrl-RS"/>
        </w:rPr>
        <w:t xml:space="preserve"> као и повећањ</w:t>
      </w:r>
      <w:r w:rsidR="00A90CAA" w:rsidRPr="008E3B27">
        <w:rPr>
          <w:rFonts w:ascii="Times New Roman" w:hAnsi="Times New Roman" w:cs="Times New Roman"/>
          <w:sz w:val="24"/>
          <w:szCs w:val="24"/>
          <w:lang w:val="sr-Cyrl-RS"/>
        </w:rPr>
        <w:t>у</w:t>
      </w:r>
      <w:r w:rsidRPr="00B30084">
        <w:rPr>
          <w:rFonts w:ascii="Times New Roman" w:hAnsi="Times New Roman" w:cs="Times New Roman"/>
          <w:sz w:val="24"/>
          <w:szCs w:val="24"/>
          <w:lang w:val="sr-Cyrl-RS"/>
        </w:rPr>
        <w:t xml:space="preserve"> националне конкуре</w:t>
      </w:r>
      <w:r w:rsidR="00EB65E4">
        <w:rPr>
          <w:rFonts w:ascii="Times New Roman" w:hAnsi="Times New Roman" w:cs="Times New Roman"/>
          <w:sz w:val="24"/>
          <w:szCs w:val="24"/>
          <w:lang w:val="sr-Cyrl-RS"/>
        </w:rPr>
        <w:t>нтности кроз добро функционисано</w:t>
      </w:r>
      <w:r w:rsidRPr="00B30084">
        <w:rPr>
          <w:rFonts w:ascii="Times New Roman" w:hAnsi="Times New Roman" w:cs="Times New Roman"/>
          <w:sz w:val="24"/>
          <w:szCs w:val="24"/>
          <w:lang w:val="sr-Cyrl-RS"/>
        </w:rPr>
        <w:t xml:space="preserve"> тржишта капитала. Влада Републике Србије верује да ће испуњавање ове </w:t>
      </w:r>
      <w:r w:rsidR="00D730F5" w:rsidRPr="00B30084">
        <w:rPr>
          <w:rFonts w:ascii="Times New Roman" w:hAnsi="Times New Roman" w:cs="Times New Roman"/>
          <w:sz w:val="24"/>
          <w:szCs w:val="24"/>
          <w:lang w:val="sr-Cyrl-RS"/>
        </w:rPr>
        <w:t>С</w:t>
      </w:r>
      <w:r w:rsidRPr="00B30084">
        <w:rPr>
          <w:rFonts w:ascii="Times New Roman" w:hAnsi="Times New Roman" w:cs="Times New Roman"/>
          <w:sz w:val="24"/>
          <w:szCs w:val="24"/>
          <w:lang w:val="sr-Cyrl-RS"/>
        </w:rPr>
        <w:t xml:space="preserve">тратегије помоћи Републици Србији да побољша тржиште капитала у Републици Србији и да створи темеље за коришћење ширег </w:t>
      </w:r>
      <w:proofErr w:type="spellStart"/>
      <w:r w:rsidRPr="00B30084">
        <w:rPr>
          <w:rFonts w:ascii="Times New Roman" w:hAnsi="Times New Roman" w:cs="Times New Roman"/>
          <w:sz w:val="24"/>
          <w:szCs w:val="24"/>
          <w:lang w:val="sr-Cyrl-RS"/>
        </w:rPr>
        <w:t>спектра</w:t>
      </w:r>
      <w:proofErr w:type="spellEnd"/>
      <w:r w:rsidRPr="00B30084">
        <w:rPr>
          <w:rFonts w:ascii="Times New Roman" w:hAnsi="Times New Roman" w:cs="Times New Roman"/>
          <w:sz w:val="24"/>
          <w:szCs w:val="24"/>
          <w:lang w:val="sr-Cyrl-RS"/>
        </w:rPr>
        <w:t xml:space="preserve"> финансијских инструмената у корист привреде Републике Србије кроз: </w:t>
      </w:r>
    </w:p>
    <w:p w14:paraId="0DB38E77" w14:textId="77777777" w:rsidR="00E10A5E" w:rsidRPr="00B30084" w:rsidRDefault="00E10A5E" w:rsidP="00E10A5E">
      <w:pPr>
        <w:spacing w:line="276" w:lineRule="auto"/>
        <w:ind w:left="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смањење зависности малих и средњих предузећа од банкарског финансирања (и државних субвенција),</w:t>
      </w:r>
    </w:p>
    <w:p w14:paraId="3C6D2F31" w14:textId="579AF57D" w:rsidR="00E10A5E" w:rsidRPr="00B30084" w:rsidRDefault="00E10A5E" w:rsidP="00E10A5E">
      <w:pPr>
        <w:pStyle w:val="ListParagraph"/>
        <w:numPr>
          <w:ilvl w:val="0"/>
          <w:numId w:val="35"/>
        </w:numPr>
        <w:spacing w:line="276" w:lineRule="auto"/>
        <w:ind w:left="900" w:hanging="18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убрзани економски раст кроз нове финансијске могућности</w:t>
      </w:r>
      <w:r w:rsidR="00D730F5" w:rsidRPr="00B30084">
        <w:rPr>
          <w:rFonts w:ascii="Times New Roman" w:hAnsi="Times New Roman" w:cs="Times New Roman"/>
          <w:sz w:val="24"/>
          <w:szCs w:val="24"/>
          <w:lang w:val="sr-Cyrl-RS"/>
        </w:rPr>
        <w:t>,</w:t>
      </w:r>
    </w:p>
    <w:p w14:paraId="43B83AF9" w14:textId="77777777" w:rsidR="00E10A5E" w:rsidRPr="00B30084" w:rsidRDefault="00E10A5E" w:rsidP="00E10A5E">
      <w:pPr>
        <w:spacing w:line="276" w:lineRule="auto"/>
        <w:ind w:left="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повећање броја радних места као и,</w:t>
      </w:r>
    </w:p>
    <w:p w14:paraId="0DBB49F0" w14:textId="77777777" w:rsidR="00E10A5E" w:rsidRPr="00B30084" w:rsidRDefault="00E10A5E" w:rsidP="00E10A5E">
      <w:pPr>
        <w:spacing w:line="276" w:lineRule="auto"/>
        <w:ind w:left="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додатну подршку иновацијама (више улагања у иновативну индустрију).</w:t>
      </w:r>
    </w:p>
    <w:p w14:paraId="651029BE" w14:textId="22DECF30" w:rsidR="00E10A5E" w:rsidRPr="00B30084" w:rsidRDefault="00E10A5E" w:rsidP="00E10A5E">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Влада Републике Србије је свесна да тржиште капитала у Србији тренутно не успева у довољној мери да испуни своју главну функцију - ефикасну алокацију финансијских ресурса штедње и инвеститора (домаћинстава) према привредним друштвима ради финансирања њиховог развоја. Делимично, из историјских разлога традиционално финансирање кроз банкарске производе (депозити и зајмови) данас превладава у Републици Србији.</w:t>
      </w:r>
    </w:p>
    <w:p w14:paraId="58BF27DF" w14:textId="058ACB92" w:rsidR="000C1EAA" w:rsidRPr="00B30084" w:rsidRDefault="000C1EAA" w:rsidP="000C1EAA">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Једна од међународних обавеза Републике Србије, која је преузета аранжманима закључени</w:t>
      </w:r>
      <w:r w:rsidR="00A90CAA" w:rsidRPr="008E3B27">
        <w:rPr>
          <w:rFonts w:ascii="Times New Roman" w:hAnsi="Times New Roman" w:cs="Times New Roman"/>
          <w:sz w:val="24"/>
          <w:szCs w:val="24"/>
          <w:lang w:val="sr-Cyrl-RS"/>
        </w:rPr>
        <w:t>м</w:t>
      </w:r>
      <w:r w:rsidRPr="00B30084">
        <w:rPr>
          <w:rFonts w:ascii="Times New Roman" w:hAnsi="Times New Roman" w:cs="Times New Roman"/>
          <w:sz w:val="24"/>
          <w:szCs w:val="24"/>
          <w:lang w:val="sr-Cyrl-RS"/>
        </w:rPr>
        <w:t xml:space="preserve"> са М</w:t>
      </w:r>
      <w:r w:rsidR="00FD7D35">
        <w:rPr>
          <w:rFonts w:ascii="Times New Roman" w:hAnsi="Times New Roman" w:cs="Times New Roman"/>
          <w:sz w:val="24"/>
          <w:szCs w:val="24"/>
          <w:lang w:val="sr-Cyrl-RS"/>
        </w:rPr>
        <w:t>еђународним монетарним фондом</w:t>
      </w:r>
      <w:r w:rsidRPr="00B30084">
        <w:rPr>
          <w:rFonts w:ascii="Times New Roman" w:hAnsi="Times New Roman" w:cs="Times New Roman"/>
          <w:sz w:val="24"/>
          <w:szCs w:val="24"/>
          <w:lang w:val="sr-Cyrl-RS"/>
        </w:rPr>
        <w:t xml:space="preserve"> током 2019.</w:t>
      </w:r>
      <w:r w:rsidRPr="00B30084">
        <w:rPr>
          <w:rFonts w:ascii="Times New Roman" w:hAnsi="Times New Roman" w:cs="Times New Roman"/>
          <w:sz w:val="24"/>
          <w:szCs w:val="24"/>
          <w:vertAlign w:val="superscript"/>
          <w:lang w:val="sr-Cyrl-RS"/>
        </w:rPr>
        <w:t xml:space="preserve"> </w:t>
      </w:r>
      <w:r w:rsidRPr="00B30084">
        <w:rPr>
          <w:rFonts w:ascii="Times New Roman" w:hAnsi="Times New Roman" w:cs="Times New Roman"/>
          <w:sz w:val="24"/>
          <w:szCs w:val="24"/>
          <w:vertAlign w:val="superscript"/>
          <w:lang w:val="sr-Cyrl-RS"/>
        </w:rPr>
        <w:footnoteReference w:id="2"/>
      </w:r>
      <w:r w:rsidRPr="00B30084">
        <w:rPr>
          <w:rFonts w:ascii="Times New Roman" w:hAnsi="Times New Roman" w:cs="Times New Roman"/>
          <w:sz w:val="24"/>
          <w:szCs w:val="24"/>
          <w:lang w:val="sr-Cyrl-RS"/>
        </w:rPr>
        <w:t xml:space="preserve"> и 2021.</w:t>
      </w:r>
      <w:r w:rsidRPr="00B30084">
        <w:rPr>
          <w:rFonts w:ascii="Times New Roman" w:hAnsi="Times New Roman" w:cs="Times New Roman"/>
          <w:sz w:val="24"/>
          <w:szCs w:val="24"/>
          <w:vertAlign w:val="superscript"/>
          <w:lang w:val="sr-Cyrl-RS"/>
        </w:rPr>
        <w:footnoteReference w:id="3"/>
      </w:r>
      <w:r w:rsidRPr="00B30084">
        <w:rPr>
          <w:rFonts w:ascii="Times New Roman" w:hAnsi="Times New Roman" w:cs="Times New Roman"/>
          <w:sz w:val="24"/>
          <w:szCs w:val="24"/>
          <w:lang w:val="sr-Cyrl-RS"/>
        </w:rPr>
        <w:t xml:space="preserve"> године, јесте доношење стратегије за развој тржишта капитала јер </w:t>
      </w:r>
      <w:r w:rsidR="00E87DA0" w:rsidRPr="00B30084">
        <w:rPr>
          <w:rFonts w:ascii="Times New Roman" w:hAnsi="Times New Roman" w:cs="Times New Roman"/>
          <w:sz w:val="24"/>
          <w:szCs w:val="24"/>
          <w:lang w:val="sr-Cyrl-RS"/>
        </w:rPr>
        <w:t xml:space="preserve">ће </w:t>
      </w:r>
      <w:r w:rsidRPr="00B30084">
        <w:rPr>
          <w:rFonts w:ascii="Times New Roman" w:hAnsi="Times New Roman" w:cs="Times New Roman"/>
          <w:sz w:val="24"/>
          <w:szCs w:val="24"/>
          <w:lang w:val="sr-Cyrl-RS"/>
        </w:rPr>
        <w:t xml:space="preserve">тржиште капитала </w:t>
      </w:r>
      <w:r w:rsidR="00E87DA0" w:rsidRPr="00B30084">
        <w:rPr>
          <w:rFonts w:ascii="Times New Roman" w:hAnsi="Times New Roman" w:cs="Times New Roman"/>
          <w:sz w:val="24"/>
          <w:szCs w:val="24"/>
          <w:lang w:val="sr-Cyrl-RS"/>
        </w:rPr>
        <w:t>имати в</w:t>
      </w:r>
      <w:r w:rsidRPr="00B30084">
        <w:rPr>
          <w:rFonts w:ascii="Times New Roman" w:hAnsi="Times New Roman" w:cs="Times New Roman"/>
          <w:sz w:val="24"/>
          <w:szCs w:val="24"/>
          <w:lang w:val="sr-Cyrl-RS"/>
        </w:rPr>
        <w:t>ажну улогу у „подршци динамичном ширењу приватног сектора“.</w:t>
      </w:r>
    </w:p>
    <w:p w14:paraId="381E48A6" w14:textId="77777777" w:rsidR="00E10A5E" w:rsidRPr="00B30084" w:rsidRDefault="00E10A5E" w:rsidP="00E10A5E">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Међународно искуство и академска литература показују да развијено тржиште капитала представља основну компоненту финансијских тржишта и не треба га сматрати конкурентним банкарском финансирању, већ га треба третирати као његов додатак и могућност да се предузећима осигура боља </w:t>
      </w:r>
      <w:proofErr w:type="spellStart"/>
      <w:r w:rsidRPr="00B30084">
        <w:rPr>
          <w:rFonts w:ascii="Times New Roman" w:hAnsi="Times New Roman" w:cs="Times New Roman"/>
          <w:sz w:val="24"/>
          <w:szCs w:val="24"/>
          <w:lang w:val="sr-Cyrl-RS"/>
        </w:rPr>
        <w:t>диверзификација</w:t>
      </w:r>
      <w:proofErr w:type="spellEnd"/>
      <w:r w:rsidRPr="00B30084">
        <w:rPr>
          <w:rFonts w:ascii="Times New Roman" w:hAnsi="Times New Roman" w:cs="Times New Roman"/>
          <w:sz w:val="24"/>
          <w:szCs w:val="24"/>
          <w:lang w:val="sr-Cyrl-RS"/>
        </w:rPr>
        <w:t xml:space="preserve"> извора финансирања њихове активности. У ствари, инструменти тржишта капитала су знатно боље дизајнирани за финансирање </w:t>
      </w:r>
      <w:proofErr w:type="spellStart"/>
      <w:r w:rsidRPr="00B30084">
        <w:rPr>
          <w:rFonts w:ascii="Times New Roman" w:hAnsi="Times New Roman" w:cs="Times New Roman"/>
          <w:sz w:val="24"/>
          <w:szCs w:val="24"/>
          <w:lang w:val="sr-Cyrl-RS"/>
        </w:rPr>
        <w:t>ризичнијих</w:t>
      </w:r>
      <w:proofErr w:type="spellEnd"/>
      <w:r w:rsidRPr="00B30084">
        <w:rPr>
          <w:rFonts w:ascii="Times New Roman" w:hAnsi="Times New Roman" w:cs="Times New Roman"/>
          <w:sz w:val="24"/>
          <w:szCs w:val="24"/>
          <w:lang w:val="sr-Cyrl-RS"/>
        </w:rPr>
        <w:t xml:space="preserve"> и иновативнијих пројеката. </w:t>
      </w:r>
      <w:proofErr w:type="spellStart"/>
      <w:r w:rsidRPr="00B30084">
        <w:rPr>
          <w:rFonts w:ascii="Times New Roman" w:hAnsi="Times New Roman" w:cs="Times New Roman"/>
          <w:sz w:val="24"/>
          <w:szCs w:val="24"/>
          <w:lang w:val="sr-Cyrl-RS"/>
        </w:rPr>
        <w:t>Диверзификација</w:t>
      </w:r>
      <w:proofErr w:type="spellEnd"/>
      <w:r w:rsidRPr="00B30084">
        <w:rPr>
          <w:rFonts w:ascii="Times New Roman" w:hAnsi="Times New Roman" w:cs="Times New Roman"/>
          <w:sz w:val="24"/>
          <w:szCs w:val="24"/>
          <w:lang w:val="sr-Cyrl-RS"/>
        </w:rPr>
        <w:t xml:space="preserve"> извора финансирања треба да допринесе смањењу трошкова прикупљања капитала, посебно у случају малих и средњих предузећа. Захваљујући ефикасној инфраструктури тржишта капитала и ефикасном ланцу посредничких институција које на њему раде, економија је у стању да ефикасније распоређује ризик и капитал, што је чини потенцијално отпорнијом на шокове.</w:t>
      </w:r>
    </w:p>
    <w:p w14:paraId="54F55471" w14:textId="38478AFF" w:rsidR="00086881" w:rsidRPr="00B30084" w:rsidRDefault="00E10A5E" w:rsidP="00E50617">
      <w:pPr>
        <w:spacing w:line="276" w:lineRule="auto"/>
        <w:ind w:firstLine="720"/>
        <w:jc w:val="both"/>
        <w:rPr>
          <w:rFonts w:ascii="Times New Roman" w:hAnsi="Times New Roman" w:cs="Times New Roman"/>
          <w:sz w:val="24"/>
          <w:szCs w:val="24"/>
          <w:lang w:val="en-GB"/>
        </w:rPr>
      </w:pPr>
      <w:r w:rsidRPr="00B30084">
        <w:rPr>
          <w:rFonts w:ascii="Times New Roman" w:hAnsi="Times New Roman" w:cs="Times New Roman"/>
          <w:sz w:val="24"/>
          <w:szCs w:val="24"/>
          <w:lang w:val="sr-Cyrl-RS"/>
        </w:rPr>
        <w:t>Препреке развоју тржишта капитала у Републици Србији</w:t>
      </w:r>
      <w:r w:rsidR="00EB65E4">
        <w:rPr>
          <w:rFonts w:ascii="Times New Roman" w:hAnsi="Times New Roman" w:cs="Times New Roman"/>
          <w:sz w:val="24"/>
          <w:szCs w:val="24"/>
          <w:lang w:val="sr-Cyrl-RS"/>
        </w:rPr>
        <w:t xml:space="preserve">, у поређењу са развијеним економијама света, су </w:t>
      </w:r>
      <w:r w:rsidRPr="00B30084">
        <w:rPr>
          <w:rFonts w:ascii="Times New Roman" w:hAnsi="Times New Roman" w:cs="Times New Roman"/>
          <w:sz w:val="24"/>
          <w:szCs w:val="24"/>
          <w:lang w:val="sr-Cyrl-RS"/>
        </w:rPr>
        <w:t>јако уска расподела финансијске имовине домаћинства, ниска штедња, ниска свест привредних друштава о могућности финансирања пословања и истраживања путем тржишта капитала и неадекватна понуда домаћих финансијских инструмената доступних малим инвеститорима. У</w:t>
      </w:r>
      <w:r w:rsidR="00E87DA0" w:rsidRPr="00B30084">
        <w:rPr>
          <w:rFonts w:ascii="Times New Roman" w:hAnsi="Times New Roman" w:cs="Times New Roman"/>
          <w:sz w:val="24"/>
          <w:szCs w:val="24"/>
          <w:lang w:val="sr-Cyrl-RS"/>
        </w:rPr>
        <w:t>з</w:t>
      </w:r>
      <w:r w:rsidRPr="00B30084">
        <w:rPr>
          <w:rFonts w:ascii="Times New Roman" w:hAnsi="Times New Roman" w:cs="Times New Roman"/>
          <w:sz w:val="24"/>
          <w:szCs w:val="24"/>
          <w:lang w:val="sr-Cyrl-RS"/>
        </w:rPr>
        <w:t xml:space="preserve">имајући у обзир да Република Србија у </w:t>
      </w:r>
      <w:r w:rsidRPr="00B30084">
        <w:rPr>
          <w:rFonts w:ascii="Times New Roman" w:hAnsi="Times New Roman" w:cs="Times New Roman"/>
          <w:sz w:val="24"/>
          <w:szCs w:val="24"/>
          <w:lang w:val="sr-Cyrl-RS"/>
        </w:rPr>
        <w:lastRenderedPageBreak/>
        <w:t>претходних неколико година доживљава константни привредни раст</w:t>
      </w:r>
      <w:r w:rsidRPr="00B30084">
        <w:rPr>
          <w:rStyle w:val="FootnoteReference"/>
          <w:rFonts w:ascii="Times New Roman" w:hAnsi="Times New Roman" w:cs="Times New Roman"/>
          <w:sz w:val="24"/>
          <w:szCs w:val="24"/>
          <w:lang w:val="sr-Cyrl-RS"/>
        </w:rPr>
        <w:footnoteReference w:id="4"/>
      </w:r>
      <w:r w:rsidRPr="00B30084">
        <w:rPr>
          <w:rFonts w:ascii="Times New Roman" w:hAnsi="Times New Roman" w:cs="Times New Roman"/>
          <w:sz w:val="24"/>
          <w:szCs w:val="24"/>
          <w:lang w:val="sr-Cyrl-RS"/>
        </w:rPr>
        <w:t xml:space="preserve"> као и раст страних инвестиција,</w:t>
      </w:r>
      <w:r w:rsidRPr="00B30084">
        <w:rPr>
          <w:rStyle w:val="FootnoteReference"/>
          <w:rFonts w:ascii="Times New Roman" w:hAnsi="Times New Roman" w:cs="Times New Roman"/>
          <w:sz w:val="24"/>
          <w:szCs w:val="24"/>
          <w:lang w:val="sr-Cyrl-RS"/>
        </w:rPr>
        <w:footnoteReference w:id="5"/>
      </w:r>
      <w:r w:rsidRPr="00B30084">
        <w:rPr>
          <w:rFonts w:ascii="Times New Roman" w:hAnsi="Times New Roman" w:cs="Times New Roman"/>
          <w:sz w:val="24"/>
          <w:szCs w:val="24"/>
          <w:lang w:val="sr-Cyrl-RS"/>
        </w:rPr>
        <w:t xml:space="preserve"> утем</w:t>
      </w:r>
      <w:r w:rsidR="00942D7E">
        <w:rPr>
          <w:rFonts w:ascii="Times New Roman" w:hAnsi="Times New Roman" w:cs="Times New Roman"/>
          <w:sz w:val="24"/>
          <w:szCs w:val="24"/>
          <w:lang w:val="sr-Cyrl-RS"/>
        </w:rPr>
        <w:t>е</w:t>
      </w:r>
      <w:r w:rsidRPr="00B30084">
        <w:rPr>
          <w:rFonts w:ascii="Times New Roman" w:hAnsi="Times New Roman" w:cs="Times New Roman"/>
          <w:sz w:val="24"/>
          <w:szCs w:val="24"/>
          <w:lang w:val="sr-Cyrl-RS"/>
        </w:rPr>
        <w:t>љено и развијено тржиште капитала може додатно да подстакне раст привредних активности у Републици Србији</w:t>
      </w:r>
      <w:r w:rsidR="002668FA">
        <w:rPr>
          <w:rFonts w:ascii="Times New Roman" w:hAnsi="Times New Roman" w:cs="Times New Roman"/>
          <w:sz w:val="24"/>
          <w:szCs w:val="24"/>
          <w:lang w:val="sr-Cyrl-RS"/>
        </w:rPr>
        <w:t>,</w:t>
      </w:r>
      <w:r w:rsidRPr="00B30084">
        <w:rPr>
          <w:rFonts w:ascii="Times New Roman" w:hAnsi="Times New Roman" w:cs="Times New Roman"/>
          <w:sz w:val="24"/>
          <w:szCs w:val="24"/>
          <w:lang w:val="sr-Cyrl-RS"/>
        </w:rPr>
        <w:t xml:space="preserve"> као и стандард њених грађана.</w:t>
      </w:r>
    </w:p>
    <w:p w14:paraId="4449B9F0" w14:textId="72E00E54" w:rsidR="007F782F" w:rsidRPr="00B30084" w:rsidRDefault="007F782F" w:rsidP="00275E1F">
      <w:pPr>
        <w:pStyle w:val="Heading2"/>
      </w:pPr>
      <w:r w:rsidRPr="00B30084">
        <w:t xml:space="preserve">Израда стратегије </w:t>
      </w:r>
    </w:p>
    <w:p w14:paraId="7CB4925D" w14:textId="10C3B1DD" w:rsidR="00086881" w:rsidRPr="00B30084" w:rsidRDefault="007F782F" w:rsidP="002668FA">
      <w:pPr>
        <w:spacing w:line="276" w:lineRule="auto"/>
        <w:ind w:firstLine="432"/>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У складу са решењем Министарства финансија Републике Србије о образовању Радне групе за </w:t>
      </w:r>
      <w:r w:rsidR="00EA2E7B" w:rsidRPr="00B30084">
        <w:rPr>
          <w:rFonts w:ascii="Times New Roman" w:hAnsi="Times New Roman" w:cs="Times New Roman"/>
          <w:sz w:val="24"/>
          <w:szCs w:val="24"/>
          <w:lang w:val="sr-Cyrl-RS"/>
        </w:rPr>
        <w:t>развој тржишта капитала на дан 15. мај 2019. године</w:t>
      </w:r>
      <w:r w:rsidRPr="00B30084">
        <w:rPr>
          <w:rFonts w:ascii="Times New Roman" w:hAnsi="Times New Roman" w:cs="Times New Roman"/>
          <w:sz w:val="24"/>
          <w:szCs w:val="24"/>
          <w:lang w:val="sr-Cyrl-RS"/>
        </w:rPr>
        <w:t xml:space="preserve"> формирана је Радна група за </w:t>
      </w:r>
      <w:r w:rsidR="00EA2E7B" w:rsidRPr="00B30084">
        <w:rPr>
          <w:rFonts w:ascii="Times New Roman" w:hAnsi="Times New Roman" w:cs="Times New Roman"/>
          <w:sz w:val="24"/>
          <w:szCs w:val="24"/>
          <w:lang w:val="sr-Cyrl-RS"/>
        </w:rPr>
        <w:t>развој тржишта капитала</w:t>
      </w:r>
      <w:r w:rsidRPr="00B30084">
        <w:rPr>
          <w:rFonts w:ascii="Times New Roman" w:hAnsi="Times New Roman" w:cs="Times New Roman"/>
          <w:sz w:val="24"/>
          <w:szCs w:val="24"/>
          <w:lang w:val="sr-Cyrl-RS"/>
        </w:rPr>
        <w:t xml:space="preserve"> (у даљем тексту: Радна група), састављена од представника </w:t>
      </w:r>
      <w:r w:rsidR="00EA2E7B" w:rsidRPr="00B30084">
        <w:rPr>
          <w:rFonts w:ascii="Times New Roman" w:hAnsi="Times New Roman" w:cs="Times New Roman"/>
          <w:sz w:val="24"/>
          <w:szCs w:val="24"/>
          <w:lang w:val="sr-Cyrl-RS"/>
        </w:rPr>
        <w:t xml:space="preserve">Министарства финансија, Министарства привреде, Развојне агенције Србије, Народне банке Србије, </w:t>
      </w:r>
      <w:r w:rsidR="00457C23" w:rsidRPr="00B30084">
        <w:rPr>
          <w:rFonts w:ascii="Times New Roman" w:hAnsi="Times New Roman" w:cs="Times New Roman"/>
          <w:sz w:val="24"/>
          <w:szCs w:val="24"/>
          <w:lang w:val="sr-Cyrl-RS"/>
        </w:rPr>
        <w:t xml:space="preserve">Управе за јавни дуг, </w:t>
      </w:r>
      <w:r w:rsidR="00EA2E7B" w:rsidRPr="00B30084">
        <w:rPr>
          <w:rFonts w:ascii="Times New Roman" w:hAnsi="Times New Roman" w:cs="Times New Roman"/>
          <w:sz w:val="24"/>
          <w:szCs w:val="24"/>
          <w:lang w:val="sr-Cyrl-RS"/>
        </w:rPr>
        <w:t>Комисије за хартије од вредности, Београдске берзе и Централног регистра, депоа и клиринга хартија од вредности</w:t>
      </w:r>
      <w:r w:rsidRPr="00B30084">
        <w:rPr>
          <w:rFonts w:ascii="Times New Roman" w:hAnsi="Times New Roman" w:cs="Times New Roman"/>
          <w:sz w:val="24"/>
          <w:szCs w:val="24"/>
          <w:lang w:val="sr-Cyrl-RS"/>
        </w:rPr>
        <w:t>. У склопу израде документ</w:t>
      </w:r>
      <w:r w:rsidR="00DB6D85" w:rsidRPr="00B30084">
        <w:rPr>
          <w:rFonts w:ascii="Times New Roman" w:hAnsi="Times New Roman" w:cs="Times New Roman"/>
          <w:sz w:val="24"/>
          <w:szCs w:val="24"/>
          <w:lang w:val="sr-Cyrl-RS"/>
        </w:rPr>
        <w:t>а</w:t>
      </w:r>
      <w:r w:rsidRPr="00B30084">
        <w:rPr>
          <w:rFonts w:ascii="Times New Roman" w:hAnsi="Times New Roman" w:cs="Times New Roman"/>
          <w:sz w:val="24"/>
          <w:szCs w:val="24"/>
          <w:lang w:val="sr-Cyrl-RS"/>
        </w:rPr>
        <w:t xml:space="preserve"> су анализиране најбоље међународне праксе. Документ је настао на темељу широког консултативног процеса са представницима свих заинтересованих страна</w:t>
      </w:r>
      <w:r w:rsidR="0006008A" w:rsidRPr="00B30084">
        <w:rPr>
          <w:rFonts w:ascii="Times New Roman" w:hAnsi="Times New Roman" w:cs="Times New Roman"/>
          <w:sz w:val="24"/>
          <w:szCs w:val="24"/>
          <w:lang w:val="sr-Cyrl-RS"/>
        </w:rPr>
        <w:t xml:space="preserve"> кроз сарадњу са Привредном комором Србије, </w:t>
      </w:r>
      <w:proofErr w:type="spellStart"/>
      <w:r w:rsidR="00117303" w:rsidRPr="00B30084">
        <w:rPr>
          <w:rFonts w:ascii="Times New Roman" w:hAnsi="Times New Roman" w:cs="Times New Roman"/>
          <w:sz w:val="24"/>
          <w:szCs w:val="24"/>
          <w:lang w:val="sr-Cyrl-RS"/>
        </w:rPr>
        <w:t>Koмисијом</w:t>
      </w:r>
      <w:proofErr w:type="spellEnd"/>
      <w:r w:rsidR="00117303" w:rsidRPr="00B30084">
        <w:rPr>
          <w:rFonts w:ascii="Times New Roman" w:hAnsi="Times New Roman" w:cs="Times New Roman"/>
          <w:sz w:val="24"/>
          <w:szCs w:val="24"/>
          <w:lang w:val="sr-Cyrl-RS"/>
        </w:rPr>
        <w:t xml:space="preserve"> за хартије од вредности, Централним регистром за хартије од вредности, </w:t>
      </w:r>
      <w:r w:rsidR="0006008A" w:rsidRPr="00B30084">
        <w:rPr>
          <w:rFonts w:ascii="Times New Roman" w:hAnsi="Times New Roman" w:cs="Times New Roman"/>
          <w:sz w:val="24"/>
          <w:szCs w:val="24"/>
          <w:lang w:val="sr-Cyrl-RS"/>
        </w:rPr>
        <w:t xml:space="preserve">Европском банком за обнову и развој, </w:t>
      </w:r>
      <w:proofErr w:type="spellStart"/>
      <w:r w:rsidR="0006008A" w:rsidRPr="00B30084">
        <w:rPr>
          <w:rFonts w:ascii="Times New Roman" w:hAnsi="Times New Roman" w:cs="Times New Roman"/>
          <w:sz w:val="24"/>
          <w:szCs w:val="24"/>
          <w:lang w:val="sr-Cyrl-RS"/>
        </w:rPr>
        <w:t>Међунарнодним</w:t>
      </w:r>
      <w:proofErr w:type="spellEnd"/>
      <w:r w:rsidR="0006008A" w:rsidRPr="00B30084">
        <w:rPr>
          <w:rFonts w:ascii="Times New Roman" w:hAnsi="Times New Roman" w:cs="Times New Roman"/>
          <w:sz w:val="24"/>
          <w:szCs w:val="24"/>
          <w:lang w:val="sr-Cyrl-RS"/>
        </w:rPr>
        <w:t xml:space="preserve"> Монетарним Фондом, Немачком Агенциј</w:t>
      </w:r>
      <w:r w:rsidR="002668FA">
        <w:rPr>
          <w:rFonts w:ascii="Times New Roman" w:hAnsi="Times New Roman" w:cs="Times New Roman"/>
          <w:sz w:val="24"/>
          <w:szCs w:val="24"/>
          <w:lang w:val="sr-Cyrl-RS"/>
        </w:rPr>
        <w:t>ом за међународну сарадњу (ГИЗ), укључујући и приватни сектор.</w:t>
      </w:r>
    </w:p>
    <w:p w14:paraId="6E2E8E88" w14:textId="47838A53" w:rsidR="00D3552C" w:rsidRPr="00B30084" w:rsidRDefault="002A2250" w:rsidP="00E50617">
      <w:pPr>
        <w:pStyle w:val="Heading1"/>
        <w:widowControl w:val="0"/>
        <w:numPr>
          <w:ilvl w:val="0"/>
          <w:numId w:val="30"/>
        </w:numPr>
        <w:snapToGrid w:val="0"/>
        <w:spacing w:before="120" w:after="120" w:line="276" w:lineRule="auto"/>
        <w:jc w:val="both"/>
        <w:rPr>
          <w:bCs w:val="0"/>
          <w:sz w:val="24"/>
          <w:szCs w:val="24"/>
          <w:lang w:val="sr-Cyrl-RS"/>
        </w:rPr>
      </w:pPr>
      <w:bookmarkStart w:id="12" w:name="_Toc25879179"/>
      <w:bookmarkStart w:id="13" w:name="_Toc27869126"/>
      <w:bookmarkEnd w:id="11"/>
      <w:r w:rsidRPr="00B30084">
        <w:rPr>
          <w:bCs w:val="0"/>
          <w:sz w:val="24"/>
          <w:szCs w:val="24"/>
          <w:lang w:val="sr-Cyrl-RS"/>
        </w:rPr>
        <w:t xml:space="preserve">Појам, значај и улога </w:t>
      </w:r>
      <w:bookmarkEnd w:id="12"/>
      <w:bookmarkEnd w:id="13"/>
      <w:r w:rsidRPr="00B30084">
        <w:rPr>
          <w:bCs w:val="0"/>
          <w:sz w:val="24"/>
          <w:szCs w:val="24"/>
          <w:lang w:val="sr-Cyrl-RS"/>
        </w:rPr>
        <w:t>тржишта капитала у развој</w:t>
      </w:r>
      <w:r w:rsidR="00770577" w:rsidRPr="00B30084">
        <w:rPr>
          <w:bCs w:val="0"/>
          <w:sz w:val="24"/>
          <w:szCs w:val="24"/>
          <w:lang w:val="sr-Cyrl-RS"/>
        </w:rPr>
        <w:t>у</w:t>
      </w:r>
      <w:r w:rsidRPr="00B30084">
        <w:rPr>
          <w:bCs w:val="0"/>
          <w:sz w:val="24"/>
          <w:szCs w:val="24"/>
          <w:lang w:val="sr-Cyrl-RS"/>
        </w:rPr>
        <w:t xml:space="preserve"> држава</w:t>
      </w:r>
    </w:p>
    <w:p w14:paraId="0B1ED7B1" w14:textId="218C36E2" w:rsidR="00D3552C" w:rsidRPr="008E3B27" w:rsidRDefault="00D3552C" w:rsidP="00E50617">
      <w:pPr>
        <w:spacing w:line="276" w:lineRule="auto"/>
        <w:ind w:firstLine="432"/>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Развијена и утемељена тржишта капитала играју кључну улогу у финансирању економског раста и финансијске стабилности држава</w:t>
      </w:r>
      <w:r w:rsidRPr="008E3B27">
        <w:rPr>
          <w:rFonts w:ascii="Times New Roman" w:hAnsi="Times New Roman" w:cs="Times New Roman"/>
          <w:sz w:val="24"/>
          <w:szCs w:val="24"/>
          <w:lang w:val="sr-Cyrl-RS"/>
        </w:rPr>
        <w:t xml:space="preserve">. Упркос томе што иницијатива за развијање тржишта обично припада приватном сектору и регулаторним телима, централне банке као и министарства задужена за финансије такође играју значајну улогу у развоју тржишта капитала због </w:t>
      </w:r>
      <w:proofErr w:type="spellStart"/>
      <w:r w:rsidRPr="008E3B27">
        <w:rPr>
          <w:rFonts w:ascii="Times New Roman" w:hAnsi="Times New Roman" w:cs="Times New Roman"/>
          <w:sz w:val="24"/>
          <w:szCs w:val="24"/>
          <w:lang w:val="sr-Cyrl-RS"/>
        </w:rPr>
        <w:t>синергије</w:t>
      </w:r>
      <w:proofErr w:type="spellEnd"/>
      <w:r w:rsidRPr="008E3B27">
        <w:rPr>
          <w:rFonts w:ascii="Times New Roman" w:hAnsi="Times New Roman" w:cs="Times New Roman"/>
          <w:sz w:val="24"/>
          <w:szCs w:val="24"/>
          <w:lang w:val="sr-Cyrl-RS"/>
        </w:rPr>
        <w:t xml:space="preserve"> која постоји у обезбеђивању дугорочне ликвидности финансијског тржишта. </w:t>
      </w:r>
    </w:p>
    <w:p w14:paraId="39456483" w14:textId="38E89292" w:rsidR="00D3552C" w:rsidRPr="00B30084" w:rsidRDefault="00D3552C" w:rsidP="00E50617">
      <w:pPr>
        <w:spacing w:line="276" w:lineRule="auto"/>
        <w:ind w:firstLine="432"/>
        <w:jc w:val="both"/>
        <w:rPr>
          <w:rFonts w:ascii="Times New Roman" w:hAnsi="Times New Roman" w:cs="Times New Roman"/>
          <w:sz w:val="24"/>
          <w:szCs w:val="24"/>
          <w:lang w:val="sr-Cyrl-RS"/>
        </w:rPr>
      </w:pPr>
      <w:r w:rsidRPr="008E3B27">
        <w:rPr>
          <w:rFonts w:ascii="Times New Roman" w:hAnsi="Times New Roman" w:cs="Times New Roman"/>
          <w:sz w:val="24"/>
          <w:szCs w:val="24"/>
          <w:lang w:val="sr-Cyrl-RS"/>
        </w:rPr>
        <w:t>Међутим, поставља се питање шта представља „развијено</w:t>
      </w:r>
      <w:r w:rsidRPr="00B30084">
        <w:rPr>
          <w:rFonts w:ascii="Times New Roman" w:hAnsi="Times New Roman" w:cs="Times New Roman"/>
          <w:sz w:val="24"/>
          <w:szCs w:val="24"/>
          <w:lang w:val="sr-Cyrl-RS"/>
        </w:rPr>
        <w:t>“ тржиште капитала? У недостатку јасне и општеприхваћене дефиниције тржишта капитала користићемо дефи</w:t>
      </w:r>
      <w:r w:rsidR="003B5D1A" w:rsidRPr="00B30084">
        <w:rPr>
          <w:rFonts w:ascii="Times New Roman" w:hAnsi="Times New Roman" w:cs="Times New Roman"/>
          <w:sz w:val="24"/>
          <w:szCs w:val="24"/>
          <w:lang w:val="sr-Cyrl-RS"/>
        </w:rPr>
        <w:t>ни</w:t>
      </w:r>
      <w:r w:rsidRPr="00B30084">
        <w:rPr>
          <w:rFonts w:ascii="Times New Roman" w:hAnsi="Times New Roman" w:cs="Times New Roman"/>
          <w:sz w:val="24"/>
          <w:szCs w:val="24"/>
          <w:lang w:val="sr-Cyrl-RS"/>
        </w:rPr>
        <w:t xml:space="preserve">цију дату од стране америчке берзе </w:t>
      </w:r>
      <w:proofErr w:type="spellStart"/>
      <w:r w:rsidRPr="00B30084">
        <w:rPr>
          <w:rFonts w:ascii="Times New Roman" w:hAnsi="Times New Roman" w:cs="Times New Roman"/>
          <w:bCs/>
          <w:sz w:val="24"/>
          <w:szCs w:val="24"/>
          <w:lang w:val="sr-Cyrl-RS"/>
        </w:rPr>
        <w:t>Насдак</w:t>
      </w:r>
      <w:proofErr w:type="spellEnd"/>
      <w:r w:rsidRPr="00B30084">
        <w:rPr>
          <w:rFonts w:ascii="Times New Roman" w:hAnsi="Times New Roman" w:cs="Times New Roman"/>
          <w:sz w:val="24"/>
          <w:szCs w:val="24"/>
          <w:lang w:val="sr-Cyrl-RS"/>
        </w:rPr>
        <w:t> (</w:t>
      </w:r>
      <w:r w:rsidRPr="00B30084">
        <w:rPr>
          <w:rFonts w:ascii="Times New Roman" w:hAnsi="Times New Roman" w:cs="Times New Roman"/>
          <w:bCs/>
          <w:sz w:val="24"/>
          <w:szCs w:val="24"/>
          <w:lang w:val="sr-Cyrl-RS"/>
        </w:rPr>
        <w:t>NASDAQ</w:t>
      </w:r>
      <w:r w:rsidRPr="00B30084">
        <w:rPr>
          <w:rFonts w:ascii="Times New Roman" w:hAnsi="Times New Roman" w:cs="Times New Roman"/>
          <w:sz w:val="24"/>
          <w:szCs w:val="24"/>
          <w:lang w:val="sr-Cyrl-RS"/>
        </w:rPr>
        <w:t>, енгл. </w:t>
      </w:r>
      <w:proofErr w:type="spellStart"/>
      <w:r w:rsidRPr="00B30084">
        <w:rPr>
          <w:rFonts w:ascii="Times New Roman" w:hAnsi="Times New Roman" w:cs="Times New Roman"/>
          <w:i/>
          <w:iCs/>
          <w:sz w:val="24"/>
          <w:szCs w:val="24"/>
          <w:lang w:val="sr-Cyrl-RS"/>
        </w:rPr>
        <w:t>National</w:t>
      </w:r>
      <w:proofErr w:type="spellEnd"/>
      <w:r w:rsidRPr="00B30084">
        <w:rPr>
          <w:rFonts w:ascii="Times New Roman" w:hAnsi="Times New Roman" w:cs="Times New Roman"/>
          <w:i/>
          <w:iCs/>
          <w:sz w:val="24"/>
          <w:szCs w:val="24"/>
          <w:lang w:val="sr-Cyrl-RS"/>
        </w:rPr>
        <w:t xml:space="preserve"> </w:t>
      </w:r>
      <w:proofErr w:type="spellStart"/>
      <w:r w:rsidRPr="00B30084">
        <w:rPr>
          <w:rFonts w:ascii="Times New Roman" w:hAnsi="Times New Roman" w:cs="Times New Roman"/>
          <w:i/>
          <w:iCs/>
          <w:sz w:val="24"/>
          <w:szCs w:val="24"/>
          <w:lang w:val="sr-Cyrl-RS"/>
        </w:rPr>
        <w:t>Association</w:t>
      </w:r>
      <w:proofErr w:type="spellEnd"/>
      <w:r w:rsidRPr="00B30084">
        <w:rPr>
          <w:rFonts w:ascii="Times New Roman" w:hAnsi="Times New Roman" w:cs="Times New Roman"/>
          <w:i/>
          <w:iCs/>
          <w:sz w:val="24"/>
          <w:szCs w:val="24"/>
          <w:lang w:val="sr-Cyrl-RS"/>
        </w:rPr>
        <w:t xml:space="preserve"> of </w:t>
      </w:r>
      <w:proofErr w:type="spellStart"/>
      <w:r w:rsidRPr="00B30084">
        <w:rPr>
          <w:rFonts w:ascii="Times New Roman" w:hAnsi="Times New Roman" w:cs="Times New Roman"/>
          <w:i/>
          <w:iCs/>
          <w:sz w:val="24"/>
          <w:szCs w:val="24"/>
          <w:lang w:val="sr-Cyrl-RS"/>
        </w:rPr>
        <w:t>Securities</w:t>
      </w:r>
      <w:proofErr w:type="spellEnd"/>
      <w:r w:rsidRPr="00B30084">
        <w:rPr>
          <w:rFonts w:ascii="Times New Roman" w:hAnsi="Times New Roman" w:cs="Times New Roman"/>
          <w:i/>
          <w:iCs/>
          <w:sz w:val="24"/>
          <w:szCs w:val="24"/>
          <w:lang w:val="sr-Cyrl-RS"/>
        </w:rPr>
        <w:t xml:space="preserve"> </w:t>
      </w:r>
      <w:proofErr w:type="spellStart"/>
      <w:r w:rsidRPr="00B30084">
        <w:rPr>
          <w:rFonts w:ascii="Times New Roman" w:hAnsi="Times New Roman" w:cs="Times New Roman"/>
          <w:i/>
          <w:iCs/>
          <w:sz w:val="24"/>
          <w:szCs w:val="24"/>
          <w:lang w:val="sr-Cyrl-RS"/>
        </w:rPr>
        <w:t>Dealers</w:t>
      </w:r>
      <w:proofErr w:type="spellEnd"/>
      <w:r w:rsidRPr="00B30084">
        <w:rPr>
          <w:rFonts w:ascii="Times New Roman" w:hAnsi="Times New Roman" w:cs="Times New Roman"/>
          <w:i/>
          <w:iCs/>
          <w:sz w:val="24"/>
          <w:szCs w:val="24"/>
          <w:lang w:val="sr-Cyrl-RS"/>
        </w:rPr>
        <w:t xml:space="preserve"> </w:t>
      </w:r>
      <w:proofErr w:type="spellStart"/>
      <w:r w:rsidRPr="00B30084">
        <w:rPr>
          <w:rFonts w:ascii="Times New Roman" w:hAnsi="Times New Roman" w:cs="Times New Roman"/>
          <w:i/>
          <w:iCs/>
          <w:sz w:val="24"/>
          <w:szCs w:val="24"/>
          <w:lang w:val="sr-Cyrl-RS"/>
        </w:rPr>
        <w:t>Automated</w:t>
      </w:r>
      <w:proofErr w:type="spellEnd"/>
      <w:r w:rsidRPr="00B30084">
        <w:rPr>
          <w:rFonts w:ascii="Times New Roman" w:hAnsi="Times New Roman" w:cs="Times New Roman"/>
          <w:i/>
          <w:iCs/>
          <w:sz w:val="24"/>
          <w:szCs w:val="24"/>
          <w:lang w:val="sr-Cyrl-RS"/>
        </w:rPr>
        <w:t xml:space="preserve"> </w:t>
      </w:r>
      <w:proofErr w:type="spellStart"/>
      <w:r w:rsidRPr="00B30084">
        <w:rPr>
          <w:rFonts w:ascii="Times New Roman" w:hAnsi="Times New Roman" w:cs="Times New Roman"/>
          <w:i/>
          <w:iCs/>
          <w:sz w:val="24"/>
          <w:szCs w:val="24"/>
          <w:lang w:val="sr-Cyrl-RS"/>
        </w:rPr>
        <w:t>Quotations</w:t>
      </w:r>
      <w:proofErr w:type="spellEnd"/>
      <w:r w:rsidRPr="00B30084">
        <w:rPr>
          <w:rFonts w:ascii="Times New Roman" w:hAnsi="Times New Roman" w:cs="Times New Roman"/>
          <w:sz w:val="24"/>
          <w:szCs w:val="24"/>
          <w:lang w:val="sr-Cyrl-RS"/>
        </w:rPr>
        <w:t xml:space="preserve">), према којој тржиште капитала се традиционално односи на „тржиште за трговање дугорочним дужничким инструментима, </w:t>
      </w:r>
      <w:proofErr w:type="spellStart"/>
      <w:r w:rsidRPr="00B30084">
        <w:rPr>
          <w:rFonts w:ascii="Times New Roman" w:hAnsi="Times New Roman" w:cs="Times New Roman"/>
          <w:sz w:val="24"/>
          <w:szCs w:val="24"/>
          <w:lang w:val="sr-Cyrl-RS"/>
        </w:rPr>
        <w:t>oдносно</w:t>
      </w:r>
      <w:proofErr w:type="spellEnd"/>
      <w:r w:rsidRPr="00B30084">
        <w:rPr>
          <w:rFonts w:ascii="Times New Roman" w:hAnsi="Times New Roman" w:cs="Times New Roman"/>
          <w:sz w:val="24"/>
          <w:szCs w:val="24"/>
          <w:lang w:val="sr-Cyrl-RS"/>
        </w:rPr>
        <w:t xml:space="preserve">, тржиште на којем се прикупља капитал. У новије време, тржишта капитала се користе у </w:t>
      </w:r>
      <w:proofErr w:type="spellStart"/>
      <w:r w:rsidRPr="00B30084">
        <w:rPr>
          <w:rFonts w:ascii="Times New Roman" w:hAnsi="Times New Roman" w:cs="Times New Roman"/>
          <w:sz w:val="24"/>
          <w:szCs w:val="24"/>
          <w:lang w:val="sr-Cyrl-RS"/>
        </w:rPr>
        <w:t>општијем</w:t>
      </w:r>
      <w:proofErr w:type="spellEnd"/>
      <w:r w:rsidRPr="00B30084">
        <w:rPr>
          <w:rFonts w:ascii="Times New Roman" w:hAnsi="Times New Roman" w:cs="Times New Roman"/>
          <w:sz w:val="24"/>
          <w:szCs w:val="24"/>
          <w:lang w:val="sr-Cyrl-RS"/>
        </w:rPr>
        <w:t xml:space="preserve"> контексту за означавање тржишта акција, обвезница, деривата и других инструмената”.</w:t>
      </w:r>
      <w:r w:rsidRPr="00B30084">
        <w:rPr>
          <w:rStyle w:val="FootnoteReference"/>
          <w:rFonts w:ascii="Times New Roman" w:hAnsi="Times New Roman" w:cs="Times New Roman"/>
          <w:sz w:val="24"/>
          <w:szCs w:val="24"/>
          <w:lang w:val="sr-Cyrl-RS"/>
        </w:rPr>
        <w:footnoteReference w:id="6"/>
      </w:r>
    </w:p>
    <w:p w14:paraId="362DCCCF" w14:textId="1240D4A5" w:rsidR="00D3552C" w:rsidRPr="00B30084" w:rsidRDefault="00D3552C" w:rsidP="00C12308">
      <w:pPr>
        <w:spacing w:line="276" w:lineRule="auto"/>
        <w:ind w:firstLine="432"/>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Не постоји опште правило, или законитост, о томе </w:t>
      </w:r>
      <w:r w:rsidR="00942D7E">
        <w:rPr>
          <w:rFonts w:ascii="Times New Roman" w:hAnsi="Times New Roman" w:cs="Times New Roman"/>
          <w:sz w:val="24"/>
          <w:szCs w:val="24"/>
          <w:lang w:val="sr-Cyrl-RS"/>
        </w:rPr>
        <w:t>које је мере потребно предузети</w:t>
      </w:r>
      <w:r w:rsidRPr="00B30084">
        <w:rPr>
          <w:rFonts w:ascii="Times New Roman" w:hAnsi="Times New Roman" w:cs="Times New Roman"/>
          <w:sz w:val="24"/>
          <w:szCs w:val="24"/>
          <w:lang w:val="sr-Cyrl-RS"/>
        </w:rPr>
        <w:t xml:space="preserve"> у циљу развијања одрживог тржишта капитала. Свака држава на свету је јединствена по </w:t>
      </w:r>
      <w:r w:rsidRPr="00B30084">
        <w:rPr>
          <w:rFonts w:ascii="Times New Roman" w:hAnsi="Times New Roman" w:cs="Times New Roman"/>
          <w:sz w:val="24"/>
          <w:szCs w:val="24"/>
          <w:lang w:val="sr-Cyrl-RS"/>
        </w:rPr>
        <w:lastRenderedPageBreak/>
        <w:t xml:space="preserve">својим економским и фискалним параметрима и брзина развоја тржишта капитала зависи од више фактора као што </w:t>
      </w:r>
      <w:r w:rsidR="002668FA">
        <w:rPr>
          <w:rFonts w:ascii="Times New Roman" w:hAnsi="Times New Roman" w:cs="Times New Roman"/>
          <w:sz w:val="24"/>
          <w:szCs w:val="24"/>
          <w:lang w:val="sr-Cyrl-RS"/>
        </w:rPr>
        <w:t>су</w:t>
      </w:r>
      <w:r w:rsidRPr="00B30084">
        <w:rPr>
          <w:rFonts w:ascii="Times New Roman" w:hAnsi="Times New Roman" w:cs="Times New Roman"/>
          <w:sz w:val="24"/>
          <w:szCs w:val="24"/>
          <w:lang w:val="sr-Cyrl-RS"/>
        </w:rPr>
        <w:t xml:space="preserve"> политичка стабилност</w:t>
      </w:r>
      <w:r w:rsidR="00DD6AF3" w:rsidRPr="00B30084">
        <w:rPr>
          <w:rFonts w:ascii="Times New Roman" w:hAnsi="Times New Roman" w:cs="Times New Roman"/>
          <w:sz w:val="24"/>
          <w:szCs w:val="24"/>
          <w:lang w:val="sr-Cyrl-RS"/>
        </w:rPr>
        <w:t>,</w:t>
      </w:r>
      <w:r w:rsidRPr="00B30084">
        <w:rPr>
          <w:rStyle w:val="FootnoteReference"/>
          <w:rFonts w:ascii="Times New Roman" w:hAnsi="Times New Roman" w:cs="Times New Roman"/>
          <w:sz w:val="24"/>
          <w:szCs w:val="24"/>
          <w:lang w:val="sr-Cyrl-RS"/>
        </w:rPr>
        <w:footnoteReference w:id="7"/>
      </w:r>
      <w:r w:rsidRPr="00B30084">
        <w:rPr>
          <w:rFonts w:ascii="Times New Roman" w:hAnsi="Times New Roman" w:cs="Times New Roman"/>
          <w:sz w:val="24"/>
          <w:szCs w:val="24"/>
          <w:lang w:val="sr-Cyrl-RS"/>
        </w:rPr>
        <w:t xml:space="preserve"> глобално тржиште</w:t>
      </w:r>
      <w:r w:rsidRPr="008E3B27">
        <w:rPr>
          <w:rFonts w:ascii="Times New Roman" w:hAnsi="Times New Roman" w:cs="Times New Roman"/>
          <w:sz w:val="24"/>
          <w:szCs w:val="24"/>
          <w:lang w:val="sr-Cyrl-RS"/>
        </w:rPr>
        <w:t>,</w:t>
      </w:r>
      <w:r w:rsidR="00E2502A" w:rsidRPr="008E3B27">
        <w:rPr>
          <w:rFonts w:ascii="Times New Roman" w:hAnsi="Times New Roman" w:cs="Times New Roman"/>
          <w:sz w:val="24"/>
          <w:szCs w:val="24"/>
          <w:lang w:val="sr-Cyrl-RS"/>
        </w:rPr>
        <w:t xml:space="preserve"> као и</w:t>
      </w:r>
      <w:r w:rsidRPr="008E3B27">
        <w:rPr>
          <w:rFonts w:ascii="Times New Roman" w:hAnsi="Times New Roman" w:cs="Times New Roman"/>
          <w:sz w:val="24"/>
          <w:szCs w:val="24"/>
          <w:lang w:val="sr-Cyrl-RS"/>
        </w:rPr>
        <w:t xml:space="preserve"> економске и политичке кризе</w:t>
      </w:r>
      <w:r w:rsidRPr="008E3B27">
        <w:rPr>
          <w:rStyle w:val="FootnoteReference"/>
          <w:rFonts w:ascii="Times New Roman" w:hAnsi="Times New Roman" w:cs="Times New Roman"/>
          <w:sz w:val="24"/>
          <w:szCs w:val="24"/>
          <w:lang w:val="sr-Cyrl-RS"/>
        </w:rPr>
        <w:footnoteReference w:id="8"/>
      </w:r>
      <w:r w:rsidRPr="008E3B27">
        <w:rPr>
          <w:rFonts w:ascii="Times New Roman" w:hAnsi="Times New Roman" w:cs="Times New Roman"/>
          <w:sz w:val="24"/>
          <w:szCs w:val="24"/>
          <w:lang w:val="sr-Cyrl-RS"/>
        </w:rPr>
        <w:t xml:space="preserve"> које могу пољуљати поверење инвеститора и успор</w:t>
      </w:r>
      <w:r w:rsidR="00E2502A" w:rsidRPr="008E3B27">
        <w:rPr>
          <w:rFonts w:ascii="Times New Roman" w:hAnsi="Times New Roman" w:cs="Times New Roman"/>
          <w:sz w:val="24"/>
          <w:szCs w:val="24"/>
          <w:lang w:val="sr-Cyrl-RS"/>
        </w:rPr>
        <w:t>ити</w:t>
      </w:r>
      <w:r w:rsidRPr="008E3B27">
        <w:rPr>
          <w:rFonts w:ascii="Times New Roman" w:hAnsi="Times New Roman" w:cs="Times New Roman"/>
          <w:sz w:val="24"/>
          <w:szCs w:val="24"/>
          <w:lang w:val="sr-Cyrl-RS"/>
        </w:rPr>
        <w:t xml:space="preserve"> развој тржишта. Да би се постигао ниво континуираног развоја и раста тржишта капитала</w:t>
      </w:r>
      <w:r w:rsidRPr="00B30084">
        <w:rPr>
          <w:rFonts w:ascii="Times New Roman" w:hAnsi="Times New Roman" w:cs="Times New Roman"/>
          <w:sz w:val="24"/>
          <w:szCs w:val="24"/>
          <w:lang w:val="sr-Cyrl-RS"/>
        </w:rPr>
        <w:t xml:space="preserve">, </w:t>
      </w:r>
      <w:r w:rsidR="00EA12FF" w:rsidRPr="00B30084">
        <w:rPr>
          <w:rFonts w:ascii="Times New Roman" w:hAnsi="Times New Roman" w:cs="Times New Roman"/>
          <w:sz w:val="24"/>
          <w:szCs w:val="24"/>
          <w:lang w:val="sr-Cyrl-RS"/>
        </w:rPr>
        <w:t>потребно је да држава, и њене институције, предузму одређене регулаторне мере и да кроз интервенцију подстакну трајни раст</w:t>
      </w:r>
      <w:r w:rsidRPr="00B30084">
        <w:rPr>
          <w:rFonts w:ascii="Times New Roman" w:hAnsi="Times New Roman" w:cs="Times New Roman"/>
          <w:sz w:val="24"/>
          <w:szCs w:val="24"/>
          <w:lang w:val="sr-Cyrl-RS"/>
        </w:rPr>
        <w:t>.</w:t>
      </w:r>
    </w:p>
    <w:p w14:paraId="1616E529" w14:textId="1A675967" w:rsidR="00D3552C" w:rsidRPr="00B30084" w:rsidRDefault="00D3552C"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Пракса и историја показују да након иницијално</w:t>
      </w:r>
      <w:r w:rsidR="00DB6D85" w:rsidRPr="00B30084">
        <w:rPr>
          <w:rFonts w:ascii="Times New Roman" w:hAnsi="Times New Roman" w:cs="Times New Roman"/>
          <w:sz w:val="24"/>
          <w:szCs w:val="24"/>
          <w:lang w:val="sr-Cyrl-RS"/>
        </w:rPr>
        <w:t>г</w:t>
      </w:r>
      <w:r w:rsidRPr="00B30084">
        <w:rPr>
          <w:rFonts w:ascii="Times New Roman" w:hAnsi="Times New Roman" w:cs="Times New Roman"/>
          <w:sz w:val="24"/>
          <w:szCs w:val="24"/>
          <w:lang w:val="sr-Cyrl-RS"/>
        </w:rPr>
        <w:t xml:space="preserve"> раста тржишта капитала, долази до застоја раста активности и трговине на тржишти</w:t>
      </w:r>
      <w:r w:rsidR="00DB6D85" w:rsidRPr="00B30084">
        <w:rPr>
          <w:rFonts w:ascii="Times New Roman" w:hAnsi="Times New Roman" w:cs="Times New Roman"/>
          <w:sz w:val="24"/>
          <w:szCs w:val="24"/>
          <w:lang w:val="sr-Cyrl-RS"/>
        </w:rPr>
        <w:t>м</w:t>
      </w:r>
      <w:r w:rsidRPr="00B30084">
        <w:rPr>
          <w:rFonts w:ascii="Times New Roman" w:hAnsi="Times New Roman" w:cs="Times New Roman"/>
          <w:sz w:val="24"/>
          <w:szCs w:val="24"/>
          <w:lang w:val="sr-Cyrl-RS"/>
        </w:rPr>
        <w:t>а капитала који онемогућује исказивање пуног потенцијала</w:t>
      </w:r>
      <w:r w:rsidR="00EA12FF" w:rsidRPr="00B30084">
        <w:rPr>
          <w:rFonts w:ascii="Times New Roman" w:hAnsi="Times New Roman" w:cs="Times New Roman"/>
          <w:sz w:val="24"/>
          <w:szCs w:val="24"/>
          <w:lang w:val="sr-Cyrl-RS"/>
        </w:rPr>
        <w:t xml:space="preserve"> таквих тржишта</w:t>
      </w:r>
      <w:r w:rsidRPr="00B30084">
        <w:rPr>
          <w:rFonts w:ascii="Times New Roman" w:hAnsi="Times New Roman" w:cs="Times New Roman"/>
          <w:sz w:val="24"/>
          <w:szCs w:val="24"/>
          <w:lang w:val="sr-Cyrl-RS"/>
        </w:rPr>
        <w:t xml:space="preserve">. У таквим околностима неопходна је интервенција </w:t>
      </w:r>
      <w:r w:rsidR="00EA12FF" w:rsidRPr="00B30084">
        <w:rPr>
          <w:rFonts w:ascii="Times New Roman" w:hAnsi="Times New Roman" w:cs="Times New Roman"/>
          <w:sz w:val="24"/>
          <w:szCs w:val="24"/>
          <w:lang w:val="sr-Cyrl-RS"/>
        </w:rPr>
        <w:t>државе</w:t>
      </w:r>
      <w:r w:rsidRPr="00B30084">
        <w:rPr>
          <w:rFonts w:ascii="Times New Roman" w:hAnsi="Times New Roman" w:cs="Times New Roman"/>
          <w:sz w:val="24"/>
          <w:szCs w:val="24"/>
          <w:lang w:val="sr-Cyrl-RS"/>
        </w:rPr>
        <w:t xml:space="preserve"> да би се опет </w:t>
      </w:r>
      <w:r w:rsidR="00EA12FF" w:rsidRPr="00B30084">
        <w:rPr>
          <w:rFonts w:ascii="Times New Roman" w:hAnsi="Times New Roman" w:cs="Times New Roman"/>
          <w:sz w:val="24"/>
          <w:szCs w:val="24"/>
          <w:lang w:val="sr-Cyrl-RS"/>
        </w:rPr>
        <w:t xml:space="preserve">подстакао </w:t>
      </w:r>
      <w:r w:rsidRPr="00B30084">
        <w:rPr>
          <w:rFonts w:ascii="Times New Roman" w:hAnsi="Times New Roman" w:cs="Times New Roman"/>
          <w:sz w:val="24"/>
          <w:szCs w:val="24"/>
          <w:lang w:val="sr-Cyrl-RS"/>
        </w:rPr>
        <w:t>раст таквог тржишта.</w:t>
      </w:r>
      <w:r w:rsidRPr="00B30084">
        <w:rPr>
          <w:rStyle w:val="FootnoteReference"/>
          <w:rFonts w:ascii="Times New Roman" w:hAnsi="Times New Roman" w:cs="Times New Roman"/>
          <w:sz w:val="24"/>
          <w:szCs w:val="24"/>
          <w:lang w:val="sr-Cyrl-RS"/>
        </w:rPr>
        <w:footnoteReference w:id="9"/>
      </w:r>
      <w:r w:rsidRPr="00B30084">
        <w:rPr>
          <w:rFonts w:ascii="Times New Roman" w:hAnsi="Times New Roman" w:cs="Times New Roman"/>
          <w:sz w:val="24"/>
          <w:szCs w:val="24"/>
          <w:lang w:val="sr-Cyrl-RS"/>
        </w:rPr>
        <w:t xml:space="preserve"> Како се само тржиште постепено развија, тако нематеријални фактори играју све већу улогу у подстицању све већег раста. Предметни фактори се не односе искључиво на регулаторни оквир и на општу економску моћ појединих држава, већ и на друге факторе</w:t>
      </w:r>
      <w:r w:rsidRPr="00B30084">
        <w:rPr>
          <w:rStyle w:val="FootnoteReference"/>
          <w:rFonts w:ascii="Times New Roman" w:hAnsi="Times New Roman" w:cs="Times New Roman"/>
          <w:sz w:val="24"/>
          <w:szCs w:val="24"/>
          <w:lang w:val="sr-Cyrl-RS"/>
        </w:rPr>
        <w:footnoteReference w:id="10"/>
      </w:r>
      <w:r w:rsidRPr="00B30084">
        <w:rPr>
          <w:rFonts w:ascii="Times New Roman" w:hAnsi="Times New Roman" w:cs="Times New Roman"/>
          <w:sz w:val="24"/>
          <w:szCs w:val="24"/>
          <w:lang w:val="sr-Cyrl-RS"/>
        </w:rPr>
        <w:t xml:space="preserve"> као што </w:t>
      </w:r>
      <w:r w:rsidR="002668FA">
        <w:rPr>
          <w:rFonts w:ascii="Times New Roman" w:hAnsi="Times New Roman" w:cs="Times New Roman"/>
          <w:sz w:val="24"/>
          <w:szCs w:val="24"/>
          <w:lang w:val="sr-Cyrl-RS"/>
        </w:rPr>
        <w:t>су</w:t>
      </w:r>
      <w:r w:rsidRPr="00B30084">
        <w:rPr>
          <w:rFonts w:ascii="Times New Roman" w:hAnsi="Times New Roman" w:cs="Times New Roman"/>
          <w:sz w:val="24"/>
          <w:szCs w:val="24"/>
          <w:lang w:val="sr-Cyrl-RS"/>
        </w:rPr>
        <w:t xml:space="preserve"> ниво финансијског образовања,</w:t>
      </w:r>
      <w:r w:rsidRPr="00B30084">
        <w:rPr>
          <w:rStyle w:val="FootnoteReference"/>
          <w:rFonts w:ascii="Times New Roman" w:hAnsi="Times New Roman" w:cs="Times New Roman"/>
          <w:sz w:val="24"/>
          <w:szCs w:val="24"/>
          <w:lang w:val="sr-Cyrl-RS"/>
        </w:rPr>
        <w:footnoteReference w:id="11"/>
      </w:r>
      <w:r w:rsidRPr="00B30084">
        <w:rPr>
          <w:rFonts w:ascii="Times New Roman" w:hAnsi="Times New Roman" w:cs="Times New Roman"/>
          <w:sz w:val="24"/>
          <w:szCs w:val="24"/>
          <w:lang w:val="sr-Cyrl-RS"/>
        </w:rPr>
        <w:t xml:space="preserve"> култура пословања, спремност за предузимање ризика, капацитет кадрова, транспарентност у пословању, као и спремност за прелазак </w:t>
      </w:r>
      <w:r w:rsidR="002668FA">
        <w:rPr>
          <w:rFonts w:ascii="Times New Roman" w:hAnsi="Times New Roman" w:cs="Times New Roman"/>
          <w:sz w:val="24"/>
          <w:szCs w:val="24"/>
          <w:lang w:val="sr-Cyrl-RS"/>
        </w:rPr>
        <w:t>са</w:t>
      </w:r>
      <w:r w:rsidRPr="00B30084">
        <w:rPr>
          <w:rFonts w:ascii="Times New Roman" w:hAnsi="Times New Roman" w:cs="Times New Roman"/>
          <w:sz w:val="24"/>
          <w:szCs w:val="24"/>
          <w:lang w:val="sr-Cyrl-RS"/>
        </w:rPr>
        <w:t xml:space="preserve"> директног власништва и потпуне контроле пословања </w:t>
      </w:r>
      <w:r w:rsidR="002668FA">
        <w:rPr>
          <w:rFonts w:ascii="Times New Roman" w:hAnsi="Times New Roman" w:cs="Times New Roman"/>
          <w:sz w:val="24"/>
          <w:szCs w:val="24"/>
          <w:lang w:val="sr-Cyrl-RS"/>
        </w:rPr>
        <w:t>на индиректну контролу</w:t>
      </w:r>
      <w:r w:rsidRPr="00B30084">
        <w:rPr>
          <w:rFonts w:ascii="Times New Roman" w:hAnsi="Times New Roman" w:cs="Times New Roman"/>
          <w:sz w:val="24"/>
          <w:szCs w:val="24"/>
          <w:lang w:val="sr-Cyrl-RS"/>
        </w:rPr>
        <w:t xml:space="preserve"> кроз </w:t>
      </w:r>
      <w:proofErr w:type="spellStart"/>
      <w:r w:rsidRPr="00B30084">
        <w:rPr>
          <w:rFonts w:ascii="Times New Roman" w:hAnsi="Times New Roman" w:cs="Times New Roman"/>
          <w:sz w:val="24"/>
          <w:szCs w:val="24"/>
          <w:lang w:val="sr-Cyrl-RS"/>
        </w:rPr>
        <w:t>акционарство</w:t>
      </w:r>
      <w:proofErr w:type="spellEnd"/>
      <w:r w:rsidRPr="00B30084">
        <w:rPr>
          <w:rFonts w:ascii="Times New Roman" w:hAnsi="Times New Roman" w:cs="Times New Roman"/>
          <w:sz w:val="24"/>
          <w:szCs w:val="24"/>
          <w:lang w:val="sr-Cyrl-RS"/>
        </w:rPr>
        <w:t>.</w:t>
      </w:r>
      <w:r w:rsidRPr="00B30084">
        <w:rPr>
          <w:rStyle w:val="FootnoteReference"/>
          <w:rFonts w:ascii="Times New Roman" w:hAnsi="Times New Roman" w:cs="Times New Roman"/>
          <w:sz w:val="24"/>
          <w:szCs w:val="24"/>
          <w:lang w:val="sr-Cyrl-RS"/>
        </w:rPr>
        <w:footnoteReference w:id="12"/>
      </w:r>
    </w:p>
    <w:p w14:paraId="29D108FA" w14:textId="77777777" w:rsidR="00275E1F" w:rsidRPr="00B30084" w:rsidRDefault="00DD6AF3" w:rsidP="00275E1F">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Једно од често постављених питања међу истраживачима тржишта капитала јесте како измерити ниво развоја </w:t>
      </w:r>
      <w:proofErr w:type="spellStart"/>
      <w:r w:rsidRPr="00B30084">
        <w:rPr>
          <w:rFonts w:ascii="Times New Roman" w:hAnsi="Times New Roman" w:cs="Times New Roman"/>
          <w:sz w:val="24"/>
          <w:szCs w:val="24"/>
          <w:lang w:val="sr-Cyrl-RS"/>
        </w:rPr>
        <w:t>појединичаних</w:t>
      </w:r>
      <w:proofErr w:type="spellEnd"/>
      <w:r w:rsidRPr="00B30084">
        <w:rPr>
          <w:rFonts w:ascii="Times New Roman" w:hAnsi="Times New Roman" w:cs="Times New Roman"/>
          <w:sz w:val="24"/>
          <w:szCs w:val="24"/>
          <w:lang w:val="sr-Cyrl-RS"/>
        </w:rPr>
        <w:t xml:space="preserve"> тржишта у свету</w:t>
      </w:r>
      <w:r w:rsidR="00B81694" w:rsidRPr="00B30084">
        <w:rPr>
          <w:rFonts w:ascii="Times New Roman" w:hAnsi="Times New Roman" w:cs="Times New Roman"/>
          <w:sz w:val="24"/>
          <w:szCs w:val="24"/>
          <w:lang w:val="sr-Cyrl-RS"/>
        </w:rPr>
        <w:t>.</w:t>
      </w:r>
      <w:r w:rsidR="00B81694" w:rsidRPr="00B30084">
        <w:rPr>
          <w:rStyle w:val="FootnoteReference"/>
          <w:rFonts w:ascii="Times New Roman" w:hAnsi="Times New Roman" w:cs="Times New Roman"/>
          <w:sz w:val="24"/>
          <w:szCs w:val="24"/>
          <w:lang w:val="sr-Cyrl-RS"/>
        </w:rPr>
        <w:footnoteReference w:id="13"/>
      </w:r>
      <w:r w:rsidRPr="00B30084">
        <w:rPr>
          <w:rFonts w:ascii="Times New Roman" w:hAnsi="Times New Roman" w:cs="Times New Roman"/>
          <w:sz w:val="24"/>
          <w:szCs w:val="24"/>
          <w:lang w:val="sr-Cyrl-RS"/>
        </w:rPr>
        <w:t xml:space="preserve"> Досадашњи метод код развијених земаља показао је да се степен развијености тржишта капитала мери кроз упоређивање броја финансијских инструмената и броја учесника</w:t>
      </w:r>
      <w:r w:rsidR="00A14467" w:rsidRPr="00B30084">
        <w:rPr>
          <w:rFonts w:ascii="Times New Roman" w:hAnsi="Times New Roman" w:cs="Times New Roman"/>
          <w:sz w:val="24"/>
          <w:szCs w:val="24"/>
          <w:lang w:val="sr-Cyrl-RS"/>
        </w:rPr>
        <w:t xml:space="preserve"> на</w:t>
      </w:r>
      <w:r w:rsidRPr="00B30084">
        <w:rPr>
          <w:rFonts w:ascii="Times New Roman" w:hAnsi="Times New Roman" w:cs="Times New Roman"/>
          <w:sz w:val="24"/>
          <w:szCs w:val="24"/>
          <w:lang w:val="sr-Cyrl-RS"/>
        </w:rPr>
        <w:t xml:space="preserve"> тржишт</w:t>
      </w:r>
      <w:r w:rsidR="00A14467" w:rsidRPr="00B30084">
        <w:rPr>
          <w:rFonts w:ascii="Times New Roman" w:hAnsi="Times New Roman" w:cs="Times New Roman"/>
          <w:sz w:val="24"/>
          <w:szCs w:val="24"/>
          <w:lang w:val="sr-Cyrl-RS"/>
        </w:rPr>
        <w:t>у</w:t>
      </w:r>
      <w:r w:rsidRPr="00B30084">
        <w:rPr>
          <w:rFonts w:ascii="Times New Roman" w:hAnsi="Times New Roman" w:cs="Times New Roman"/>
          <w:sz w:val="24"/>
          <w:szCs w:val="24"/>
          <w:lang w:val="sr-Cyrl-RS"/>
        </w:rPr>
        <w:t xml:space="preserve"> капитала.</w:t>
      </w:r>
      <w:r w:rsidR="00B81694" w:rsidRPr="00B30084">
        <w:rPr>
          <w:rStyle w:val="FootnoteReference"/>
          <w:rFonts w:ascii="Times New Roman" w:hAnsi="Times New Roman" w:cs="Times New Roman"/>
          <w:sz w:val="24"/>
          <w:szCs w:val="24"/>
          <w:lang w:val="sr-Cyrl-RS"/>
        </w:rPr>
        <w:footnoteReference w:id="14"/>
      </w:r>
      <w:r w:rsidRPr="00B30084">
        <w:rPr>
          <w:rFonts w:ascii="Times New Roman" w:hAnsi="Times New Roman" w:cs="Times New Roman"/>
          <w:sz w:val="24"/>
          <w:szCs w:val="24"/>
          <w:lang w:val="sr-Cyrl-RS"/>
        </w:rPr>
        <w:t xml:space="preserve"> </w:t>
      </w:r>
    </w:p>
    <w:p w14:paraId="2EE2A01E" w14:textId="548688F2" w:rsidR="00D3552C" w:rsidRPr="00B30084" w:rsidRDefault="00D3552C" w:rsidP="00275E1F">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Значај тржишта капитала за економски развој држава пре</w:t>
      </w:r>
      <w:r w:rsidR="002668FA">
        <w:rPr>
          <w:rFonts w:ascii="Times New Roman" w:hAnsi="Times New Roman" w:cs="Times New Roman"/>
          <w:sz w:val="24"/>
          <w:szCs w:val="24"/>
          <w:lang w:val="sr-Cyrl-RS"/>
        </w:rPr>
        <w:t>познат је и од стране Европске у</w:t>
      </w:r>
      <w:r w:rsidRPr="00B30084">
        <w:rPr>
          <w:rFonts w:ascii="Times New Roman" w:hAnsi="Times New Roman" w:cs="Times New Roman"/>
          <w:sz w:val="24"/>
          <w:szCs w:val="24"/>
          <w:lang w:val="sr-Cyrl-RS"/>
        </w:rPr>
        <w:t>није</w:t>
      </w:r>
      <w:r w:rsidR="00BE4597" w:rsidRPr="00B30084">
        <w:rPr>
          <w:rFonts w:ascii="Times New Roman" w:hAnsi="Times New Roman" w:cs="Times New Roman"/>
          <w:sz w:val="24"/>
          <w:szCs w:val="24"/>
          <w:lang w:val="sr-Cyrl-RS"/>
        </w:rPr>
        <w:t>,</w:t>
      </w:r>
      <w:r w:rsidRPr="00B30084">
        <w:rPr>
          <w:rStyle w:val="FootnoteReference"/>
          <w:rFonts w:ascii="Times New Roman" w:hAnsi="Times New Roman" w:cs="Times New Roman"/>
          <w:sz w:val="24"/>
          <w:szCs w:val="24"/>
          <w:lang w:val="sr-Cyrl-RS"/>
        </w:rPr>
        <w:footnoteReference w:id="15"/>
      </w:r>
      <w:r w:rsidRPr="00B30084">
        <w:rPr>
          <w:rFonts w:ascii="Times New Roman" w:hAnsi="Times New Roman" w:cs="Times New Roman"/>
          <w:sz w:val="24"/>
          <w:szCs w:val="24"/>
          <w:lang w:val="sr-Cyrl-RS"/>
        </w:rPr>
        <w:t xml:space="preserve"> којој Република Србија приступа кроз процес европских интеграција. Слободно кретање капитала, уз слободно кретање робе, услуга и радне снаге, представља једно од кључних циљева Европске </w:t>
      </w:r>
      <w:r w:rsidR="008E3B27">
        <w:rPr>
          <w:rFonts w:ascii="Times New Roman" w:hAnsi="Times New Roman" w:cs="Times New Roman"/>
          <w:sz w:val="24"/>
          <w:szCs w:val="24"/>
          <w:lang w:val="sr-Cyrl-RS"/>
        </w:rPr>
        <w:t>уније</w:t>
      </w:r>
      <w:r w:rsidRPr="00B30084">
        <w:rPr>
          <w:rFonts w:ascii="Times New Roman" w:hAnsi="Times New Roman" w:cs="Times New Roman"/>
          <w:sz w:val="24"/>
          <w:szCs w:val="24"/>
          <w:lang w:val="sr-Cyrl-RS"/>
        </w:rPr>
        <w:t xml:space="preserve">. Значај интегрисаног тржишта капитала препознат је већ 1966. године са </w:t>
      </w:r>
      <w:proofErr w:type="spellStart"/>
      <w:r w:rsidRPr="00B30084">
        <w:rPr>
          <w:rFonts w:ascii="Times New Roman" w:hAnsi="Times New Roman" w:cs="Times New Roman"/>
          <w:sz w:val="24"/>
          <w:szCs w:val="24"/>
          <w:lang w:val="sr-Cyrl-RS"/>
        </w:rPr>
        <w:t>ткз</w:t>
      </w:r>
      <w:proofErr w:type="spellEnd"/>
      <w:r w:rsidRPr="00B30084">
        <w:rPr>
          <w:rFonts w:ascii="Times New Roman" w:hAnsi="Times New Roman" w:cs="Times New Roman"/>
          <w:sz w:val="24"/>
          <w:szCs w:val="24"/>
          <w:lang w:val="sr-Cyrl-RS"/>
        </w:rPr>
        <w:t xml:space="preserve">. </w:t>
      </w:r>
      <w:proofErr w:type="spellStart"/>
      <w:r w:rsidRPr="00B30084">
        <w:rPr>
          <w:rFonts w:ascii="Times New Roman" w:hAnsi="Times New Roman" w:cs="Times New Roman"/>
          <w:sz w:val="24"/>
          <w:szCs w:val="24"/>
          <w:lang w:val="sr-Cyrl-RS"/>
        </w:rPr>
        <w:t>Сегреовим</w:t>
      </w:r>
      <w:proofErr w:type="spellEnd"/>
      <w:r w:rsidRPr="00B30084">
        <w:rPr>
          <w:rFonts w:ascii="Times New Roman" w:hAnsi="Times New Roman" w:cs="Times New Roman"/>
          <w:sz w:val="24"/>
          <w:szCs w:val="24"/>
          <w:lang w:val="sr-Cyrl-RS"/>
        </w:rPr>
        <w:t xml:space="preserve"> извештајем (назван по председавајућем експертске групе, Клаудију </w:t>
      </w:r>
      <w:proofErr w:type="spellStart"/>
      <w:r w:rsidRPr="00B30084">
        <w:rPr>
          <w:rFonts w:ascii="Times New Roman" w:hAnsi="Times New Roman" w:cs="Times New Roman"/>
          <w:sz w:val="24"/>
          <w:szCs w:val="24"/>
          <w:lang w:val="sr-Cyrl-RS"/>
        </w:rPr>
        <w:t>Сегреју</w:t>
      </w:r>
      <w:proofErr w:type="spellEnd"/>
      <w:r w:rsidRPr="00B30084">
        <w:rPr>
          <w:rFonts w:ascii="Times New Roman" w:hAnsi="Times New Roman" w:cs="Times New Roman"/>
          <w:sz w:val="24"/>
          <w:szCs w:val="24"/>
          <w:lang w:val="sr-Cyrl-RS"/>
        </w:rPr>
        <w:t xml:space="preserve">, директору студија у Генералној дирекцији Комисије за економске и финансијске послове) који представља зачетак идеје о јединственом тржишту капитала Европске </w:t>
      </w:r>
      <w:r w:rsidR="008E3B27">
        <w:rPr>
          <w:rFonts w:ascii="Times New Roman" w:hAnsi="Times New Roman" w:cs="Times New Roman"/>
          <w:sz w:val="24"/>
          <w:szCs w:val="24"/>
          <w:lang w:val="sr-Cyrl-RS"/>
        </w:rPr>
        <w:t>уније</w:t>
      </w:r>
      <w:r w:rsidRPr="00B30084">
        <w:rPr>
          <w:rFonts w:ascii="Times New Roman" w:hAnsi="Times New Roman" w:cs="Times New Roman"/>
          <w:sz w:val="24"/>
          <w:szCs w:val="24"/>
          <w:lang w:val="sr-Cyrl-RS"/>
        </w:rPr>
        <w:t>.</w:t>
      </w:r>
      <w:r w:rsidRPr="00B30084">
        <w:rPr>
          <w:rStyle w:val="FootnoteReference"/>
          <w:rFonts w:ascii="Times New Roman" w:hAnsi="Times New Roman" w:cs="Times New Roman"/>
          <w:sz w:val="24"/>
          <w:szCs w:val="24"/>
          <w:lang w:val="sr-Cyrl-RS"/>
        </w:rPr>
        <w:footnoteReference w:id="16"/>
      </w:r>
      <w:r w:rsidRPr="00B30084">
        <w:rPr>
          <w:rFonts w:ascii="Times New Roman" w:hAnsi="Times New Roman" w:cs="Times New Roman"/>
          <w:sz w:val="24"/>
          <w:szCs w:val="24"/>
          <w:lang w:val="sr-Cyrl-RS"/>
        </w:rPr>
        <w:t xml:space="preserve"> Кључна премиса, која се може уочити у </w:t>
      </w:r>
      <w:proofErr w:type="spellStart"/>
      <w:r w:rsidRPr="00B30084">
        <w:rPr>
          <w:rFonts w:ascii="Times New Roman" w:hAnsi="Times New Roman" w:cs="Times New Roman"/>
          <w:sz w:val="24"/>
          <w:szCs w:val="24"/>
          <w:lang w:val="sr-Cyrl-RS"/>
        </w:rPr>
        <w:t>Сегреовом</w:t>
      </w:r>
      <w:proofErr w:type="spellEnd"/>
      <w:r w:rsidRPr="00B30084">
        <w:rPr>
          <w:rFonts w:ascii="Times New Roman" w:hAnsi="Times New Roman" w:cs="Times New Roman"/>
          <w:sz w:val="24"/>
          <w:szCs w:val="24"/>
          <w:lang w:val="sr-Cyrl-RS"/>
        </w:rPr>
        <w:t xml:space="preserve"> извештају, је да ће јединствено финансијско тржиште смањити трошкове капитала привредним друштвима, генерисати приходе прилагођене ризику за инвеститоре и да ће економије </w:t>
      </w:r>
      <w:r w:rsidR="00277AE0" w:rsidRPr="008E3B27">
        <w:rPr>
          <w:rFonts w:ascii="Times New Roman" w:hAnsi="Times New Roman" w:cs="Times New Roman"/>
          <w:sz w:val="24"/>
          <w:szCs w:val="24"/>
          <w:lang w:val="sr-Cyrl-RS"/>
        </w:rPr>
        <w:t xml:space="preserve">Европске </w:t>
      </w:r>
      <w:r w:rsidR="008E3B27" w:rsidRPr="008E3B27">
        <w:rPr>
          <w:rFonts w:ascii="Times New Roman" w:hAnsi="Times New Roman" w:cs="Times New Roman"/>
          <w:sz w:val="24"/>
          <w:szCs w:val="24"/>
          <w:lang w:val="sr-Cyrl-RS"/>
        </w:rPr>
        <w:t>уније</w:t>
      </w:r>
      <w:r w:rsidRPr="00B30084">
        <w:rPr>
          <w:rFonts w:ascii="Times New Roman" w:hAnsi="Times New Roman" w:cs="Times New Roman"/>
          <w:sz w:val="24"/>
          <w:szCs w:val="24"/>
          <w:lang w:val="sr-Cyrl-RS"/>
        </w:rPr>
        <w:t xml:space="preserve"> имати користи кроз већи економски раст и запошљавање. Током 2001. године, комитет мудраца издао је извештај познат као </w:t>
      </w:r>
      <w:proofErr w:type="spellStart"/>
      <w:r w:rsidRPr="00B30084">
        <w:rPr>
          <w:rFonts w:ascii="Times New Roman" w:hAnsi="Times New Roman" w:cs="Times New Roman"/>
          <w:sz w:val="24"/>
          <w:szCs w:val="24"/>
          <w:lang w:val="sr-Cyrl-RS"/>
        </w:rPr>
        <w:t>Ламфалусијем</w:t>
      </w:r>
      <w:proofErr w:type="spellEnd"/>
      <w:r w:rsidRPr="00B30084">
        <w:rPr>
          <w:rFonts w:ascii="Times New Roman" w:hAnsi="Times New Roman" w:cs="Times New Roman"/>
          <w:sz w:val="24"/>
          <w:szCs w:val="24"/>
          <w:lang w:val="sr-Cyrl-RS"/>
        </w:rPr>
        <w:t xml:space="preserve"> извештај</w:t>
      </w:r>
      <w:r w:rsidRPr="00B30084">
        <w:rPr>
          <w:rStyle w:val="FootnoteReference"/>
          <w:rFonts w:ascii="Times New Roman" w:hAnsi="Times New Roman" w:cs="Times New Roman"/>
          <w:sz w:val="24"/>
          <w:szCs w:val="24"/>
          <w:lang w:val="sr-Cyrl-RS"/>
        </w:rPr>
        <w:footnoteReference w:id="17"/>
      </w:r>
      <w:r w:rsidRPr="00B30084">
        <w:rPr>
          <w:rFonts w:ascii="Times New Roman" w:hAnsi="Times New Roman" w:cs="Times New Roman"/>
          <w:sz w:val="24"/>
          <w:szCs w:val="24"/>
          <w:lang w:val="sr-Cyrl-RS"/>
        </w:rPr>
        <w:t xml:space="preserve"> у којем се критикује тренутни степен развоја јединственог тржишта капитала Европске </w:t>
      </w:r>
      <w:r w:rsidR="008E3B27">
        <w:rPr>
          <w:rFonts w:ascii="Times New Roman" w:hAnsi="Times New Roman" w:cs="Times New Roman"/>
          <w:sz w:val="24"/>
          <w:szCs w:val="24"/>
          <w:lang w:val="sr-Cyrl-RS"/>
        </w:rPr>
        <w:t>уније</w:t>
      </w:r>
      <w:r w:rsidRPr="00B30084">
        <w:rPr>
          <w:rFonts w:ascii="Times New Roman" w:hAnsi="Times New Roman" w:cs="Times New Roman"/>
          <w:sz w:val="24"/>
          <w:szCs w:val="24"/>
          <w:lang w:val="sr-Cyrl-RS"/>
        </w:rPr>
        <w:t xml:space="preserve">. Према овом извештају, тадашњи </w:t>
      </w:r>
      <w:proofErr w:type="spellStart"/>
      <w:r w:rsidRPr="00B30084">
        <w:rPr>
          <w:rFonts w:ascii="Times New Roman" w:hAnsi="Times New Roman" w:cs="Times New Roman"/>
          <w:sz w:val="24"/>
          <w:szCs w:val="24"/>
          <w:lang w:val="sr-Cyrl-RS"/>
        </w:rPr>
        <w:t>регулаторни</w:t>
      </w:r>
      <w:r w:rsidR="00942D7E">
        <w:rPr>
          <w:rFonts w:ascii="Times New Roman" w:hAnsi="Times New Roman" w:cs="Times New Roman"/>
          <w:sz w:val="24"/>
          <w:szCs w:val="24"/>
          <w:lang w:val="sr-Cyrl-RS"/>
        </w:rPr>
        <w:t>оквир</w:t>
      </w:r>
      <w:proofErr w:type="spellEnd"/>
      <w:r w:rsidRPr="00B30084">
        <w:rPr>
          <w:rFonts w:ascii="Times New Roman" w:hAnsi="Times New Roman" w:cs="Times New Roman"/>
          <w:sz w:val="24"/>
          <w:szCs w:val="24"/>
          <w:lang w:val="sr-Cyrl-RS"/>
        </w:rPr>
        <w:t>, је био сувише ригидан, сложен и неприлагођен темпу глобалних финансијских промена.</w:t>
      </w:r>
      <w:r w:rsidRPr="00B30084">
        <w:rPr>
          <w:rStyle w:val="FootnoteReference"/>
          <w:rFonts w:ascii="Times New Roman" w:hAnsi="Times New Roman" w:cs="Times New Roman"/>
          <w:sz w:val="24"/>
          <w:szCs w:val="24"/>
          <w:lang w:val="sr-Cyrl-RS"/>
        </w:rPr>
        <w:footnoteReference w:id="18"/>
      </w:r>
      <w:r w:rsidRPr="00B30084">
        <w:rPr>
          <w:rFonts w:ascii="Times New Roman" w:hAnsi="Times New Roman" w:cs="Times New Roman"/>
          <w:sz w:val="24"/>
          <w:szCs w:val="24"/>
          <w:lang w:val="sr-Cyrl-RS"/>
        </w:rPr>
        <w:t xml:space="preserve"> Сама </w:t>
      </w:r>
      <w:r w:rsidR="002668FA">
        <w:rPr>
          <w:rFonts w:ascii="Times New Roman" w:hAnsi="Times New Roman" w:cs="Times New Roman"/>
          <w:sz w:val="24"/>
          <w:szCs w:val="24"/>
          <w:lang w:val="sr-Cyrl-RS"/>
        </w:rPr>
        <w:t xml:space="preserve">Европска </w:t>
      </w:r>
      <w:r w:rsidRPr="00B30084">
        <w:rPr>
          <w:rFonts w:ascii="Times New Roman" w:hAnsi="Times New Roman" w:cs="Times New Roman"/>
          <w:sz w:val="24"/>
          <w:szCs w:val="24"/>
          <w:lang w:val="sr-Cyrl-RS"/>
        </w:rPr>
        <w:t xml:space="preserve">Комисија је покушала кроз </w:t>
      </w:r>
      <w:proofErr w:type="spellStart"/>
      <w:r w:rsidR="00E50617" w:rsidRPr="00B30084">
        <w:rPr>
          <w:rFonts w:ascii="Times New Roman" w:hAnsi="Times New Roman" w:cs="Times New Roman"/>
          <w:sz w:val="24"/>
          <w:szCs w:val="24"/>
          <w:lang w:val="sr-Cyrl-RS"/>
        </w:rPr>
        <w:t>j</w:t>
      </w:r>
      <w:r w:rsidRPr="00B30084">
        <w:rPr>
          <w:rFonts w:ascii="Times New Roman" w:hAnsi="Times New Roman" w:cs="Times New Roman"/>
          <w:sz w:val="24"/>
          <w:szCs w:val="24"/>
          <w:lang w:val="sr-Cyrl-RS"/>
        </w:rPr>
        <w:t>едан</w:t>
      </w:r>
      <w:proofErr w:type="spellEnd"/>
      <w:r w:rsidRPr="00B30084">
        <w:rPr>
          <w:rFonts w:ascii="Times New Roman" w:hAnsi="Times New Roman" w:cs="Times New Roman"/>
          <w:sz w:val="24"/>
          <w:szCs w:val="24"/>
          <w:lang w:val="sr-Cyrl-RS"/>
        </w:rPr>
        <w:t xml:space="preserve"> број комуникација, првенствено онима из 1996.</w:t>
      </w:r>
      <w:r w:rsidRPr="00B30084">
        <w:rPr>
          <w:rStyle w:val="FootnoteReference"/>
          <w:rFonts w:ascii="Times New Roman" w:hAnsi="Times New Roman" w:cs="Times New Roman"/>
          <w:sz w:val="24"/>
          <w:szCs w:val="24"/>
          <w:lang w:val="sr-Cyrl-RS"/>
        </w:rPr>
        <w:footnoteReference w:id="19"/>
      </w:r>
      <w:r w:rsidRPr="00B30084">
        <w:rPr>
          <w:rFonts w:ascii="Times New Roman" w:hAnsi="Times New Roman" w:cs="Times New Roman"/>
          <w:sz w:val="24"/>
          <w:szCs w:val="24"/>
          <w:lang w:val="sr-Cyrl-RS"/>
        </w:rPr>
        <w:t>, 1998.</w:t>
      </w:r>
      <w:r w:rsidRPr="00B30084">
        <w:rPr>
          <w:rStyle w:val="FootnoteReference"/>
          <w:rFonts w:ascii="Times New Roman" w:hAnsi="Times New Roman" w:cs="Times New Roman"/>
          <w:sz w:val="24"/>
          <w:szCs w:val="24"/>
          <w:lang w:val="sr-Cyrl-RS"/>
        </w:rPr>
        <w:footnoteReference w:id="20"/>
      </w:r>
      <w:r w:rsidRPr="00B30084">
        <w:rPr>
          <w:rFonts w:ascii="Times New Roman" w:hAnsi="Times New Roman" w:cs="Times New Roman"/>
          <w:sz w:val="24"/>
          <w:szCs w:val="24"/>
          <w:lang w:val="sr-Cyrl-RS"/>
        </w:rPr>
        <w:t xml:space="preserve"> и 2011.</w:t>
      </w:r>
      <w:r w:rsidRPr="00B30084">
        <w:rPr>
          <w:rStyle w:val="FootnoteReference"/>
          <w:rFonts w:ascii="Times New Roman" w:hAnsi="Times New Roman" w:cs="Times New Roman"/>
          <w:sz w:val="24"/>
          <w:szCs w:val="24"/>
          <w:lang w:val="sr-Cyrl-RS"/>
        </w:rPr>
        <w:footnoteReference w:id="21"/>
      </w:r>
      <w:r w:rsidRPr="00B30084">
        <w:rPr>
          <w:rFonts w:ascii="Times New Roman" w:hAnsi="Times New Roman" w:cs="Times New Roman"/>
          <w:sz w:val="24"/>
          <w:szCs w:val="24"/>
          <w:lang w:val="sr-Cyrl-RS"/>
        </w:rPr>
        <w:t xml:space="preserve"> године</w:t>
      </w:r>
      <w:r w:rsidR="002668FA">
        <w:rPr>
          <w:rFonts w:ascii="Times New Roman" w:hAnsi="Times New Roman" w:cs="Times New Roman"/>
          <w:sz w:val="24"/>
          <w:szCs w:val="24"/>
          <w:lang w:val="sr-Cyrl-RS"/>
        </w:rPr>
        <w:t>,</w:t>
      </w:r>
      <w:r w:rsidRPr="00B30084">
        <w:rPr>
          <w:rFonts w:ascii="Times New Roman" w:hAnsi="Times New Roman" w:cs="Times New Roman"/>
          <w:sz w:val="24"/>
          <w:szCs w:val="24"/>
          <w:lang w:val="sr-Cyrl-RS"/>
        </w:rPr>
        <w:t xml:space="preserve"> да реши и унапреди постојећи правни оквир тржиште капитала на нивоу Европске </w:t>
      </w:r>
      <w:r w:rsidR="002668FA">
        <w:rPr>
          <w:rFonts w:ascii="Times New Roman" w:hAnsi="Times New Roman" w:cs="Times New Roman"/>
          <w:sz w:val="24"/>
          <w:szCs w:val="24"/>
          <w:lang w:val="sr-Cyrl-RS"/>
        </w:rPr>
        <w:t>у</w:t>
      </w:r>
      <w:r w:rsidR="008E3B27">
        <w:rPr>
          <w:rFonts w:ascii="Times New Roman" w:hAnsi="Times New Roman" w:cs="Times New Roman"/>
          <w:sz w:val="24"/>
          <w:szCs w:val="24"/>
          <w:lang w:val="sr-Cyrl-RS"/>
        </w:rPr>
        <w:t>није</w:t>
      </w:r>
      <w:r w:rsidRPr="00B30084">
        <w:rPr>
          <w:rFonts w:ascii="Times New Roman" w:hAnsi="Times New Roman" w:cs="Times New Roman"/>
          <w:sz w:val="24"/>
          <w:szCs w:val="24"/>
          <w:lang w:val="sr-Cyrl-RS"/>
        </w:rPr>
        <w:t xml:space="preserve">. </w:t>
      </w:r>
    </w:p>
    <w:p w14:paraId="50005751" w14:textId="0B677682" w:rsidR="00D3552C" w:rsidRPr="00B30084" w:rsidRDefault="00D3552C"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Упркос покушајима да се ојача заједничко тржиште капитала Европске </w:t>
      </w:r>
      <w:r w:rsidR="008E3B27">
        <w:rPr>
          <w:rFonts w:ascii="Times New Roman" w:hAnsi="Times New Roman" w:cs="Times New Roman"/>
          <w:sz w:val="24"/>
          <w:szCs w:val="24"/>
          <w:lang w:val="sr-Cyrl-RS"/>
        </w:rPr>
        <w:t>уније</w:t>
      </w:r>
      <w:r w:rsidR="002668FA">
        <w:rPr>
          <w:rFonts w:ascii="Times New Roman" w:hAnsi="Times New Roman" w:cs="Times New Roman"/>
          <w:sz w:val="24"/>
          <w:szCs w:val="24"/>
          <w:lang w:val="sr-Cyrl-RS"/>
        </w:rPr>
        <w:t>,</w:t>
      </w:r>
      <w:r w:rsidRPr="00B30084">
        <w:rPr>
          <w:rFonts w:ascii="Times New Roman" w:hAnsi="Times New Roman" w:cs="Times New Roman"/>
          <w:sz w:val="24"/>
          <w:szCs w:val="24"/>
          <w:lang w:val="sr-Cyrl-RS"/>
        </w:rPr>
        <w:t xml:space="preserve"> као и </w:t>
      </w:r>
      <w:r w:rsidR="002668FA">
        <w:rPr>
          <w:rFonts w:ascii="Times New Roman" w:hAnsi="Times New Roman" w:cs="Times New Roman"/>
          <w:sz w:val="24"/>
          <w:szCs w:val="24"/>
          <w:lang w:val="sr-Cyrl-RS"/>
        </w:rPr>
        <w:t xml:space="preserve">подржи развој </w:t>
      </w:r>
      <w:r w:rsidRPr="00B30084">
        <w:rPr>
          <w:rFonts w:ascii="Times New Roman" w:hAnsi="Times New Roman" w:cs="Times New Roman"/>
          <w:sz w:val="24"/>
          <w:szCs w:val="24"/>
          <w:lang w:val="sr-Cyrl-RS"/>
        </w:rPr>
        <w:t>тржи</w:t>
      </w:r>
      <w:r w:rsidR="00DB6D85" w:rsidRPr="00B30084">
        <w:rPr>
          <w:rFonts w:ascii="Times New Roman" w:hAnsi="Times New Roman" w:cs="Times New Roman"/>
          <w:sz w:val="24"/>
          <w:szCs w:val="24"/>
          <w:lang w:val="sr-Cyrl-RS"/>
        </w:rPr>
        <w:t>ш</w:t>
      </w:r>
      <w:r w:rsidRPr="00B30084">
        <w:rPr>
          <w:rFonts w:ascii="Times New Roman" w:hAnsi="Times New Roman" w:cs="Times New Roman"/>
          <w:sz w:val="24"/>
          <w:szCs w:val="24"/>
          <w:lang w:val="sr-Cyrl-RS"/>
        </w:rPr>
        <w:t xml:space="preserve">та капитала држава чланица, </w:t>
      </w:r>
      <w:r w:rsidRPr="008E3B27">
        <w:rPr>
          <w:rFonts w:ascii="Times New Roman" w:hAnsi="Times New Roman" w:cs="Times New Roman"/>
          <w:sz w:val="24"/>
          <w:szCs w:val="24"/>
          <w:lang w:val="sr-Cyrl-RS"/>
        </w:rPr>
        <w:t>постоји разлика</w:t>
      </w:r>
      <w:r w:rsidRPr="00B30084">
        <w:rPr>
          <w:rFonts w:ascii="Times New Roman" w:hAnsi="Times New Roman" w:cs="Times New Roman"/>
          <w:sz w:val="24"/>
          <w:szCs w:val="24"/>
          <w:lang w:val="sr-Cyrl-RS"/>
        </w:rPr>
        <w:t xml:space="preserve"> у погледу капитализације, развијености и ликвидности појединих тржишт</w:t>
      </w:r>
      <w:r w:rsidR="00DD6AF3" w:rsidRPr="00B30084">
        <w:rPr>
          <w:rFonts w:ascii="Times New Roman" w:hAnsi="Times New Roman" w:cs="Times New Roman"/>
          <w:sz w:val="24"/>
          <w:szCs w:val="24"/>
          <w:lang w:val="sr-Cyrl-RS"/>
        </w:rPr>
        <w:t>а капитала.</w:t>
      </w:r>
    </w:p>
    <w:p w14:paraId="6540E23B" w14:textId="226C7CA0" w:rsidR="00473327" w:rsidRDefault="00B5000B"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Наредна табела</w:t>
      </w:r>
      <w:r w:rsidR="00153D32" w:rsidRPr="00B30084">
        <w:rPr>
          <w:rStyle w:val="FootnoteReference"/>
          <w:rFonts w:ascii="Times New Roman" w:hAnsi="Times New Roman" w:cs="Times New Roman"/>
          <w:sz w:val="24"/>
          <w:szCs w:val="24"/>
          <w:lang w:val="sr-Cyrl-RS"/>
        </w:rPr>
        <w:footnoteReference w:id="22"/>
      </w:r>
      <w:r w:rsidRPr="00B30084">
        <w:rPr>
          <w:rFonts w:ascii="Times New Roman" w:hAnsi="Times New Roman" w:cs="Times New Roman"/>
          <w:sz w:val="24"/>
          <w:szCs w:val="24"/>
          <w:lang w:val="sr-Cyrl-RS"/>
        </w:rPr>
        <w:t xml:space="preserve"> приказује просечну дубину тржишта капитала у односу на БД</w:t>
      </w:r>
      <w:r w:rsidR="006D277C" w:rsidRPr="00B30084">
        <w:rPr>
          <w:rFonts w:ascii="Times New Roman" w:hAnsi="Times New Roman" w:cs="Times New Roman"/>
          <w:sz w:val="24"/>
          <w:szCs w:val="24"/>
          <w:lang w:val="sr-Cyrl-RS"/>
        </w:rPr>
        <w:t>П</w:t>
      </w:r>
      <w:r w:rsidRPr="00B30084">
        <w:rPr>
          <w:rFonts w:ascii="Times New Roman" w:hAnsi="Times New Roman" w:cs="Times New Roman"/>
          <w:sz w:val="24"/>
          <w:szCs w:val="24"/>
          <w:lang w:val="sr-Cyrl-RS"/>
        </w:rPr>
        <w:t xml:space="preserve"> у 24 различита сектора делатности током три године до 2019. године</w:t>
      </w:r>
      <w:r w:rsidR="006D277C" w:rsidRPr="00B30084">
        <w:rPr>
          <w:rFonts w:ascii="Times New Roman" w:hAnsi="Times New Roman" w:cs="Times New Roman"/>
          <w:sz w:val="24"/>
          <w:szCs w:val="24"/>
          <w:lang w:val="sr-Cyrl-RS"/>
        </w:rPr>
        <w:t>, где вредност од 100 представља просечну дубину тржишта капитала у односу на БДП у Европској Унији у 2019. години (укључује и Велику Британију)</w:t>
      </w:r>
      <w:r w:rsidRPr="00B30084">
        <w:rPr>
          <w:rFonts w:ascii="Times New Roman" w:hAnsi="Times New Roman" w:cs="Times New Roman"/>
          <w:sz w:val="24"/>
          <w:szCs w:val="24"/>
          <w:lang w:val="sr-Cyrl-RS"/>
        </w:rPr>
        <w:t>:</w:t>
      </w:r>
    </w:p>
    <w:p w14:paraId="36F5DD1E" w14:textId="77777777" w:rsidR="00277AE0" w:rsidRPr="00B30084" w:rsidRDefault="00277AE0" w:rsidP="00E50617">
      <w:pPr>
        <w:spacing w:line="276" w:lineRule="auto"/>
        <w:ind w:firstLine="720"/>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4698"/>
        <w:gridCol w:w="4698"/>
      </w:tblGrid>
      <w:tr w:rsidR="00153D32" w:rsidRPr="00B30084" w14:paraId="112D012D" w14:textId="77777777" w:rsidTr="00E87DA0">
        <w:tc>
          <w:tcPr>
            <w:tcW w:w="9396" w:type="dxa"/>
            <w:gridSpan w:val="2"/>
            <w:shd w:val="clear" w:color="auto" w:fill="BDD6EE" w:themeFill="accent1" w:themeFillTint="66"/>
          </w:tcPr>
          <w:p w14:paraId="3F9D50AE"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Распон дубине тржишта капитала у Европској унији</w:t>
            </w:r>
          </w:p>
        </w:tc>
      </w:tr>
      <w:tr w:rsidR="00153D32" w:rsidRPr="00B30084" w14:paraId="34DC9002" w14:textId="77777777" w:rsidTr="00E87DA0">
        <w:tc>
          <w:tcPr>
            <w:tcW w:w="4698" w:type="dxa"/>
          </w:tcPr>
          <w:p w14:paraId="0692C649"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Луксембург</w:t>
            </w:r>
          </w:p>
        </w:tc>
        <w:tc>
          <w:tcPr>
            <w:tcW w:w="4698" w:type="dxa"/>
          </w:tcPr>
          <w:p w14:paraId="47CD9511" w14:textId="520D7440" w:rsidR="00153D32" w:rsidRPr="00B30084" w:rsidRDefault="006D277C"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371</w:t>
            </w:r>
          </w:p>
        </w:tc>
      </w:tr>
      <w:tr w:rsidR="00153D32" w:rsidRPr="00B30084" w14:paraId="2C089703" w14:textId="77777777" w:rsidTr="00E87DA0">
        <w:tc>
          <w:tcPr>
            <w:tcW w:w="4698" w:type="dxa"/>
          </w:tcPr>
          <w:p w14:paraId="0C8D669C"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Велика Британија</w:t>
            </w:r>
          </w:p>
        </w:tc>
        <w:tc>
          <w:tcPr>
            <w:tcW w:w="4698" w:type="dxa"/>
          </w:tcPr>
          <w:p w14:paraId="27A625E5"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171</w:t>
            </w:r>
          </w:p>
        </w:tc>
      </w:tr>
      <w:tr w:rsidR="00153D32" w:rsidRPr="00B30084" w14:paraId="09DD8A2D" w14:textId="77777777" w:rsidTr="00E87DA0">
        <w:tc>
          <w:tcPr>
            <w:tcW w:w="4698" w:type="dxa"/>
          </w:tcPr>
          <w:p w14:paraId="6096193E"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Шведска</w:t>
            </w:r>
          </w:p>
        </w:tc>
        <w:tc>
          <w:tcPr>
            <w:tcW w:w="4698" w:type="dxa"/>
          </w:tcPr>
          <w:p w14:paraId="7953407A"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149</w:t>
            </w:r>
          </w:p>
        </w:tc>
      </w:tr>
      <w:tr w:rsidR="00153D32" w:rsidRPr="00B30084" w14:paraId="1F70E492" w14:textId="77777777" w:rsidTr="00E87DA0">
        <w:tc>
          <w:tcPr>
            <w:tcW w:w="4698" w:type="dxa"/>
          </w:tcPr>
          <w:p w14:paraId="130A8B96"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Холандија</w:t>
            </w:r>
          </w:p>
        </w:tc>
        <w:tc>
          <w:tcPr>
            <w:tcW w:w="4698" w:type="dxa"/>
          </w:tcPr>
          <w:p w14:paraId="1699A58E"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136</w:t>
            </w:r>
          </w:p>
        </w:tc>
      </w:tr>
      <w:tr w:rsidR="00153D32" w:rsidRPr="00B30084" w14:paraId="332F03A3" w14:textId="77777777" w:rsidTr="00E87DA0">
        <w:tc>
          <w:tcPr>
            <w:tcW w:w="4698" w:type="dxa"/>
          </w:tcPr>
          <w:p w14:paraId="48FD806B"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Данска</w:t>
            </w:r>
          </w:p>
        </w:tc>
        <w:tc>
          <w:tcPr>
            <w:tcW w:w="4698" w:type="dxa"/>
          </w:tcPr>
          <w:p w14:paraId="4034585F"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119</w:t>
            </w:r>
          </w:p>
        </w:tc>
      </w:tr>
      <w:tr w:rsidR="00153D32" w:rsidRPr="00B30084" w14:paraId="4DDC065D" w14:textId="77777777" w:rsidTr="00E87DA0">
        <w:tc>
          <w:tcPr>
            <w:tcW w:w="4698" w:type="dxa"/>
          </w:tcPr>
          <w:p w14:paraId="2DAB56DD"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Француска</w:t>
            </w:r>
          </w:p>
        </w:tc>
        <w:tc>
          <w:tcPr>
            <w:tcW w:w="4698" w:type="dxa"/>
          </w:tcPr>
          <w:p w14:paraId="21301D2D"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111</w:t>
            </w:r>
          </w:p>
        </w:tc>
      </w:tr>
      <w:tr w:rsidR="00153D32" w:rsidRPr="00B30084" w14:paraId="533F38F2" w14:textId="77777777" w:rsidTr="00E87DA0">
        <w:tc>
          <w:tcPr>
            <w:tcW w:w="4698" w:type="dxa"/>
          </w:tcPr>
          <w:p w14:paraId="0CECEE69"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Финска</w:t>
            </w:r>
          </w:p>
        </w:tc>
        <w:tc>
          <w:tcPr>
            <w:tcW w:w="4698" w:type="dxa"/>
          </w:tcPr>
          <w:p w14:paraId="7882F6B3"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98</w:t>
            </w:r>
          </w:p>
        </w:tc>
      </w:tr>
      <w:tr w:rsidR="00153D32" w:rsidRPr="00B30084" w14:paraId="5CC1626B" w14:textId="77777777" w:rsidTr="00E87DA0">
        <w:tc>
          <w:tcPr>
            <w:tcW w:w="4698" w:type="dxa"/>
          </w:tcPr>
          <w:p w14:paraId="3B7888EF"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Ирска</w:t>
            </w:r>
          </w:p>
        </w:tc>
        <w:tc>
          <w:tcPr>
            <w:tcW w:w="4698" w:type="dxa"/>
          </w:tcPr>
          <w:p w14:paraId="1A2A1DAE"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96</w:t>
            </w:r>
          </w:p>
        </w:tc>
      </w:tr>
      <w:tr w:rsidR="00153D32" w:rsidRPr="00B30084" w14:paraId="52CB9CBB" w14:textId="77777777" w:rsidTr="00E87DA0">
        <w:tc>
          <w:tcPr>
            <w:tcW w:w="4698" w:type="dxa"/>
          </w:tcPr>
          <w:p w14:paraId="01E98448"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 Белгија</w:t>
            </w:r>
          </w:p>
        </w:tc>
        <w:tc>
          <w:tcPr>
            <w:tcW w:w="4698" w:type="dxa"/>
          </w:tcPr>
          <w:p w14:paraId="768476B9"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87</w:t>
            </w:r>
          </w:p>
        </w:tc>
      </w:tr>
      <w:tr w:rsidR="00153D32" w:rsidRPr="00B30084" w14:paraId="50DDDD5F" w14:textId="77777777" w:rsidTr="00E87DA0">
        <w:tc>
          <w:tcPr>
            <w:tcW w:w="4698" w:type="dxa"/>
          </w:tcPr>
          <w:p w14:paraId="684896B6"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Шпанија</w:t>
            </w:r>
          </w:p>
        </w:tc>
        <w:tc>
          <w:tcPr>
            <w:tcW w:w="4698" w:type="dxa"/>
          </w:tcPr>
          <w:p w14:paraId="43CAA9B8"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84</w:t>
            </w:r>
          </w:p>
        </w:tc>
      </w:tr>
      <w:tr w:rsidR="00153D32" w:rsidRPr="00B30084" w14:paraId="4010EBA6" w14:textId="77777777" w:rsidTr="00E87DA0">
        <w:tc>
          <w:tcPr>
            <w:tcW w:w="4698" w:type="dxa"/>
          </w:tcPr>
          <w:p w14:paraId="6A826412"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Италија</w:t>
            </w:r>
          </w:p>
        </w:tc>
        <w:tc>
          <w:tcPr>
            <w:tcW w:w="4698" w:type="dxa"/>
          </w:tcPr>
          <w:p w14:paraId="2745E939"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75</w:t>
            </w:r>
          </w:p>
        </w:tc>
      </w:tr>
      <w:tr w:rsidR="00153D32" w:rsidRPr="00B30084" w14:paraId="306ACA6F" w14:textId="77777777" w:rsidTr="00E87DA0">
        <w:tc>
          <w:tcPr>
            <w:tcW w:w="4698" w:type="dxa"/>
          </w:tcPr>
          <w:p w14:paraId="642D2521"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Немачка</w:t>
            </w:r>
          </w:p>
        </w:tc>
        <w:tc>
          <w:tcPr>
            <w:tcW w:w="4698" w:type="dxa"/>
          </w:tcPr>
          <w:p w14:paraId="32F65D6C"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71</w:t>
            </w:r>
          </w:p>
        </w:tc>
      </w:tr>
      <w:tr w:rsidR="00153D32" w:rsidRPr="00B30084" w14:paraId="75A33949" w14:textId="77777777" w:rsidTr="00E87DA0">
        <w:tc>
          <w:tcPr>
            <w:tcW w:w="4698" w:type="dxa"/>
          </w:tcPr>
          <w:p w14:paraId="0BE4C1C5"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Малта</w:t>
            </w:r>
          </w:p>
        </w:tc>
        <w:tc>
          <w:tcPr>
            <w:tcW w:w="4698" w:type="dxa"/>
          </w:tcPr>
          <w:p w14:paraId="61EA53F1"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64</w:t>
            </w:r>
          </w:p>
        </w:tc>
      </w:tr>
      <w:tr w:rsidR="00153D32" w:rsidRPr="00B30084" w14:paraId="6E8E4C37" w14:textId="77777777" w:rsidTr="00E87DA0">
        <w:tc>
          <w:tcPr>
            <w:tcW w:w="4698" w:type="dxa"/>
          </w:tcPr>
          <w:p w14:paraId="11D9A593"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Португал</w:t>
            </w:r>
          </w:p>
        </w:tc>
        <w:tc>
          <w:tcPr>
            <w:tcW w:w="4698" w:type="dxa"/>
          </w:tcPr>
          <w:p w14:paraId="65B1BC36"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50</w:t>
            </w:r>
          </w:p>
        </w:tc>
      </w:tr>
      <w:tr w:rsidR="00153D32" w:rsidRPr="00B30084" w14:paraId="4C236EB3" w14:textId="77777777" w:rsidTr="00E87DA0">
        <w:tc>
          <w:tcPr>
            <w:tcW w:w="4698" w:type="dxa"/>
          </w:tcPr>
          <w:p w14:paraId="640EC9B2"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Аустрија</w:t>
            </w:r>
          </w:p>
        </w:tc>
        <w:tc>
          <w:tcPr>
            <w:tcW w:w="4698" w:type="dxa"/>
          </w:tcPr>
          <w:p w14:paraId="265CAB46"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45</w:t>
            </w:r>
          </w:p>
        </w:tc>
      </w:tr>
      <w:tr w:rsidR="00153D32" w:rsidRPr="00B30084" w14:paraId="7107CE77" w14:textId="77777777" w:rsidTr="00E87DA0">
        <w:tc>
          <w:tcPr>
            <w:tcW w:w="4698" w:type="dxa"/>
          </w:tcPr>
          <w:p w14:paraId="065AB3CE"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Чешка Република</w:t>
            </w:r>
          </w:p>
        </w:tc>
        <w:tc>
          <w:tcPr>
            <w:tcW w:w="4698" w:type="dxa"/>
          </w:tcPr>
          <w:p w14:paraId="60B09317"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41</w:t>
            </w:r>
          </w:p>
        </w:tc>
      </w:tr>
      <w:tr w:rsidR="00153D32" w:rsidRPr="00B30084" w14:paraId="4A109520" w14:textId="77777777" w:rsidTr="00E87DA0">
        <w:tc>
          <w:tcPr>
            <w:tcW w:w="4698" w:type="dxa"/>
          </w:tcPr>
          <w:p w14:paraId="5388A7C3"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Естонија</w:t>
            </w:r>
          </w:p>
        </w:tc>
        <w:tc>
          <w:tcPr>
            <w:tcW w:w="4698" w:type="dxa"/>
          </w:tcPr>
          <w:p w14:paraId="3C98B97C"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39</w:t>
            </w:r>
          </w:p>
        </w:tc>
      </w:tr>
      <w:tr w:rsidR="00153D32" w:rsidRPr="00B30084" w14:paraId="76E90F16" w14:textId="77777777" w:rsidTr="00E87DA0">
        <w:tc>
          <w:tcPr>
            <w:tcW w:w="4698" w:type="dxa"/>
          </w:tcPr>
          <w:p w14:paraId="7935C69C"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Република Кипар</w:t>
            </w:r>
          </w:p>
        </w:tc>
        <w:tc>
          <w:tcPr>
            <w:tcW w:w="4698" w:type="dxa"/>
          </w:tcPr>
          <w:p w14:paraId="1F1154A5"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38</w:t>
            </w:r>
          </w:p>
        </w:tc>
      </w:tr>
      <w:tr w:rsidR="00153D32" w:rsidRPr="00B30084" w14:paraId="3E985ABA" w14:textId="77777777" w:rsidTr="00E87DA0">
        <w:tc>
          <w:tcPr>
            <w:tcW w:w="4698" w:type="dxa"/>
          </w:tcPr>
          <w:p w14:paraId="65F4B454"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Пољска</w:t>
            </w:r>
          </w:p>
        </w:tc>
        <w:tc>
          <w:tcPr>
            <w:tcW w:w="4698" w:type="dxa"/>
          </w:tcPr>
          <w:p w14:paraId="77B6E5BC"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32</w:t>
            </w:r>
          </w:p>
        </w:tc>
      </w:tr>
      <w:tr w:rsidR="00153D32" w:rsidRPr="00B30084" w14:paraId="0B384B88" w14:textId="77777777" w:rsidTr="00E87DA0">
        <w:tc>
          <w:tcPr>
            <w:tcW w:w="4698" w:type="dxa"/>
          </w:tcPr>
          <w:p w14:paraId="75DD6E1B"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Грчка</w:t>
            </w:r>
          </w:p>
        </w:tc>
        <w:tc>
          <w:tcPr>
            <w:tcW w:w="4698" w:type="dxa"/>
          </w:tcPr>
          <w:p w14:paraId="4AD5E829"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31</w:t>
            </w:r>
          </w:p>
        </w:tc>
      </w:tr>
      <w:tr w:rsidR="00153D32" w:rsidRPr="00B30084" w14:paraId="75918A3F" w14:textId="77777777" w:rsidTr="00E87DA0">
        <w:tc>
          <w:tcPr>
            <w:tcW w:w="4698" w:type="dxa"/>
          </w:tcPr>
          <w:p w14:paraId="09B663B2"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Мађарска</w:t>
            </w:r>
          </w:p>
        </w:tc>
        <w:tc>
          <w:tcPr>
            <w:tcW w:w="4698" w:type="dxa"/>
          </w:tcPr>
          <w:p w14:paraId="351B5B7D"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28</w:t>
            </w:r>
          </w:p>
        </w:tc>
      </w:tr>
      <w:tr w:rsidR="00153D32" w:rsidRPr="00B30084" w14:paraId="52A99A6F" w14:textId="77777777" w:rsidTr="00E87DA0">
        <w:tc>
          <w:tcPr>
            <w:tcW w:w="4698" w:type="dxa"/>
          </w:tcPr>
          <w:p w14:paraId="6B7189CC" w14:textId="12EB375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Словени</w:t>
            </w:r>
            <w:r w:rsidR="0041052B">
              <w:rPr>
                <w:rFonts w:ascii="Times New Roman" w:hAnsi="Times New Roman" w:cs="Times New Roman"/>
                <w:sz w:val="24"/>
                <w:szCs w:val="24"/>
                <w:lang w:val="sr-Cyrl-RS"/>
              </w:rPr>
              <w:t>ј</w:t>
            </w:r>
            <w:r w:rsidRPr="00B30084">
              <w:rPr>
                <w:rFonts w:ascii="Times New Roman" w:hAnsi="Times New Roman" w:cs="Times New Roman"/>
                <w:sz w:val="24"/>
                <w:szCs w:val="24"/>
                <w:lang w:val="sr-Cyrl-RS"/>
              </w:rPr>
              <w:t>а</w:t>
            </w:r>
          </w:p>
        </w:tc>
        <w:tc>
          <w:tcPr>
            <w:tcW w:w="4698" w:type="dxa"/>
          </w:tcPr>
          <w:p w14:paraId="7DC03B23"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22</w:t>
            </w:r>
          </w:p>
        </w:tc>
      </w:tr>
      <w:tr w:rsidR="00153D32" w:rsidRPr="00B30084" w14:paraId="74D32E5C" w14:textId="77777777" w:rsidTr="00E87DA0">
        <w:tc>
          <w:tcPr>
            <w:tcW w:w="4698" w:type="dxa"/>
          </w:tcPr>
          <w:p w14:paraId="4F9683BE"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Хрватска</w:t>
            </w:r>
          </w:p>
        </w:tc>
        <w:tc>
          <w:tcPr>
            <w:tcW w:w="4698" w:type="dxa"/>
          </w:tcPr>
          <w:p w14:paraId="5C48EDAF"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22</w:t>
            </w:r>
          </w:p>
        </w:tc>
      </w:tr>
      <w:tr w:rsidR="00153D32" w:rsidRPr="00B30084" w14:paraId="021E0EF2" w14:textId="77777777" w:rsidTr="00E87DA0">
        <w:tc>
          <w:tcPr>
            <w:tcW w:w="4698" w:type="dxa"/>
          </w:tcPr>
          <w:p w14:paraId="64A66CD1"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Литванија</w:t>
            </w:r>
          </w:p>
        </w:tc>
        <w:tc>
          <w:tcPr>
            <w:tcW w:w="4698" w:type="dxa"/>
          </w:tcPr>
          <w:p w14:paraId="5FA96F42"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21</w:t>
            </w:r>
          </w:p>
        </w:tc>
      </w:tr>
      <w:tr w:rsidR="00153D32" w:rsidRPr="00B30084" w14:paraId="33B6199E" w14:textId="77777777" w:rsidTr="00E87DA0">
        <w:tc>
          <w:tcPr>
            <w:tcW w:w="4698" w:type="dxa"/>
          </w:tcPr>
          <w:p w14:paraId="563016D4"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Бугарска</w:t>
            </w:r>
          </w:p>
        </w:tc>
        <w:tc>
          <w:tcPr>
            <w:tcW w:w="4698" w:type="dxa"/>
          </w:tcPr>
          <w:p w14:paraId="0DE8B6B6"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18</w:t>
            </w:r>
          </w:p>
        </w:tc>
      </w:tr>
      <w:tr w:rsidR="00153D32" w:rsidRPr="00B30084" w14:paraId="067EE70C" w14:textId="77777777" w:rsidTr="00E87DA0">
        <w:tc>
          <w:tcPr>
            <w:tcW w:w="4698" w:type="dxa"/>
          </w:tcPr>
          <w:p w14:paraId="6C019065"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Румунија</w:t>
            </w:r>
          </w:p>
        </w:tc>
        <w:tc>
          <w:tcPr>
            <w:tcW w:w="4698" w:type="dxa"/>
          </w:tcPr>
          <w:p w14:paraId="130D7645"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15</w:t>
            </w:r>
          </w:p>
        </w:tc>
      </w:tr>
      <w:tr w:rsidR="00153D32" w:rsidRPr="00B30084" w14:paraId="08EF1A43" w14:textId="77777777" w:rsidTr="00E87DA0">
        <w:tc>
          <w:tcPr>
            <w:tcW w:w="4698" w:type="dxa"/>
          </w:tcPr>
          <w:p w14:paraId="4D7270C1"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Летонија</w:t>
            </w:r>
          </w:p>
        </w:tc>
        <w:tc>
          <w:tcPr>
            <w:tcW w:w="4698" w:type="dxa"/>
          </w:tcPr>
          <w:p w14:paraId="3A5C7B33"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14</w:t>
            </w:r>
          </w:p>
        </w:tc>
      </w:tr>
      <w:tr w:rsidR="00153D32" w:rsidRPr="00B30084" w14:paraId="61C0AABB" w14:textId="77777777" w:rsidTr="00E87DA0">
        <w:tc>
          <w:tcPr>
            <w:tcW w:w="4698" w:type="dxa"/>
          </w:tcPr>
          <w:p w14:paraId="57CF41CC"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Словачка</w:t>
            </w:r>
          </w:p>
        </w:tc>
        <w:tc>
          <w:tcPr>
            <w:tcW w:w="4698" w:type="dxa"/>
          </w:tcPr>
          <w:p w14:paraId="451C178F" w14:textId="77777777" w:rsidR="00153D32" w:rsidRPr="00B30084" w:rsidRDefault="00153D32"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14</w:t>
            </w:r>
          </w:p>
        </w:tc>
      </w:tr>
    </w:tbl>
    <w:p w14:paraId="65A762CD" w14:textId="77777777" w:rsidR="00C3274C" w:rsidRPr="00B30084" w:rsidRDefault="00C3274C" w:rsidP="00E50617">
      <w:pPr>
        <w:spacing w:line="276" w:lineRule="auto"/>
        <w:ind w:firstLine="720"/>
        <w:jc w:val="both"/>
        <w:rPr>
          <w:rFonts w:ascii="Times New Roman" w:hAnsi="Times New Roman" w:cs="Times New Roman"/>
          <w:sz w:val="24"/>
          <w:szCs w:val="24"/>
          <w:lang w:val="sr-Cyrl-RS"/>
        </w:rPr>
      </w:pPr>
    </w:p>
    <w:p w14:paraId="227CBF6C" w14:textId="69CF7070" w:rsidR="00153D32" w:rsidRPr="00B30084" w:rsidRDefault="00153D32"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Тржишт</w:t>
      </w:r>
      <w:r w:rsidR="00C3274C" w:rsidRPr="00B30084">
        <w:rPr>
          <w:rFonts w:ascii="Times New Roman" w:hAnsi="Times New Roman" w:cs="Times New Roman"/>
          <w:sz w:val="24"/>
          <w:szCs w:val="24"/>
          <w:lang w:val="sr-Cyrl-RS"/>
        </w:rPr>
        <w:t>е</w:t>
      </w:r>
      <w:r w:rsidRPr="00B30084">
        <w:rPr>
          <w:rFonts w:ascii="Times New Roman" w:hAnsi="Times New Roman" w:cs="Times New Roman"/>
          <w:sz w:val="24"/>
          <w:szCs w:val="24"/>
          <w:lang w:val="sr-Cyrl-RS"/>
        </w:rPr>
        <w:t xml:space="preserve"> капитала у САД-у (на 274) </w:t>
      </w:r>
      <w:r w:rsidR="00C3274C" w:rsidRPr="00B30084">
        <w:rPr>
          <w:rFonts w:ascii="Times New Roman" w:hAnsi="Times New Roman" w:cs="Times New Roman"/>
          <w:sz w:val="24"/>
          <w:szCs w:val="24"/>
          <w:lang w:val="sr-Cyrl-RS"/>
        </w:rPr>
        <w:t>је</w:t>
      </w:r>
      <w:r w:rsidRPr="00B30084">
        <w:rPr>
          <w:rFonts w:ascii="Times New Roman" w:hAnsi="Times New Roman" w:cs="Times New Roman"/>
          <w:sz w:val="24"/>
          <w:szCs w:val="24"/>
          <w:lang w:val="sr-Cyrl-RS"/>
        </w:rPr>
        <w:t xml:space="preserve"> готово две трећине већ</w:t>
      </w:r>
      <w:r w:rsidR="00C3274C" w:rsidRPr="00B30084">
        <w:rPr>
          <w:rFonts w:ascii="Times New Roman" w:hAnsi="Times New Roman" w:cs="Times New Roman"/>
          <w:sz w:val="24"/>
          <w:szCs w:val="24"/>
          <w:lang w:val="sr-Cyrl-RS"/>
        </w:rPr>
        <w:t>е</w:t>
      </w:r>
      <w:r w:rsidRPr="00B30084">
        <w:rPr>
          <w:rFonts w:ascii="Times New Roman" w:hAnsi="Times New Roman" w:cs="Times New Roman"/>
          <w:sz w:val="24"/>
          <w:szCs w:val="24"/>
          <w:lang w:val="sr-Cyrl-RS"/>
        </w:rPr>
        <w:t xml:space="preserve"> у односу на БДП него у Великој Британији (на 171), </w:t>
      </w:r>
      <w:r w:rsidR="00C3274C" w:rsidRPr="00B30084">
        <w:rPr>
          <w:rFonts w:ascii="Times New Roman" w:hAnsi="Times New Roman" w:cs="Times New Roman"/>
          <w:sz w:val="24"/>
          <w:szCs w:val="24"/>
          <w:lang w:val="sr-Cyrl-RS"/>
        </w:rPr>
        <w:t xml:space="preserve">односно двоструко је дубље од </w:t>
      </w:r>
      <w:r w:rsidR="006D277C" w:rsidRPr="008E3B27">
        <w:rPr>
          <w:rFonts w:ascii="Times New Roman" w:hAnsi="Times New Roman" w:cs="Times New Roman"/>
          <w:sz w:val="24"/>
          <w:szCs w:val="24"/>
          <w:lang w:val="sr-Cyrl-RS"/>
        </w:rPr>
        <w:t>просека</w:t>
      </w:r>
      <w:r w:rsidRPr="008E3B27">
        <w:rPr>
          <w:rFonts w:ascii="Times New Roman" w:hAnsi="Times New Roman" w:cs="Times New Roman"/>
          <w:sz w:val="24"/>
          <w:szCs w:val="24"/>
          <w:lang w:val="sr-Cyrl-RS"/>
        </w:rPr>
        <w:t xml:space="preserve"> </w:t>
      </w:r>
      <w:r w:rsidR="00277AE0" w:rsidRPr="008E3B27">
        <w:rPr>
          <w:rFonts w:ascii="Times New Roman" w:hAnsi="Times New Roman" w:cs="Times New Roman"/>
          <w:sz w:val="24"/>
          <w:szCs w:val="24"/>
          <w:lang w:val="sr-Cyrl-RS"/>
        </w:rPr>
        <w:t>у Европској унији</w:t>
      </w:r>
      <w:r w:rsidRPr="008E3B27">
        <w:rPr>
          <w:rFonts w:ascii="Times New Roman" w:hAnsi="Times New Roman" w:cs="Times New Roman"/>
          <w:sz w:val="24"/>
          <w:szCs w:val="24"/>
          <w:lang w:val="sr-Cyrl-RS"/>
        </w:rPr>
        <w:t xml:space="preserve"> (87)</w:t>
      </w:r>
      <w:r w:rsidR="006D277C" w:rsidRPr="008E3B27">
        <w:rPr>
          <w:rFonts w:ascii="Times New Roman" w:hAnsi="Times New Roman" w:cs="Times New Roman"/>
          <w:sz w:val="24"/>
          <w:szCs w:val="24"/>
          <w:lang w:val="sr-Cyrl-RS"/>
        </w:rPr>
        <w:t xml:space="preserve"> без Велике Британије</w:t>
      </w:r>
      <w:r w:rsidRPr="008E3B27">
        <w:rPr>
          <w:rFonts w:ascii="Times New Roman" w:hAnsi="Times New Roman" w:cs="Times New Roman"/>
          <w:sz w:val="24"/>
          <w:szCs w:val="24"/>
          <w:lang w:val="sr-Cyrl-RS"/>
        </w:rPr>
        <w:t xml:space="preserve">. Луксембург има најдубља тржишта капитала у </w:t>
      </w:r>
      <w:r w:rsidR="00277AE0" w:rsidRPr="008E3B27">
        <w:rPr>
          <w:rFonts w:ascii="Times New Roman" w:hAnsi="Times New Roman" w:cs="Times New Roman"/>
          <w:sz w:val="24"/>
          <w:szCs w:val="24"/>
          <w:lang w:val="sr-Cyrl-RS"/>
        </w:rPr>
        <w:t xml:space="preserve">Европској унији </w:t>
      </w:r>
      <w:r w:rsidRPr="008E3B27">
        <w:rPr>
          <w:rFonts w:ascii="Times New Roman" w:hAnsi="Times New Roman" w:cs="Times New Roman"/>
          <w:sz w:val="24"/>
          <w:szCs w:val="24"/>
          <w:lang w:val="sr-Cyrl-RS"/>
        </w:rPr>
        <w:t>(371),</w:t>
      </w:r>
      <w:r w:rsidR="00C3274C"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t>углавном због његове улоге као регионалног чворишта за инвестиционе фондове и као седишта многих компанија које користе</w:t>
      </w:r>
      <w:r w:rsidR="00C3274C" w:rsidRPr="00B30084">
        <w:rPr>
          <w:rFonts w:ascii="Times New Roman" w:hAnsi="Times New Roman" w:cs="Times New Roman"/>
          <w:sz w:val="24"/>
          <w:szCs w:val="24"/>
          <w:lang w:val="sr-Cyrl-RS"/>
        </w:rPr>
        <w:t xml:space="preserve"> </w:t>
      </w:r>
      <w:proofErr w:type="spellStart"/>
      <w:r w:rsidRPr="00B30084">
        <w:rPr>
          <w:rFonts w:ascii="Times New Roman" w:hAnsi="Times New Roman" w:cs="Times New Roman"/>
          <w:sz w:val="24"/>
          <w:szCs w:val="24"/>
          <w:lang w:val="sr-Cyrl-RS"/>
        </w:rPr>
        <w:t>тржишт</w:t>
      </w:r>
      <w:r w:rsidR="00473327" w:rsidRPr="00B30084">
        <w:rPr>
          <w:rFonts w:ascii="Times New Roman" w:hAnsi="Times New Roman" w:cs="Times New Roman"/>
          <w:sz w:val="24"/>
          <w:szCs w:val="24"/>
          <w:lang w:val="sr-Cyrl-RS"/>
        </w:rPr>
        <w:t>e</w:t>
      </w:r>
      <w:proofErr w:type="spellEnd"/>
      <w:r w:rsidRPr="00B30084">
        <w:rPr>
          <w:rFonts w:ascii="Times New Roman" w:hAnsi="Times New Roman" w:cs="Times New Roman"/>
          <w:sz w:val="24"/>
          <w:szCs w:val="24"/>
          <w:lang w:val="sr-Cyrl-RS"/>
        </w:rPr>
        <w:t xml:space="preserve"> корпоративних обвезница, али у погледу величине </w:t>
      </w:r>
      <w:proofErr w:type="spellStart"/>
      <w:r w:rsidRPr="00B30084">
        <w:rPr>
          <w:rFonts w:ascii="Times New Roman" w:hAnsi="Times New Roman" w:cs="Times New Roman"/>
          <w:sz w:val="24"/>
          <w:szCs w:val="24"/>
          <w:lang w:val="sr-Cyrl-RS"/>
        </w:rPr>
        <w:t>његов</w:t>
      </w:r>
      <w:r w:rsidR="00473327" w:rsidRPr="00B30084">
        <w:rPr>
          <w:rFonts w:ascii="Times New Roman" w:hAnsi="Times New Roman" w:cs="Times New Roman"/>
          <w:sz w:val="24"/>
          <w:szCs w:val="24"/>
          <w:lang w:val="sr-Cyrl-RS"/>
        </w:rPr>
        <w:t>o</w:t>
      </w:r>
      <w:proofErr w:type="spellEnd"/>
      <w:r w:rsidRPr="00B30084">
        <w:rPr>
          <w:rFonts w:ascii="Times New Roman" w:hAnsi="Times New Roman" w:cs="Times New Roman"/>
          <w:sz w:val="24"/>
          <w:szCs w:val="24"/>
          <w:lang w:val="sr-Cyrl-RS"/>
        </w:rPr>
        <w:t xml:space="preserve"> </w:t>
      </w:r>
      <w:proofErr w:type="spellStart"/>
      <w:r w:rsidRPr="00B30084">
        <w:rPr>
          <w:rFonts w:ascii="Times New Roman" w:hAnsi="Times New Roman" w:cs="Times New Roman"/>
          <w:sz w:val="24"/>
          <w:szCs w:val="24"/>
          <w:lang w:val="sr-Cyrl-RS"/>
        </w:rPr>
        <w:t>тржишт</w:t>
      </w:r>
      <w:r w:rsidR="00473327" w:rsidRPr="00B30084">
        <w:rPr>
          <w:rFonts w:ascii="Times New Roman" w:hAnsi="Times New Roman" w:cs="Times New Roman"/>
          <w:sz w:val="24"/>
          <w:szCs w:val="24"/>
          <w:lang w:val="sr-Cyrl-RS"/>
        </w:rPr>
        <w:t>e</w:t>
      </w:r>
      <w:proofErr w:type="spellEnd"/>
      <w:r w:rsidRPr="00B30084">
        <w:rPr>
          <w:rFonts w:ascii="Times New Roman" w:hAnsi="Times New Roman" w:cs="Times New Roman"/>
          <w:sz w:val="24"/>
          <w:szCs w:val="24"/>
          <w:lang w:val="sr-Cyrl-RS"/>
        </w:rPr>
        <w:t xml:space="preserve"> капитала </w:t>
      </w:r>
      <w:r w:rsidR="00473327" w:rsidRPr="00B30084">
        <w:rPr>
          <w:rFonts w:ascii="Times New Roman" w:hAnsi="Times New Roman" w:cs="Times New Roman"/>
          <w:sz w:val="24"/>
          <w:szCs w:val="24"/>
          <w:lang w:val="sr-Cyrl-RS"/>
        </w:rPr>
        <w:t xml:space="preserve">je </w:t>
      </w:r>
      <w:r w:rsidRPr="00B30084">
        <w:rPr>
          <w:rFonts w:ascii="Times New Roman" w:hAnsi="Times New Roman" w:cs="Times New Roman"/>
          <w:sz w:val="24"/>
          <w:szCs w:val="24"/>
          <w:lang w:val="sr-Cyrl-RS"/>
        </w:rPr>
        <w:t xml:space="preserve">врло </w:t>
      </w:r>
      <w:proofErr w:type="spellStart"/>
      <w:r w:rsidRPr="00B30084">
        <w:rPr>
          <w:rFonts w:ascii="Times New Roman" w:hAnsi="Times New Roman" w:cs="Times New Roman"/>
          <w:sz w:val="24"/>
          <w:szCs w:val="24"/>
          <w:lang w:val="sr-Cyrl-RS"/>
        </w:rPr>
        <w:t>мал</w:t>
      </w:r>
      <w:r w:rsidR="00473327" w:rsidRPr="00B30084">
        <w:rPr>
          <w:rFonts w:ascii="Times New Roman" w:hAnsi="Times New Roman" w:cs="Times New Roman"/>
          <w:sz w:val="24"/>
          <w:szCs w:val="24"/>
          <w:lang w:val="sr-Cyrl-RS"/>
        </w:rPr>
        <w:t>o</w:t>
      </w:r>
      <w:proofErr w:type="spellEnd"/>
      <w:r w:rsidRPr="00B30084">
        <w:rPr>
          <w:rFonts w:ascii="Times New Roman" w:hAnsi="Times New Roman" w:cs="Times New Roman"/>
          <w:sz w:val="24"/>
          <w:szCs w:val="24"/>
          <w:lang w:val="sr-Cyrl-RS"/>
        </w:rPr>
        <w:t xml:space="preserve"> (2% активности ЕУ и само 0,4% ЕУ</w:t>
      </w:r>
      <w:r w:rsidR="00C3274C"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t xml:space="preserve">БДП). Велика Британија има </w:t>
      </w:r>
      <w:r w:rsidR="00473327" w:rsidRPr="00B30084">
        <w:rPr>
          <w:rFonts w:ascii="Times New Roman" w:hAnsi="Times New Roman" w:cs="Times New Roman"/>
          <w:sz w:val="24"/>
          <w:szCs w:val="24"/>
          <w:lang w:val="sr-Cyrl-RS"/>
        </w:rPr>
        <w:t>далеко</w:t>
      </w:r>
      <w:r w:rsidRPr="00B30084">
        <w:rPr>
          <w:rFonts w:ascii="Times New Roman" w:hAnsi="Times New Roman" w:cs="Times New Roman"/>
          <w:sz w:val="24"/>
          <w:szCs w:val="24"/>
          <w:lang w:val="sr-Cyrl-RS"/>
        </w:rPr>
        <w:t xml:space="preserve"> највећ</w:t>
      </w:r>
      <w:r w:rsidR="00C3274C" w:rsidRPr="00B30084">
        <w:rPr>
          <w:rFonts w:ascii="Times New Roman" w:hAnsi="Times New Roman" w:cs="Times New Roman"/>
          <w:sz w:val="24"/>
          <w:szCs w:val="24"/>
          <w:lang w:val="sr-Cyrl-RS"/>
        </w:rPr>
        <w:t>е</w:t>
      </w:r>
      <w:r w:rsidRPr="00B30084">
        <w:rPr>
          <w:rFonts w:ascii="Times New Roman" w:hAnsi="Times New Roman" w:cs="Times New Roman"/>
          <w:sz w:val="24"/>
          <w:szCs w:val="24"/>
          <w:lang w:val="sr-Cyrl-RS"/>
        </w:rPr>
        <w:t xml:space="preserve"> тржишт</w:t>
      </w:r>
      <w:r w:rsidR="00C3274C" w:rsidRPr="00B30084">
        <w:rPr>
          <w:rFonts w:ascii="Times New Roman" w:hAnsi="Times New Roman" w:cs="Times New Roman"/>
          <w:sz w:val="24"/>
          <w:szCs w:val="24"/>
          <w:lang w:val="sr-Cyrl-RS"/>
        </w:rPr>
        <w:t>е</w:t>
      </w:r>
      <w:r w:rsidRPr="00B30084">
        <w:rPr>
          <w:rFonts w:ascii="Times New Roman" w:hAnsi="Times New Roman" w:cs="Times New Roman"/>
          <w:sz w:val="24"/>
          <w:szCs w:val="24"/>
          <w:lang w:val="sr-Cyrl-RS"/>
        </w:rPr>
        <w:t xml:space="preserve"> капитала у </w:t>
      </w:r>
      <w:r w:rsidR="00277AE0" w:rsidRPr="008E3B27">
        <w:rPr>
          <w:rFonts w:ascii="Times New Roman" w:hAnsi="Times New Roman" w:cs="Times New Roman"/>
          <w:sz w:val="24"/>
          <w:szCs w:val="24"/>
          <w:lang w:val="sr-Cyrl-RS"/>
        </w:rPr>
        <w:t>Европи</w:t>
      </w:r>
      <w:r w:rsidRPr="00B30084">
        <w:rPr>
          <w:rFonts w:ascii="Times New Roman" w:hAnsi="Times New Roman" w:cs="Times New Roman"/>
          <w:sz w:val="24"/>
          <w:szCs w:val="24"/>
          <w:lang w:val="sr-Cyrl-RS"/>
        </w:rPr>
        <w:t xml:space="preserve"> и такође најдубље </w:t>
      </w:r>
      <w:r w:rsidR="008E3B27">
        <w:rPr>
          <w:rFonts w:ascii="Times New Roman" w:hAnsi="Times New Roman" w:cs="Times New Roman"/>
          <w:sz w:val="24"/>
          <w:szCs w:val="24"/>
          <w:lang w:val="sr-Cyrl-RS"/>
        </w:rPr>
        <w:t>у односу на друге</w:t>
      </w:r>
      <w:r w:rsidRPr="00B30084">
        <w:rPr>
          <w:rFonts w:ascii="Times New Roman" w:hAnsi="Times New Roman" w:cs="Times New Roman"/>
          <w:sz w:val="24"/>
          <w:szCs w:val="24"/>
          <w:lang w:val="sr-Cyrl-RS"/>
        </w:rPr>
        <w:t xml:space="preserve"> велике економије.</w:t>
      </w:r>
    </w:p>
    <w:p w14:paraId="20FC089A" w14:textId="79254805" w:rsidR="00D3552C" w:rsidRPr="00B30084" w:rsidRDefault="00D3552C"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Тржиште капитала у Републици Србији није новији концепт, већ има дугу традицију утемељену из периода развоја првих државних и привредних институција у земљи. Доситеј Обрадовић, велики српски просветитељ, у свом делу „Мезимац“, препознаје трговину као делатност од истог значаја за организацију друштва са науком и уметношћу.</w:t>
      </w:r>
      <w:r w:rsidRPr="00B30084">
        <w:rPr>
          <w:rStyle w:val="FootnoteReference"/>
          <w:rFonts w:ascii="Times New Roman" w:hAnsi="Times New Roman" w:cs="Times New Roman"/>
          <w:sz w:val="24"/>
          <w:szCs w:val="24"/>
          <w:lang w:val="sr-Cyrl-RS"/>
        </w:rPr>
        <w:footnoteReference w:id="23"/>
      </w:r>
      <w:r w:rsidRPr="00B30084">
        <w:rPr>
          <w:rFonts w:ascii="Times New Roman" w:hAnsi="Times New Roman" w:cs="Times New Roman"/>
          <w:sz w:val="24"/>
          <w:szCs w:val="24"/>
          <w:lang w:val="sr-Cyrl-RS"/>
        </w:rPr>
        <w:t xml:space="preserve"> Прво акционарско друштво на територији Србије основано је 1869. године под именом „Прва српска банка“, са већинским страним капиталом. Након тога, у наредне две године, настале су још три финансијске институције, „Београдски кредитни биро“, „Ваљевска штедионица, и „Смедеревска кредитна банка“. Тадашња Краљевина Србија доноси Закон о јавним берзама 1886. године, а Београдска берза доноси Стату</w:t>
      </w:r>
      <w:r w:rsidR="00127228" w:rsidRPr="00B30084">
        <w:rPr>
          <w:rFonts w:ascii="Times New Roman" w:hAnsi="Times New Roman" w:cs="Times New Roman"/>
          <w:sz w:val="24"/>
          <w:szCs w:val="24"/>
          <w:lang w:val="sr-Cyrl-RS"/>
        </w:rPr>
        <w:t>т</w:t>
      </w:r>
      <w:r w:rsidRPr="00B30084">
        <w:rPr>
          <w:rFonts w:ascii="Times New Roman" w:hAnsi="Times New Roman" w:cs="Times New Roman"/>
          <w:sz w:val="24"/>
          <w:szCs w:val="24"/>
          <w:lang w:val="sr-Cyrl-RS"/>
        </w:rPr>
        <w:t xml:space="preserve"> 1898. године.</w:t>
      </w:r>
      <w:r w:rsidRPr="00B30084">
        <w:rPr>
          <w:rStyle w:val="FootnoteReference"/>
          <w:rFonts w:ascii="Times New Roman" w:hAnsi="Times New Roman" w:cs="Times New Roman"/>
          <w:sz w:val="24"/>
          <w:szCs w:val="24"/>
          <w:lang w:val="sr-Cyrl-RS"/>
        </w:rPr>
        <w:footnoteReference w:id="24"/>
      </w:r>
      <w:r w:rsidRPr="00B30084">
        <w:rPr>
          <w:rFonts w:ascii="Times New Roman" w:hAnsi="Times New Roman" w:cs="Times New Roman"/>
          <w:sz w:val="24"/>
          <w:szCs w:val="24"/>
          <w:lang w:val="sr-Cyrl-RS"/>
        </w:rPr>
        <w:t xml:space="preserve"> Народна банка Србије основана је 1883. године на основу Закона о народној банци као приватна привилегована установа под надзором државе у којој је уписано 38.051 акција, са укупно 3.672 акционара.</w:t>
      </w:r>
      <w:r w:rsidRPr="00B30084">
        <w:rPr>
          <w:rStyle w:val="FootnoteReference"/>
          <w:rFonts w:ascii="Times New Roman" w:hAnsi="Times New Roman" w:cs="Times New Roman"/>
          <w:sz w:val="24"/>
          <w:szCs w:val="24"/>
          <w:lang w:val="sr-Cyrl-RS"/>
        </w:rPr>
        <w:footnoteReference w:id="25"/>
      </w:r>
      <w:r w:rsidRPr="00B30084">
        <w:rPr>
          <w:rFonts w:ascii="Times New Roman" w:hAnsi="Times New Roman" w:cs="Times New Roman"/>
          <w:sz w:val="24"/>
          <w:szCs w:val="24"/>
          <w:lang w:val="sr-Cyrl-RS"/>
        </w:rPr>
        <w:t xml:space="preserve"> Након завршетка Првог светског рата и стварања заједничке државе Јужних Словена, 1920. године оснива се Народна банка Краљевине Срба, Хрвата и Словенаца која, поред постојећег капитала Народне банке Србије, уписује додатних 40.000 акција са 725 акционара.</w:t>
      </w:r>
      <w:r w:rsidRPr="00B30084">
        <w:rPr>
          <w:rStyle w:val="FootnoteReference"/>
          <w:rFonts w:ascii="Times New Roman" w:hAnsi="Times New Roman" w:cs="Times New Roman"/>
          <w:sz w:val="24"/>
          <w:szCs w:val="24"/>
          <w:lang w:val="sr-Cyrl-RS"/>
        </w:rPr>
        <w:footnoteReference w:id="26"/>
      </w:r>
      <w:r w:rsidRPr="00B30084">
        <w:rPr>
          <w:rFonts w:ascii="Times New Roman" w:hAnsi="Times New Roman" w:cs="Times New Roman"/>
          <w:sz w:val="24"/>
          <w:szCs w:val="24"/>
          <w:lang w:val="sr-Cyrl-RS"/>
        </w:rPr>
        <w:t xml:space="preserve"> До 1937. године, Краљевина Југославија имала је регистровано 584 банака у форми акционарских друштава.</w:t>
      </w:r>
      <w:r w:rsidRPr="00B30084">
        <w:rPr>
          <w:rStyle w:val="FootnoteReference"/>
          <w:rFonts w:ascii="Times New Roman" w:hAnsi="Times New Roman" w:cs="Times New Roman"/>
          <w:sz w:val="24"/>
          <w:szCs w:val="24"/>
          <w:lang w:val="sr-Cyrl-RS"/>
        </w:rPr>
        <w:footnoteReference w:id="27"/>
      </w:r>
      <w:r w:rsidRPr="00B30084">
        <w:rPr>
          <w:rFonts w:ascii="Times New Roman" w:hAnsi="Times New Roman" w:cs="Times New Roman"/>
          <w:sz w:val="24"/>
          <w:szCs w:val="24"/>
          <w:lang w:val="sr-Cyrl-RS"/>
        </w:rPr>
        <w:t xml:space="preserve"> Београдска берза, са друге стране, до 1934. имала посете између 100 и 150 људи, а курсни лист је штампан у хиљаду примерака на три језика.</w:t>
      </w:r>
      <w:r w:rsidRPr="00B30084">
        <w:rPr>
          <w:rStyle w:val="FootnoteReference"/>
          <w:rFonts w:ascii="Times New Roman" w:hAnsi="Times New Roman" w:cs="Times New Roman"/>
          <w:sz w:val="24"/>
          <w:szCs w:val="24"/>
          <w:lang w:val="sr-Cyrl-RS"/>
        </w:rPr>
        <w:footnoteReference w:id="28"/>
      </w:r>
    </w:p>
    <w:p w14:paraId="7FE2CE4A" w14:textId="3F5518B4" w:rsidR="00D3552C" w:rsidRPr="00B30084" w:rsidRDefault="00D3552C"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Након промене државног поретка и увођење </w:t>
      </w:r>
      <w:proofErr w:type="spellStart"/>
      <w:r w:rsidRPr="00B30084">
        <w:rPr>
          <w:rFonts w:ascii="Times New Roman" w:hAnsi="Times New Roman" w:cs="Times New Roman"/>
          <w:sz w:val="24"/>
          <w:szCs w:val="24"/>
          <w:lang w:val="sr-Cyrl-RS"/>
        </w:rPr>
        <w:t>комунистичог</w:t>
      </w:r>
      <w:proofErr w:type="spellEnd"/>
      <w:r w:rsidRPr="00B30084">
        <w:rPr>
          <w:rFonts w:ascii="Times New Roman" w:hAnsi="Times New Roman" w:cs="Times New Roman"/>
          <w:sz w:val="24"/>
          <w:szCs w:val="24"/>
          <w:lang w:val="sr-Cyrl-RS"/>
        </w:rPr>
        <w:t xml:space="preserve"> система </w:t>
      </w:r>
      <w:r w:rsidRPr="008E3B27">
        <w:rPr>
          <w:rFonts w:ascii="Times New Roman" w:hAnsi="Times New Roman" w:cs="Times New Roman"/>
          <w:sz w:val="24"/>
          <w:szCs w:val="24"/>
          <w:lang w:val="sr-Cyrl-RS"/>
        </w:rPr>
        <w:t xml:space="preserve">власти </w:t>
      </w:r>
      <w:r w:rsidR="00BD6962" w:rsidRPr="008E3B27">
        <w:rPr>
          <w:rFonts w:ascii="Times New Roman" w:hAnsi="Times New Roman" w:cs="Times New Roman"/>
          <w:sz w:val="24"/>
          <w:szCs w:val="24"/>
          <w:lang w:val="sr-Cyrl-RS"/>
        </w:rPr>
        <w:t>после</w:t>
      </w:r>
      <w:r w:rsidRPr="00B30084">
        <w:rPr>
          <w:rFonts w:ascii="Times New Roman" w:hAnsi="Times New Roman" w:cs="Times New Roman"/>
          <w:sz w:val="24"/>
          <w:szCs w:val="24"/>
          <w:lang w:val="sr-Cyrl-RS"/>
        </w:rPr>
        <w:t xml:space="preserve"> Другог светског рата, укинута је берза као </w:t>
      </w:r>
      <w:r w:rsidR="00457C23" w:rsidRPr="00B30084">
        <w:rPr>
          <w:rFonts w:ascii="Times New Roman" w:hAnsi="Times New Roman" w:cs="Times New Roman"/>
          <w:sz w:val="24"/>
          <w:szCs w:val="24"/>
          <w:lang w:val="sr-Cyrl-RS"/>
        </w:rPr>
        <w:t>заостатак</w:t>
      </w:r>
      <w:r w:rsidRPr="00B30084">
        <w:rPr>
          <w:rFonts w:ascii="Times New Roman" w:hAnsi="Times New Roman" w:cs="Times New Roman"/>
          <w:sz w:val="24"/>
          <w:szCs w:val="24"/>
          <w:lang w:val="sr-Cyrl-RS"/>
        </w:rPr>
        <w:t xml:space="preserve"> капиталистичког система краљевине. Уредбом о продуктивним берзама из 1954. године, дозвољене су </w:t>
      </w:r>
      <w:proofErr w:type="spellStart"/>
      <w:r w:rsidRPr="00B30084">
        <w:rPr>
          <w:rFonts w:ascii="Times New Roman" w:hAnsi="Times New Roman" w:cs="Times New Roman"/>
          <w:sz w:val="24"/>
          <w:szCs w:val="24"/>
          <w:lang w:val="sr-Cyrl-RS"/>
        </w:rPr>
        <w:t>продуктне</w:t>
      </w:r>
      <w:proofErr w:type="spellEnd"/>
      <w:r w:rsidRPr="00B30084">
        <w:rPr>
          <w:rFonts w:ascii="Times New Roman" w:hAnsi="Times New Roman" w:cs="Times New Roman"/>
          <w:sz w:val="24"/>
          <w:szCs w:val="24"/>
          <w:lang w:val="sr-Cyrl-RS"/>
        </w:rPr>
        <w:t xml:space="preserve"> берзе са оснивањем </w:t>
      </w:r>
      <w:proofErr w:type="spellStart"/>
      <w:r w:rsidRPr="00B30084">
        <w:rPr>
          <w:rFonts w:ascii="Times New Roman" w:hAnsi="Times New Roman" w:cs="Times New Roman"/>
          <w:sz w:val="24"/>
          <w:szCs w:val="24"/>
          <w:lang w:val="sr-Cyrl-RS"/>
        </w:rPr>
        <w:t>Продуктне</w:t>
      </w:r>
      <w:proofErr w:type="spellEnd"/>
      <w:r w:rsidRPr="00B30084">
        <w:rPr>
          <w:rFonts w:ascii="Times New Roman" w:hAnsi="Times New Roman" w:cs="Times New Roman"/>
          <w:sz w:val="24"/>
          <w:szCs w:val="24"/>
          <w:lang w:val="sr-Cyrl-RS"/>
        </w:rPr>
        <w:t xml:space="preserve"> берзе у Новом Саду.</w:t>
      </w:r>
      <w:r w:rsidRPr="00B30084">
        <w:rPr>
          <w:rStyle w:val="FootnoteReference"/>
          <w:rFonts w:ascii="Times New Roman" w:hAnsi="Times New Roman" w:cs="Times New Roman"/>
          <w:sz w:val="24"/>
          <w:szCs w:val="24"/>
          <w:lang w:val="sr-Cyrl-RS"/>
        </w:rPr>
        <w:footnoteReference w:id="29"/>
      </w:r>
      <w:r w:rsidRPr="00B30084">
        <w:rPr>
          <w:rFonts w:ascii="Times New Roman" w:hAnsi="Times New Roman" w:cs="Times New Roman"/>
          <w:sz w:val="24"/>
          <w:szCs w:val="24"/>
          <w:lang w:val="sr-Cyrl-RS"/>
        </w:rPr>
        <w:t xml:space="preserve"> Након постепене разградње комунистичког система економских односа, 1989. године доноси се Закон о тржишту новца и тржишту капитала и поновног оснивања берзи у тадашњој држави. Савезна Република Југославија усваја Закон о берзама, берзанском пословању и берзанским посредницима 1994. године и тиме укида претходно поменуту уредбу из 1954. године. Након двехиљадитих година, усваја се Закон о тржишту хартија од вредности и других финансијских инструмената 2002. године којим се уређује искључиво берзанско пословање. </w:t>
      </w:r>
      <w:r w:rsidR="00F835C6" w:rsidRPr="00B30084">
        <w:rPr>
          <w:rFonts w:ascii="Times New Roman" w:hAnsi="Times New Roman" w:cs="Times New Roman"/>
          <w:sz w:val="24"/>
          <w:szCs w:val="24"/>
          <w:lang w:val="sr-Cyrl-RS"/>
        </w:rPr>
        <w:t xml:space="preserve">Садашњи законодавни оквир тржишта капитала установљен је Законом о тржишту капитала из 2011. године, </w:t>
      </w:r>
      <w:r w:rsidR="00337905" w:rsidRPr="008E3B27">
        <w:rPr>
          <w:rFonts w:ascii="Times New Roman" w:hAnsi="Times New Roman" w:cs="Times New Roman"/>
          <w:sz w:val="24"/>
          <w:szCs w:val="24"/>
          <w:lang w:val="sr-Cyrl-RS"/>
        </w:rPr>
        <w:t>који је у каснијем периоду, сходно захтевима тржишта, више пута мењан и допуњаван</w:t>
      </w:r>
      <w:r w:rsidR="008E3B27">
        <w:rPr>
          <w:rFonts w:ascii="Times New Roman" w:hAnsi="Times New Roman" w:cs="Times New Roman"/>
          <w:sz w:val="24"/>
          <w:szCs w:val="24"/>
          <w:lang w:val="sr-Cyrl-RS"/>
        </w:rPr>
        <w:t xml:space="preserve">, као и </w:t>
      </w:r>
      <w:r w:rsidR="00F835C6" w:rsidRPr="008E3B27">
        <w:rPr>
          <w:rFonts w:ascii="Times New Roman" w:hAnsi="Times New Roman" w:cs="Times New Roman"/>
          <w:sz w:val="24"/>
          <w:szCs w:val="24"/>
          <w:lang w:val="sr-Cyrl-RS"/>
        </w:rPr>
        <w:t>пратећи подзаконски акти.</w:t>
      </w:r>
      <w:r w:rsidR="00F835C6" w:rsidRPr="00B30084">
        <w:rPr>
          <w:rFonts w:ascii="Times New Roman" w:hAnsi="Times New Roman" w:cs="Times New Roman"/>
          <w:sz w:val="24"/>
          <w:szCs w:val="24"/>
          <w:lang w:val="sr-Cyrl-RS"/>
        </w:rPr>
        <w:t xml:space="preserve"> </w:t>
      </w:r>
    </w:p>
    <w:p w14:paraId="4568B6D8" w14:textId="29944104" w:rsidR="002A2250" w:rsidRPr="00B30084" w:rsidRDefault="002A2250" w:rsidP="00E50617">
      <w:pPr>
        <w:pStyle w:val="Pasus"/>
        <w:snapToGrid w:val="0"/>
        <w:spacing w:before="120" w:after="120" w:line="276" w:lineRule="auto"/>
        <w:rPr>
          <w:rFonts w:ascii="Times New Roman" w:hAnsi="Times New Roman" w:cs="Times New Roman"/>
          <w:sz w:val="24"/>
          <w:szCs w:val="24"/>
        </w:rPr>
      </w:pPr>
    </w:p>
    <w:p w14:paraId="0CC143AD" w14:textId="0A3F90D1" w:rsidR="002A2250" w:rsidRPr="00B30084" w:rsidRDefault="002A2250" w:rsidP="00E50617">
      <w:pPr>
        <w:pStyle w:val="Heading1"/>
        <w:widowControl w:val="0"/>
        <w:numPr>
          <w:ilvl w:val="0"/>
          <w:numId w:val="30"/>
        </w:numPr>
        <w:snapToGrid w:val="0"/>
        <w:spacing w:before="120" w:after="120" w:line="276" w:lineRule="auto"/>
        <w:jc w:val="both"/>
        <w:rPr>
          <w:sz w:val="24"/>
          <w:szCs w:val="24"/>
          <w:lang w:val="sr-Cyrl-RS"/>
        </w:rPr>
      </w:pPr>
      <w:r w:rsidRPr="00B30084">
        <w:rPr>
          <w:sz w:val="24"/>
          <w:szCs w:val="24"/>
          <w:lang w:val="sr-Cyrl-RS"/>
        </w:rPr>
        <w:t>Веза са постојећим политикама и правним оквиром</w:t>
      </w:r>
    </w:p>
    <w:p w14:paraId="7F7BB48C" w14:textId="2D0ED390" w:rsidR="002A2250" w:rsidRPr="00B30084" w:rsidRDefault="002A2250" w:rsidP="00E50617">
      <w:pPr>
        <w:pStyle w:val="Pasus"/>
        <w:snapToGrid w:val="0"/>
        <w:spacing w:before="120" w:after="120" w:line="276" w:lineRule="auto"/>
        <w:ind w:firstLine="450"/>
        <w:rPr>
          <w:rFonts w:ascii="Times New Roman" w:hAnsi="Times New Roman" w:cs="Times New Roman"/>
          <w:sz w:val="24"/>
          <w:szCs w:val="24"/>
        </w:rPr>
      </w:pPr>
      <w:r w:rsidRPr="00B30084">
        <w:rPr>
          <w:rFonts w:ascii="Times New Roman" w:hAnsi="Times New Roman" w:cs="Times New Roman"/>
          <w:sz w:val="24"/>
          <w:szCs w:val="24"/>
        </w:rPr>
        <w:t xml:space="preserve">Законски оквир за функционисање тржишта капитала успостављен је доношењем Закона о тржишту капитала (2011. године) и усвајањем закона који регулишу пословање фондова. </w:t>
      </w:r>
      <w:r w:rsidR="00DB6D85" w:rsidRPr="00B30084">
        <w:rPr>
          <w:rFonts w:ascii="Times New Roman" w:hAnsi="Times New Roman" w:cs="Times New Roman"/>
          <w:sz w:val="24"/>
          <w:szCs w:val="24"/>
        </w:rPr>
        <w:t>Поменути</w:t>
      </w:r>
      <w:r w:rsidRPr="00B30084">
        <w:rPr>
          <w:rFonts w:ascii="Times New Roman" w:hAnsi="Times New Roman" w:cs="Times New Roman"/>
          <w:sz w:val="24"/>
          <w:szCs w:val="24"/>
        </w:rPr>
        <w:t xml:space="preserve"> закони пружају услове за успостављање и развој тржишта капитала. </w:t>
      </w:r>
      <w:r w:rsidR="00DB6D85" w:rsidRPr="00B30084">
        <w:rPr>
          <w:rFonts w:ascii="Times New Roman" w:hAnsi="Times New Roman" w:cs="Times New Roman"/>
          <w:sz w:val="24"/>
          <w:szCs w:val="24"/>
        </w:rPr>
        <w:t>Закони који уређују области повезане са овом Стратегијом су</w:t>
      </w:r>
      <w:r w:rsidRPr="00B30084">
        <w:rPr>
          <w:rFonts w:ascii="Times New Roman" w:hAnsi="Times New Roman" w:cs="Times New Roman"/>
          <w:sz w:val="24"/>
          <w:szCs w:val="24"/>
        </w:rPr>
        <w:t>:</w:t>
      </w:r>
    </w:p>
    <w:p w14:paraId="47CA5386" w14:textId="38E0E57C"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sz w:val="24"/>
          <w:szCs w:val="24"/>
        </w:rPr>
      </w:pPr>
      <w:r w:rsidRPr="00B30084">
        <w:rPr>
          <w:rFonts w:ascii="Times New Roman" w:hAnsi="Times New Roman" w:cs="Times New Roman"/>
          <w:b/>
          <w:sz w:val="24"/>
          <w:szCs w:val="24"/>
        </w:rPr>
        <w:t xml:space="preserve">Закон о тржишту капитала </w:t>
      </w:r>
      <w:r w:rsidRPr="00B30084">
        <w:rPr>
          <w:rFonts w:ascii="Times New Roman" w:hAnsi="Times New Roman" w:cs="Times New Roman"/>
          <w:sz w:val="24"/>
          <w:szCs w:val="24"/>
        </w:rPr>
        <w:t>(“Службени гласник РС” 31/2011, 112/2015, 108/2016, 9/2020</w:t>
      </w:r>
      <w:r w:rsidR="00457C23" w:rsidRPr="00B30084">
        <w:rPr>
          <w:rFonts w:ascii="Times New Roman" w:hAnsi="Times New Roman" w:cs="Times New Roman"/>
          <w:sz w:val="24"/>
          <w:szCs w:val="24"/>
        </w:rPr>
        <w:t xml:space="preserve"> и 153/20</w:t>
      </w:r>
      <w:r w:rsidRPr="00B30084">
        <w:rPr>
          <w:rFonts w:ascii="Times New Roman" w:hAnsi="Times New Roman" w:cs="Times New Roman"/>
          <w:sz w:val="24"/>
          <w:szCs w:val="24"/>
        </w:rPr>
        <w:t>). Основни циљеви овог закона су заштита интереса инвеститора, обезбеђење праведног, ефикасног и транспарентног тржишта капитала, смање</w:t>
      </w:r>
      <w:r w:rsidR="003B3828" w:rsidRPr="00B30084">
        <w:rPr>
          <w:rFonts w:ascii="Times New Roman" w:hAnsi="Times New Roman" w:cs="Times New Roman"/>
          <w:sz w:val="24"/>
          <w:szCs w:val="24"/>
        </w:rPr>
        <w:t>њ</w:t>
      </w:r>
      <w:r w:rsidRPr="00B30084">
        <w:rPr>
          <w:rFonts w:ascii="Times New Roman" w:hAnsi="Times New Roman" w:cs="Times New Roman"/>
          <w:sz w:val="24"/>
          <w:szCs w:val="24"/>
        </w:rPr>
        <w:t xml:space="preserve">е системског ризика на тржишту капитала. Закон о тржишту капитала регулише следеће области: јавну понуду и секундарно трговање финансијским инструментима; пружање инвестиционих услуга и обављање инвестиционих активности, укључујући издавање дозвола за рад и уређивање инвестиционих друштава и других учесника на тржишту капитала у складу са овим законом; обелодањивање финансијских и других података, као и обавезе извештавања издавалаца и јавних друштава у складу са овим законом; забрану </w:t>
      </w:r>
      <w:proofErr w:type="spellStart"/>
      <w:r w:rsidRPr="00B30084">
        <w:rPr>
          <w:rFonts w:ascii="Times New Roman" w:hAnsi="Times New Roman" w:cs="Times New Roman"/>
          <w:sz w:val="24"/>
          <w:szCs w:val="24"/>
        </w:rPr>
        <w:t>преварних</w:t>
      </w:r>
      <w:proofErr w:type="spellEnd"/>
      <w:r w:rsidRPr="00B30084">
        <w:rPr>
          <w:rFonts w:ascii="Times New Roman" w:hAnsi="Times New Roman" w:cs="Times New Roman"/>
          <w:sz w:val="24"/>
          <w:szCs w:val="24"/>
        </w:rPr>
        <w:t xml:space="preserve">, манипулативних и других противзаконитих радњи и чињења у вези са куповином или продајом финансијских инструмената, као и остваривањем права гласа у вези са хартијама од вредности које издају јавна друштва; клиринг, салдирање и регистровање трансакција финансијским инструментима, као и организацију и надлежности Централног регистра, депоа и клиринга хартија од вредности; </w:t>
      </w:r>
      <w:r w:rsidR="0041052B">
        <w:rPr>
          <w:rFonts w:ascii="Times New Roman" w:hAnsi="Times New Roman" w:cs="Times New Roman"/>
          <w:sz w:val="24"/>
          <w:szCs w:val="24"/>
        </w:rPr>
        <w:t xml:space="preserve">и </w:t>
      </w:r>
      <w:r w:rsidRPr="00B30084">
        <w:rPr>
          <w:rFonts w:ascii="Times New Roman" w:hAnsi="Times New Roman" w:cs="Times New Roman"/>
          <w:sz w:val="24"/>
          <w:szCs w:val="24"/>
        </w:rPr>
        <w:t>организација и надлежности Комисије за хартије од вредности</w:t>
      </w:r>
      <w:r w:rsidR="00DB6D85" w:rsidRPr="00B30084">
        <w:rPr>
          <w:rFonts w:ascii="Times New Roman" w:hAnsi="Times New Roman" w:cs="Times New Roman"/>
          <w:sz w:val="24"/>
          <w:szCs w:val="24"/>
        </w:rPr>
        <w:t>.</w:t>
      </w:r>
    </w:p>
    <w:p w14:paraId="37F30E7A" w14:textId="492C9B3B"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sz w:val="24"/>
          <w:szCs w:val="24"/>
        </w:rPr>
      </w:pPr>
      <w:r w:rsidRPr="00B30084">
        <w:rPr>
          <w:rFonts w:ascii="Times New Roman" w:hAnsi="Times New Roman" w:cs="Times New Roman"/>
          <w:b/>
          <w:sz w:val="24"/>
          <w:szCs w:val="24"/>
        </w:rPr>
        <w:t>Закон о приватизацији</w:t>
      </w:r>
      <w:r w:rsidRPr="00B30084">
        <w:rPr>
          <w:rFonts w:ascii="Times New Roman" w:hAnsi="Times New Roman" w:cs="Times New Roman"/>
          <w:sz w:val="24"/>
          <w:szCs w:val="24"/>
        </w:rPr>
        <w:t xml:space="preserve"> (“Службени гласник РС” 83/2014, 46/2015, 112/2015, 20/2016). </w:t>
      </w:r>
      <w:r w:rsidR="00FC0AD7" w:rsidRPr="00B30084">
        <w:rPr>
          <w:rFonts w:ascii="Times New Roman" w:hAnsi="Times New Roman" w:cs="Times New Roman"/>
          <w:sz w:val="24"/>
          <w:szCs w:val="24"/>
        </w:rPr>
        <w:t>Г</w:t>
      </w:r>
      <w:r w:rsidRPr="00B30084">
        <w:rPr>
          <w:rFonts w:ascii="Times New Roman" w:hAnsi="Times New Roman" w:cs="Times New Roman"/>
          <w:sz w:val="24"/>
          <w:szCs w:val="24"/>
        </w:rPr>
        <w:t xml:space="preserve">лавни циљ Закона јесте регулисање услова и процедура за измену власништва друштвеног и државног капитала.  </w:t>
      </w:r>
    </w:p>
    <w:p w14:paraId="027F2D26" w14:textId="77777777"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sz w:val="24"/>
          <w:szCs w:val="24"/>
        </w:rPr>
      </w:pPr>
      <w:r w:rsidRPr="00B30084">
        <w:rPr>
          <w:rFonts w:ascii="Times New Roman" w:hAnsi="Times New Roman" w:cs="Times New Roman"/>
          <w:b/>
          <w:sz w:val="24"/>
          <w:szCs w:val="24"/>
        </w:rPr>
        <w:t xml:space="preserve">Закон о </w:t>
      </w:r>
      <w:proofErr w:type="spellStart"/>
      <w:r w:rsidRPr="00B30084">
        <w:rPr>
          <w:rFonts w:ascii="Times New Roman" w:hAnsi="Times New Roman" w:cs="Times New Roman"/>
          <w:b/>
          <w:bCs/>
          <w:sz w:val="24"/>
          <w:szCs w:val="24"/>
        </w:rPr>
        <w:t>о</w:t>
      </w:r>
      <w:proofErr w:type="spellEnd"/>
      <w:r w:rsidRPr="00B30084">
        <w:rPr>
          <w:rFonts w:ascii="Times New Roman" w:hAnsi="Times New Roman" w:cs="Times New Roman"/>
          <w:b/>
          <w:bCs/>
          <w:sz w:val="24"/>
          <w:szCs w:val="24"/>
        </w:rPr>
        <w:t xml:space="preserve"> заштити корисника финансијских услуга код уговарања на даљину</w:t>
      </w:r>
      <w:r w:rsidRPr="00B30084">
        <w:rPr>
          <w:rFonts w:ascii="Times New Roman" w:hAnsi="Times New Roman" w:cs="Times New Roman"/>
          <w:b/>
          <w:sz w:val="24"/>
          <w:szCs w:val="24"/>
        </w:rPr>
        <w:t xml:space="preserve"> </w:t>
      </w:r>
      <w:r w:rsidRPr="00B30084">
        <w:rPr>
          <w:rFonts w:ascii="Times New Roman" w:hAnsi="Times New Roman" w:cs="Times New Roman"/>
          <w:sz w:val="24"/>
          <w:szCs w:val="24"/>
        </w:rPr>
        <w:t xml:space="preserve">(“Службени гласник РС” 44/2018). Овим законом уређују се права корисника финансијских услуга код </w:t>
      </w:r>
      <w:proofErr w:type="spellStart"/>
      <w:r w:rsidRPr="00B30084">
        <w:rPr>
          <w:rFonts w:ascii="Times New Roman" w:hAnsi="Times New Roman" w:cs="Times New Roman"/>
          <w:sz w:val="24"/>
          <w:szCs w:val="24"/>
        </w:rPr>
        <w:t>уговaрања</w:t>
      </w:r>
      <w:proofErr w:type="spellEnd"/>
      <w:r w:rsidRPr="00B30084">
        <w:rPr>
          <w:rFonts w:ascii="Times New Roman" w:hAnsi="Times New Roman" w:cs="Times New Roman"/>
          <w:sz w:val="24"/>
          <w:szCs w:val="24"/>
        </w:rPr>
        <w:t xml:space="preserve"> финансијских услуга коришћењем средстава комуникације на даљину, као и услови и начин остваривања и заштите тих права.</w:t>
      </w:r>
    </w:p>
    <w:p w14:paraId="63F3C193" w14:textId="00BC9551"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sz w:val="24"/>
          <w:szCs w:val="24"/>
        </w:rPr>
      </w:pPr>
      <w:r w:rsidRPr="00B30084">
        <w:rPr>
          <w:rFonts w:ascii="Times New Roman" w:hAnsi="Times New Roman" w:cs="Times New Roman"/>
          <w:b/>
          <w:sz w:val="24"/>
          <w:szCs w:val="24"/>
        </w:rPr>
        <w:t xml:space="preserve">Закон о финансијском обезбеђењу </w:t>
      </w:r>
      <w:r w:rsidRPr="00B30084">
        <w:rPr>
          <w:rFonts w:ascii="Times New Roman" w:hAnsi="Times New Roman" w:cs="Times New Roman"/>
          <w:sz w:val="24"/>
          <w:szCs w:val="24"/>
        </w:rPr>
        <w:t>(“Службени гласник РС” 44/2018). Овим законом уређују се услови и начин посебног обезбеђења извршавања финансијских обавеза, на основу уговора о финансијском обезбеђењу који закључују учесници на финансијском тржишту. Циљ овог закона јесте остваривање и унапређ</w:t>
      </w:r>
      <w:r w:rsidR="00DB6D85" w:rsidRPr="00B30084">
        <w:rPr>
          <w:rFonts w:ascii="Times New Roman" w:hAnsi="Times New Roman" w:cs="Times New Roman"/>
          <w:sz w:val="24"/>
          <w:szCs w:val="24"/>
        </w:rPr>
        <w:t>е</w:t>
      </w:r>
      <w:r w:rsidRPr="00B30084">
        <w:rPr>
          <w:rFonts w:ascii="Times New Roman" w:hAnsi="Times New Roman" w:cs="Times New Roman"/>
          <w:sz w:val="24"/>
          <w:szCs w:val="24"/>
        </w:rPr>
        <w:t>ње правне сигурности и ефикасности у извршавању обавеза на финансијском тржишту, ради очувања и јачања стабилности финансијског система.</w:t>
      </w:r>
    </w:p>
    <w:p w14:paraId="19561C25" w14:textId="36DBE644" w:rsidR="002A2250" w:rsidRPr="00B30084" w:rsidRDefault="002A2250" w:rsidP="00DB6D85">
      <w:pPr>
        <w:pStyle w:val="Pasus"/>
        <w:numPr>
          <w:ilvl w:val="0"/>
          <w:numId w:val="12"/>
        </w:numPr>
        <w:snapToGrid w:val="0"/>
        <w:spacing w:before="120" w:after="120" w:line="276" w:lineRule="auto"/>
        <w:rPr>
          <w:rFonts w:ascii="Times New Roman" w:hAnsi="Times New Roman" w:cs="Times New Roman"/>
          <w:sz w:val="24"/>
          <w:szCs w:val="24"/>
        </w:rPr>
      </w:pPr>
      <w:r w:rsidRPr="00B30084">
        <w:rPr>
          <w:rFonts w:ascii="Times New Roman" w:hAnsi="Times New Roman" w:cs="Times New Roman"/>
          <w:b/>
          <w:sz w:val="24"/>
          <w:szCs w:val="24"/>
        </w:rPr>
        <w:t xml:space="preserve">Закон о привредним друштвима </w:t>
      </w:r>
      <w:r w:rsidRPr="00B30084">
        <w:rPr>
          <w:rFonts w:ascii="Times New Roman" w:hAnsi="Times New Roman" w:cs="Times New Roman"/>
          <w:sz w:val="24"/>
          <w:szCs w:val="24"/>
        </w:rPr>
        <w:t xml:space="preserve">(“Службени гласник РС” 36/2011, 9/2011, 83/2014, 5/2015, 44/2018, 95/2018, 91/2019). Овим законом уређује се правни </w:t>
      </w:r>
      <w:r w:rsidRPr="00B30084">
        <w:rPr>
          <w:rFonts w:ascii="Times New Roman" w:hAnsi="Times New Roman" w:cs="Times New Roman"/>
          <w:sz w:val="24"/>
          <w:szCs w:val="24"/>
        </w:rPr>
        <w:lastRenderedPageBreak/>
        <w:t>положај привредних друштава</w:t>
      </w:r>
      <w:r w:rsidR="00DB6D85" w:rsidRPr="00B30084">
        <w:rPr>
          <w:rFonts w:ascii="Times New Roman" w:hAnsi="Times New Roman" w:cs="Times New Roman"/>
          <w:sz w:val="24"/>
          <w:szCs w:val="24"/>
        </w:rPr>
        <w:t xml:space="preserve"> </w:t>
      </w:r>
      <w:r w:rsidRPr="00B30084">
        <w:rPr>
          <w:rFonts w:ascii="Times New Roman" w:hAnsi="Times New Roman" w:cs="Times New Roman"/>
          <w:sz w:val="24"/>
          <w:szCs w:val="24"/>
        </w:rPr>
        <w:t>и других облика организовања у складу са овим законом, а нарочито њихово оснивање, управљање, статусне промене, промене правне форме, престанак и друга питања од значаја за њихов положај, као и правни положај предузетника.</w:t>
      </w:r>
    </w:p>
    <w:p w14:paraId="1782659A" w14:textId="77777777"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sz w:val="24"/>
          <w:szCs w:val="24"/>
        </w:rPr>
      </w:pPr>
      <w:r w:rsidRPr="00B30084">
        <w:rPr>
          <w:rFonts w:ascii="Times New Roman" w:hAnsi="Times New Roman" w:cs="Times New Roman"/>
          <w:b/>
          <w:sz w:val="24"/>
          <w:szCs w:val="24"/>
        </w:rPr>
        <w:t xml:space="preserve">Закон о рачуноводству </w:t>
      </w:r>
      <w:r w:rsidRPr="00B30084">
        <w:rPr>
          <w:rFonts w:ascii="Times New Roman" w:hAnsi="Times New Roman" w:cs="Times New Roman"/>
          <w:sz w:val="24"/>
          <w:szCs w:val="24"/>
        </w:rPr>
        <w:t xml:space="preserve">(“Службени гласник РС” 73/2019, 44/2021). Овим законом уређују се обвезници примене овог закона, разврставање правних лица и предузетника, организација рачуноводства, рачуноводствене исправе и врсте пословних књига, услови и начин вођења пословних књига, Регистар пружалаца рачуноводствених услуга, признавање и вредновање позиција у финансијским извештајима, састављање, достављање и јавно објављивање финансијских извештаја, годишњег извештаја о пословању, извештаја о корпоративном управљању, извештаји о плаћањима ауторитетима власти и </w:t>
      </w:r>
      <w:proofErr w:type="spellStart"/>
      <w:r w:rsidRPr="00B30084">
        <w:rPr>
          <w:rFonts w:ascii="Times New Roman" w:hAnsi="Times New Roman" w:cs="Times New Roman"/>
          <w:sz w:val="24"/>
          <w:szCs w:val="24"/>
        </w:rPr>
        <w:t>нефинансијско</w:t>
      </w:r>
      <w:proofErr w:type="spellEnd"/>
      <w:r w:rsidRPr="00B30084">
        <w:rPr>
          <w:rFonts w:ascii="Times New Roman" w:hAnsi="Times New Roman" w:cs="Times New Roman"/>
          <w:sz w:val="24"/>
          <w:szCs w:val="24"/>
        </w:rPr>
        <w:t xml:space="preserve"> извештавање, Регистар финансијских извештаја, Национална комисија за рачуноводство и надзор над спровођењем одредби овог закона.</w:t>
      </w:r>
    </w:p>
    <w:p w14:paraId="0080743B" w14:textId="77777777"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sz w:val="24"/>
          <w:szCs w:val="24"/>
        </w:rPr>
      </w:pPr>
      <w:r w:rsidRPr="00B30084">
        <w:rPr>
          <w:rFonts w:ascii="Times New Roman" w:hAnsi="Times New Roman" w:cs="Times New Roman"/>
          <w:b/>
          <w:sz w:val="24"/>
          <w:szCs w:val="24"/>
        </w:rPr>
        <w:t xml:space="preserve">Закон о ревизији </w:t>
      </w:r>
      <w:r w:rsidRPr="00B30084">
        <w:rPr>
          <w:rFonts w:ascii="Times New Roman" w:hAnsi="Times New Roman" w:cs="Times New Roman"/>
          <w:sz w:val="24"/>
          <w:szCs w:val="24"/>
        </w:rPr>
        <w:t>(“Службени гласник РС” 73/2019). Овим законом уређују се услови и начин обављања ревизије финансијских извештаја, обавезност ревизије, стручна оспособљеност лица и лиценце за обављање ревизије, контрола квалитета рада друштава за ревизију, самосталних ревизора и лиценцираних овлашћених ревизора, давање и одузимање дозволе за рад друштвима за ревизију и самосталним ревизорима, надзор над обављањем ревизије, Комора овлашћених ревизора (у даљем тексту: Комора) и надзор над њеним радом, међународна сарадња са надлежним телима у области надзора, као и друга питања у вези са ревизијом.</w:t>
      </w:r>
    </w:p>
    <w:p w14:paraId="5AF7A026" w14:textId="77777777"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sz w:val="24"/>
          <w:szCs w:val="24"/>
        </w:rPr>
      </w:pPr>
      <w:r w:rsidRPr="00B30084">
        <w:rPr>
          <w:rFonts w:ascii="Times New Roman" w:hAnsi="Times New Roman" w:cs="Times New Roman"/>
          <w:b/>
          <w:sz w:val="24"/>
          <w:szCs w:val="24"/>
        </w:rPr>
        <w:t xml:space="preserve">Закон о спречавању прања новца и финансирања тероризма </w:t>
      </w:r>
      <w:r w:rsidRPr="00B30084">
        <w:rPr>
          <w:rFonts w:ascii="Times New Roman" w:hAnsi="Times New Roman" w:cs="Times New Roman"/>
          <w:sz w:val="24"/>
          <w:szCs w:val="24"/>
        </w:rPr>
        <w:t>(“Службени гласник РС” 113/2017, 91/2019, 153/2020). Овим законом прописују се радње и мере које се предузимају ради спречавања и откривања прања новца и финансирања тероризма, као и надлежност Управе за спречавање прања новца и надлежност других органа за спровођење одредаба овог закона.</w:t>
      </w:r>
    </w:p>
    <w:p w14:paraId="68C7ABCB" w14:textId="77777777"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b/>
          <w:sz w:val="24"/>
          <w:szCs w:val="24"/>
        </w:rPr>
      </w:pPr>
      <w:r w:rsidRPr="00B30084">
        <w:rPr>
          <w:rFonts w:ascii="Times New Roman" w:hAnsi="Times New Roman" w:cs="Times New Roman"/>
          <w:b/>
          <w:sz w:val="24"/>
          <w:szCs w:val="24"/>
        </w:rPr>
        <w:t xml:space="preserve">Закон о робним берзама </w:t>
      </w:r>
      <w:r w:rsidRPr="00B30084">
        <w:rPr>
          <w:rFonts w:ascii="Times New Roman" w:hAnsi="Times New Roman" w:cs="Times New Roman"/>
          <w:sz w:val="24"/>
          <w:szCs w:val="24"/>
        </w:rPr>
        <w:t>(“Службени гласник РС” 52/2019). Овим законом уређују се услови за оснивање, послови и организација робне берзе, повреде интегритета на робно-берзанском тржишту, као и надзор над применом овог закона.</w:t>
      </w:r>
    </w:p>
    <w:p w14:paraId="4F1675D1" w14:textId="77777777"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b/>
          <w:sz w:val="24"/>
          <w:szCs w:val="24"/>
        </w:rPr>
      </w:pPr>
      <w:r w:rsidRPr="00B30084">
        <w:rPr>
          <w:rFonts w:ascii="Times New Roman" w:hAnsi="Times New Roman" w:cs="Times New Roman"/>
          <w:b/>
          <w:sz w:val="24"/>
          <w:szCs w:val="24"/>
        </w:rPr>
        <w:t xml:space="preserve">Закон о преузимању акционарских друштава </w:t>
      </w:r>
      <w:r w:rsidRPr="00B30084">
        <w:rPr>
          <w:rFonts w:ascii="Times New Roman" w:hAnsi="Times New Roman" w:cs="Times New Roman"/>
          <w:sz w:val="24"/>
          <w:szCs w:val="24"/>
        </w:rPr>
        <w:t>(“Службени гласник РС” 46/2006, 107/2009, 99/2011, 108/2016). Овим законом уређују се услови и поступак за преузимање акционарских друштава</w:t>
      </w:r>
      <w:r w:rsidRPr="00B30084">
        <w:rPr>
          <w:rFonts w:ascii="Times New Roman" w:hAnsi="Times New Roman" w:cs="Times New Roman"/>
          <w:b/>
          <w:bCs/>
          <w:sz w:val="24"/>
          <w:szCs w:val="24"/>
        </w:rPr>
        <w:t> </w:t>
      </w:r>
      <w:r w:rsidRPr="00B30084">
        <w:rPr>
          <w:rFonts w:ascii="Times New Roman" w:hAnsi="Times New Roman" w:cs="Times New Roman"/>
          <w:bCs/>
          <w:sz w:val="24"/>
          <w:szCs w:val="24"/>
        </w:rPr>
        <w:t>чије је седиште у Републици Србији</w:t>
      </w:r>
      <w:r w:rsidRPr="00B30084">
        <w:rPr>
          <w:rFonts w:ascii="Times New Roman" w:hAnsi="Times New Roman" w:cs="Times New Roman"/>
          <w:sz w:val="24"/>
          <w:szCs w:val="24"/>
        </w:rPr>
        <w:t>, права и обавезе учесника у поступку преузимања и надзор над спровођењем поступка преузимања акционарских друштава.</w:t>
      </w:r>
    </w:p>
    <w:p w14:paraId="2BB2C26C" w14:textId="77777777"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b/>
          <w:sz w:val="24"/>
          <w:szCs w:val="24"/>
        </w:rPr>
      </w:pPr>
      <w:r w:rsidRPr="00B30084">
        <w:rPr>
          <w:rFonts w:ascii="Times New Roman" w:hAnsi="Times New Roman" w:cs="Times New Roman"/>
          <w:b/>
          <w:sz w:val="24"/>
          <w:szCs w:val="24"/>
        </w:rPr>
        <w:t xml:space="preserve">Закон о алтернативним инвестиционим фондовима </w:t>
      </w:r>
      <w:r w:rsidRPr="00B30084">
        <w:rPr>
          <w:rFonts w:ascii="Times New Roman" w:hAnsi="Times New Roman" w:cs="Times New Roman"/>
          <w:sz w:val="24"/>
          <w:szCs w:val="24"/>
        </w:rPr>
        <w:t xml:space="preserve">(“Службени гласник РС” 73/2019). Овим законом уређује се: оснивање и управљање алтернативним инвестиционим фондовима; оснивање, делатност и пословање друштава за </w:t>
      </w:r>
      <w:r w:rsidRPr="00B30084">
        <w:rPr>
          <w:rFonts w:ascii="Times New Roman" w:hAnsi="Times New Roman" w:cs="Times New Roman"/>
          <w:sz w:val="24"/>
          <w:szCs w:val="24"/>
        </w:rPr>
        <w:lastRenderedPageBreak/>
        <w:t xml:space="preserve">управљање алтернативним инвестиционим фондовима; начин стављања на тржиште, издавања и откупа удела у алтернативним инвестиционим фондовима; послови и дужности </w:t>
      </w:r>
      <w:proofErr w:type="spellStart"/>
      <w:r w:rsidRPr="00B30084">
        <w:rPr>
          <w:rFonts w:ascii="Times New Roman" w:hAnsi="Times New Roman" w:cs="Times New Roman"/>
          <w:sz w:val="24"/>
          <w:szCs w:val="24"/>
        </w:rPr>
        <w:t>депозитара</w:t>
      </w:r>
      <w:proofErr w:type="spellEnd"/>
      <w:r w:rsidRPr="00B30084">
        <w:rPr>
          <w:rFonts w:ascii="Times New Roman" w:hAnsi="Times New Roman" w:cs="Times New Roman"/>
          <w:sz w:val="24"/>
          <w:szCs w:val="24"/>
        </w:rPr>
        <w:t>, у смислу овог закона; надлежност Комисије за хартије од вредности; друга питања од значаја за област алтернативних инвестиционих фондова и друштава за управљање алтернативним инвестиционим фондовима.</w:t>
      </w:r>
    </w:p>
    <w:p w14:paraId="03D96781" w14:textId="22F7ED8F"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b/>
          <w:sz w:val="24"/>
          <w:szCs w:val="24"/>
        </w:rPr>
      </w:pPr>
      <w:r w:rsidRPr="00B30084">
        <w:rPr>
          <w:rFonts w:ascii="Times New Roman" w:hAnsi="Times New Roman" w:cs="Times New Roman"/>
          <w:b/>
          <w:sz w:val="24"/>
          <w:szCs w:val="24"/>
        </w:rPr>
        <w:t>Закон о отвореним инвестиционим фондовима</w:t>
      </w:r>
      <w:r w:rsidR="00457C23" w:rsidRPr="00B30084">
        <w:rPr>
          <w:rFonts w:ascii="Times New Roman" w:hAnsi="Times New Roman" w:cs="Times New Roman"/>
          <w:b/>
          <w:sz w:val="24"/>
          <w:szCs w:val="24"/>
        </w:rPr>
        <w:t xml:space="preserve"> са јавном понудом</w:t>
      </w:r>
      <w:r w:rsidRPr="00B30084">
        <w:rPr>
          <w:rFonts w:ascii="Times New Roman" w:hAnsi="Times New Roman" w:cs="Times New Roman"/>
          <w:b/>
          <w:sz w:val="24"/>
          <w:szCs w:val="24"/>
        </w:rPr>
        <w:t xml:space="preserve"> </w:t>
      </w:r>
      <w:r w:rsidRPr="00B30084">
        <w:rPr>
          <w:rFonts w:ascii="Times New Roman" w:hAnsi="Times New Roman" w:cs="Times New Roman"/>
          <w:sz w:val="24"/>
          <w:szCs w:val="24"/>
        </w:rPr>
        <w:t xml:space="preserve">(“Службени гласник РС” 73/2019). Овим законом уређује се: </w:t>
      </w:r>
      <w:proofErr w:type="spellStart"/>
      <w:r w:rsidRPr="00B30084">
        <w:rPr>
          <w:rFonts w:ascii="Times New Roman" w:hAnsi="Times New Roman" w:cs="Times New Roman"/>
          <w:sz w:val="24"/>
          <w:szCs w:val="24"/>
        </w:rPr>
        <w:t>оргaнизoвaњe</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упрaвљaњe</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oтвoрeним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инвeстициoним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фoндoвимa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jaвнoм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пoнудoм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oснивaњe</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дeлaтнoст</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пoслoвaњe</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друштвa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зa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упрaвљaњe</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oтвoрeним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инвeстициoним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фoндoвимa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jaвнoм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пoнудoм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пoслoви</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дужнoсти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дeпoзитaрa</w:t>
      </w:r>
      <w:proofErr w:type="spellEnd"/>
      <w:r w:rsidRPr="00B30084">
        <w:rPr>
          <w:rFonts w:ascii="Times New Roman" w:hAnsi="Times New Roman" w:cs="Times New Roman"/>
          <w:sz w:val="24"/>
          <w:szCs w:val="24"/>
        </w:rPr>
        <w:t xml:space="preserve">, у смислу </w:t>
      </w:r>
      <w:proofErr w:type="spellStart"/>
      <w:r w:rsidRPr="00B30084">
        <w:rPr>
          <w:rFonts w:ascii="Times New Roman" w:hAnsi="Times New Roman" w:cs="Times New Roman"/>
          <w:sz w:val="24"/>
          <w:szCs w:val="24"/>
        </w:rPr>
        <w:t>oвoг</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зaкoнa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нaдлeжнoст</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Кoмисиje</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зa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хaртиje</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oд</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врeднoсти</w:t>
      </w:r>
      <w:proofErr w:type="spellEnd"/>
      <w:r w:rsidRPr="00B30084">
        <w:rPr>
          <w:rFonts w:ascii="Times New Roman" w:hAnsi="Times New Roman" w:cs="Times New Roman"/>
          <w:sz w:val="24"/>
          <w:szCs w:val="24"/>
        </w:rPr>
        <w:t xml:space="preserve">; надзор над радом и пословањем отвореног инвестиционог фонда са јавном понудом, друштава за управљање отвореним инвестиционим фондовима са јавном понудом и </w:t>
      </w:r>
      <w:proofErr w:type="spellStart"/>
      <w:r w:rsidRPr="00B30084">
        <w:rPr>
          <w:rFonts w:ascii="Times New Roman" w:hAnsi="Times New Roman" w:cs="Times New Roman"/>
          <w:sz w:val="24"/>
          <w:szCs w:val="24"/>
        </w:rPr>
        <w:t>депозитара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другa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питaњa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oд</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знaчaja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зa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oблaст</w:t>
      </w:r>
      <w:proofErr w:type="spellEnd"/>
      <w:r w:rsidRPr="00B30084">
        <w:rPr>
          <w:rFonts w:ascii="Times New Roman" w:hAnsi="Times New Roman" w:cs="Times New Roman"/>
          <w:sz w:val="24"/>
          <w:szCs w:val="24"/>
        </w:rPr>
        <w:t xml:space="preserve"> отворених </w:t>
      </w:r>
      <w:proofErr w:type="spellStart"/>
      <w:r w:rsidRPr="00B30084">
        <w:rPr>
          <w:rFonts w:ascii="Times New Roman" w:hAnsi="Times New Roman" w:cs="Times New Roman"/>
          <w:sz w:val="24"/>
          <w:szCs w:val="24"/>
        </w:rPr>
        <w:t>инвeстициoних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фoндoвa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сa</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jaвнoм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пoнудoм</w:t>
      </w:r>
      <w:proofErr w:type="spellEnd"/>
      <w:r w:rsidRPr="00B30084">
        <w:rPr>
          <w:rFonts w:ascii="Times New Roman" w:hAnsi="Times New Roman" w:cs="Times New Roman"/>
          <w:sz w:val="24"/>
          <w:szCs w:val="24"/>
        </w:rPr>
        <w:t>.</w:t>
      </w:r>
    </w:p>
    <w:p w14:paraId="4664712B" w14:textId="26108776" w:rsidR="002A2250" w:rsidRPr="00B30084" w:rsidRDefault="002A2250" w:rsidP="00E50617">
      <w:pPr>
        <w:pStyle w:val="Pasus"/>
        <w:numPr>
          <w:ilvl w:val="0"/>
          <w:numId w:val="12"/>
        </w:numPr>
        <w:snapToGrid w:val="0"/>
        <w:spacing w:before="120" w:after="120" w:line="276" w:lineRule="auto"/>
        <w:rPr>
          <w:rFonts w:ascii="Times New Roman" w:hAnsi="Times New Roman" w:cs="Times New Roman"/>
          <w:b/>
          <w:sz w:val="24"/>
          <w:szCs w:val="24"/>
        </w:rPr>
      </w:pPr>
      <w:r w:rsidRPr="00B30084">
        <w:rPr>
          <w:rFonts w:ascii="Times New Roman" w:hAnsi="Times New Roman" w:cs="Times New Roman"/>
          <w:b/>
          <w:sz w:val="24"/>
          <w:szCs w:val="24"/>
        </w:rPr>
        <w:t xml:space="preserve">Закон о дигиталној имовини </w:t>
      </w:r>
      <w:r w:rsidRPr="00B30084">
        <w:rPr>
          <w:rFonts w:ascii="Times New Roman" w:hAnsi="Times New Roman" w:cs="Times New Roman"/>
          <w:sz w:val="24"/>
          <w:szCs w:val="24"/>
        </w:rPr>
        <w:t xml:space="preserve">(“Службени гласник РС” 153/2020). Овим законом уређују се: издавање дигиталне имовине и секундарно трговање дигиталном имовином у Републици Србији; пружање услуга повезаних с дигиталном имовином; заложно и </w:t>
      </w:r>
      <w:proofErr w:type="spellStart"/>
      <w:r w:rsidRPr="00B30084">
        <w:rPr>
          <w:rFonts w:ascii="Times New Roman" w:hAnsi="Times New Roman" w:cs="Times New Roman"/>
          <w:sz w:val="24"/>
          <w:szCs w:val="24"/>
        </w:rPr>
        <w:t>фидуцијарно</w:t>
      </w:r>
      <w:proofErr w:type="spellEnd"/>
      <w:r w:rsidRPr="00B30084">
        <w:rPr>
          <w:rFonts w:ascii="Times New Roman" w:hAnsi="Times New Roman" w:cs="Times New Roman"/>
          <w:sz w:val="24"/>
          <w:szCs w:val="24"/>
        </w:rPr>
        <w:t xml:space="preserve"> право на дигиталној имовини; надлежност Комисије за хартије од вредности; надзор над применом овог закона.</w:t>
      </w:r>
    </w:p>
    <w:p w14:paraId="40F94654" w14:textId="020A17BF" w:rsidR="00FD1591" w:rsidRDefault="00FD1591" w:rsidP="00E50617">
      <w:pPr>
        <w:pStyle w:val="ListParagraph"/>
        <w:numPr>
          <w:ilvl w:val="0"/>
          <w:numId w:val="12"/>
        </w:numPr>
        <w:spacing w:line="276" w:lineRule="auto"/>
        <w:jc w:val="both"/>
        <w:rPr>
          <w:rFonts w:ascii="Times New Roman" w:eastAsia="Cambria" w:hAnsi="Times New Roman" w:cs="Times New Roman"/>
          <w:sz w:val="24"/>
          <w:szCs w:val="24"/>
          <w:lang w:val="sr-Cyrl-RS"/>
        </w:rPr>
      </w:pPr>
      <w:r w:rsidRPr="00B30084">
        <w:rPr>
          <w:rFonts w:ascii="Times New Roman" w:hAnsi="Times New Roman" w:cs="Times New Roman"/>
          <w:b/>
          <w:sz w:val="24"/>
          <w:szCs w:val="24"/>
          <w:lang w:val="sr-Cyrl-RS"/>
        </w:rPr>
        <w:t xml:space="preserve">Закон о </w:t>
      </w:r>
      <w:r w:rsidRPr="00B30084">
        <w:rPr>
          <w:rFonts w:ascii="Times New Roman" w:eastAsia="Cambria" w:hAnsi="Times New Roman" w:cs="Times New Roman"/>
          <w:b/>
          <w:sz w:val="24"/>
          <w:szCs w:val="24"/>
          <w:lang w:val="sr-Cyrl-RS"/>
        </w:rPr>
        <w:t xml:space="preserve">добровољним пензијским фондовима и пензијским плановима </w:t>
      </w:r>
      <w:r w:rsidRPr="00B30084">
        <w:rPr>
          <w:rFonts w:ascii="Times New Roman" w:eastAsia="Cambria" w:hAnsi="Times New Roman" w:cs="Times New Roman"/>
          <w:sz w:val="24"/>
          <w:szCs w:val="24"/>
          <w:lang w:val="sr-Cyrl-RS"/>
        </w:rPr>
        <w:t>(„Службени гласник РС</w:t>
      </w:r>
      <w:r w:rsidR="00316523" w:rsidRPr="00B30084">
        <w:rPr>
          <w:rFonts w:ascii="Times New Roman" w:eastAsia="Cambria" w:hAnsi="Times New Roman" w:cs="Times New Roman"/>
          <w:sz w:val="24"/>
          <w:szCs w:val="24"/>
          <w:lang w:val="sr-Cyrl-RS"/>
        </w:rPr>
        <w:t>“85</w:t>
      </w:r>
      <w:r w:rsidRPr="00B30084">
        <w:rPr>
          <w:rFonts w:ascii="Times New Roman" w:eastAsia="Cambria" w:hAnsi="Times New Roman" w:cs="Times New Roman"/>
          <w:sz w:val="24"/>
          <w:szCs w:val="24"/>
          <w:lang w:val="sr-Cyrl-RS"/>
        </w:rPr>
        <w:t xml:space="preserve">/2005 и 31/2011). Овим законом уређује се: 1) организовање и управљање добровољним пензијским фондовима; 2) оснивање, делатност и пословање друштва за управљање добровољним пензијским фондовима;3) послови и дужности </w:t>
      </w:r>
      <w:proofErr w:type="spellStart"/>
      <w:r w:rsidRPr="00B30084">
        <w:rPr>
          <w:rFonts w:ascii="Times New Roman" w:eastAsia="Cambria" w:hAnsi="Times New Roman" w:cs="Times New Roman"/>
          <w:sz w:val="24"/>
          <w:szCs w:val="24"/>
          <w:lang w:val="sr-Cyrl-RS"/>
        </w:rPr>
        <w:t>кастоди</w:t>
      </w:r>
      <w:proofErr w:type="spellEnd"/>
      <w:r w:rsidRPr="00B30084">
        <w:rPr>
          <w:rFonts w:ascii="Times New Roman" w:eastAsia="Cambria" w:hAnsi="Times New Roman" w:cs="Times New Roman"/>
          <w:sz w:val="24"/>
          <w:szCs w:val="24"/>
          <w:lang w:val="sr-Cyrl-RS"/>
        </w:rPr>
        <w:t xml:space="preserve"> банке, у смислу овог закона; 4) надлежност Народне банке Србије у вршењу надзора над обављањем делатности друштава за управљање добровољним пензијским фондовима; 5) друга питања од значаја за функционисање добровољних пензијских фондова.</w:t>
      </w:r>
    </w:p>
    <w:p w14:paraId="583D9E6D" w14:textId="77777777" w:rsidR="0041052B" w:rsidRPr="00B30084" w:rsidRDefault="0041052B" w:rsidP="0041052B">
      <w:pPr>
        <w:pStyle w:val="ListParagraph"/>
        <w:spacing w:line="276" w:lineRule="auto"/>
        <w:ind w:left="810"/>
        <w:jc w:val="both"/>
        <w:rPr>
          <w:rFonts w:ascii="Times New Roman" w:eastAsia="Cambria" w:hAnsi="Times New Roman" w:cs="Times New Roman"/>
          <w:sz w:val="24"/>
          <w:szCs w:val="24"/>
          <w:lang w:val="sr-Cyrl-RS"/>
        </w:rPr>
      </w:pPr>
    </w:p>
    <w:p w14:paraId="7005DDA8" w14:textId="0024CACF" w:rsidR="00316523" w:rsidRPr="00B30084" w:rsidRDefault="00316523" w:rsidP="00E50617">
      <w:pPr>
        <w:pStyle w:val="ListParagraph"/>
        <w:numPr>
          <w:ilvl w:val="0"/>
          <w:numId w:val="12"/>
        </w:numPr>
        <w:spacing w:line="276" w:lineRule="auto"/>
        <w:jc w:val="both"/>
        <w:rPr>
          <w:rFonts w:ascii="Times New Roman" w:eastAsia="Cambria" w:hAnsi="Times New Roman" w:cs="Times New Roman"/>
          <w:sz w:val="24"/>
          <w:szCs w:val="24"/>
          <w:lang w:val="sr-Cyrl-RS"/>
        </w:rPr>
      </w:pPr>
      <w:r w:rsidRPr="00B30084">
        <w:rPr>
          <w:rFonts w:ascii="Times New Roman" w:hAnsi="Times New Roman" w:cs="Times New Roman"/>
          <w:b/>
          <w:sz w:val="24"/>
          <w:szCs w:val="24"/>
          <w:lang w:val="sr-Cyrl-RS"/>
        </w:rPr>
        <w:t xml:space="preserve">Закон о стечају </w:t>
      </w:r>
      <w:r w:rsidRPr="00B30084">
        <w:rPr>
          <w:rFonts w:ascii="Times New Roman" w:hAnsi="Times New Roman" w:cs="Times New Roman"/>
          <w:sz w:val="24"/>
          <w:szCs w:val="24"/>
          <w:lang w:val="sr-Cyrl-RS"/>
        </w:rPr>
        <w:t>(„Службени гласник РС“ 104/2009, 99/2011 – др. закон, 71/2012 – одлука УС, 83/2014, 113/2017, 44/2018 и 95/2018)</w:t>
      </w:r>
      <w:r w:rsidRPr="00B30084">
        <w:rPr>
          <w:rFonts w:ascii="Times New Roman" w:hAnsi="Times New Roman" w:cs="Times New Roman"/>
          <w:b/>
          <w:sz w:val="24"/>
          <w:szCs w:val="24"/>
          <w:lang w:val="sr-Cyrl-RS"/>
        </w:rPr>
        <w:t xml:space="preserve">. </w:t>
      </w:r>
      <w:r w:rsidRPr="00B30084">
        <w:rPr>
          <w:rFonts w:ascii="Times New Roman" w:hAnsi="Times New Roman" w:cs="Times New Roman"/>
          <w:sz w:val="24"/>
          <w:szCs w:val="24"/>
          <w:lang w:val="sr-Cyrl-RS"/>
        </w:rPr>
        <w:t xml:space="preserve">Овим законом уређују се услови и начин покретања и спровођења стечаја над правним лицима. Стечај се, у смислу овог закона, спроводи банкротством или реорганизацијом. Под банкротством се подразумева намирење поверилаца из вредности </w:t>
      </w:r>
      <w:proofErr w:type="spellStart"/>
      <w:r w:rsidRPr="00B30084">
        <w:rPr>
          <w:rFonts w:ascii="Times New Roman" w:hAnsi="Times New Roman" w:cs="Times New Roman"/>
          <w:sz w:val="24"/>
          <w:szCs w:val="24"/>
          <w:lang w:val="sr-Cyrl-RS"/>
        </w:rPr>
        <w:t>целоукупне</w:t>
      </w:r>
      <w:proofErr w:type="spellEnd"/>
      <w:r w:rsidRPr="00B30084">
        <w:rPr>
          <w:rFonts w:ascii="Times New Roman" w:hAnsi="Times New Roman" w:cs="Times New Roman"/>
          <w:sz w:val="24"/>
          <w:szCs w:val="24"/>
          <w:lang w:val="sr-Cyrl-RS"/>
        </w:rPr>
        <w:t xml:space="preserve"> имовине стечајног дужника, односно стечајног дужника као правног лица. Под реорганизацијом се подразумева намирење поверилаца према усвојеном плану реорганизације и то редефинисањем дужничко-поверилачких односа, статусним променама дужника или на други начин који је предвиђен планом реорганизације. </w:t>
      </w:r>
    </w:p>
    <w:p w14:paraId="2E08FFB7" w14:textId="48E9ABFF" w:rsidR="00FD1591" w:rsidRPr="00B30084" w:rsidRDefault="00FD1591" w:rsidP="00E50617">
      <w:pPr>
        <w:pStyle w:val="ListParagraph"/>
        <w:spacing w:line="276" w:lineRule="auto"/>
        <w:ind w:left="810"/>
        <w:jc w:val="both"/>
        <w:rPr>
          <w:rFonts w:ascii="Times New Roman" w:eastAsia="Cambria" w:hAnsi="Times New Roman" w:cs="Times New Roman"/>
          <w:b/>
          <w:sz w:val="24"/>
          <w:szCs w:val="24"/>
          <w:lang w:val="sr-Cyrl-RS"/>
        </w:rPr>
      </w:pPr>
    </w:p>
    <w:p w14:paraId="47782463" w14:textId="675880FC" w:rsidR="003F7D83" w:rsidRPr="00B30084" w:rsidRDefault="003F7D83" w:rsidP="00E50617">
      <w:pPr>
        <w:pStyle w:val="ListParagraph"/>
        <w:spacing w:line="276" w:lineRule="auto"/>
        <w:ind w:left="810"/>
        <w:jc w:val="both"/>
        <w:rPr>
          <w:rFonts w:ascii="Times New Roman" w:eastAsia="Cambria" w:hAnsi="Times New Roman" w:cs="Times New Roman"/>
          <w:b/>
          <w:sz w:val="24"/>
          <w:szCs w:val="24"/>
          <w:lang w:val="sr-Cyrl-RS"/>
        </w:rPr>
      </w:pPr>
    </w:p>
    <w:p w14:paraId="2B3CE9B7" w14:textId="77777777" w:rsidR="0041052B" w:rsidRDefault="0041052B" w:rsidP="00E50617">
      <w:pPr>
        <w:pStyle w:val="Pasus"/>
        <w:snapToGrid w:val="0"/>
        <w:spacing w:before="120" w:after="120" w:line="276" w:lineRule="auto"/>
        <w:ind w:firstLine="0"/>
        <w:rPr>
          <w:rFonts w:ascii="Times New Roman" w:hAnsi="Times New Roman" w:cs="Times New Roman"/>
          <w:sz w:val="24"/>
          <w:szCs w:val="24"/>
        </w:rPr>
      </w:pPr>
    </w:p>
    <w:p w14:paraId="45CE1659" w14:textId="7E94BDA9" w:rsidR="00AD5969" w:rsidRPr="00B30084" w:rsidRDefault="00AD5969" w:rsidP="00E50617">
      <w:pPr>
        <w:pStyle w:val="Pasus"/>
        <w:snapToGrid w:val="0"/>
        <w:spacing w:before="120" w:after="120" w:line="276" w:lineRule="auto"/>
        <w:ind w:firstLine="0"/>
        <w:rPr>
          <w:rFonts w:ascii="Times New Roman" w:hAnsi="Times New Roman" w:cs="Times New Roman"/>
          <w:sz w:val="24"/>
          <w:szCs w:val="24"/>
        </w:rPr>
      </w:pPr>
      <w:r w:rsidRPr="00B30084">
        <w:rPr>
          <w:rFonts w:ascii="Times New Roman" w:hAnsi="Times New Roman" w:cs="Times New Roman"/>
          <w:sz w:val="24"/>
          <w:szCs w:val="24"/>
        </w:rPr>
        <w:t>Други документи политика који су повезани са овом стратегијом су:</w:t>
      </w:r>
    </w:p>
    <w:p w14:paraId="0E3C3392" w14:textId="77777777" w:rsidR="00AD5969" w:rsidRPr="00B30084" w:rsidRDefault="00AD5969" w:rsidP="00275E1F">
      <w:pPr>
        <w:pStyle w:val="ListParagraph"/>
        <w:numPr>
          <w:ilvl w:val="0"/>
          <w:numId w:val="33"/>
        </w:numPr>
        <w:spacing w:line="276" w:lineRule="auto"/>
        <w:jc w:val="both"/>
        <w:rPr>
          <w:rFonts w:ascii="Times New Roman" w:hAnsi="Times New Roman" w:cs="Times New Roman"/>
          <w:sz w:val="24"/>
          <w:szCs w:val="24"/>
        </w:rPr>
      </w:pPr>
      <w:proofErr w:type="spellStart"/>
      <w:r w:rsidRPr="00B30084">
        <w:rPr>
          <w:rFonts w:ascii="Times New Roman" w:hAnsi="Times New Roman" w:cs="Times New Roman"/>
          <w:b/>
          <w:sz w:val="24"/>
          <w:szCs w:val="24"/>
        </w:rPr>
        <w:t>Фискална</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стратегија</w:t>
      </w:r>
      <w:proofErr w:type="spellEnd"/>
      <w:r w:rsidRPr="00B30084">
        <w:rPr>
          <w:rFonts w:ascii="Times New Roman" w:hAnsi="Times New Roman" w:cs="Times New Roman"/>
          <w:b/>
          <w:sz w:val="24"/>
          <w:szCs w:val="24"/>
        </w:rPr>
        <w:t xml:space="preserve"> за 2022. </w:t>
      </w:r>
      <w:proofErr w:type="spellStart"/>
      <w:r w:rsidRPr="00B30084">
        <w:rPr>
          <w:rFonts w:ascii="Times New Roman" w:hAnsi="Times New Roman" w:cs="Times New Roman"/>
          <w:b/>
          <w:sz w:val="24"/>
          <w:szCs w:val="24"/>
        </w:rPr>
        <w:t>годину</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са</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пројекцијама</w:t>
      </w:r>
      <w:proofErr w:type="spellEnd"/>
      <w:r w:rsidRPr="00B30084">
        <w:rPr>
          <w:rFonts w:ascii="Times New Roman" w:hAnsi="Times New Roman" w:cs="Times New Roman"/>
          <w:b/>
          <w:sz w:val="24"/>
          <w:szCs w:val="24"/>
        </w:rPr>
        <w:t xml:space="preserve"> за 2023. и 2024. </w:t>
      </w:r>
      <w:proofErr w:type="spellStart"/>
      <w:r w:rsidRPr="00B30084">
        <w:rPr>
          <w:rFonts w:ascii="Times New Roman" w:hAnsi="Times New Roman" w:cs="Times New Roman"/>
          <w:b/>
          <w:sz w:val="24"/>
          <w:szCs w:val="24"/>
        </w:rPr>
        <w:t>годину</w:t>
      </w:r>
      <w:proofErr w:type="spellEnd"/>
      <w:r w:rsidRPr="00B30084">
        <w:rPr>
          <w:rFonts w:ascii="Times New Roman" w:hAnsi="Times New Roman" w:cs="Times New Roman"/>
          <w:sz w:val="24"/>
          <w:szCs w:val="24"/>
        </w:rPr>
        <w:t>;</w:t>
      </w:r>
    </w:p>
    <w:p w14:paraId="36931658" w14:textId="77777777" w:rsidR="00AD5969" w:rsidRPr="00B30084" w:rsidRDefault="00AD5969" w:rsidP="00E50617">
      <w:pPr>
        <w:pStyle w:val="Pasus"/>
        <w:snapToGrid w:val="0"/>
        <w:spacing w:before="120" w:after="120" w:line="276" w:lineRule="auto"/>
        <w:ind w:left="720" w:firstLine="0"/>
        <w:rPr>
          <w:rFonts w:ascii="Times New Roman" w:hAnsi="Times New Roman" w:cs="Times New Roman"/>
          <w:sz w:val="24"/>
          <w:szCs w:val="24"/>
        </w:rPr>
      </w:pPr>
      <w:r w:rsidRPr="00B30084">
        <w:rPr>
          <w:rFonts w:ascii="Times New Roman" w:hAnsi="Times New Roman" w:cs="Times New Roman"/>
          <w:sz w:val="24"/>
          <w:szCs w:val="24"/>
        </w:rPr>
        <w:t xml:space="preserve">Увођење квалитетног капитала као и даљи развој тржишта капитала препознати су као једно од кључних мера за даљи развој привреде Републике Србије. </w:t>
      </w:r>
    </w:p>
    <w:p w14:paraId="43CD118C" w14:textId="77777777" w:rsidR="00AD5969" w:rsidRPr="00B30084" w:rsidRDefault="00AD5969" w:rsidP="00275E1F">
      <w:pPr>
        <w:pStyle w:val="ListParagraph"/>
        <w:numPr>
          <w:ilvl w:val="0"/>
          <w:numId w:val="33"/>
        </w:numPr>
        <w:spacing w:line="276" w:lineRule="auto"/>
        <w:jc w:val="both"/>
        <w:rPr>
          <w:rFonts w:ascii="Times New Roman" w:hAnsi="Times New Roman" w:cs="Times New Roman"/>
          <w:sz w:val="24"/>
          <w:szCs w:val="24"/>
        </w:rPr>
      </w:pPr>
      <w:proofErr w:type="spellStart"/>
      <w:r w:rsidRPr="00B30084">
        <w:rPr>
          <w:rFonts w:ascii="Times New Roman" w:hAnsi="Times New Roman" w:cs="Times New Roman"/>
          <w:b/>
          <w:sz w:val="24"/>
          <w:szCs w:val="24"/>
        </w:rPr>
        <w:t>Стратегија</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индустријске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политике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Републике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Србије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од</w:t>
      </w:r>
      <w:proofErr w:type="spellEnd"/>
      <w:r w:rsidRPr="00B30084">
        <w:rPr>
          <w:rFonts w:ascii="Times New Roman" w:hAnsi="Times New Roman" w:cs="Times New Roman"/>
          <w:b/>
          <w:sz w:val="24"/>
          <w:szCs w:val="24"/>
        </w:rPr>
        <w:t xml:space="preserve"> 2021</w:t>
      </w:r>
      <w:r w:rsidRPr="00B30084">
        <w:rPr>
          <w:rFonts w:ascii="Times New Roman" w:hAnsi="Times New Roman" w:cs="Times New Roman"/>
          <w:sz w:val="24"/>
          <w:szCs w:val="24"/>
        </w:rPr>
        <w:t xml:space="preserve">. </w:t>
      </w:r>
      <w:proofErr w:type="spellStart"/>
      <w:r w:rsidRPr="00B30084">
        <w:rPr>
          <w:rFonts w:ascii="Times New Roman" w:hAnsi="Times New Roman" w:cs="Times New Roman"/>
          <w:b/>
          <w:sz w:val="24"/>
          <w:szCs w:val="24"/>
        </w:rPr>
        <w:t>до</w:t>
      </w:r>
      <w:proofErr w:type="spellEnd"/>
      <w:r w:rsidRPr="00B30084">
        <w:rPr>
          <w:rFonts w:ascii="Times New Roman" w:hAnsi="Times New Roman" w:cs="Times New Roman"/>
          <w:b/>
          <w:sz w:val="24"/>
          <w:szCs w:val="24"/>
        </w:rPr>
        <w:t xml:space="preserve"> 2030. </w:t>
      </w:r>
      <w:proofErr w:type="spellStart"/>
      <w:r w:rsidRPr="00B30084">
        <w:rPr>
          <w:rFonts w:ascii="Times New Roman" w:hAnsi="Times New Roman" w:cs="Times New Roman"/>
          <w:b/>
          <w:sz w:val="24"/>
          <w:szCs w:val="24"/>
        </w:rPr>
        <w:t>године</w:t>
      </w:r>
      <w:proofErr w:type="spellEnd"/>
      <w:r w:rsidRPr="00B30084">
        <w:rPr>
          <w:rFonts w:ascii="Times New Roman" w:hAnsi="Times New Roman" w:cs="Times New Roman"/>
          <w:b/>
          <w:sz w:val="24"/>
          <w:szCs w:val="24"/>
        </w:rPr>
        <w:t xml:space="preserve"> </w:t>
      </w:r>
      <w:r w:rsidRPr="00B30084">
        <w:rPr>
          <w:rFonts w:ascii="Times New Roman" w:hAnsi="Times New Roman" w:cs="Times New Roman"/>
          <w:sz w:val="24"/>
          <w:szCs w:val="24"/>
        </w:rPr>
        <w:t>("</w:t>
      </w:r>
      <w:proofErr w:type="spellStart"/>
      <w:r w:rsidRPr="00B30084">
        <w:rPr>
          <w:rFonts w:ascii="Times New Roman" w:hAnsi="Times New Roman" w:cs="Times New Roman"/>
          <w:sz w:val="24"/>
          <w:szCs w:val="24"/>
        </w:rPr>
        <w:t>Службени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гласник</w:t>
      </w:r>
      <w:proofErr w:type="spellEnd"/>
      <w:r w:rsidRPr="00B30084">
        <w:rPr>
          <w:rFonts w:ascii="Times New Roman" w:hAnsi="Times New Roman" w:cs="Times New Roman"/>
          <w:sz w:val="24"/>
          <w:szCs w:val="24"/>
        </w:rPr>
        <w:t xml:space="preserve"> РС", 35/2020)</w:t>
      </w:r>
      <w:r w:rsidRPr="00B30084">
        <w:rPr>
          <w:rFonts w:ascii="Times New Roman" w:hAnsi="Times New Roman" w:cs="Times New Roman"/>
          <w:b/>
          <w:sz w:val="24"/>
          <w:szCs w:val="24"/>
        </w:rPr>
        <w:t>;</w:t>
      </w:r>
    </w:p>
    <w:p w14:paraId="2D27110F" w14:textId="77777777" w:rsidR="00AD5969" w:rsidRPr="00B30084" w:rsidRDefault="00AD5969" w:rsidP="00E50617">
      <w:pPr>
        <w:spacing w:line="276" w:lineRule="auto"/>
        <w:ind w:left="720"/>
        <w:jc w:val="both"/>
        <w:rPr>
          <w:rFonts w:ascii="Times New Roman" w:eastAsia="Cambria" w:hAnsi="Times New Roman" w:cs="Times New Roman"/>
          <w:sz w:val="24"/>
          <w:szCs w:val="24"/>
          <w:lang w:val="sr-Cyrl-RS"/>
        </w:rPr>
      </w:pPr>
      <w:r w:rsidRPr="00B30084">
        <w:rPr>
          <w:rFonts w:ascii="Times New Roman" w:hAnsi="Times New Roman" w:cs="Times New Roman"/>
          <w:sz w:val="24"/>
          <w:szCs w:val="24"/>
          <w:lang w:val="sr-Cyrl-RS"/>
        </w:rPr>
        <w:t xml:space="preserve">Предметна стратегија препознаје потребу за </w:t>
      </w:r>
      <w:r w:rsidRPr="00B30084">
        <w:rPr>
          <w:rFonts w:ascii="Times New Roman" w:eastAsia="Cambria" w:hAnsi="Times New Roman" w:cs="Times New Roman"/>
          <w:sz w:val="24"/>
          <w:szCs w:val="24"/>
          <w:lang w:val="sr-Cyrl-RS"/>
        </w:rPr>
        <w:t xml:space="preserve">повећање доступности финансијских инструмената за дигитализацију и иновације у индустрији. </w:t>
      </w:r>
    </w:p>
    <w:p w14:paraId="27A5D501" w14:textId="77777777" w:rsidR="00AD5969" w:rsidRPr="00B30084" w:rsidRDefault="00AD5969" w:rsidP="00275E1F">
      <w:pPr>
        <w:pStyle w:val="ListParagraph"/>
        <w:numPr>
          <w:ilvl w:val="0"/>
          <w:numId w:val="33"/>
        </w:numPr>
        <w:spacing w:line="276" w:lineRule="auto"/>
        <w:jc w:val="both"/>
        <w:rPr>
          <w:rFonts w:ascii="Times New Roman" w:hAnsi="Times New Roman" w:cs="Times New Roman"/>
          <w:b/>
          <w:sz w:val="24"/>
          <w:szCs w:val="24"/>
        </w:rPr>
      </w:pPr>
      <w:proofErr w:type="spellStart"/>
      <w:r w:rsidRPr="00B30084">
        <w:rPr>
          <w:rFonts w:ascii="Times New Roman" w:hAnsi="Times New Roman" w:cs="Times New Roman"/>
          <w:b/>
          <w:sz w:val="24"/>
          <w:szCs w:val="24"/>
        </w:rPr>
        <w:t>Програм</w:t>
      </w:r>
      <w:proofErr w:type="spellEnd"/>
      <w:r w:rsidRPr="00B30084">
        <w:rPr>
          <w:rFonts w:ascii="Times New Roman" w:hAnsi="Times New Roman" w:cs="Times New Roman"/>
          <w:b/>
          <w:sz w:val="24"/>
          <w:szCs w:val="24"/>
        </w:rPr>
        <w:t xml:space="preserve"> за </w:t>
      </w:r>
      <w:proofErr w:type="spellStart"/>
      <w:r w:rsidRPr="00B30084">
        <w:rPr>
          <w:rFonts w:ascii="Times New Roman" w:hAnsi="Times New Roman" w:cs="Times New Roman"/>
          <w:b/>
          <w:sz w:val="24"/>
          <w:szCs w:val="24"/>
        </w:rPr>
        <w:t>унапређење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позиције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Републике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Србије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на</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Ранг-листи</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Светске</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банке</w:t>
      </w:r>
      <w:proofErr w:type="spellEnd"/>
      <w:r w:rsidRPr="00B30084">
        <w:rPr>
          <w:rFonts w:ascii="Times New Roman" w:hAnsi="Times New Roman" w:cs="Times New Roman"/>
          <w:b/>
          <w:sz w:val="24"/>
          <w:szCs w:val="24"/>
        </w:rPr>
        <w:t xml:space="preserve"> о </w:t>
      </w:r>
      <w:proofErr w:type="spellStart"/>
      <w:r w:rsidRPr="00B30084">
        <w:rPr>
          <w:rFonts w:ascii="Times New Roman" w:hAnsi="Times New Roman" w:cs="Times New Roman"/>
          <w:b/>
          <w:sz w:val="24"/>
          <w:szCs w:val="24"/>
        </w:rPr>
        <w:t>условима</w:t>
      </w:r>
      <w:proofErr w:type="spellEnd"/>
      <w:r w:rsidRPr="00B30084">
        <w:rPr>
          <w:rFonts w:ascii="Times New Roman" w:hAnsi="Times New Roman" w:cs="Times New Roman"/>
          <w:b/>
          <w:sz w:val="24"/>
          <w:szCs w:val="24"/>
        </w:rPr>
        <w:t xml:space="preserve"> </w:t>
      </w:r>
      <w:proofErr w:type="spellStart"/>
      <w:r w:rsidRPr="00B30084">
        <w:rPr>
          <w:rFonts w:ascii="Times New Roman" w:hAnsi="Times New Roman" w:cs="Times New Roman"/>
          <w:b/>
          <w:sz w:val="24"/>
          <w:szCs w:val="24"/>
        </w:rPr>
        <w:t>пословања</w:t>
      </w:r>
      <w:proofErr w:type="spellEnd"/>
      <w:r w:rsidRPr="00B30084">
        <w:rPr>
          <w:rFonts w:ascii="Times New Roman" w:hAnsi="Times New Roman" w:cs="Times New Roman"/>
          <w:b/>
          <w:sz w:val="24"/>
          <w:szCs w:val="24"/>
        </w:rPr>
        <w:t xml:space="preserve"> – Doing business за </w:t>
      </w:r>
      <w:proofErr w:type="spellStart"/>
      <w:r w:rsidRPr="00B30084">
        <w:rPr>
          <w:rFonts w:ascii="Times New Roman" w:hAnsi="Times New Roman" w:cs="Times New Roman"/>
          <w:b/>
          <w:sz w:val="24"/>
          <w:szCs w:val="24"/>
        </w:rPr>
        <w:t>период</w:t>
      </w:r>
      <w:proofErr w:type="spellEnd"/>
      <w:r w:rsidRPr="00B30084">
        <w:rPr>
          <w:rFonts w:ascii="Times New Roman" w:hAnsi="Times New Roman" w:cs="Times New Roman"/>
          <w:b/>
          <w:sz w:val="24"/>
          <w:szCs w:val="24"/>
        </w:rPr>
        <w:t xml:space="preserve"> 2020-2030. </w:t>
      </w:r>
      <w:proofErr w:type="spellStart"/>
      <w:r w:rsidRPr="00B30084">
        <w:rPr>
          <w:rFonts w:ascii="Times New Roman" w:hAnsi="Times New Roman" w:cs="Times New Roman"/>
          <w:b/>
          <w:sz w:val="24"/>
          <w:szCs w:val="24"/>
        </w:rPr>
        <w:t>године</w:t>
      </w:r>
      <w:proofErr w:type="spellEnd"/>
      <w:r w:rsidRPr="00B30084">
        <w:rPr>
          <w:rFonts w:ascii="Times New Roman" w:hAnsi="Times New Roman" w:cs="Times New Roman"/>
          <w:b/>
          <w:sz w:val="24"/>
          <w:szCs w:val="24"/>
        </w:rPr>
        <w:t xml:space="preserve"> </w:t>
      </w:r>
      <w:r w:rsidRPr="00B30084">
        <w:rPr>
          <w:rFonts w:ascii="Times New Roman" w:hAnsi="Times New Roman" w:cs="Times New Roman"/>
          <w:sz w:val="24"/>
          <w:szCs w:val="24"/>
        </w:rPr>
        <w:t>("</w:t>
      </w:r>
      <w:proofErr w:type="spellStart"/>
      <w:r w:rsidRPr="00B30084">
        <w:rPr>
          <w:rFonts w:ascii="Times New Roman" w:hAnsi="Times New Roman" w:cs="Times New Roman"/>
          <w:sz w:val="24"/>
          <w:szCs w:val="24"/>
        </w:rPr>
        <w:t>Службени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гласник</w:t>
      </w:r>
      <w:proofErr w:type="spellEnd"/>
      <w:r w:rsidRPr="00B30084">
        <w:rPr>
          <w:rFonts w:ascii="Times New Roman" w:hAnsi="Times New Roman" w:cs="Times New Roman"/>
          <w:sz w:val="24"/>
          <w:szCs w:val="24"/>
        </w:rPr>
        <w:t xml:space="preserve"> РС", 89/2020);</w:t>
      </w:r>
    </w:p>
    <w:p w14:paraId="4FA927C5" w14:textId="77777777" w:rsidR="00275E1F" w:rsidRPr="00B30084" w:rsidRDefault="00275E1F" w:rsidP="00275E1F">
      <w:pPr>
        <w:pStyle w:val="ListParagraph"/>
        <w:spacing w:line="276" w:lineRule="auto"/>
        <w:ind w:left="810"/>
        <w:jc w:val="both"/>
        <w:rPr>
          <w:rFonts w:ascii="Times New Roman" w:hAnsi="Times New Roman" w:cs="Times New Roman"/>
          <w:sz w:val="24"/>
          <w:szCs w:val="24"/>
        </w:rPr>
      </w:pPr>
    </w:p>
    <w:p w14:paraId="1FE955AA" w14:textId="36796C4A" w:rsidR="00AD5969" w:rsidRPr="00B30084" w:rsidRDefault="00AD5969" w:rsidP="00275E1F">
      <w:pPr>
        <w:pStyle w:val="ListParagraph"/>
        <w:spacing w:line="276" w:lineRule="auto"/>
        <w:ind w:left="810"/>
        <w:jc w:val="both"/>
        <w:rPr>
          <w:rFonts w:ascii="Times New Roman" w:hAnsi="Times New Roman" w:cs="Times New Roman"/>
          <w:sz w:val="24"/>
          <w:szCs w:val="24"/>
        </w:rPr>
      </w:pPr>
      <w:proofErr w:type="spellStart"/>
      <w:r w:rsidRPr="00B30084">
        <w:rPr>
          <w:rFonts w:ascii="Times New Roman" w:hAnsi="Times New Roman" w:cs="Times New Roman"/>
          <w:sz w:val="24"/>
          <w:szCs w:val="24"/>
        </w:rPr>
        <w:t>Предметни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програм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наводи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мере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које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треба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предузети</w:t>
      </w:r>
      <w:proofErr w:type="spellEnd"/>
      <w:r w:rsidRPr="00B30084">
        <w:rPr>
          <w:rFonts w:ascii="Times New Roman" w:hAnsi="Times New Roman" w:cs="Times New Roman"/>
          <w:sz w:val="24"/>
          <w:szCs w:val="24"/>
        </w:rPr>
        <w:t xml:space="preserve"> у </w:t>
      </w:r>
      <w:proofErr w:type="spellStart"/>
      <w:r w:rsidRPr="00B30084">
        <w:rPr>
          <w:rFonts w:ascii="Times New Roman" w:hAnsi="Times New Roman" w:cs="Times New Roman"/>
          <w:sz w:val="24"/>
          <w:szCs w:val="24"/>
        </w:rPr>
        <w:t>циљу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побољшања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позиције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Републике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Србије</w:t>
      </w:r>
      <w:proofErr w:type="spellEnd"/>
      <w:r w:rsidRPr="00B30084">
        <w:rPr>
          <w:rFonts w:ascii="Times New Roman" w:hAnsi="Times New Roman" w:cs="Times New Roman"/>
          <w:sz w:val="24"/>
          <w:szCs w:val="24"/>
        </w:rPr>
        <w:t xml:space="preserve"> Doing business за </w:t>
      </w:r>
      <w:proofErr w:type="spellStart"/>
      <w:r w:rsidRPr="00B30084">
        <w:rPr>
          <w:rFonts w:ascii="Times New Roman" w:hAnsi="Times New Roman" w:cs="Times New Roman"/>
          <w:sz w:val="24"/>
          <w:szCs w:val="24"/>
        </w:rPr>
        <w:t>период</w:t>
      </w:r>
      <w:proofErr w:type="spellEnd"/>
      <w:r w:rsidRPr="00B30084">
        <w:rPr>
          <w:rFonts w:ascii="Times New Roman" w:hAnsi="Times New Roman" w:cs="Times New Roman"/>
          <w:sz w:val="24"/>
          <w:szCs w:val="24"/>
        </w:rPr>
        <w:t xml:space="preserve"> 2020-2030</w:t>
      </w:r>
      <w:r w:rsidRPr="00BB7E7C">
        <w:rPr>
          <w:rFonts w:ascii="Times New Roman" w:hAnsi="Times New Roman" w:cs="Times New Roman"/>
          <w:sz w:val="24"/>
          <w:szCs w:val="24"/>
        </w:rPr>
        <w:t xml:space="preserve">. </w:t>
      </w:r>
      <w:r w:rsidR="001F5FF8" w:rsidRPr="00BB7E7C">
        <w:rPr>
          <w:rFonts w:ascii="Times New Roman" w:hAnsi="Times New Roman" w:cs="Times New Roman"/>
          <w:sz w:val="24"/>
          <w:szCs w:val="24"/>
          <w:lang w:val="sr-Cyrl-RS"/>
        </w:rPr>
        <w:t>г</w:t>
      </w:r>
      <w:proofErr w:type="spellStart"/>
      <w:r w:rsidRPr="00BB7E7C">
        <w:rPr>
          <w:rFonts w:ascii="Times New Roman" w:hAnsi="Times New Roman" w:cs="Times New Roman"/>
          <w:sz w:val="24"/>
          <w:szCs w:val="24"/>
        </w:rPr>
        <w:t>одине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што</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укључује</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мере</w:t>
      </w:r>
      <w:proofErr w:type="spellEnd"/>
      <w:r w:rsidRPr="00B30084">
        <w:rPr>
          <w:rFonts w:ascii="Times New Roman" w:hAnsi="Times New Roman" w:cs="Times New Roman"/>
          <w:sz w:val="24"/>
          <w:szCs w:val="24"/>
        </w:rPr>
        <w:t xml:space="preserve"> у </w:t>
      </w:r>
      <w:proofErr w:type="spellStart"/>
      <w:r w:rsidRPr="00B30084">
        <w:rPr>
          <w:rFonts w:ascii="Times New Roman" w:hAnsi="Times New Roman" w:cs="Times New Roman"/>
          <w:sz w:val="24"/>
          <w:szCs w:val="24"/>
        </w:rPr>
        <w:t>вези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пословањем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тржишту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капитала</w:t>
      </w:r>
      <w:proofErr w:type="spellEnd"/>
      <w:r w:rsidRPr="00B30084">
        <w:rPr>
          <w:rFonts w:ascii="Times New Roman" w:hAnsi="Times New Roman" w:cs="Times New Roman"/>
          <w:sz w:val="24"/>
          <w:szCs w:val="24"/>
        </w:rPr>
        <w:t xml:space="preserve">. </w:t>
      </w:r>
    </w:p>
    <w:p w14:paraId="2D23AE10" w14:textId="2DEB381A" w:rsidR="004005B3" w:rsidRPr="00B30084" w:rsidRDefault="004005B3" w:rsidP="00E50617">
      <w:pPr>
        <w:spacing w:line="276" w:lineRule="auto"/>
        <w:jc w:val="both"/>
        <w:rPr>
          <w:rFonts w:ascii="Times New Roman" w:eastAsia="Cambria" w:hAnsi="Times New Roman" w:cs="Times New Roman"/>
          <w:sz w:val="24"/>
          <w:szCs w:val="24"/>
          <w:lang w:val="sr-Cyrl-RS"/>
        </w:rPr>
      </w:pPr>
      <w:r w:rsidRPr="00B30084">
        <w:rPr>
          <w:rFonts w:ascii="Times New Roman" w:eastAsia="Cambria" w:hAnsi="Times New Roman" w:cs="Times New Roman"/>
          <w:sz w:val="24"/>
          <w:szCs w:val="24"/>
          <w:lang w:val="sr-Cyrl-RS"/>
        </w:rPr>
        <w:t>Законодавство ЕУ у области тржишта капитала:</w:t>
      </w:r>
    </w:p>
    <w:p w14:paraId="4CD96D42" w14:textId="013A6C55" w:rsidR="004005B3" w:rsidRPr="001F5FF8" w:rsidRDefault="004005B3" w:rsidP="00DB6D85">
      <w:pPr>
        <w:pStyle w:val="ListParagraph"/>
        <w:numPr>
          <w:ilvl w:val="0"/>
          <w:numId w:val="34"/>
        </w:numPr>
        <w:spacing w:line="276" w:lineRule="auto"/>
        <w:jc w:val="both"/>
        <w:rPr>
          <w:rFonts w:ascii="Times New Roman" w:eastAsia="Cambria" w:hAnsi="Times New Roman" w:cs="Times New Roman"/>
          <w:strike/>
          <w:sz w:val="24"/>
          <w:szCs w:val="24"/>
          <w:lang w:val="sr-Cyrl-RS"/>
        </w:rPr>
      </w:pPr>
      <w:r w:rsidRPr="00B30084">
        <w:rPr>
          <w:rFonts w:ascii="Times New Roman" w:eastAsia="Cambria" w:hAnsi="Times New Roman" w:cs="Times New Roman"/>
          <w:b/>
          <w:sz w:val="24"/>
          <w:szCs w:val="24"/>
          <w:lang w:val="sr-Cyrl-RS"/>
        </w:rPr>
        <w:t>Директива 2014/65/ЕУ</w:t>
      </w:r>
      <w:r w:rsidR="001F5FF8">
        <w:rPr>
          <w:rFonts w:ascii="Times New Roman" w:eastAsia="Cambria" w:hAnsi="Times New Roman" w:cs="Times New Roman"/>
          <w:sz w:val="24"/>
          <w:szCs w:val="24"/>
          <w:lang w:val="sr-Cyrl-RS"/>
        </w:rPr>
        <w:t xml:space="preserve"> о тржишти</w:t>
      </w:r>
      <w:r w:rsidRPr="00B30084">
        <w:rPr>
          <w:rFonts w:ascii="Times New Roman" w:eastAsia="Cambria" w:hAnsi="Times New Roman" w:cs="Times New Roman"/>
          <w:sz w:val="24"/>
          <w:szCs w:val="24"/>
          <w:lang w:val="sr-Cyrl-RS"/>
        </w:rPr>
        <w:t xml:space="preserve">ма финансијских инструмената. Сврха ове Директиве је да обухвати </w:t>
      </w:r>
      <w:r w:rsidR="00307467" w:rsidRPr="00B30084">
        <w:rPr>
          <w:rFonts w:ascii="Times New Roman" w:eastAsia="Cambria" w:hAnsi="Times New Roman" w:cs="Times New Roman"/>
          <w:sz w:val="24"/>
          <w:szCs w:val="24"/>
          <w:lang w:val="sr-Cyrl-RS"/>
        </w:rPr>
        <w:t>привредна друштва</w:t>
      </w:r>
      <w:r w:rsidRPr="00B30084">
        <w:rPr>
          <w:rFonts w:ascii="Times New Roman" w:eastAsia="Cambria" w:hAnsi="Times New Roman" w:cs="Times New Roman"/>
          <w:sz w:val="24"/>
          <w:szCs w:val="24"/>
          <w:lang w:val="sr-Cyrl-RS"/>
        </w:rPr>
        <w:t xml:space="preserve"> чија је редовна делатност или</w:t>
      </w:r>
      <w:r w:rsidR="001F5FF8">
        <w:rPr>
          <w:rFonts w:ascii="Times New Roman" w:eastAsia="Cambria" w:hAnsi="Times New Roman" w:cs="Times New Roman"/>
          <w:sz w:val="24"/>
          <w:szCs w:val="24"/>
          <w:lang w:val="sr-Cyrl-RS"/>
        </w:rPr>
        <w:t xml:space="preserve"> пружање инвестиционих услуга </w:t>
      </w:r>
      <w:r w:rsidR="001F5FF8" w:rsidRPr="0041052B">
        <w:rPr>
          <w:rFonts w:ascii="Times New Roman" w:eastAsia="Cambria" w:hAnsi="Times New Roman" w:cs="Times New Roman"/>
          <w:sz w:val="24"/>
          <w:szCs w:val="24"/>
          <w:lang w:val="sr-Cyrl-RS"/>
        </w:rPr>
        <w:t>и/</w:t>
      </w:r>
      <w:r w:rsidRPr="0041052B">
        <w:rPr>
          <w:rFonts w:ascii="Times New Roman" w:eastAsia="Cambria" w:hAnsi="Times New Roman" w:cs="Times New Roman"/>
          <w:sz w:val="24"/>
          <w:szCs w:val="24"/>
          <w:lang w:val="sr-Cyrl-RS"/>
        </w:rPr>
        <w:t>или</w:t>
      </w:r>
      <w:r w:rsidRPr="00B30084">
        <w:rPr>
          <w:rFonts w:ascii="Times New Roman" w:eastAsia="Cambria" w:hAnsi="Times New Roman" w:cs="Times New Roman"/>
          <w:sz w:val="24"/>
          <w:szCs w:val="24"/>
          <w:lang w:val="sr-Cyrl-RS"/>
        </w:rPr>
        <w:t xml:space="preserve"> обављање инвестиционих активности на професионалној основи. </w:t>
      </w:r>
    </w:p>
    <w:p w14:paraId="0438E43F" w14:textId="410B1FF7" w:rsidR="004005B3" w:rsidRPr="00B30084" w:rsidRDefault="004005B3" w:rsidP="00DB6D85">
      <w:pPr>
        <w:pStyle w:val="ListParagraph"/>
        <w:numPr>
          <w:ilvl w:val="0"/>
          <w:numId w:val="34"/>
        </w:numPr>
        <w:spacing w:line="276" w:lineRule="auto"/>
        <w:jc w:val="both"/>
        <w:rPr>
          <w:rFonts w:ascii="Times New Roman" w:eastAsia="Cambria" w:hAnsi="Times New Roman" w:cs="Times New Roman"/>
          <w:sz w:val="24"/>
          <w:szCs w:val="24"/>
          <w:lang w:val="sr-Cyrl-RS"/>
        </w:rPr>
      </w:pPr>
      <w:r w:rsidRPr="00B30084">
        <w:rPr>
          <w:rFonts w:ascii="Times New Roman" w:eastAsia="Cambria" w:hAnsi="Times New Roman" w:cs="Times New Roman"/>
          <w:b/>
          <w:sz w:val="24"/>
          <w:szCs w:val="24"/>
          <w:lang w:val="sr-Cyrl-RS"/>
        </w:rPr>
        <w:t>Регулатива 600/2014</w:t>
      </w:r>
      <w:r w:rsidRPr="00B30084">
        <w:rPr>
          <w:rFonts w:ascii="Times New Roman" w:eastAsia="Cambria" w:hAnsi="Times New Roman" w:cs="Times New Roman"/>
          <w:sz w:val="24"/>
          <w:szCs w:val="24"/>
          <w:lang w:val="sr-Cyrl-RS"/>
        </w:rPr>
        <w:t xml:space="preserve"> о тржиштима финансијских инструмената. </w:t>
      </w:r>
    </w:p>
    <w:p w14:paraId="1598E928" w14:textId="67A6C80D" w:rsidR="004005B3" w:rsidRPr="0041052B" w:rsidRDefault="004005B3" w:rsidP="00DB6D85">
      <w:pPr>
        <w:pStyle w:val="ListParagraph"/>
        <w:numPr>
          <w:ilvl w:val="0"/>
          <w:numId w:val="34"/>
        </w:numPr>
        <w:spacing w:line="276" w:lineRule="auto"/>
        <w:jc w:val="both"/>
        <w:rPr>
          <w:rFonts w:ascii="Times New Roman" w:eastAsia="Cambria" w:hAnsi="Times New Roman" w:cs="Times New Roman"/>
          <w:sz w:val="24"/>
          <w:szCs w:val="24"/>
          <w:lang w:val="sr-Cyrl-RS"/>
        </w:rPr>
      </w:pPr>
      <w:r w:rsidRPr="0041052B">
        <w:rPr>
          <w:rFonts w:ascii="Times New Roman" w:eastAsia="Cambria" w:hAnsi="Times New Roman" w:cs="Times New Roman"/>
          <w:b/>
          <w:sz w:val="24"/>
          <w:szCs w:val="24"/>
          <w:lang w:val="sr-Cyrl-RS"/>
        </w:rPr>
        <w:t>Регулатива 648/2012</w:t>
      </w:r>
      <w:r w:rsidR="00307467" w:rsidRPr="0041052B">
        <w:rPr>
          <w:rFonts w:ascii="Times New Roman" w:eastAsia="Cambria" w:hAnsi="Times New Roman" w:cs="Times New Roman"/>
          <w:b/>
          <w:sz w:val="24"/>
          <w:szCs w:val="24"/>
          <w:lang w:val="sr-Cyrl-RS"/>
        </w:rPr>
        <w:t xml:space="preserve"> </w:t>
      </w:r>
      <w:r w:rsidR="00307467" w:rsidRPr="0041052B">
        <w:rPr>
          <w:rFonts w:ascii="Times New Roman" w:eastAsia="Cambria" w:hAnsi="Times New Roman" w:cs="Times New Roman"/>
          <w:sz w:val="24"/>
          <w:szCs w:val="24"/>
          <w:lang w:val="sr-Cyrl-RS"/>
        </w:rPr>
        <w:t>о OT</w:t>
      </w:r>
      <w:r w:rsidR="003B39F9">
        <w:rPr>
          <w:rFonts w:ascii="Times New Roman" w:eastAsia="Cambria" w:hAnsi="Times New Roman" w:cs="Times New Roman"/>
          <w:sz w:val="24"/>
          <w:szCs w:val="24"/>
          <w:lang w:val="sr-Cyrl-RS"/>
        </w:rPr>
        <w:t>Ц</w:t>
      </w:r>
      <w:r w:rsidR="00307467" w:rsidRPr="0041052B">
        <w:rPr>
          <w:rFonts w:ascii="Times New Roman" w:eastAsia="Cambria" w:hAnsi="Times New Roman" w:cs="Times New Roman"/>
          <w:sz w:val="24"/>
          <w:szCs w:val="24"/>
          <w:lang w:val="sr-Cyrl-RS"/>
        </w:rPr>
        <w:t xml:space="preserve"> дериватима, централним тржишним учесницима и депоима података о трговању</w:t>
      </w:r>
      <w:r w:rsidRPr="0041052B">
        <w:rPr>
          <w:rFonts w:ascii="Times New Roman" w:eastAsia="Cambria" w:hAnsi="Times New Roman" w:cs="Times New Roman"/>
          <w:b/>
          <w:sz w:val="24"/>
          <w:szCs w:val="24"/>
          <w:lang w:val="sr-Cyrl-RS"/>
        </w:rPr>
        <w:t xml:space="preserve"> </w:t>
      </w:r>
      <w:r w:rsidRPr="0041052B">
        <w:rPr>
          <w:rFonts w:ascii="Times New Roman" w:eastAsia="Cambria" w:hAnsi="Times New Roman" w:cs="Times New Roman"/>
          <w:sz w:val="24"/>
          <w:szCs w:val="24"/>
          <w:lang w:val="sr-Cyrl-RS"/>
        </w:rPr>
        <w:t>дефинише сет правила</w:t>
      </w:r>
      <w:r w:rsidRPr="0041052B">
        <w:rPr>
          <w:rFonts w:ascii="Times New Roman" w:eastAsia="Cambria" w:hAnsi="Times New Roman" w:cs="Times New Roman"/>
          <w:b/>
          <w:sz w:val="24"/>
          <w:szCs w:val="24"/>
          <w:lang w:val="sr-Cyrl-RS"/>
        </w:rPr>
        <w:t xml:space="preserve"> </w:t>
      </w:r>
      <w:r w:rsidRPr="0041052B">
        <w:rPr>
          <w:rFonts w:ascii="Times New Roman" w:eastAsia="Cambria" w:hAnsi="Times New Roman" w:cs="Times New Roman"/>
          <w:sz w:val="24"/>
          <w:szCs w:val="24"/>
          <w:lang w:val="sr-Cyrl-RS"/>
        </w:rPr>
        <w:t xml:space="preserve">која подразумевају обавезу поравнања одређених </w:t>
      </w:r>
      <w:r w:rsidR="00307467" w:rsidRPr="0041052B">
        <w:rPr>
          <w:rFonts w:ascii="Times New Roman" w:eastAsia="Cambria" w:hAnsi="Times New Roman" w:cs="Times New Roman"/>
          <w:sz w:val="24"/>
          <w:szCs w:val="24"/>
        </w:rPr>
        <w:t>OTC CDS</w:t>
      </w:r>
      <w:r w:rsidRPr="0041052B">
        <w:rPr>
          <w:rFonts w:ascii="Times New Roman" w:eastAsia="Cambria" w:hAnsi="Times New Roman" w:cs="Times New Roman"/>
          <w:sz w:val="24"/>
          <w:szCs w:val="24"/>
          <w:lang w:val="sr-Cyrl-RS"/>
        </w:rPr>
        <w:t xml:space="preserve"> (</w:t>
      </w:r>
      <w:proofErr w:type="spellStart"/>
      <w:r w:rsidRPr="0041052B">
        <w:rPr>
          <w:rFonts w:ascii="Times New Roman" w:eastAsia="Cambria" w:hAnsi="Times New Roman" w:cs="Times New Roman"/>
          <w:sz w:val="24"/>
          <w:szCs w:val="24"/>
          <w:lang w:val="sr-Cyrl-RS"/>
        </w:rPr>
        <w:t>Credit</w:t>
      </w:r>
      <w:proofErr w:type="spellEnd"/>
      <w:r w:rsidRPr="0041052B">
        <w:rPr>
          <w:rFonts w:ascii="Times New Roman" w:eastAsia="Cambria" w:hAnsi="Times New Roman" w:cs="Times New Roman"/>
          <w:sz w:val="24"/>
          <w:szCs w:val="24"/>
          <w:lang w:val="sr-Cyrl-RS"/>
        </w:rPr>
        <w:t xml:space="preserve"> </w:t>
      </w:r>
      <w:proofErr w:type="spellStart"/>
      <w:r w:rsidRPr="0041052B">
        <w:rPr>
          <w:rFonts w:ascii="Times New Roman" w:eastAsia="Cambria" w:hAnsi="Times New Roman" w:cs="Times New Roman"/>
          <w:sz w:val="24"/>
          <w:szCs w:val="24"/>
          <w:lang w:val="sr-Cyrl-RS"/>
        </w:rPr>
        <w:t>default</w:t>
      </w:r>
      <w:proofErr w:type="spellEnd"/>
      <w:r w:rsidRPr="0041052B">
        <w:rPr>
          <w:rFonts w:ascii="Times New Roman" w:eastAsia="Cambria" w:hAnsi="Times New Roman" w:cs="Times New Roman"/>
          <w:sz w:val="24"/>
          <w:szCs w:val="24"/>
          <w:lang w:val="sr-Cyrl-RS"/>
        </w:rPr>
        <w:t xml:space="preserve"> </w:t>
      </w:r>
      <w:proofErr w:type="spellStart"/>
      <w:r w:rsidRPr="0041052B">
        <w:rPr>
          <w:rFonts w:ascii="Times New Roman" w:eastAsia="Cambria" w:hAnsi="Times New Roman" w:cs="Times New Roman"/>
          <w:sz w:val="24"/>
          <w:szCs w:val="24"/>
          <w:lang w:val="sr-Cyrl-RS"/>
        </w:rPr>
        <w:t>swaps</w:t>
      </w:r>
      <w:proofErr w:type="spellEnd"/>
      <w:r w:rsidRPr="0041052B">
        <w:rPr>
          <w:rFonts w:ascii="Times New Roman" w:eastAsia="Cambria" w:hAnsi="Times New Roman" w:cs="Times New Roman"/>
          <w:sz w:val="24"/>
          <w:szCs w:val="24"/>
          <w:lang w:val="sr-Cyrl-RS"/>
        </w:rPr>
        <w:t xml:space="preserve">) путем средишњих других уговорних страна.  </w:t>
      </w:r>
    </w:p>
    <w:p w14:paraId="263553B6" w14:textId="0FB61FAE" w:rsidR="004005B3" w:rsidRPr="0041052B" w:rsidRDefault="004005B3" w:rsidP="00DB6D85">
      <w:pPr>
        <w:pStyle w:val="ListParagraph"/>
        <w:numPr>
          <w:ilvl w:val="0"/>
          <w:numId w:val="34"/>
        </w:numPr>
        <w:spacing w:line="276" w:lineRule="auto"/>
        <w:jc w:val="both"/>
        <w:rPr>
          <w:rFonts w:ascii="Times New Roman" w:eastAsia="Cambria" w:hAnsi="Times New Roman" w:cs="Times New Roman"/>
          <w:sz w:val="24"/>
          <w:szCs w:val="24"/>
          <w:lang w:val="sr-Cyrl-RS"/>
        </w:rPr>
      </w:pPr>
      <w:r w:rsidRPr="0041052B">
        <w:rPr>
          <w:rFonts w:ascii="Times New Roman" w:eastAsia="Cambria" w:hAnsi="Times New Roman" w:cs="Times New Roman"/>
          <w:b/>
          <w:sz w:val="24"/>
          <w:szCs w:val="24"/>
          <w:lang w:val="sr-Cyrl-RS"/>
        </w:rPr>
        <w:t>Директива 97/9/ЕУ</w:t>
      </w:r>
      <w:r w:rsidRPr="0041052B">
        <w:rPr>
          <w:rFonts w:ascii="Times New Roman" w:eastAsia="Cambria" w:hAnsi="Times New Roman" w:cs="Times New Roman"/>
          <w:sz w:val="24"/>
          <w:szCs w:val="24"/>
          <w:lang w:val="sr-Cyrl-RS"/>
        </w:rPr>
        <w:t xml:space="preserve"> о </w:t>
      </w:r>
      <w:r w:rsidR="0041052B" w:rsidRPr="0041052B">
        <w:rPr>
          <w:rFonts w:ascii="Times New Roman" w:eastAsia="Times New Roman" w:hAnsi="Times New Roman"/>
          <w:sz w:val="24"/>
          <w:szCs w:val="24"/>
          <w:lang w:val="sr-Cyrl-CS"/>
        </w:rPr>
        <w:t>системима за обештећење инвеститора</w:t>
      </w:r>
      <w:r w:rsidRPr="0041052B">
        <w:rPr>
          <w:rFonts w:ascii="Times New Roman" w:eastAsia="Cambria" w:hAnsi="Times New Roman" w:cs="Times New Roman"/>
          <w:sz w:val="24"/>
          <w:szCs w:val="24"/>
          <w:lang w:val="sr-Cyrl-RS"/>
        </w:rPr>
        <w:t>. Директива се односи на</w:t>
      </w:r>
      <w:r w:rsidRPr="0041052B">
        <w:rPr>
          <w:rFonts w:ascii="Times New Roman" w:eastAsia="Cambria" w:hAnsi="Times New Roman" w:cs="Times New Roman"/>
          <w:b/>
          <w:sz w:val="24"/>
          <w:szCs w:val="24"/>
          <w:lang w:val="sr-Cyrl-RS"/>
        </w:rPr>
        <w:t xml:space="preserve"> </w:t>
      </w:r>
      <w:r w:rsidRPr="0041052B">
        <w:rPr>
          <w:rFonts w:ascii="Times New Roman" w:eastAsia="Cambria" w:hAnsi="Times New Roman" w:cs="Times New Roman"/>
          <w:sz w:val="24"/>
          <w:szCs w:val="24"/>
          <w:lang w:val="sr-Cyrl-RS"/>
        </w:rPr>
        <w:t xml:space="preserve">заштиту улагача како би се они ефикасније заштитили у погледу одређених врста финансијских инструмената и обезбедила потребна средства. Кључне ставке директиве се односе на обухват заштите и изворе финансирања, убрзања исплате и боље обавештавање малих улагача. </w:t>
      </w:r>
    </w:p>
    <w:p w14:paraId="37562441" w14:textId="3CB73ADF" w:rsidR="004005B3" w:rsidRPr="00B30084" w:rsidRDefault="004005B3" w:rsidP="00DB6D85">
      <w:pPr>
        <w:pStyle w:val="ListParagraph"/>
        <w:numPr>
          <w:ilvl w:val="0"/>
          <w:numId w:val="34"/>
        </w:numPr>
        <w:spacing w:line="276" w:lineRule="auto"/>
        <w:jc w:val="both"/>
        <w:rPr>
          <w:rFonts w:ascii="Times New Roman" w:eastAsia="Cambria" w:hAnsi="Times New Roman" w:cs="Times New Roman"/>
          <w:sz w:val="24"/>
          <w:szCs w:val="24"/>
          <w:lang w:val="sr-Cyrl-RS"/>
        </w:rPr>
      </w:pPr>
      <w:r w:rsidRPr="0041052B">
        <w:rPr>
          <w:rFonts w:ascii="Times New Roman" w:eastAsia="Cambria" w:hAnsi="Times New Roman" w:cs="Times New Roman"/>
          <w:b/>
          <w:sz w:val="24"/>
          <w:szCs w:val="24"/>
          <w:lang w:val="sr-Cyrl-RS"/>
        </w:rPr>
        <w:t>Директива 2010/73/ЕУ</w:t>
      </w:r>
      <w:r w:rsidRPr="0041052B">
        <w:rPr>
          <w:rFonts w:ascii="Times New Roman" w:eastAsia="Cambria" w:hAnsi="Times New Roman" w:cs="Times New Roman"/>
          <w:sz w:val="24"/>
          <w:szCs w:val="24"/>
          <w:lang w:val="sr-Cyrl-RS"/>
        </w:rPr>
        <w:t xml:space="preserve"> </w:t>
      </w:r>
      <w:r w:rsidR="00307467" w:rsidRPr="0041052B">
        <w:rPr>
          <w:rFonts w:ascii="Times New Roman" w:eastAsia="Cambria" w:hAnsi="Times New Roman" w:cs="Times New Roman"/>
          <w:sz w:val="24"/>
          <w:szCs w:val="24"/>
          <w:lang w:val="sr-Cyrl-RS"/>
        </w:rPr>
        <w:t>о проспекту који се објављује приликом јавне понуде или укључивања у трговање хартија од вредности</w:t>
      </w:r>
      <w:r w:rsidRPr="0041052B">
        <w:rPr>
          <w:rFonts w:ascii="Times New Roman" w:eastAsia="Cambria" w:hAnsi="Times New Roman" w:cs="Times New Roman"/>
          <w:sz w:val="24"/>
          <w:szCs w:val="24"/>
          <w:lang w:val="sr-Cyrl-RS"/>
        </w:rPr>
        <w:t xml:space="preserve">. Њени циљеви су да побољша заштиту инвеститора и побољша ефикасност јединственог тржишта. Кључна новина је стварање пасоша за тржишта капитала Европске </w:t>
      </w:r>
      <w:r w:rsidR="008E3B27" w:rsidRPr="0041052B">
        <w:rPr>
          <w:rFonts w:ascii="Times New Roman" w:eastAsia="Cambria" w:hAnsi="Times New Roman" w:cs="Times New Roman"/>
          <w:sz w:val="24"/>
          <w:szCs w:val="24"/>
          <w:lang w:val="sr-Cyrl-RS"/>
        </w:rPr>
        <w:t>уније</w:t>
      </w:r>
      <w:r w:rsidRPr="0041052B">
        <w:rPr>
          <w:rFonts w:ascii="Times New Roman" w:eastAsia="Cambria" w:hAnsi="Times New Roman" w:cs="Times New Roman"/>
          <w:sz w:val="24"/>
          <w:szCs w:val="24"/>
          <w:lang w:val="sr-Cyrl-RS"/>
        </w:rPr>
        <w:t xml:space="preserve"> - омогућавајући да проспект</w:t>
      </w:r>
      <w:r w:rsidRPr="00B30084">
        <w:rPr>
          <w:rFonts w:ascii="Times New Roman" w:eastAsia="Cambria" w:hAnsi="Times New Roman" w:cs="Times New Roman"/>
          <w:sz w:val="24"/>
          <w:szCs w:val="24"/>
          <w:lang w:val="sr-Cyrl-RS"/>
        </w:rPr>
        <w:t xml:space="preserve"> </w:t>
      </w:r>
      <w:r w:rsidRPr="00B30084">
        <w:rPr>
          <w:rFonts w:ascii="Times New Roman" w:eastAsia="Cambria" w:hAnsi="Times New Roman" w:cs="Times New Roman"/>
          <w:sz w:val="24"/>
          <w:szCs w:val="24"/>
          <w:lang w:val="sr-Cyrl-RS"/>
        </w:rPr>
        <w:lastRenderedPageBreak/>
        <w:t xml:space="preserve">одобрен у једној држави чланици ЕУ важи широм ЕУ. Директива о транспарентности поставља текуће захтеве за објављивањем које издаваоци морају да испуне када њихове хартије од вредности буду </w:t>
      </w:r>
      <w:r w:rsidR="00307467" w:rsidRPr="00B30084">
        <w:rPr>
          <w:rFonts w:ascii="Times New Roman" w:eastAsia="Cambria" w:hAnsi="Times New Roman" w:cs="Times New Roman"/>
          <w:sz w:val="24"/>
          <w:szCs w:val="24"/>
          <w:lang w:val="sr-Cyrl-RS"/>
        </w:rPr>
        <w:t>укључене</w:t>
      </w:r>
      <w:r w:rsidRPr="00B30084">
        <w:rPr>
          <w:rFonts w:ascii="Times New Roman" w:eastAsia="Cambria" w:hAnsi="Times New Roman" w:cs="Times New Roman"/>
          <w:sz w:val="24"/>
          <w:szCs w:val="24"/>
          <w:lang w:val="sr-Cyrl-RS"/>
        </w:rPr>
        <w:t xml:space="preserve"> у трговање.</w:t>
      </w:r>
    </w:p>
    <w:p w14:paraId="7EB9B5B7" w14:textId="4F58959A" w:rsidR="004005B3" w:rsidRPr="00B30084" w:rsidRDefault="004005B3" w:rsidP="00DB6D85">
      <w:pPr>
        <w:pStyle w:val="ListParagraph"/>
        <w:numPr>
          <w:ilvl w:val="0"/>
          <w:numId w:val="34"/>
        </w:numPr>
        <w:spacing w:line="276" w:lineRule="auto"/>
        <w:jc w:val="both"/>
        <w:rPr>
          <w:rFonts w:ascii="Times New Roman" w:eastAsia="Cambria" w:hAnsi="Times New Roman" w:cs="Times New Roman"/>
          <w:sz w:val="24"/>
          <w:szCs w:val="24"/>
          <w:lang w:val="sr-Cyrl-RS"/>
        </w:rPr>
      </w:pPr>
      <w:r w:rsidRPr="00B30084">
        <w:rPr>
          <w:rFonts w:ascii="Times New Roman" w:eastAsia="Cambria" w:hAnsi="Times New Roman" w:cs="Times New Roman"/>
          <w:b/>
          <w:sz w:val="24"/>
          <w:szCs w:val="24"/>
          <w:lang w:val="sr-Cyrl-RS"/>
        </w:rPr>
        <w:t xml:space="preserve">Регулатива ЕУ 2017/1129 </w:t>
      </w:r>
      <w:r w:rsidRPr="00B30084">
        <w:rPr>
          <w:rFonts w:ascii="Times New Roman" w:eastAsia="Cambria" w:hAnsi="Times New Roman" w:cs="Times New Roman"/>
          <w:sz w:val="24"/>
          <w:szCs w:val="24"/>
          <w:lang w:val="sr-Cyrl-RS"/>
        </w:rPr>
        <w:t>дефинише правила проспекта и информације</w:t>
      </w:r>
      <w:r w:rsidRPr="00B30084">
        <w:rPr>
          <w:rFonts w:ascii="Times New Roman" w:eastAsia="Cambria" w:hAnsi="Times New Roman" w:cs="Times New Roman"/>
          <w:bCs/>
          <w:sz w:val="24"/>
          <w:szCs w:val="24"/>
          <w:lang w:val="sr-Cyrl-RS"/>
        </w:rPr>
        <w:t xml:space="preserve"> </w:t>
      </w:r>
      <w:proofErr w:type="spellStart"/>
      <w:r w:rsidRPr="00B30084">
        <w:rPr>
          <w:rFonts w:ascii="Times New Roman" w:eastAsia="Cambria" w:hAnsi="Times New Roman" w:cs="Times New Roman"/>
          <w:bCs/>
          <w:sz w:val="24"/>
          <w:szCs w:val="24"/>
          <w:lang w:val="sr-Cyrl-RS"/>
        </w:rPr>
        <w:t>kojе</w:t>
      </w:r>
      <w:proofErr w:type="spellEnd"/>
      <w:r w:rsidRPr="00B30084">
        <w:rPr>
          <w:rFonts w:ascii="Times New Roman" w:eastAsia="Cambria" w:hAnsi="Times New Roman" w:cs="Times New Roman"/>
          <w:bCs/>
          <w:sz w:val="24"/>
          <w:szCs w:val="24"/>
          <w:lang w:val="sr-Cyrl-RS"/>
        </w:rPr>
        <w:t xml:space="preserve"> је потребно објавити приликом јавне понуде хартија од вредности или приликом </w:t>
      </w:r>
      <w:r w:rsidR="0041052B" w:rsidRPr="0041052B">
        <w:rPr>
          <w:rFonts w:ascii="Times New Roman" w:eastAsia="Cambria" w:hAnsi="Times New Roman" w:cs="Times New Roman"/>
          <w:bCs/>
          <w:sz w:val="24"/>
          <w:szCs w:val="24"/>
          <w:lang w:val="sr-Cyrl-RS"/>
        </w:rPr>
        <w:t xml:space="preserve">укључивања у </w:t>
      </w:r>
      <w:r w:rsidRPr="0041052B">
        <w:rPr>
          <w:rFonts w:ascii="Times New Roman" w:eastAsia="Cambria" w:hAnsi="Times New Roman" w:cs="Times New Roman"/>
          <w:bCs/>
          <w:sz w:val="24"/>
          <w:szCs w:val="24"/>
          <w:lang w:val="sr-Cyrl-RS"/>
        </w:rPr>
        <w:t>трговање</w:t>
      </w:r>
      <w:r w:rsidRPr="00B30084">
        <w:rPr>
          <w:rFonts w:ascii="Times New Roman" w:eastAsia="Cambria" w:hAnsi="Times New Roman" w:cs="Times New Roman"/>
          <w:bCs/>
          <w:sz w:val="24"/>
          <w:szCs w:val="24"/>
          <w:lang w:val="sr-Cyrl-RS"/>
        </w:rPr>
        <w:t xml:space="preserve"> на регулисаном тржишту.  </w:t>
      </w:r>
    </w:p>
    <w:p w14:paraId="357D2119" w14:textId="77777777" w:rsidR="004005B3" w:rsidRPr="00B30084" w:rsidRDefault="004005B3" w:rsidP="00DB6D85">
      <w:pPr>
        <w:pStyle w:val="ListParagraph"/>
        <w:numPr>
          <w:ilvl w:val="0"/>
          <w:numId w:val="34"/>
        </w:numPr>
        <w:spacing w:line="276" w:lineRule="auto"/>
        <w:jc w:val="both"/>
        <w:rPr>
          <w:rFonts w:ascii="Times New Roman" w:eastAsia="Cambria" w:hAnsi="Times New Roman" w:cs="Times New Roman"/>
          <w:sz w:val="24"/>
          <w:szCs w:val="24"/>
          <w:lang w:val="sr-Cyrl-RS"/>
        </w:rPr>
      </w:pPr>
      <w:r w:rsidRPr="00B30084">
        <w:rPr>
          <w:rFonts w:ascii="Times New Roman" w:eastAsia="Cambria" w:hAnsi="Times New Roman" w:cs="Times New Roman"/>
          <w:b/>
          <w:sz w:val="24"/>
          <w:szCs w:val="24"/>
          <w:lang w:val="sr-Cyrl-RS"/>
        </w:rPr>
        <w:t xml:space="preserve">Директива 2014/57/ЕУ </w:t>
      </w:r>
      <w:r w:rsidRPr="00B30084">
        <w:rPr>
          <w:rFonts w:ascii="Times New Roman" w:eastAsia="Cambria" w:hAnsi="Times New Roman" w:cs="Times New Roman"/>
          <w:sz w:val="24"/>
          <w:szCs w:val="24"/>
          <w:lang w:val="sr-Cyrl-RS"/>
        </w:rPr>
        <w:t>о кривичним санкцијама за злоупотребе на тржишту капитала</w:t>
      </w:r>
    </w:p>
    <w:p w14:paraId="1C6B7A0D" w14:textId="77777777" w:rsidR="004005B3" w:rsidRPr="00B30084" w:rsidRDefault="004005B3" w:rsidP="00DB6D85">
      <w:pPr>
        <w:pStyle w:val="ListParagraph"/>
        <w:numPr>
          <w:ilvl w:val="0"/>
          <w:numId w:val="34"/>
        </w:numPr>
        <w:spacing w:line="276" w:lineRule="auto"/>
        <w:jc w:val="both"/>
        <w:rPr>
          <w:rFonts w:ascii="Times New Roman" w:eastAsia="Cambria" w:hAnsi="Times New Roman" w:cs="Times New Roman"/>
          <w:sz w:val="24"/>
          <w:szCs w:val="24"/>
          <w:lang w:val="sr-Cyrl-RS"/>
        </w:rPr>
      </w:pPr>
      <w:r w:rsidRPr="00B30084">
        <w:rPr>
          <w:rFonts w:ascii="Times New Roman" w:eastAsia="Cambria" w:hAnsi="Times New Roman" w:cs="Times New Roman"/>
          <w:b/>
          <w:sz w:val="24"/>
          <w:szCs w:val="24"/>
          <w:lang w:val="sr-Cyrl-RS"/>
        </w:rPr>
        <w:t>Директива 596/2014/ЕУ</w:t>
      </w:r>
      <w:r w:rsidRPr="00B30084">
        <w:rPr>
          <w:rFonts w:ascii="Times New Roman" w:eastAsia="Cambria" w:hAnsi="Times New Roman" w:cs="Times New Roman"/>
          <w:sz w:val="24"/>
          <w:szCs w:val="24"/>
          <w:lang w:val="sr-Cyrl-RS"/>
        </w:rPr>
        <w:t xml:space="preserve"> о злоупотребама на тржишту капитала.</w:t>
      </w:r>
    </w:p>
    <w:p w14:paraId="62360084" w14:textId="16291EE0" w:rsidR="004005B3" w:rsidRPr="00B30084" w:rsidRDefault="004005B3" w:rsidP="00DB6D85">
      <w:pPr>
        <w:pStyle w:val="ListParagraph"/>
        <w:numPr>
          <w:ilvl w:val="0"/>
          <w:numId w:val="34"/>
        </w:numPr>
        <w:spacing w:line="276" w:lineRule="auto"/>
        <w:jc w:val="both"/>
        <w:rPr>
          <w:rFonts w:ascii="Times New Roman" w:eastAsia="Cambria" w:hAnsi="Times New Roman" w:cs="Times New Roman"/>
          <w:sz w:val="24"/>
          <w:szCs w:val="24"/>
          <w:lang w:val="sr-Cyrl-RS"/>
        </w:rPr>
      </w:pPr>
      <w:r w:rsidRPr="00B30084">
        <w:rPr>
          <w:rFonts w:ascii="Times New Roman" w:eastAsia="Cambria" w:hAnsi="Times New Roman" w:cs="Times New Roman"/>
          <w:b/>
          <w:sz w:val="24"/>
          <w:szCs w:val="24"/>
          <w:lang w:val="sr-Cyrl-RS"/>
        </w:rPr>
        <w:t>Директива 98/26/ЕК</w:t>
      </w:r>
      <w:r w:rsidRPr="00B30084">
        <w:rPr>
          <w:rFonts w:ascii="Times New Roman" w:eastAsia="Cambria" w:hAnsi="Times New Roman" w:cs="Times New Roman"/>
          <w:sz w:val="24"/>
          <w:szCs w:val="24"/>
          <w:lang w:val="sr-Cyrl-RS"/>
        </w:rPr>
        <w:t xml:space="preserve"> </w:t>
      </w:r>
      <w:r w:rsidR="00307467" w:rsidRPr="00B30084">
        <w:rPr>
          <w:rFonts w:ascii="Times New Roman" w:eastAsia="Cambria" w:hAnsi="Times New Roman" w:cs="Times New Roman"/>
          <w:sz w:val="24"/>
          <w:szCs w:val="24"/>
          <w:lang w:val="sr-Cyrl-RS"/>
        </w:rPr>
        <w:t>о коначности поравнања у платним системима и системима за поравнање хартија од вредности</w:t>
      </w:r>
      <w:r w:rsidRPr="00B30084">
        <w:rPr>
          <w:rFonts w:ascii="Times New Roman" w:eastAsia="Cambria" w:hAnsi="Times New Roman" w:cs="Times New Roman"/>
          <w:sz w:val="24"/>
          <w:szCs w:val="24"/>
          <w:lang w:val="sr-Cyrl-RS"/>
        </w:rPr>
        <w:t>.</w:t>
      </w:r>
    </w:p>
    <w:p w14:paraId="4CBE9FD8" w14:textId="00245CAA" w:rsidR="004005B3" w:rsidRPr="00B30084" w:rsidRDefault="004005B3" w:rsidP="00DB6D85">
      <w:pPr>
        <w:pStyle w:val="ListParagraph"/>
        <w:numPr>
          <w:ilvl w:val="0"/>
          <w:numId w:val="34"/>
        </w:numPr>
        <w:spacing w:line="276" w:lineRule="auto"/>
        <w:jc w:val="both"/>
        <w:rPr>
          <w:rFonts w:ascii="Times New Roman" w:eastAsia="Cambria" w:hAnsi="Times New Roman" w:cs="Times New Roman"/>
          <w:b/>
          <w:sz w:val="24"/>
          <w:szCs w:val="24"/>
          <w:lang w:val="sr-Cyrl-RS"/>
        </w:rPr>
      </w:pPr>
      <w:r w:rsidRPr="00B30084">
        <w:rPr>
          <w:rFonts w:ascii="Times New Roman" w:eastAsia="Cambria" w:hAnsi="Times New Roman" w:cs="Times New Roman"/>
          <w:b/>
          <w:sz w:val="24"/>
          <w:szCs w:val="24"/>
          <w:lang w:val="sr-Cyrl-RS"/>
        </w:rPr>
        <w:t>Регулатива ЕУ 909/2014</w:t>
      </w:r>
      <w:r w:rsidRPr="00B30084">
        <w:rPr>
          <w:rFonts w:ascii="Times New Roman" w:eastAsia="Cambria" w:hAnsi="Times New Roman" w:cs="Times New Roman"/>
          <w:sz w:val="24"/>
          <w:szCs w:val="24"/>
          <w:lang w:val="sr-Cyrl-RS"/>
        </w:rPr>
        <w:t xml:space="preserve"> о </w:t>
      </w:r>
      <w:r w:rsidR="00307467" w:rsidRPr="00B30084">
        <w:rPr>
          <w:rFonts w:ascii="Times New Roman" w:eastAsia="Cambria" w:hAnsi="Times New Roman" w:cs="Times New Roman"/>
          <w:sz w:val="24"/>
          <w:szCs w:val="24"/>
          <w:lang w:val="sr-Cyrl-RS"/>
        </w:rPr>
        <w:t>унапређивању салдирања хартија од вредности у Европској унији и о централним депоима хартија од вредности</w:t>
      </w:r>
      <w:r w:rsidRPr="00B30084">
        <w:rPr>
          <w:rFonts w:ascii="Times New Roman" w:eastAsia="Cambria" w:hAnsi="Times New Roman" w:cs="Times New Roman"/>
          <w:sz w:val="24"/>
          <w:szCs w:val="24"/>
          <w:lang w:val="sr-Cyrl-RS"/>
        </w:rPr>
        <w:t xml:space="preserve"> (</w:t>
      </w:r>
      <w:proofErr w:type="spellStart"/>
      <w:r w:rsidRPr="00B30084">
        <w:rPr>
          <w:rFonts w:ascii="Times New Roman" w:eastAsia="Cambria" w:hAnsi="Times New Roman" w:cs="Times New Roman"/>
          <w:sz w:val="24"/>
          <w:szCs w:val="24"/>
          <w:lang w:val="sr-Cyrl-RS"/>
        </w:rPr>
        <w:t>Central</w:t>
      </w:r>
      <w:proofErr w:type="spellEnd"/>
      <w:r w:rsidRPr="00B30084">
        <w:rPr>
          <w:rFonts w:ascii="Times New Roman" w:eastAsia="Cambria" w:hAnsi="Times New Roman" w:cs="Times New Roman"/>
          <w:sz w:val="24"/>
          <w:szCs w:val="24"/>
          <w:lang w:val="sr-Cyrl-RS"/>
        </w:rPr>
        <w:t xml:space="preserve"> </w:t>
      </w:r>
      <w:proofErr w:type="spellStart"/>
      <w:r w:rsidRPr="00B30084">
        <w:rPr>
          <w:rFonts w:ascii="Times New Roman" w:eastAsia="Cambria" w:hAnsi="Times New Roman" w:cs="Times New Roman"/>
          <w:sz w:val="24"/>
          <w:szCs w:val="24"/>
          <w:lang w:val="sr-Cyrl-RS"/>
        </w:rPr>
        <w:t>securities</w:t>
      </w:r>
      <w:proofErr w:type="spellEnd"/>
      <w:r w:rsidRPr="00B30084">
        <w:rPr>
          <w:rFonts w:ascii="Times New Roman" w:eastAsia="Cambria" w:hAnsi="Times New Roman" w:cs="Times New Roman"/>
          <w:sz w:val="24"/>
          <w:szCs w:val="24"/>
          <w:lang w:val="sr-Cyrl-RS"/>
        </w:rPr>
        <w:t xml:space="preserve"> </w:t>
      </w:r>
      <w:proofErr w:type="spellStart"/>
      <w:r w:rsidRPr="00B30084">
        <w:rPr>
          <w:rFonts w:ascii="Times New Roman" w:eastAsia="Cambria" w:hAnsi="Times New Roman" w:cs="Times New Roman"/>
          <w:sz w:val="24"/>
          <w:szCs w:val="24"/>
          <w:lang w:val="sr-Cyrl-RS"/>
        </w:rPr>
        <w:t>depositories</w:t>
      </w:r>
      <w:proofErr w:type="spellEnd"/>
      <w:r w:rsidRPr="00B30084">
        <w:rPr>
          <w:rFonts w:ascii="Times New Roman" w:eastAsia="Cambria" w:hAnsi="Times New Roman" w:cs="Times New Roman"/>
          <w:sz w:val="24"/>
          <w:szCs w:val="24"/>
          <w:lang w:val="sr-Cyrl-RS"/>
        </w:rPr>
        <w:t xml:space="preserve"> </w:t>
      </w:r>
      <w:proofErr w:type="spellStart"/>
      <w:r w:rsidRPr="00B30084">
        <w:rPr>
          <w:rFonts w:ascii="Times New Roman" w:eastAsia="Cambria" w:hAnsi="Times New Roman" w:cs="Times New Roman"/>
          <w:sz w:val="24"/>
          <w:szCs w:val="24"/>
          <w:lang w:val="sr-Cyrl-RS"/>
        </w:rPr>
        <w:t>regulation</w:t>
      </w:r>
      <w:proofErr w:type="spellEnd"/>
      <w:r w:rsidRPr="00B30084">
        <w:rPr>
          <w:rFonts w:ascii="Times New Roman" w:eastAsia="Cambria" w:hAnsi="Times New Roman" w:cs="Times New Roman"/>
          <w:sz w:val="24"/>
          <w:szCs w:val="24"/>
          <w:lang w:val="sr-Cyrl-RS"/>
        </w:rPr>
        <w:t>)</w:t>
      </w:r>
      <w:r w:rsidRPr="00B30084">
        <w:rPr>
          <w:rFonts w:ascii="Times New Roman" w:eastAsia="Cambria" w:hAnsi="Times New Roman" w:cs="Times New Roman"/>
          <w:b/>
          <w:sz w:val="24"/>
          <w:szCs w:val="24"/>
          <w:lang w:val="sr-Cyrl-RS"/>
        </w:rPr>
        <w:t>.</w:t>
      </w:r>
    </w:p>
    <w:p w14:paraId="22C317E9" w14:textId="6BBA8CC4" w:rsidR="004F7685" w:rsidRPr="00B30084" w:rsidRDefault="004F7685" w:rsidP="00E50617">
      <w:pPr>
        <w:pStyle w:val="Heading1"/>
        <w:widowControl w:val="0"/>
        <w:numPr>
          <w:ilvl w:val="0"/>
          <w:numId w:val="30"/>
        </w:numPr>
        <w:snapToGrid w:val="0"/>
        <w:spacing w:before="120" w:after="120" w:line="276" w:lineRule="auto"/>
        <w:jc w:val="both"/>
        <w:rPr>
          <w:sz w:val="24"/>
          <w:szCs w:val="24"/>
          <w:lang w:val="sr-Cyrl-RS"/>
        </w:rPr>
      </w:pPr>
      <w:r w:rsidRPr="00B30084">
        <w:rPr>
          <w:sz w:val="24"/>
          <w:szCs w:val="24"/>
          <w:lang w:val="sr-Cyrl-RS"/>
        </w:rPr>
        <w:t>О</w:t>
      </w:r>
      <w:r w:rsidR="001D520F" w:rsidRPr="00B30084">
        <w:rPr>
          <w:sz w:val="24"/>
          <w:szCs w:val="24"/>
          <w:lang w:val="sr-Cyrl-RS"/>
        </w:rPr>
        <w:t>пис постојећег стања</w:t>
      </w:r>
    </w:p>
    <w:p w14:paraId="2538CB19" w14:textId="4E6B5C5B" w:rsidR="00B16B8D" w:rsidRPr="00B30084" w:rsidRDefault="00B16B8D" w:rsidP="00E50617">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Основна функција тржишта капитала је да повеже </w:t>
      </w:r>
      <w:r w:rsidR="00A44122" w:rsidRPr="00B30084">
        <w:rPr>
          <w:rFonts w:ascii="Times New Roman" w:hAnsi="Times New Roman" w:cs="Times New Roman"/>
          <w:sz w:val="24"/>
          <w:szCs w:val="24"/>
          <w:lang w:val="sr-Cyrl-RS"/>
        </w:rPr>
        <w:t>ентитете</w:t>
      </w:r>
      <w:r w:rsidRPr="00B30084">
        <w:rPr>
          <w:rFonts w:ascii="Times New Roman" w:hAnsi="Times New Roman" w:cs="Times New Roman"/>
          <w:sz w:val="24"/>
          <w:szCs w:val="24"/>
          <w:lang w:val="sr-Cyrl-RS"/>
        </w:rPr>
        <w:t xml:space="preserve"> са вишком капитала и ентитете који </w:t>
      </w:r>
      <w:r w:rsidR="00724EE7" w:rsidRPr="00B30084">
        <w:rPr>
          <w:rFonts w:ascii="Times New Roman" w:hAnsi="Times New Roman" w:cs="Times New Roman"/>
          <w:sz w:val="24"/>
          <w:szCs w:val="24"/>
          <w:lang w:val="sr-Cyrl-RS"/>
        </w:rPr>
        <w:t>оскудевају у</w:t>
      </w:r>
      <w:r w:rsidRPr="00B30084">
        <w:rPr>
          <w:rFonts w:ascii="Times New Roman" w:hAnsi="Times New Roman" w:cs="Times New Roman"/>
          <w:sz w:val="24"/>
          <w:szCs w:val="24"/>
          <w:lang w:val="sr-Cyrl-RS"/>
        </w:rPr>
        <w:t xml:space="preserve"> </w:t>
      </w:r>
      <w:r w:rsidR="00766A08" w:rsidRPr="00B30084">
        <w:rPr>
          <w:rFonts w:ascii="Times New Roman" w:hAnsi="Times New Roman" w:cs="Times New Roman"/>
          <w:sz w:val="24"/>
          <w:szCs w:val="24"/>
          <w:lang w:val="sr-Cyrl-RS"/>
        </w:rPr>
        <w:t>истом</w:t>
      </w:r>
      <w:r w:rsidRPr="00B30084">
        <w:rPr>
          <w:rFonts w:ascii="Times New Roman" w:hAnsi="Times New Roman" w:cs="Times New Roman"/>
          <w:sz w:val="24"/>
          <w:szCs w:val="24"/>
          <w:lang w:val="sr-Cyrl-RS"/>
        </w:rPr>
        <w:t xml:space="preserve">. Сви остали субјекти који окружују </w:t>
      </w:r>
      <w:proofErr w:type="spellStart"/>
      <w:r w:rsidRPr="00B30084">
        <w:rPr>
          <w:rFonts w:ascii="Times New Roman" w:hAnsi="Times New Roman" w:cs="Times New Roman"/>
          <w:sz w:val="24"/>
          <w:szCs w:val="24"/>
          <w:lang w:val="sr-Cyrl-RS"/>
        </w:rPr>
        <w:t>тржише</w:t>
      </w:r>
      <w:proofErr w:type="spellEnd"/>
      <w:r w:rsidRPr="00B30084">
        <w:rPr>
          <w:rFonts w:ascii="Times New Roman" w:hAnsi="Times New Roman" w:cs="Times New Roman"/>
          <w:sz w:val="24"/>
          <w:szCs w:val="24"/>
          <w:lang w:val="sr-Cyrl-RS"/>
        </w:rPr>
        <w:t xml:space="preserve"> капитала, попут берзе, </w:t>
      </w:r>
      <w:proofErr w:type="spellStart"/>
      <w:r w:rsidRPr="00B30084">
        <w:rPr>
          <w:rFonts w:ascii="Times New Roman" w:hAnsi="Times New Roman" w:cs="Times New Roman"/>
          <w:sz w:val="24"/>
          <w:szCs w:val="24"/>
          <w:lang w:val="sr-Cyrl-RS"/>
        </w:rPr>
        <w:t>депозитара</w:t>
      </w:r>
      <w:proofErr w:type="spellEnd"/>
      <w:r w:rsidRPr="00B30084">
        <w:rPr>
          <w:rFonts w:ascii="Times New Roman" w:hAnsi="Times New Roman" w:cs="Times New Roman"/>
          <w:sz w:val="24"/>
          <w:szCs w:val="24"/>
          <w:lang w:val="sr-Cyrl-RS"/>
        </w:rPr>
        <w:t xml:space="preserve"> и регулатора, имају улогу да тржиште учине сигурнијим, јефтинијим и ефикаснијим у циљу привлачења учесника.  </w:t>
      </w:r>
    </w:p>
    <w:p w14:paraId="3C9EDE51" w14:textId="206BF30B" w:rsidR="00A8492D" w:rsidRPr="00B30084" w:rsidRDefault="00A8492D" w:rsidP="00E50617">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На бази упоредних анализа више иницијатива и политика, као и конкретних решења која се примењују у </w:t>
      </w:r>
      <w:r w:rsidR="00EE3B32" w:rsidRPr="00B30084">
        <w:rPr>
          <w:rFonts w:ascii="Times New Roman" w:hAnsi="Times New Roman" w:cs="Times New Roman"/>
          <w:sz w:val="24"/>
          <w:szCs w:val="24"/>
          <w:lang w:val="sr-Cyrl-RS"/>
        </w:rPr>
        <w:t xml:space="preserve">разним европским земљама, и кроз консултације са члановима Радне групе, установљено је да је за утврђивање постојећег стања и потенцијала за даљи развој тржишта капитала потребно сагледати тренутну ситуацију у кључним секторима на које развој тржишта капитала може утицати и у којима може највише да допринесе. </w:t>
      </w:r>
    </w:p>
    <w:p w14:paraId="6857A8F0" w14:textId="18588367" w:rsidR="003969F5" w:rsidRPr="00B30084" w:rsidRDefault="003969F5" w:rsidP="00E50617">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Поред сагледавања стања у кључним секторима, неопходно је сагледати и стање у односу на кључне предуслове које је потребно обезбедити у циљу развоја тржишта капитала. Овде пре свега мислимо на постојање адекватног правног оквира</w:t>
      </w:r>
      <w:r w:rsidR="007B08C5" w:rsidRPr="00B30084">
        <w:rPr>
          <w:rFonts w:ascii="Times New Roman" w:hAnsi="Times New Roman" w:cs="Times New Roman"/>
          <w:sz w:val="24"/>
          <w:szCs w:val="24"/>
          <w:lang w:val="sr-Cyrl-RS"/>
        </w:rPr>
        <w:t xml:space="preserve"> и</w:t>
      </w:r>
      <w:r w:rsidRPr="00B30084">
        <w:rPr>
          <w:rFonts w:ascii="Times New Roman" w:hAnsi="Times New Roman" w:cs="Times New Roman"/>
          <w:sz w:val="24"/>
          <w:szCs w:val="24"/>
          <w:lang w:val="sr-Cyrl-RS"/>
        </w:rPr>
        <w:t xml:space="preserve"> </w:t>
      </w:r>
      <w:r w:rsidR="00052095" w:rsidRPr="00B30084">
        <w:rPr>
          <w:rFonts w:ascii="Times New Roman" w:hAnsi="Times New Roman" w:cs="Times New Roman"/>
          <w:sz w:val="24"/>
          <w:szCs w:val="24"/>
          <w:lang w:val="sr-Cyrl-RS"/>
        </w:rPr>
        <w:t>развијене инфраструктуре.</w:t>
      </w:r>
    </w:p>
    <w:p w14:paraId="6501F3AD" w14:textId="56E18A37" w:rsidR="00B16B8D" w:rsidRPr="00664EBA" w:rsidRDefault="0089211E" w:rsidP="00EA5991">
      <w:pPr>
        <w:ind w:firstLine="360"/>
        <w:jc w:val="both"/>
        <w:rPr>
          <w:rFonts w:ascii="Times New Roman" w:hAnsi="Times New Roman" w:cs="Times New Roman"/>
          <w:sz w:val="24"/>
          <w:szCs w:val="24"/>
          <w:lang w:val="sr-Cyrl-RS"/>
        </w:rPr>
      </w:pPr>
      <w:r w:rsidRPr="00664EBA">
        <w:rPr>
          <w:rFonts w:ascii="Times New Roman" w:hAnsi="Times New Roman" w:cs="Times New Roman"/>
          <w:sz w:val="24"/>
          <w:szCs w:val="24"/>
          <w:lang w:val="sr-Cyrl-RS"/>
        </w:rPr>
        <w:t xml:space="preserve">Оснивање Београдске берзе било је 1895. године и на европском тржишту </w:t>
      </w:r>
      <w:r w:rsidR="003B39F9" w:rsidRPr="00664EBA">
        <w:rPr>
          <w:rFonts w:ascii="Times New Roman" w:hAnsi="Times New Roman" w:cs="Times New Roman"/>
          <w:sz w:val="24"/>
          <w:szCs w:val="24"/>
          <w:lang w:val="sr-Cyrl-RS"/>
        </w:rPr>
        <w:t>представља једну</w:t>
      </w:r>
      <w:r w:rsidRPr="00664EBA">
        <w:rPr>
          <w:rFonts w:ascii="Times New Roman" w:hAnsi="Times New Roman" w:cs="Times New Roman"/>
          <w:sz w:val="24"/>
          <w:szCs w:val="24"/>
          <w:lang w:val="sr-Cyrl-RS"/>
        </w:rPr>
        <w:t xml:space="preserve"> од десет најстаријих.</w:t>
      </w:r>
      <w:r w:rsidR="00C654AA" w:rsidRPr="00664EBA">
        <w:rPr>
          <w:rFonts w:ascii="Times New Roman" w:hAnsi="Times New Roman" w:cs="Times New Roman"/>
          <w:sz w:val="24"/>
          <w:szCs w:val="24"/>
          <w:lang w:val="sr-Cyrl-RS"/>
        </w:rPr>
        <w:t xml:space="preserve"> Значајан период за Београдску берзу јесте 1988. година када је усвојен нови закон који уређује предузећа и дефинише да се иста могу оснивати у виду деоничарских друштава која неопходна средства обезбеђују емитовањем деоница.</w:t>
      </w:r>
      <w:r w:rsidR="00D43B9A" w:rsidRPr="00664EBA">
        <w:rPr>
          <w:rFonts w:ascii="Times New Roman" w:hAnsi="Times New Roman" w:cs="Times New Roman"/>
          <w:sz w:val="24"/>
          <w:szCs w:val="24"/>
          <w:lang w:val="sr-Cyrl-RS"/>
        </w:rPr>
        <w:t xml:space="preserve"> Овај закон је створио услове за поновни почетак трговања на берзи у контексту организованог тржишта хартија од вредности. </w:t>
      </w:r>
      <w:r w:rsidRPr="00664EBA">
        <w:rPr>
          <w:rFonts w:ascii="Times New Roman" w:hAnsi="Times New Roman" w:cs="Times New Roman"/>
          <w:sz w:val="24"/>
          <w:szCs w:val="24"/>
          <w:lang w:val="sr-Cyrl-RS"/>
        </w:rPr>
        <w:t xml:space="preserve">Након </w:t>
      </w:r>
      <w:r w:rsidR="0023738C" w:rsidRPr="00664EBA">
        <w:rPr>
          <w:rFonts w:ascii="Times New Roman" w:hAnsi="Times New Roman" w:cs="Times New Roman"/>
          <w:sz w:val="24"/>
          <w:szCs w:val="24"/>
          <w:lang w:val="sr-Cyrl-RS"/>
        </w:rPr>
        <w:t xml:space="preserve">почетка </w:t>
      </w:r>
      <w:r w:rsidRPr="00664EBA">
        <w:rPr>
          <w:rFonts w:ascii="Times New Roman" w:hAnsi="Times New Roman" w:cs="Times New Roman"/>
          <w:sz w:val="24"/>
          <w:szCs w:val="24"/>
          <w:lang w:val="sr-Cyrl-RS"/>
        </w:rPr>
        <w:t xml:space="preserve">поновног функционисања донет је сет закона до 1990. године којим су послови на берзи регулисани, те је </w:t>
      </w:r>
      <w:r w:rsidR="003B39F9" w:rsidRPr="00664EBA">
        <w:rPr>
          <w:rFonts w:ascii="Times New Roman" w:hAnsi="Times New Roman" w:cs="Times New Roman"/>
          <w:sz w:val="24"/>
          <w:szCs w:val="24"/>
          <w:lang w:val="sr-Cyrl-RS"/>
        </w:rPr>
        <w:t xml:space="preserve">Београдска </w:t>
      </w:r>
      <w:r w:rsidRPr="00664EBA">
        <w:rPr>
          <w:rFonts w:ascii="Times New Roman" w:hAnsi="Times New Roman" w:cs="Times New Roman"/>
          <w:sz w:val="24"/>
          <w:szCs w:val="24"/>
          <w:lang w:val="sr-Cyrl-RS"/>
        </w:rPr>
        <w:t>берза у складу са истим постала модерна берза. Данас је берза организована на модеран начин и представља значајну институцију у којој се посредује при купопродаји хартиј</w:t>
      </w:r>
      <w:r w:rsidR="002E0362" w:rsidRPr="00664EBA">
        <w:rPr>
          <w:rFonts w:ascii="Times New Roman" w:hAnsi="Times New Roman" w:cs="Times New Roman"/>
          <w:sz w:val="24"/>
          <w:szCs w:val="24"/>
          <w:lang w:val="sr-Cyrl-RS"/>
        </w:rPr>
        <w:t>а</w:t>
      </w:r>
      <w:r w:rsidRPr="00664EBA">
        <w:rPr>
          <w:rFonts w:ascii="Times New Roman" w:hAnsi="Times New Roman" w:cs="Times New Roman"/>
          <w:sz w:val="24"/>
          <w:szCs w:val="24"/>
          <w:lang w:val="sr-Cyrl-RS"/>
        </w:rPr>
        <w:t xml:space="preserve"> од вредности.</w:t>
      </w:r>
      <w:r w:rsidR="003B39F9" w:rsidRPr="00664EBA">
        <w:rPr>
          <w:rFonts w:ascii="Times New Roman" w:hAnsi="Times New Roman" w:cs="Times New Roman"/>
          <w:sz w:val="24"/>
          <w:szCs w:val="24"/>
          <w:lang w:val="sr-Cyrl-RS"/>
        </w:rPr>
        <w:t xml:space="preserve"> На Б</w:t>
      </w:r>
      <w:r w:rsidR="00B478CF" w:rsidRPr="00664EBA">
        <w:rPr>
          <w:rFonts w:ascii="Times New Roman" w:hAnsi="Times New Roman" w:cs="Times New Roman"/>
          <w:sz w:val="24"/>
          <w:szCs w:val="24"/>
          <w:lang w:val="sr-Cyrl-RS"/>
        </w:rPr>
        <w:t xml:space="preserve">еоградској берзи не постоји већи број </w:t>
      </w:r>
      <w:r w:rsidR="00307467" w:rsidRPr="00664EBA">
        <w:rPr>
          <w:rFonts w:ascii="Times New Roman" w:hAnsi="Times New Roman" w:cs="Times New Roman"/>
          <w:sz w:val="24"/>
          <w:szCs w:val="24"/>
          <w:lang w:val="sr-Cyrl-RS"/>
        </w:rPr>
        <w:t>хартија од вредности</w:t>
      </w:r>
      <w:r w:rsidR="00B478CF" w:rsidRPr="00664EBA">
        <w:rPr>
          <w:rFonts w:ascii="Times New Roman" w:hAnsi="Times New Roman" w:cs="Times New Roman"/>
          <w:sz w:val="24"/>
          <w:szCs w:val="24"/>
          <w:lang w:val="sr-Cyrl-RS"/>
        </w:rPr>
        <w:t xml:space="preserve"> које су листиране, што пак није </w:t>
      </w:r>
      <w:r w:rsidR="00B478CF" w:rsidRPr="00664EBA">
        <w:rPr>
          <w:rFonts w:ascii="Times New Roman" w:hAnsi="Times New Roman" w:cs="Times New Roman"/>
          <w:sz w:val="24"/>
          <w:szCs w:val="24"/>
          <w:lang w:val="sr-Cyrl-RS"/>
        </w:rPr>
        <w:lastRenderedPageBreak/>
        <w:t xml:space="preserve">случај са </w:t>
      </w:r>
      <w:r w:rsidR="00307467" w:rsidRPr="00664EBA">
        <w:rPr>
          <w:rFonts w:ascii="Times New Roman" w:hAnsi="Times New Roman" w:cs="Times New Roman"/>
          <w:sz w:val="24"/>
          <w:szCs w:val="24"/>
          <w:lang w:val="sr-Cyrl-RS"/>
        </w:rPr>
        <w:t>хартија</w:t>
      </w:r>
      <w:r w:rsidR="00BA6D34" w:rsidRPr="00664EBA">
        <w:rPr>
          <w:rFonts w:ascii="Times New Roman" w:hAnsi="Times New Roman" w:cs="Times New Roman"/>
          <w:sz w:val="24"/>
          <w:szCs w:val="24"/>
          <w:lang w:val="sr-Cyrl-RS"/>
        </w:rPr>
        <w:t>ма</w:t>
      </w:r>
      <w:r w:rsidR="00307467" w:rsidRPr="00664EBA">
        <w:rPr>
          <w:rFonts w:ascii="Times New Roman" w:hAnsi="Times New Roman" w:cs="Times New Roman"/>
          <w:sz w:val="24"/>
          <w:szCs w:val="24"/>
          <w:lang w:val="sr-Cyrl-RS"/>
        </w:rPr>
        <w:t xml:space="preserve"> од вредности</w:t>
      </w:r>
      <w:r w:rsidR="00B478CF" w:rsidRPr="00664EBA">
        <w:rPr>
          <w:rFonts w:ascii="Times New Roman" w:hAnsi="Times New Roman" w:cs="Times New Roman"/>
          <w:sz w:val="24"/>
          <w:szCs w:val="24"/>
          <w:lang w:val="sr-Cyrl-RS"/>
        </w:rPr>
        <w:t xml:space="preserve"> на </w:t>
      </w:r>
      <w:proofErr w:type="spellStart"/>
      <w:r w:rsidR="00B478CF" w:rsidRPr="00664EBA">
        <w:rPr>
          <w:rFonts w:ascii="Times New Roman" w:hAnsi="Times New Roman" w:cs="Times New Roman"/>
          <w:sz w:val="24"/>
          <w:szCs w:val="24"/>
          <w:lang w:val="sr-Cyrl-RS"/>
        </w:rPr>
        <w:t>ванберзанском</w:t>
      </w:r>
      <w:proofErr w:type="spellEnd"/>
      <w:r w:rsidR="00B478CF" w:rsidRPr="00664EBA">
        <w:rPr>
          <w:rFonts w:ascii="Times New Roman" w:hAnsi="Times New Roman" w:cs="Times New Roman"/>
          <w:sz w:val="24"/>
          <w:szCs w:val="24"/>
          <w:lang w:val="sr-Cyrl-RS"/>
        </w:rPr>
        <w:t xml:space="preserve"> тржишту где је присутан већи број листираних </w:t>
      </w:r>
      <w:r w:rsidR="00307467" w:rsidRPr="00664EBA">
        <w:rPr>
          <w:rFonts w:ascii="Times New Roman" w:hAnsi="Times New Roman" w:cs="Times New Roman"/>
          <w:sz w:val="24"/>
          <w:szCs w:val="24"/>
          <w:lang w:val="sr-Cyrl-RS"/>
        </w:rPr>
        <w:t>хартија од вредности</w:t>
      </w:r>
      <w:r w:rsidR="00AF7575" w:rsidRPr="00664EBA">
        <w:rPr>
          <w:rFonts w:ascii="Times New Roman" w:hAnsi="Times New Roman" w:cs="Times New Roman"/>
          <w:sz w:val="24"/>
          <w:szCs w:val="24"/>
          <w:lang w:val="sr-Cyrl-RS"/>
        </w:rPr>
        <w:t xml:space="preserve"> и које се обавља у већем обиму</w:t>
      </w:r>
      <w:r w:rsidR="00B478CF" w:rsidRPr="00664EBA">
        <w:rPr>
          <w:rFonts w:ascii="Times New Roman" w:hAnsi="Times New Roman" w:cs="Times New Roman"/>
          <w:sz w:val="24"/>
          <w:szCs w:val="24"/>
          <w:lang w:val="sr-Cyrl-RS"/>
        </w:rPr>
        <w:t xml:space="preserve">. </w:t>
      </w:r>
      <w:r w:rsidR="00DC3ACD" w:rsidRPr="00664EBA">
        <w:rPr>
          <w:rFonts w:ascii="Times New Roman" w:hAnsi="Times New Roman" w:cs="Times New Roman"/>
          <w:sz w:val="24"/>
          <w:szCs w:val="24"/>
          <w:lang w:val="sr-Cyrl-RS"/>
        </w:rPr>
        <w:t>Уколико се</w:t>
      </w:r>
      <w:r w:rsidR="00193FAB" w:rsidRPr="00664EBA">
        <w:rPr>
          <w:rFonts w:ascii="Times New Roman" w:hAnsi="Times New Roman" w:cs="Times New Roman"/>
          <w:sz w:val="24"/>
          <w:szCs w:val="24"/>
          <w:lang w:val="sr-Cyrl-RS"/>
        </w:rPr>
        <w:t xml:space="preserve"> са</w:t>
      </w:r>
      <w:r w:rsidR="00DC3ACD" w:rsidRPr="00664EBA">
        <w:rPr>
          <w:rFonts w:ascii="Times New Roman" w:hAnsi="Times New Roman" w:cs="Times New Roman"/>
          <w:sz w:val="24"/>
          <w:szCs w:val="24"/>
          <w:lang w:val="sr-Cyrl-RS"/>
        </w:rPr>
        <w:t xml:space="preserve"> одређеним ефектом не врши трговање у питању је </w:t>
      </w:r>
      <w:r w:rsidR="00307467" w:rsidRPr="00664EBA">
        <w:rPr>
          <w:rFonts w:ascii="Times New Roman" w:hAnsi="Times New Roman" w:cs="Times New Roman"/>
          <w:sz w:val="24"/>
          <w:szCs w:val="24"/>
          <w:lang w:val="sr-Cyrl-RS"/>
        </w:rPr>
        <w:t>хартија од вредности</w:t>
      </w:r>
      <w:r w:rsidR="00DC3ACD" w:rsidRPr="00664EBA">
        <w:rPr>
          <w:rFonts w:ascii="Times New Roman" w:hAnsi="Times New Roman" w:cs="Times New Roman"/>
          <w:sz w:val="24"/>
          <w:szCs w:val="24"/>
          <w:lang w:val="sr-Cyrl-RS"/>
        </w:rPr>
        <w:t xml:space="preserve"> која је </w:t>
      </w:r>
      <w:proofErr w:type="spellStart"/>
      <w:r w:rsidR="00DC3ACD" w:rsidRPr="00664EBA">
        <w:rPr>
          <w:rFonts w:ascii="Times New Roman" w:hAnsi="Times New Roman" w:cs="Times New Roman"/>
          <w:sz w:val="24"/>
          <w:szCs w:val="24"/>
          <w:lang w:val="sr-Cyrl-RS"/>
        </w:rPr>
        <w:t>неликвидна</w:t>
      </w:r>
      <w:proofErr w:type="spellEnd"/>
      <w:r w:rsidR="00DC3ACD" w:rsidRPr="00664EBA">
        <w:rPr>
          <w:rFonts w:ascii="Times New Roman" w:hAnsi="Times New Roman" w:cs="Times New Roman"/>
          <w:sz w:val="24"/>
          <w:szCs w:val="24"/>
          <w:lang w:val="sr-Cyrl-RS"/>
        </w:rPr>
        <w:t xml:space="preserve">, тако да не постоји могућност за њеним даљим разматрањем јер важећа цена није њена стварна цена. </w:t>
      </w:r>
      <w:r w:rsidR="00B478CF" w:rsidRPr="00664EBA">
        <w:rPr>
          <w:rFonts w:ascii="Times New Roman" w:hAnsi="Times New Roman" w:cs="Times New Roman"/>
          <w:sz w:val="24"/>
          <w:szCs w:val="24"/>
          <w:lang w:val="sr-Cyrl-RS"/>
        </w:rPr>
        <w:t xml:space="preserve"> </w:t>
      </w:r>
      <w:r w:rsidR="00DC3ACD" w:rsidRPr="00664EBA">
        <w:rPr>
          <w:rFonts w:ascii="Times New Roman" w:hAnsi="Times New Roman" w:cs="Times New Roman"/>
          <w:sz w:val="24"/>
          <w:szCs w:val="24"/>
          <w:lang w:val="sr-Cyrl-RS"/>
        </w:rPr>
        <w:t xml:space="preserve">Ефекти који се узимају </w:t>
      </w:r>
      <w:r w:rsidR="001716DD" w:rsidRPr="00664EBA">
        <w:rPr>
          <w:rFonts w:ascii="Times New Roman" w:hAnsi="Times New Roman" w:cs="Times New Roman"/>
          <w:sz w:val="24"/>
          <w:szCs w:val="24"/>
          <w:lang w:val="sr-Cyrl-RS"/>
        </w:rPr>
        <w:t xml:space="preserve">у обзир </w:t>
      </w:r>
      <w:r w:rsidR="00DC3ACD" w:rsidRPr="00664EBA">
        <w:rPr>
          <w:rFonts w:ascii="Times New Roman" w:hAnsi="Times New Roman" w:cs="Times New Roman"/>
          <w:sz w:val="24"/>
          <w:szCs w:val="24"/>
          <w:lang w:val="sr-Cyrl-RS"/>
        </w:rPr>
        <w:t>односе се на Листинг А и Листинг Б, као и акције у оквиру индек</w:t>
      </w:r>
      <w:r w:rsidR="000E3C22" w:rsidRPr="00664EBA">
        <w:rPr>
          <w:rFonts w:ascii="Times New Roman" w:hAnsi="Times New Roman" w:cs="Times New Roman"/>
          <w:sz w:val="24"/>
          <w:szCs w:val="24"/>
          <w:lang w:val="sr-Cyrl-RS"/>
        </w:rPr>
        <w:t>с</w:t>
      </w:r>
      <w:r w:rsidR="00156FF6" w:rsidRPr="00664EBA">
        <w:rPr>
          <w:rFonts w:ascii="Times New Roman" w:hAnsi="Times New Roman" w:cs="Times New Roman"/>
          <w:sz w:val="24"/>
          <w:szCs w:val="24"/>
          <w:lang w:val="sr-Cyrl-RS"/>
        </w:rPr>
        <w:t xml:space="preserve">а </w:t>
      </w:r>
      <w:proofErr w:type="spellStart"/>
      <w:r w:rsidR="00156FF6" w:rsidRPr="00664EBA">
        <w:rPr>
          <w:rFonts w:ascii="Times New Roman" w:hAnsi="Times New Roman" w:cs="Times New Roman"/>
          <w:sz w:val="24"/>
          <w:szCs w:val="24"/>
          <w:lang w:val="sr-Cyrl-RS"/>
        </w:rPr>
        <w:t>Белекс</w:t>
      </w:r>
      <w:proofErr w:type="spellEnd"/>
      <w:r w:rsidR="00156FF6" w:rsidRPr="00664EBA">
        <w:rPr>
          <w:rFonts w:ascii="Times New Roman" w:hAnsi="Times New Roman" w:cs="Times New Roman"/>
          <w:sz w:val="24"/>
          <w:szCs w:val="24"/>
          <w:lang w:val="sr-Cyrl-RS"/>
        </w:rPr>
        <w:t xml:space="preserve"> </w:t>
      </w:r>
      <w:r w:rsidR="00DC3ACD" w:rsidRPr="00664EBA">
        <w:rPr>
          <w:rFonts w:ascii="Times New Roman" w:hAnsi="Times New Roman" w:cs="Times New Roman"/>
          <w:sz w:val="24"/>
          <w:szCs w:val="24"/>
          <w:lang w:val="sr-Cyrl-RS"/>
        </w:rPr>
        <w:t>15</w:t>
      </w:r>
      <w:r w:rsidR="00AC6BA0" w:rsidRPr="00664EBA">
        <w:rPr>
          <w:rFonts w:ascii="Times New Roman" w:hAnsi="Times New Roman" w:cs="Times New Roman"/>
          <w:sz w:val="24"/>
          <w:szCs w:val="24"/>
          <w:lang w:val="sr-Cyrl-RS"/>
        </w:rPr>
        <w:t>.</w:t>
      </w:r>
      <w:r w:rsidR="00122232" w:rsidRPr="00664EBA">
        <w:rPr>
          <w:rFonts w:ascii="Times New Roman" w:hAnsi="Times New Roman" w:cs="Times New Roman"/>
          <w:sz w:val="24"/>
          <w:szCs w:val="24"/>
          <w:lang w:val="sr-Cyrl-RS"/>
        </w:rPr>
        <w:footnoteReference w:id="30"/>
      </w:r>
      <w:r w:rsidR="000E3C22" w:rsidRPr="00664EBA">
        <w:rPr>
          <w:rFonts w:ascii="Times New Roman" w:hAnsi="Times New Roman" w:cs="Times New Roman"/>
          <w:sz w:val="24"/>
          <w:szCs w:val="24"/>
          <w:lang w:val="sr-Cyrl-RS"/>
        </w:rPr>
        <w:t xml:space="preserve"> Процес приватизације у </w:t>
      </w:r>
      <w:r w:rsidR="00156FF6" w:rsidRPr="00664EBA">
        <w:rPr>
          <w:rFonts w:ascii="Times New Roman" w:hAnsi="Times New Roman" w:cs="Times New Roman"/>
          <w:sz w:val="24"/>
          <w:szCs w:val="24"/>
          <w:lang w:val="sr-Cyrl-RS"/>
        </w:rPr>
        <w:t>Републици Србији</w:t>
      </w:r>
      <w:r w:rsidR="000E3C22" w:rsidRPr="00664EBA">
        <w:rPr>
          <w:rFonts w:ascii="Times New Roman" w:hAnsi="Times New Roman" w:cs="Times New Roman"/>
          <w:sz w:val="24"/>
          <w:szCs w:val="24"/>
          <w:lang w:val="sr-Cyrl-RS"/>
        </w:rPr>
        <w:t xml:space="preserve"> за резултат је имао структурну трансформацију предузећа која су друштвеног и државног карактера у акционарска друштва која су отвореног карактера. Током, приватизационог процеса је започело трговање акцијама на берзи, односно обвезницама у мањим количинама са циљем развијања тржишта капитала. Од великог значаја за развој берзанске трговине јесте и развијен информативни систем </w:t>
      </w:r>
      <w:r w:rsidR="003B39F9" w:rsidRPr="00664EBA">
        <w:rPr>
          <w:rFonts w:ascii="Times New Roman" w:hAnsi="Times New Roman" w:cs="Times New Roman"/>
          <w:sz w:val="24"/>
          <w:szCs w:val="24"/>
          <w:lang w:val="sr-Cyrl-RS"/>
        </w:rPr>
        <w:t>путем којег</w:t>
      </w:r>
      <w:r w:rsidR="000E3C22" w:rsidRPr="00664EBA">
        <w:rPr>
          <w:rFonts w:ascii="Times New Roman" w:hAnsi="Times New Roman" w:cs="Times New Roman"/>
          <w:sz w:val="24"/>
          <w:szCs w:val="24"/>
          <w:lang w:val="sr-Cyrl-RS"/>
        </w:rPr>
        <w:t xml:space="preserve"> се системски може пратити стабилност тржишних економија. Такође, на основу развоја оваквог система утиче се на жеље инвеститора да инвестирају средства у одређене хартије од вредности </w:t>
      </w:r>
      <w:r w:rsidR="00156FF6" w:rsidRPr="00664EBA">
        <w:rPr>
          <w:rFonts w:ascii="Times New Roman" w:hAnsi="Times New Roman" w:cs="Times New Roman"/>
          <w:sz w:val="24"/>
          <w:szCs w:val="24"/>
          <w:lang w:val="sr-Cyrl-RS"/>
        </w:rPr>
        <w:t>привредних друштава</w:t>
      </w:r>
      <w:r w:rsidR="000E3C22" w:rsidRPr="00664EBA">
        <w:rPr>
          <w:rFonts w:ascii="Times New Roman" w:hAnsi="Times New Roman" w:cs="Times New Roman"/>
          <w:sz w:val="24"/>
          <w:szCs w:val="24"/>
          <w:lang w:val="sr-Cyrl-RS"/>
        </w:rPr>
        <w:t>.</w:t>
      </w:r>
    </w:p>
    <w:p w14:paraId="600025C3" w14:textId="31078EE0" w:rsidR="00813E62" w:rsidRPr="00B30084" w:rsidRDefault="00175A3B" w:rsidP="00275E1F">
      <w:pPr>
        <w:pStyle w:val="Heading2"/>
      </w:pPr>
      <w:r w:rsidRPr="00B30084">
        <w:t>Преглед</w:t>
      </w:r>
      <w:r w:rsidR="001E116C" w:rsidRPr="00B30084">
        <w:t xml:space="preserve"> и анализа постојећег с</w:t>
      </w:r>
      <w:r w:rsidR="004F7685" w:rsidRPr="00B30084">
        <w:t>тањ</w:t>
      </w:r>
      <w:r w:rsidR="001E116C" w:rsidRPr="00B30084">
        <w:t>а</w:t>
      </w:r>
      <w:r w:rsidR="004F7685" w:rsidRPr="00B30084">
        <w:t xml:space="preserve"> у Републици Србији</w:t>
      </w:r>
    </w:p>
    <w:p w14:paraId="77AFF53A" w14:textId="477ECE0E" w:rsidR="0044301B" w:rsidRPr="00B30084" w:rsidRDefault="00F92386" w:rsidP="00AE2E48">
      <w:pPr>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На бази анализе коју је спровео ЕБРД евидентно је да напредна тржишта капитала ефикасније усмеравају своју штедњу на тржиште капитала</w:t>
      </w:r>
      <w:r w:rsidRPr="00B30084">
        <w:rPr>
          <w:rFonts w:ascii="Times New Roman" w:hAnsi="Times New Roman" w:cs="Times New Roman"/>
          <w:sz w:val="24"/>
          <w:szCs w:val="24"/>
        </w:rPr>
        <w:t xml:space="preserve"> </w:t>
      </w:r>
      <w:r w:rsidRPr="00B30084">
        <w:rPr>
          <w:rFonts w:ascii="Times New Roman" w:hAnsi="Times New Roman" w:cs="Times New Roman"/>
          <w:sz w:val="24"/>
          <w:szCs w:val="24"/>
          <w:lang w:val="sr-Cyrl-RS"/>
        </w:rPr>
        <w:t xml:space="preserve">него што то чини Србија. Подаци за 2019. годину говоре да је у Србији свега 2,32% укупне уштеђевине усмерено на тржиште капитала. Такође на бази спроведене анализе утврђено је да је 58% уштеђевине неискоришћено, па се поставља питање да ли се ови ресурси усмеравају у </w:t>
      </w:r>
      <w:proofErr w:type="spellStart"/>
      <w:r w:rsidRPr="00B30084">
        <w:rPr>
          <w:rFonts w:ascii="Times New Roman" w:hAnsi="Times New Roman" w:cs="Times New Roman"/>
          <w:sz w:val="24"/>
          <w:szCs w:val="24"/>
          <w:lang w:val="sr-Cyrl-RS"/>
        </w:rPr>
        <w:t>инвестције</w:t>
      </w:r>
      <w:proofErr w:type="spellEnd"/>
      <w:r w:rsidRPr="00B30084">
        <w:rPr>
          <w:rFonts w:ascii="Times New Roman" w:hAnsi="Times New Roman" w:cs="Times New Roman"/>
          <w:sz w:val="24"/>
          <w:szCs w:val="24"/>
          <w:lang w:val="sr-Cyrl-RS"/>
        </w:rPr>
        <w:t xml:space="preserve"> ван граница Србије. Јасно је да би </w:t>
      </w:r>
      <w:r w:rsidR="00851678" w:rsidRPr="00B30084">
        <w:rPr>
          <w:rFonts w:ascii="Times New Roman" w:hAnsi="Times New Roman" w:cs="Times New Roman"/>
          <w:sz w:val="24"/>
          <w:szCs w:val="24"/>
          <w:lang w:val="sr-Cyrl-RS"/>
        </w:rPr>
        <w:t xml:space="preserve">Република </w:t>
      </w:r>
      <w:r w:rsidRPr="00B30084">
        <w:rPr>
          <w:rFonts w:ascii="Times New Roman" w:hAnsi="Times New Roman" w:cs="Times New Roman"/>
          <w:sz w:val="24"/>
          <w:szCs w:val="24"/>
          <w:lang w:val="sr-Cyrl-RS"/>
        </w:rPr>
        <w:t xml:space="preserve">Србија </w:t>
      </w:r>
      <w:r w:rsidRPr="005A6F4A">
        <w:rPr>
          <w:rFonts w:ascii="Times New Roman" w:hAnsi="Times New Roman" w:cs="Times New Roman"/>
          <w:sz w:val="24"/>
          <w:szCs w:val="24"/>
          <w:lang w:val="sr-Cyrl-RS"/>
        </w:rPr>
        <w:t>могла да искористи ове уштеде за унутрашње реинвестирање и тиме допринесе расту привреде. Основни циљ би био да се до 2023. године на тржиште капитала усмери 5% од укупне штедње и на тај начин позитивно утиче на раст привреде.</w:t>
      </w:r>
      <w:r w:rsidRPr="00B30084">
        <w:rPr>
          <w:rFonts w:ascii="Times New Roman" w:hAnsi="Times New Roman" w:cs="Times New Roman"/>
          <w:sz w:val="24"/>
          <w:szCs w:val="24"/>
          <w:lang w:val="sr-Cyrl-RS"/>
        </w:rPr>
        <w:t xml:space="preserve"> </w:t>
      </w:r>
    </w:p>
    <w:p w14:paraId="750F881C" w14:textId="3ECD0352" w:rsidR="008B6F39" w:rsidRPr="00B30084" w:rsidRDefault="00A37CF5" w:rsidP="00275E1F">
      <w:pPr>
        <w:pStyle w:val="Heading2"/>
      </w:pPr>
      <w:r w:rsidRPr="00B30084">
        <w:t>Постојеће стање у кључним секторима у Србији</w:t>
      </w:r>
    </w:p>
    <w:p w14:paraId="6635B1EA" w14:textId="3310DA29" w:rsidR="002C2F47" w:rsidRPr="00B30084" w:rsidRDefault="002C2F47" w:rsidP="000E3C22">
      <w:pPr>
        <w:pStyle w:val="Heading2"/>
        <w:numPr>
          <w:ilvl w:val="3"/>
          <w:numId w:val="30"/>
        </w:numPr>
      </w:pPr>
      <w:r w:rsidRPr="00B30084">
        <w:t>Привреда</w:t>
      </w:r>
    </w:p>
    <w:p w14:paraId="541D292F" w14:textId="5DE66F1E" w:rsidR="00423C0F" w:rsidRPr="00B30084" w:rsidRDefault="00423C0F" w:rsidP="00E50617">
      <w:pPr>
        <w:pStyle w:val="Default"/>
        <w:spacing w:line="276" w:lineRule="auto"/>
        <w:ind w:firstLine="360"/>
        <w:jc w:val="both"/>
        <w:rPr>
          <w:rFonts w:ascii="Times New Roman" w:hAnsi="Times New Roman" w:cs="Times New Roman"/>
          <w:lang w:val="sr-Cyrl-RS"/>
        </w:rPr>
      </w:pPr>
      <w:r w:rsidRPr="00B30084">
        <w:rPr>
          <w:rFonts w:ascii="Times New Roman" w:hAnsi="Times New Roman" w:cs="Times New Roman"/>
          <w:lang w:val="sr-Cyrl-RS"/>
        </w:rPr>
        <w:t>Према Глобалном индексу конкурентности</w:t>
      </w:r>
      <w:r w:rsidRPr="00B30084">
        <w:rPr>
          <w:rStyle w:val="FootnoteReference"/>
          <w:rFonts w:ascii="Times New Roman" w:hAnsi="Times New Roman" w:cs="Times New Roman"/>
          <w:lang w:val="sr-Cyrl-RS"/>
        </w:rPr>
        <w:footnoteReference w:id="31"/>
      </w:r>
      <w:r w:rsidRPr="00B30084">
        <w:rPr>
          <w:rFonts w:ascii="Times New Roman" w:hAnsi="Times New Roman" w:cs="Times New Roman"/>
          <w:lang w:val="sr-Cyrl-RS"/>
        </w:rPr>
        <w:t>, у пилару који мери фина</w:t>
      </w:r>
      <w:r w:rsidR="00254C28" w:rsidRPr="00B30084">
        <w:rPr>
          <w:rFonts w:ascii="Times New Roman" w:hAnsi="Times New Roman" w:cs="Times New Roman"/>
          <w:lang w:val="sr-Cyrl-RS"/>
        </w:rPr>
        <w:t>н</w:t>
      </w:r>
      <w:r w:rsidRPr="00B30084">
        <w:rPr>
          <w:rFonts w:ascii="Times New Roman" w:hAnsi="Times New Roman" w:cs="Times New Roman"/>
          <w:lang w:val="sr-Cyrl-RS"/>
        </w:rPr>
        <w:t>сијски систем Србија заузима 82. место (са скором од 57.4</w:t>
      </w:r>
      <w:r w:rsidR="007250F3" w:rsidRPr="00B30084">
        <w:rPr>
          <w:rFonts w:ascii="Times New Roman" w:hAnsi="Times New Roman" w:cs="Times New Roman"/>
          <w:lang w:val="sr-Cyrl-RS"/>
        </w:rPr>
        <w:t xml:space="preserve"> са позитивним трендом кретања</w:t>
      </w:r>
      <w:r w:rsidRPr="00B30084">
        <w:rPr>
          <w:rFonts w:ascii="Times New Roman" w:hAnsi="Times New Roman" w:cs="Times New Roman"/>
          <w:lang w:val="sr-Cyrl-RS"/>
        </w:rPr>
        <w:t>). У овој области нај</w:t>
      </w:r>
      <w:r w:rsidR="002B4BD7" w:rsidRPr="00B30084">
        <w:rPr>
          <w:rFonts w:ascii="Times New Roman" w:hAnsi="Times New Roman" w:cs="Times New Roman"/>
          <w:lang w:val="sr-Cyrl-RS"/>
        </w:rPr>
        <w:t xml:space="preserve">релевантнији индикатори који показују степен </w:t>
      </w:r>
      <w:r w:rsidRPr="00B30084">
        <w:rPr>
          <w:rFonts w:ascii="Times New Roman" w:hAnsi="Times New Roman" w:cs="Times New Roman"/>
          <w:lang w:val="sr-Cyrl-RS"/>
        </w:rPr>
        <w:t>разв</w:t>
      </w:r>
      <w:r w:rsidR="002B4BD7" w:rsidRPr="00B30084">
        <w:rPr>
          <w:rFonts w:ascii="Times New Roman" w:hAnsi="Times New Roman" w:cs="Times New Roman"/>
          <w:lang w:val="sr-Cyrl-RS"/>
        </w:rPr>
        <w:t>ијености</w:t>
      </w:r>
      <w:r w:rsidRPr="00B30084">
        <w:rPr>
          <w:rFonts w:ascii="Times New Roman" w:hAnsi="Times New Roman" w:cs="Times New Roman"/>
          <w:lang w:val="sr-Cyrl-RS"/>
        </w:rPr>
        <w:t xml:space="preserve"> тржишта капитала су: </w:t>
      </w:r>
    </w:p>
    <w:p w14:paraId="47E06808" w14:textId="588DADE5" w:rsidR="007250F3" w:rsidRPr="00B30084" w:rsidRDefault="007250F3" w:rsidP="00E50617">
      <w:pPr>
        <w:pStyle w:val="Default"/>
        <w:numPr>
          <w:ilvl w:val="0"/>
          <w:numId w:val="27"/>
        </w:numPr>
        <w:spacing w:line="276" w:lineRule="auto"/>
        <w:jc w:val="both"/>
        <w:rPr>
          <w:rFonts w:ascii="Times New Roman" w:hAnsi="Times New Roman" w:cs="Times New Roman"/>
          <w:lang w:val="sr-Cyrl-RS"/>
        </w:rPr>
      </w:pPr>
      <w:r w:rsidRPr="00B30084">
        <w:rPr>
          <w:rFonts w:ascii="Times New Roman" w:hAnsi="Times New Roman" w:cs="Times New Roman"/>
          <w:u w:val="single"/>
          <w:lang w:val="sr-Cyrl-RS"/>
        </w:rPr>
        <w:t>Учешће тржишне капитализације у БДП-у</w:t>
      </w:r>
      <w:r w:rsidRPr="00B30084">
        <w:rPr>
          <w:rFonts w:ascii="Times New Roman" w:hAnsi="Times New Roman" w:cs="Times New Roman"/>
          <w:lang w:val="sr-Cyrl-RS"/>
        </w:rPr>
        <w:t xml:space="preserve"> – </w:t>
      </w:r>
      <w:r w:rsidR="00254C28" w:rsidRPr="00B30084">
        <w:rPr>
          <w:rFonts w:ascii="Times New Roman" w:hAnsi="Times New Roman" w:cs="Times New Roman"/>
          <w:lang w:val="sr-Cyrl-RS"/>
        </w:rPr>
        <w:t xml:space="preserve">Република </w:t>
      </w:r>
      <w:r w:rsidRPr="00B30084">
        <w:rPr>
          <w:rFonts w:ascii="Times New Roman" w:hAnsi="Times New Roman" w:cs="Times New Roman"/>
          <w:lang w:val="sr-Cyrl-RS"/>
        </w:rPr>
        <w:t>Србија се према овом показат</w:t>
      </w:r>
      <w:r w:rsidR="00DC236D" w:rsidRPr="00B30084">
        <w:rPr>
          <w:rFonts w:ascii="Times New Roman" w:hAnsi="Times New Roman" w:cs="Times New Roman"/>
          <w:lang w:val="sr-Cyrl-RS"/>
        </w:rPr>
        <w:t>е</w:t>
      </w:r>
      <w:r w:rsidRPr="00B30084">
        <w:rPr>
          <w:rFonts w:ascii="Times New Roman" w:hAnsi="Times New Roman" w:cs="Times New Roman"/>
          <w:lang w:val="sr-Cyrl-RS"/>
        </w:rPr>
        <w:t xml:space="preserve">љу налази на 88. месту (са скором од 13.2 са негативним трендом кретања). </w:t>
      </w:r>
      <w:r w:rsidR="00CD16F6" w:rsidRPr="00B30084">
        <w:rPr>
          <w:rFonts w:ascii="Times New Roman" w:hAnsi="Times New Roman" w:cs="Times New Roman"/>
          <w:lang w:val="sr-Cyrl-RS"/>
        </w:rPr>
        <w:t>Сматра се да је тржиште капитала развијено уколико овај рацио износи преко 50%, али се приликом давања закључака треба ослонити и на друге индикаторе тржишта капитала.</w:t>
      </w:r>
    </w:p>
    <w:p w14:paraId="6841A698" w14:textId="64B12CFA" w:rsidR="002F6E50" w:rsidRPr="00B30084" w:rsidRDefault="002F6E50" w:rsidP="00E50617">
      <w:pPr>
        <w:pStyle w:val="Default"/>
        <w:numPr>
          <w:ilvl w:val="0"/>
          <w:numId w:val="27"/>
        </w:numPr>
        <w:spacing w:line="276" w:lineRule="auto"/>
        <w:jc w:val="both"/>
        <w:rPr>
          <w:rFonts w:ascii="Times New Roman" w:hAnsi="Times New Roman" w:cs="Times New Roman"/>
          <w:lang w:val="sr-Cyrl-RS"/>
        </w:rPr>
      </w:pPr>
      <w:r w:rsidRPr="00B30084">
        <w:rPr>
          <w:rFonts w:ascii="Times New Roman" w:hAnsi="Times New Roman" w:cs="Times New Roman"/>
          <w:u w:val="single"/>
          <w:lang w:val="sr-Cyrl-RS"/>
        </w:rPr>
        <w:t>Доступност пр</w:t>
      </w:r>
      <w:r w:rsidR="00DB7348" w:rsidRPr="00B30084">
        <w:rPr>
          <w:rFonts w:ascii="Times New Roman" w:hAnsi="Times New Roman" w:cs="Times New Roman"/>
          <w:u w:val="single"/>
          <w:lang w:val="sr-Cyrl-RS"/>
        </w:rPr>
        <w:t xml:space="preserve">едузетничког </w:t>
      </w:r>
      <w:r w:rsidRPr="00B30084">
        <w:rPr>
          <w:rFonts w:ascii="Times New Roman" w:hAnsi="Times New Roman" w:cs="Times New Roman"/>
          <w:u w:val="single"/>
          <w:lang w:val="sr-Cyrl-RS"/>
        </w:rPr>
        <w:t>капитала (</w:t>
      </w:r>
      <w:proofErr w:type="spellStart"/>
      <w:r w:rsidRPr="00B30084">
        <w:rPr>
          <w:rFonts w:ascii="Times New Roman" w:hAnsi="Times New Roman" w:cs="Times New Roman"/>
          <w:u w:val="single"/>
          <w:lang w:val="sr-Cyrl-RS"/>
        </w:rPr>
        <w:t>venture</w:t>
      </w:r>
      <w:proofErr w:type="spellEnd"/>
      <w:r w:rsidRPr="00B30084">
        <w:rPr>
          <w:rFonts w:ascii="Times New Roman" w:hAnsi="Times New Roman" w:cs="Times New Roman"/>
          <w:u w:val="single"/>
          <w:lang w:val="sr-Cyrl-RS"/>
        </w:rPr>
        <w:t xml:space="preserve"> </w:t>
      </w:r>
      <w:proofErr w:type="spellStart"/>
      <w:r w:rsidRPr="00B30084">
        <w:rPr>
          <w:rFonts w:ascii="Times New Roman" w:hAnsi="Times New Roman" w:cs="Times New Roman"/>
          <w:u w:val="single"/>
          <w:lang w:val="sr-Cyrl-RS"/>
        </w:rPr>
        <w:t>capital</w:t>
      </w:r>
      <w:proofErr w:type="spellEnd"/>
      <w:r w:rsidRPr="00B30084">
        <w:rPr>
          <w:rFonts w:ascii="Times New Roman" w:hAnsi="Times New Roman" w:cs="Times New Roman"/>
          <w:u w:val="single"/>
          <w:lang w:val="sr-Cyrl-RS"/>
        </w:rPr>
        <w:t>)</w:t>
      </w:r>
      <w:r w:rsidRPr="00B30084">
        <w:rPr>
          <w:rFonts w:ascii="Times New Roman" w:hAnsi="Times New Roman" w:cs="Times New Roman"/>
          <w:lang w:val="sr-Cyrl-RS"/>
        </w:rPr>
        <w:t xml:space="preserve"> </w:t>
      </w:r>
      <w:r w:rsidR="00BB6E0D" w:rsidRPr="00B30084">
        <w:rPr>
          <w:rFonts w:ascii="Times New Roman" w:hAnsi="Times New Roman" w:cs="Times New Roman"/>
          <w:lang w:val="sr-Cyrl-RS"/>
        </w:rPr>
        <w:t>–</w:t>
      </w:r>
      <w:r w:rsidR="00DB7348" w:rsidRPr="00B30084">
        <w:rPr>
          <w:rFonts w:ascii="Times New Roman" w:hAnsi="Times New Roman" w:cs="Times New Roman"/>
          <w:lang w:val="sr-Cyrl-RS"/>
        </w:rPr>
        <w:t xml:space="preserve"> </w:t>
      </w:r>
      <w:r w:rsidR="00BB6E0D" w:rsidRPr="00B30084">
        <w:rPr>
          <w:rFonts w:ascii="Times New Roman" w:hAnsi="Times New Roman" w:cs="Times New Roman"/>
          <w:lang w:val="sr-Cyrl-RS"/>
        </w:rPr>
        <w:t xml:space="preserve">Република </w:t>
      </w:r>
      <w:r w:rsidR="00DB7348" w:rsidRPr="00B30084">
        <w:rPr>
          <w:rFonts w:ascii="Times New Roman" w:hAnsi="Times New Roman" w:cs="Times New Roman"/>
          <w:lang w:val="sr-Cyrl-RS"/>
        </w:rPr>
        <w:t>Србија се према овом показатељу налази на 69. месту (са скором од 35.9 са позитивним трендом кретања).</w:t>
      </w:r>
      <w:r w:rsidR="00E058B4" w:rsidRPr="00B30084">
        <w:rPr>
          <w:rFonts w:ascii="Times New Roman" w:hAnsi="Times New Roman" w:cs="Times New Roman"/>
          <w:lang w:val="sr-Cyrl-RS"/>
        </w:rPr>
        <w:t xml:space="preserve"> Предузетнички капитал се обично додељује малим предузећима са </w:t>
      </w:r>
      <w:r w:rsidR="00E058B4" w:rsidRPr="00B30084">
        <w:rPr>
          <w:rFonts w:ascii="Times New Roman" w:hAnsi="Times New Roman" w:cs="Times New Roman"/>
          <w:lang w:val="sr-Cyrl-RS"/>
        </w:rPr>
        <w:lastRenderedPageBreak/>
        <w:t xml:space="preserve">изузетним потенцијалом за раст или компанијама које су брзо нарасле и постоје изгледи да су спремне да наставе да се шире. </w:t>
      </w:r>
    </w:p>
    <w:p w14:paraId="7C1766A8" w14:textId="77777777" w:rsidR="00BB6E0D" w:rsidRPr="00B30084" w:rsidRDefault="00BB6E0D" w:rsidP="00BB6E0D">
      <w:pPr>
        <w:pStyle w:val="Default"/>
        <w:spacing w:line="276" w:lineRule="auto"/>
        <w:ind w:left="720"/>
        <w:jc w:val="both"/>
        <w:rPr>
          <w:rFonts w:ascii="Times New Roman" w:hAnsi="Times New Roman" w:cs="Times New Roman"/>
          <w:lang w:val="sr-Cyrl-RS"/>
        </w:rPr>
      </w:pPr>
    </w:p>
    <w:p w14:paraId="1E8544DA" w14:textId="1E3AAF84" w:rsidR="00D73045" w:rsidRPr="00B30084" w:rsidRDefault="00D73045" w:rsidP="00D73045">
      <w:pPr>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Кретање промета на београдској берзи указује на врло ниску активност инвеститора (видети Табелу 1</w:t>
      </w:r>
      <w:r w:rsidR="00BF3002" w:rsidRPr="00B30084">
        <w:rPr>
          <w:rFonts w:ascii="Times New Roman" w:hAnsi="Times New Roman" w:cs="Times New Roman"/>
          <w:sz w:val="24"/>
          <w:szCs w:val="24"/>
          <w:lang w:val="sr-Cyrl-RS"/>
        </w:rPr>
        <w:t>.</w:t>
      </w:r>
      <w:r w:rsidRPr="00B30084">
        <w:rPr>
          <w:rFonts w:ascii="Times New Roman" w:hAnsi="Times New Roman" w:cs="Times New Roman"/>
          <w:sz w:val="24"/>
          <w:szCs w:val="24"/>
          <w:lang w:val="sr-Cyrl-RS"/>
        </w:rPr>
        <w:t xml:space="preserve"> и 2</w:t>
      </w:r>
      <w:r w:rsidR="00BF3002" w:rsidRPr="00B30084">
        <w:rPr>
          <w:rFonts w:ascii="Times New Roman" w:hAnsi="Times New Roman" w:cs="Times New Roman"/>
          <w:sz w:val="24"/>
          <w:szCs w:val="24"/>
          <w:lang w:val="sr-Cyrl-RS"/>
        </w:rPr>
        <w:t>.</w:t>
      </w:r>
      <w:r w:rsidRPr="00B30084">
        <w:rPr>
          <w:rFonts w:ascii="Times New Roman" w:hAnsi="Times New Roman" w:cs="Times New Roman"/>
          <w:sz w:val="24"/>
          <w:szCs w:val="24"/>
          <w:lang w:val="sr-Cyrl-RS"/>
        </w:rPr>
        <w:t xml:space="preserve">), која је проузрокована </w:t>
      </w:r>
      <w:r w:rsidRPr="00B30084">
        <w:rPr>
          <w:rFonts w:ascii="Times New Roman" w:hAnsi="Times New Roman" w:cs="Times New Roman"/>
          <w:sz w:val="24"/>
          <w:szCs w:val="24"/>
          <w:lang w:val="sr-Latn-RS"/>
        </w:rPr>
        <w:t>o</w:t>
      </w:r>
      <w:r w:rsidRPr="00B30084">
        <w:rPr>
          <w:rFonts w:ascii="Times New Roman" w:hAnsi="Times New Roman" w:cs="Times New Roman"/>
          <w:sz w:val="24"/>
          <w:szCs w:val="24"/>
          <w:lang w:val="sr-Cyrl-RS"/>
        </w:rPr>
        <w:t xml:space="preserve">д стране више фактора: непостојање адекватног финансијског знања, потенцијални системски и несистемски ризици, мали број атрактивних финансијских инструмената, недостатак ентузијазма. </w:t>
      </w:r>
    </w:p>
    <w:p w14:paraId="2174BB99" w14:textId="09C6B77C" w:rsidR="004E2302" w:rsidRPr="00B30084" w:rsidRDefault="003B39F9" w:rsidP="00BF3002">
      <w:pPr>
        <w:spacing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Табела 1. Промет на Б</w:t>
      </w:r>
      <w:r w:rsidR="004E2302" w:rsidRPr="00B30084">
        <w:rPr>
          <w:rFonts w:ascii="Times New Roman" w:hAnsi="Times New Roman" w:cs="Times New Roman"/>
          <w:sz w:val="24"/>
          <w:szCs w:val="24"/>
          <w:lang w:val="sr-Cyrl-RS"/>
        </w:rPr>
        <w:t>еоградској берзи у периоду 2011-2020</w:t>
      </w:r>
    </w:p>
    <w:tbl>
      <w:tblPr>
        <w:tblW w:w="3902" w:type="dxa"/>
        <w:tblLook w:val="04A0" w:firstRow="1" w:lastRow="0" w:firstColumn="1" w:lastColumn="0" w:noHBand="0" w:noVBand="1"/>
      </w:tblPr>
      <w:tblGrid>
        <w:gridCol w:w="960"/>
        <w:gridCol w:w="1600"/>
        <w:gridCol w:w="1342"/>
      </w:tblGrid>
      <w:tr w:rsidR="00C62219" w:rsidRPr="00B30084" w14:paraId="259B80CA" w14:textId="77777777" w:rsidTr="0091374A">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115918F" w14:textId="77777777" w:rsidR="00C62219" w:rsidRPr="00B30084" w:rsidRDefault="00C62219" w:rsidP="00E50617">
            <w:pPr>
              <w:spacing w:after="0" w:line="276" w:lineRule="auto"/>
              <w:jc w:val="both"/>
              <w:rPr>
                <w:rFonts w:ascii="Times New Roman" w:eastAsia="Times New Roman" w:hAnsi="Times New Roman" w:cs="Times New Roman"/>
                <w:b/>
                <w:bCs/>
                <w:sz w:val="20"/>
                <w:szCs w:val="20"/>
                <w:lang w:val="sr-Cyrl-RS"/>
              </w:rPr>
            </w:pPr>
            <w:r w:rsidRPr="00B30084">
              <w:rPr>
                <w:rFonts w:ascii="Times New Roman" w:eastAsia="Times New Roman" w:hAnsi="Times New Roman" w:cs="Times New Roman"/>
                <w:b/>
                <w:bCs/>
                <w:sz w:val="20"/>
                <w:szCs w:val="20"/>
                <w:lang w:val="sr-Cyrl-RS"/>
              </w:rPr>
              <w:t>Година</w:t>
            </w:r>
          </w:p>
        </w:tc>
        <w:tc>
          <w:tcPr>
            <w:tcW w:w="1600" w:type="dxa"/>
            <w:tcBorders>
              <w:top w:val="single" w:sz="4" w:space="0" w:color="auto"/>
              <w:left w:val="nil"/>
              <w:bottom w:val="single" w:sz="4" w:space="0" w:color="auto"/>
              <w:right w:val="single" w:sz="4" w:space="0" w:color="auto"/>
            </w:tcBorders>
            <w:shd w:val="clear" w:color="000000" w:fill="DDEBF7"/>
            <w:noWrap/>
            <w:vAlign w:val="bottom"/>
            <w:hideMark/>
          </w:tcPr>
          <w:p w14:paraId="137E14C9" w14:textId="77777777" w:rsidR="00C62219" w:rsidRPr="00B30084" w:rsidRDefault="00C62219" w:rsidP="00E50617">
            <w:pPr>
              <w:spacing w:after="0" w:line="276" w:lineRule="auto"/>
              <w:jc w:val="both"/>
              <w:rPr>
                <w:rFonts w:ascii="Times New Roman" w:eastAsia="Times New Roman" w:hAnsi="Times New Roman" w:cs="Times New Roman"/>
                <w:b/>
                <w:bCs/>
                <w:sz w:val="20"/>
                <w:szCs w:val="20"/>
                <w:lang w:val="sr-Cyrl-RS"/>
              </w:rPr>
            </w:pPr>
            <w:r w:rsidRPr="00B30084">
              <w:rPr>
                <w:rFonts w:ascii="Times New Roman" w:eastAsia="Times New Roman" w:hAnsi="Times New Roman" w:cs="Times New Roman"/>
                <w:b/>
                <w:bCs/>
                <w:sz w:val="20"/>
                <w:szCs w:val="20"/>
                <w:lang w:val="sr-Cyrl-RS"/>
              </w:rPr>
              <w:t xml:space="preserve">Промет у ЕУР </w:t>
            </w:r>
          </w:p>
        </w:tc>
        <w:tc>
          <w:tcPr>
            <w:tcW w:w="1342" w:type="dxa"/>
            <w:tcBorders>
              <w:top w:val="single" w:sz="4" w:space="0" w:color="auto"/>
              <w:left w:val="nil"/>
              <w:bottom w:val="single" w:sz="4" w:space="0" w:color="auto"/>
              <w:right w:val="single" w:sz="4" w:space="0" w:color="auto"/>
            </w:tcBorders>
            <w:shd w:val="clear" w:color="000000" w:fill="DDEBF7"/>
            <w:noWrap/>
            <w:vAlign w:val="bottom"/>
            <w:hideMark/>
          </w:tcPr>
          <w:p w14:paraId="66F023D5" w14:textId="77777777" w:rsidR="00C62219" w:rsidRPr="00B30084" w:rsidRDefault="00C62219" w:rsidP="00E50617">
            <w:pPr>
              <w:spacing w:after="0" w:line="276" w:lineRule="auto"/>
              <w:jc w:val="both"/>
              <w:rPr>
                <w:rFonts w:ascii="Times New Roman" w:eastAsia="Times New Roman" w:hAnsi="Times New Roman" w:cs="Times New Roman"/>
                <w:b/>
                <w:bCs/>
                <w:sz w:val="20"/>
                <w:szCs w:val="20"/>
                <w:lang w:val="sr-Cyrl-RS"/>
              </w:rPr>
            </w:pPr>
            <w:r w:rsidRPr="00B30084">
              <w:rPr>
                <w:rFonts w:ascii="Times New Roman" w:eastAsia="Times New Roman" w:hAnsi="Times New Roman" w:cs="Times New Roman"/>
                <w:b/>
                <w:bCs/>
                <w:sz w:val="20"/>
                <w:szCs w:val="20"/>
                <w:lang w:val="sr-Cyrl-RS"/>
              </w:rPr>
              <w:t>Број трансакција</w:t>
            </w:r>
          </w:p>
        </w:tc>
      </w:tr>
      <w:tr w:rsidR="00C62219" w:rsidRPr="00B30084" w14:paraId="5A9291ED"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A89A20"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2020</w:t>
            </w:r>
          </w:p>
        </w:tc>
        <w:tc>
          <w:tcPr>
            <w:tcW w:w="1600" w:type="dxa"/>
            <w:tcBorders>
              <w:top w:val="nil"/>
              <w:left w:val="nil"/>
              <w:bottom w:val="single" w:sz="4" w:space="0" w:color="auto"/>
              <w:right w:val="single" w:sz="4" w:space="0" w:color="auto"/>
            </w:tcBorders>
            <w:shd w:val="clear" w:color="auto" w:fill="auto"/>
            <w:noWrap/>
            <w:vAlign w:val="bottom"/>
            <w:hideMark/>
          </w:tcPr>
          <w:p w14:paraId="342DA82D"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414.647.537</w:t>
            </w:r>
          </w:p>
        </w:tc>
        <w:tc>
          <w:tcPr>
            <w:tcW w:w="1342" w:type="dxa"/>
            <w:tcBorders>
              <w:top w:val="nil"/>
              <w:left w:val="nil"/>
              <w:bottom w:val="single" w:sz="4" w:space="0" w:color="auto"/>
              <w:right w:val="single" w:sz="4" w:space="0" w:color="auto"/>
            </w:tcBorders>
            <w:shd w:val="clear" w:color="auto" w:fill="auto"/>
            <w:noWrap/>
            <w:vAlign w:val="bottom"/>
            <w:hideMark/>
          </w:tcPr>
          <w:p w14:paraId="56998510"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18,098</w:t>
            </w:r>
          </w:p>
        </w:tc>
      </w:tr>
      <w:tr w:rsidR="00C62219" w:rsidRPr="00B30084" w14:paraId="0B3DE550"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50624"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2019</w:t>
            </w:r>
          </w:p>
        </w:tc>
        <w:tc>
          <w:tcPr>
            <w:tcW w:w="1600" w:type="dxa"/>
            <w:tcBorders>
              <w:top w:val="nil"/>
              <w:left w:val="nil"/>
              <w:bottom w:val="single" w:sz="4" w:space="0" w:color="auto"/>
              <w:right w:val="single" w:sz="4" w:space="0" w:color="auto"/>
            </w:tcBorders>
            <w:shd w:val="clear" w:color="auto" w:fill="auto"/>
            <w:noWrap/>
            <w:vAlign w:val="bottom"/>
            <w:hideMark/>
          </w:tcPr>
          <w:p w14:paraId="29F97323"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780.641.971</w:t>
            </w:r>
          </w:p>
        </w:tc>
        <w:tc>
          <w:tcPr>
            <w:tcW w:w="1342" w:type="dxa"/>
            <w:tcBorders>
              <w:top w:val="nil"/>
              <w:left w:val="nil"/>
              <w:bottom w:val="single" w:sz="4" w:space="0" w:color="auto"/>
              <w:right w:val="single" w:sz="4" w:space="0" w:color="auto"/>
            </w:tcBorders>
            <w:shd w:val="clear" w:color="auto" w:fill="auto"/>
            <w:noWrap/>
            <w:vAlign w:val="bottom"/>
            <w:hideMark/>
          </w:tcPr>
          <w:p w14:paraId="61C2DA4F"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31,115</w:t>
            </w:r>
          </w:p>
        </w:tc>
      </w:tr>
      <w:tr w:rsidR="00C62219" w:rsidRPr="00B30084" w14:paraId="2F7EE804"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92F505"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2018</w:t>
            </w:r>
          </w:p>
        </w:tc>
        <w:tc>
          <w:tcPr>
            <w:tcW w:w="1600" w:type="dxa"/>
            <w:tcBorders>
              <w:top w:val="nil"/>
              <w:left w:val="nil"/>
              <w:bottom w:val="single" w:sz="4" w:space="0" w:color="auto"/>
              <w:right w:val="single" w:sz="4" w:space="0" w:color="auto"/>
            </w:tcBorders>
            <w:shd w:val="clear" w:color="auto" w:fill="auto"/>
            <w:noWrap/>
            <w:vAlign w:val="bottom"/>
            <w:hideMark/>
          </w:tcPr>
          <w:p w14:paraId="00CE9B2F"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534.125.070</w:t>
            </w:r>
          </w:p>
        </w:tc>
        <w:tc>
          <w:tcPr>
            <w:tcW w:w="1342" w:type="dxa"/>
            <w:tcBorders>
              <w:top w:val="nil"/>
              <w:left w:val="nil"/>
              <w:bottom w:val="single" w:sz="4" w:space="0" w:color="auto"/>
              <w:right w:val="single" w:sz="4" w:space="0" w:color="auto"/>
            </w:tcBorders>
            <w:shd w:val="clear" w:color="auto" w:fill="auto"/>
            <w:noWrap/>
            <w:vAlign w:val="bottom"/>
            <w:hideMark/>
          </w:tcPr>
          <w:p w14:paraId="11240FCD"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60,744</w:t>
            </w:r>
          </w:p>
        </w:tc>
      </w:tr>
      <w:tr w:rsidR="00C62219" w:rsidRPr="00B30084" w14:paraId="6EC3FADC"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97BDCE"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2017</w:t>
            </w:r>
          </w:p>
        </w:tc>
        <w:tc>
          <w:tcPr>
            <w:tcW w:w="1600" w:type="dxa"/>
            <w:tcBorders>
              <w:top w:val="nil"/>
              <w:left w:val="nil"/>
              <w:bottom w:val="single" w:sz="4" w:space="0" w:color="auto"/>
              <w:right w:val="single" w:sz="4" w:space="0" w:color="auto"/>
            </w:tcBorders>
            <w:shd w:val="clear" w:color="auto" w:fill="auto"/>
            <w:noWrap/>
            <w:vAlign w:val="bottom"/>
            <w:hideMark/>
          </w:tcPr>
          <w:p w14:paraId="02594997"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552.822.262</w:t>
            </w:r>
          </w:p>
        </w:tc>
        <w:tc>
          <w:tcPr>
            <w:tcW w:w="1342" w:type="dxa"/>
            <w:tcBorders>
              <w:top w:val="nil"/>
              <w:left w:val="nil"/>
              <w:bottom w:val="single" w:sz="4" w:space="0" w:color="auto"/>
              <w:right w:val="single" w:sz="4" w:space="0" w:color="auto"/>
            </w:tcBorders>
            <w:shd w:val="clear" w:color="auto" w:fill="auto"/>
            <w:noWrap/>
            <w:vAlign w:val="bottom"/>
            <w:hideMark/>
          </w:tcPr>
          <w:p w14:paraId="3668D519"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66,952</w:t>
            </w:r>
          </w:p>
        </w:tc>
      </w:tr>
      <w:tr w:rsidR="00C62219" w:rsidRPr="00B30084" w14:paraId="2F632078"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7BA9C1"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2016</w:t>
            </w:r>
          </w:p>
        </w:tc>
        <w:tc>
          <w:tcPr>
            <w:tcW w:w="1600" w:type="dxa"/>
            <w:tcBorders>
              <w:top w:val="nil"/>
              <w:left w:val="nil"/>
              <w:bottom w:val="single" w:sz="4" w:space="0" w:color="auto"/>
              <w:right w:val="single" w:sz="4" w:space="0" w:color="auto"/>
            </w:tcBorders>
            <w:shd w:val="clear" w:color="auto" w:fill="auto"/>
            <w:noWrap/>
            <w:vAlign w:val="bottom"/>
            <w:hideMark/>
          </w:tcPr>
          <w:p w14:paraId="762C373D"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361.994.482</w:t>
            </w:r>
          </w:p>
        </w:tc>
        <w:tc>
          <w:tcPr>
            <w:tcW w:w="1342" w:type="dxa"/>
            <w:tcBorders>
              <w:top w:val="nil"/>
              <w:left w:val="nil"/>
              <w:bottom w:val="single" w:sz="4" w:space="0" w:color="auto"/>
              <w:right w:val="single" w:sz="4" w:space="0" w:color="auto"/>
            </w:tcBorders>
            <w:shd w:val="clear" w:color="auto" w:fill="auto"/>
            <w:noWrap/>
            <w:vAlign w:val="bottom"/>
            <w:hideMark/>
          </w:tcPr>
          <w:p w14:paraId="19500F2E"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87,893</w:t>
            </w:r>
          </w:p>
        </w:tc>
      </w:tr>
      <w:tr w:rsidR="00C62219" w:rsidRPr="00B30084" w14:paraId="021FADAF"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E15D62"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2015</w:t>
            </w:r>
          </w:p>
        </w:tc>
        <w:tc>
          <w:tcPr>
            <w:tcW w:w="1600" w:type="dxa"/>
            <w:tcBorders>
              <w:top w:val="nil"/>
              <w:left w:val="nil"/>
              <w:bottom w:val="single" w:sz="4" w:space="0" w:color="auto"/>
              <w:right w:val="single" w:sz="4" w:space="0" w:color="auto"/>
            </w:tcBorders>
            <w:shd w:val="clear" w:color="auto" w:fill="auto"/>
            <w:noWrap/>
            <w:vAlign w:val="bottom"/>
            <w:hideMark/>
          </w:tcPr>
          <w:p w14:paraId="48C83E82"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185.770.866</w:t>
            </w:r>
          </w:p>
        </w:tc>
        <w:tc>
          <w:tcPr>
            <w:tcW w:w="1342" w:type="dxa"/>
            <w:tcBorders>
              <w:top w:val="nil"/>
              <w:left w:val="nil"/>
              <w:bottom w:val="single" w:sz="4" w:space="0" w:color="auto"/>
              <w:right w:val="single" w:sz="4" w:space="0" w:color="auto"/>
            </w:tcBorders>
            <w:shd w:val="clear" w:color="auto" w:fill="auto"/>
            <w:noWrap/>
            <w:vAlign w:val="bottom"/>
            <w:hideMark/>
          </w:tcPr>
          <w:p w14:paraId="4512ED20"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146,232</w:t>
            </w:r>
          </w:p>
        </w:tc>
      </w:tr>
      <w:tr w:rsidR="00C62219" w:rsidRPr="00B30084" w14:paraId="0AF6B47F"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56C9E0"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2014</w:t>
            </w:r>
          </w:p>
        </w:tc>
        <w:tc>
          <w:tcPr>
            <w:tcW w:w="1600" w:type="dxa"/>
            <w:tcBorders>
              <w:top w:val="nil"/>
              <w:left w:val="nil"/>
              <w:bottom w:val="single" w:sz="4" w:space="0" w:color="auto"/>
              <w:right w:val="single" w:sz="4" w:space="0" w:color="auto"/>
            </w:tcBorders>
            <w:shd w:val="clear" w:color="auto" w:fill="auto"/>
            <w:noWrap/>
            <w:vAlign w:val="bottom"/>
            <w:hideMark/>
          </w:tcPr>
          <w:p w14:paraId="608B4BCD"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173.518.701</w:t>
            </w:r>
          </w:p>
        </w:tc>
        <w:tc>
          <w:tcPr>
            <w:tcW w:w="1342" w:type="dxa"/>
            <w:tcBorders>
              <w:top w:val="nil"/>
              <w:left w:val="nil"/>
              <w:bottom w:val="single" w:sz="4" w:space="0" w:color="auto"/>
              <w:right w:val="single" w:sz="4" w:space="0" w:color="auto"/>
            </w:tcBorders>
            <w:shd w:val="clear" w:color="auto" w:fill="auto"/>
            <w:noWrap/>
            <w:vAlign w:val="bottom"/>
            <w:hideMark/>
          </w:tcPr>
          <w:p w14:paraId="5AE7D582"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238,023</w:t>
            </w:r>
          </w:p>
        </w:tc>
      </w:tr>
      <w:tr w:rsidR="00C62219" w:rsidRPr="00B30084" w14:paraId="2E6E1ED4"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771E90"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2013</w:t>
            </w:r>
          </w:p>
        </w:tc>
        <w:tc>
          <w:tcPr>
            <w:tcW w:w="1600" w:type="dxa"/>
            <w:tcBorders>
              <w:top w:val="nil"/>
              <w:left w:val="nil"/>
              <w:bottom w:val="single" w:sz="4" w:space="0" w:color="auto"/>
              <w:right w:val="single" w:sz="4" w:space="0" w:color="auto"/>
            </w:tcBorders>
            <w:shd w:val="clear" w:color="auto" w:fill="auto"/>
            <w:noWrap/>
            <w:vAlign w:val="bottom"/>
            <w:hideMark/>
          </w:tcPr>
          <w:p w14:paraId="35DC5D85"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267.006.644</w:t>
            </w:r>
          </w:p>
        </w:tc>
        <w:tc>
          <w:tcPr>
            <w:tcW w:w="1342" w:type="dxa"/>
            <w:tcBorders>
              <w:top w:val="nil"/>
              <w:left w:val="nil"/>
              <w:bottom w:val="single" w:sz="4" w:space="0" w:color="auto"/>
              <w:right w:val="single" w:sz="4" w:space="0" w:color="auto"/>
            </w:tcBorders>
            <w:shd w:val="clear" w:color="auto" w:fill="auto"/>
            <w:noWrap/>
            <w:vAlign w:val="bottom"/>
            <w:hideMark/>
          </w:tcPr>
          <w:p w14:paraId="61FC7DAC"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344,109</w:t>
            </w:r>
          </w:p>
        </w:tc>
      </w:tr>
      <w:tr w:rsidR="00C62219" w:rsidRPr="00B30084" w14:paraId="581BC35C"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A181B5"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2012</w:t>
            </w:r>
          </w:p>
        </w:tc>
        <w:tc>
          <w:tcPr>
            <w:tcW w:w="1600" w:type="dxa"/>
            <w:tcBorders>
              <w:top w:val="nil"/>
              <w:left w:val="nil"/>
              <w:bottom w:val="single" w:sz="4" w:space="0" w:color="auto"/>
              <w:right w:val="single" w:sz="4" w:space="0" w:color="auto"/>
            </w:tcBorders>
            <w:shd w:val="clear" w:color="auto" w:fill="auto"/>
            <w:noWrap/>
            <w:vAlign w:val="bottom"/>
            <w:hideMark/>
          </w:tcPr>
          <w:p w14:paraId="3BF9DCAA"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219.765.572</w:t>
            </w:r>
          </w:p>
        </w:tc>
        <w:tc>
          <w:tcPr>
            <w:tcW w:w="1342" w:type="dxa"/>
            <w:tcBorders>
              <w:top w:val="nil"/>
              <w:left w:val="nil"/>
              <w:bottom w:val="single" w:sz="4" w:space="0" w:color="auto"/>
              <w:right w:val="single" w:sz="4" w:space="0" w:color="auto"/>
            </w:tcBorders>
            <w:shd w:val="clear" w:color="auto" w:fill="auto"/>
            <w:noWrap/>
            <w:vAlign w:val="bottom"/>
            <w:hideMark/>
          </w:tcPr>
          <w:p w14:paraId="7B932C69"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483,013</w:t>
            </w:r>
          </w:p>
        </w:tc>
      </w:tr>
      <w:tr w:rsidR="00C62219" w:rsidRPr="00B30084" w14:paraId="1AB5EA02" w14:textId="77777777" w:rsidTr="00913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228D25"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2011</w:t>
            </w:r>
          </w:p>
        </w:tc>
        <w:tc>
          <w:tcPr>
            <w:tcW w:w="1600" w:type="dxa"/>
            <w:tcBorders>
              <w:top w:val="nil"/>
              <w:left w:val="nil"/>
              <w:bottom w:val="single" w:sz="4" w:space="0" w:color="auto"/>
              <w:right w:val="single" w:sz="4" w:space="0" w:color="auto"/>
            </w:tcBorders>
            <w:shd w:val="clear" w:color="auto" w:fill="auto"/>
            <w:noWrap/>
            <w:vAlign w:val="bottom"/>
            <w:hideMark/>
          </w:tcPr>
          <w:p w14:paraId="148D8D6D"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280.180.758</w:t>
            </w:r>
          </w:p>
        </w:tc>
        <w:tc>
          <w:tcPr>
            <w:tcW w:w="1342" w:type="dxa"/>
            <w:tcBorders>
              <w:top w:val="nil"/>
              <w:left w:val="nil"/>
              <w:bottom w:val="single" w:sz="4" w:space="0" w:color="auto"/>
              <w:right w:val="single" w:sz="4" w:space="0" w:color="auto"/>
            </w:tcBorders>
            <w:shd w:val="clear" w:color="auto" w:fill="auto"/>
            <w:noWrap/>
            <w:vAlign w:val="bottom"/>
            <w:hideMark/>
          </w:tcPr>
          <w:p w14:paraId="15773EEE" w14:textId="77777777" w:rsidR="00C62219" w:rsidRPr="00B30084" w:rsidRDefault="00C62219" w:rsidP="00E50617">
            <w:pPr>
              <w:spacing w:after="0" w:line="276" w:lineRule="auto"/>
              <w:jc w:val="both"/>
              <w:rPr>
                <w:rFonts w:ascii="Times New Roman" w:eastAsia="Times New Roman" w:hAnsi="Times New Roman" w:cs="Times New Roman"/>
                <w:sz w:val="20"/>
                <w:szCs w:val="20"/>
                <w:lang w:val="sr-Cyrl-RS"/>
              </w:rPr>
            </w:pPr>
            <w:r w:rsidRPr="00B30084">
              <w:rPr>
                <w:rFonts w:ascii="Times New Roman" w:eastAsia="Times New Roman" w:hAnsi="Times New Roman" w:cs="Times New Roman"/>
                <w:sz w:val="20"/>
                <w:szCs w:val="20"/>
                <w:lang w:val="sr-Cyrl-RS"/>
              </w:rPr>
              <w:t>2,887,538</w:t>
            </w:r>
          </w:p>
        </w:tc>
      </w:tr>
    </w:tbl>
    <w:p w14:paraId="635C3BC8" w14:textId="5E50C89C" w:rsidR="00302813" w:rsidRPr="00B30084" w:rsidRDefault="004E2302" w:rsidP="00E50617">
      <w:pPr>
        <w:spacing w:line="276" w:lineRule="auto"/>
        <w:jc w:val="both"/>
        <w:rPr>
          <w:rStyle w:val="Hyperlink"/>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Извор: </w:t>
      </w:r>
      <w:hyperlink r:id="rId8" w:history="1">
        <w:r w:rsidR="00D84101" w:rsidRPr="00B30084">
          <w:rPr>
            <w:rStyle w:val="Hyperlink"/>
            <w:rFonts w:ascii="Times New Roman" w:hAnsi="Times New Roman" w:cs="Times New Roman"/>
            <w:sz w:val="24"/>
            <w:szCs w:val="24"/>
            <w:lang w:val="sr-Cyrl-RS"/>
          </w:rPr>
          <w:t>www.belex.rs</w:t>
        </w:r>
      </w:hyperlink>
    </w:p>
    <w:p w14:paraId="6F06C0E6" w14:textId="405581BF" w:rsidR="00F07E4B" w:rsidRPr="00B30084" w:rsidRDefault="00F07E4B" w:rsidP="00BF3002">
      <w:pPr>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Табела 2. Трендови на тржишту хартија од вредности у периоду 2011-2020</w:t>
      </w:r>
    </w:p>
    <w:tbl>
      <w:tblPr>
        <w:tblW w:w="9360" w:type="dxa"/>
        <w:tblInd w:w="-95" w:type="dxa"/>
        <w:tblLook w:val="04A0" w:firstRow="1" w:lastRow="0" w:firstColumn="1" w:lastColumn="0" w:noHBand="0" w:noVBand="1"/>
      </w:tblPr>
      <w:tblGrid>
        <w:gridCol w:w="972"/>
        <w:gridCol w:w="1368"/>
        <w:gridCol w:w="1791"/>
        <w:gridCol w:w="1838"/>
        <w:gridCol w:w="1681"/>
        <w:gridCol w:w="1710"/>
      </w:tblGrid>
      <w:tr w:rsidR="00F07E4B" w:rsidRPr="00B30084" w14:paraId="70ADFE54" w14:textId="77777777" w:rsidTr="00E87DA0">
        <w:trPr>
          <w:trHeight w:val="590"/>
        </w:trPr>
        <w:tc>
          <w:tcPr>
            <w:tcW w:w="97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1232C4A" w14:textId="77777777" w:rsidR="00F07E4B" w:rsidRPr="00B30084" w:rsidRDefault="00F07E4B"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Година</w:t>
            </w:r>
            <w:proofErr w:type="spellEnd"/>
          </w:p>
        </w:tc>
        <w:tc>
          <w:tcPr>
            <w:tcW w:w="1368" w:type="dxa"/>
            <w:tcBorders>
              <w:top w:val="single" w:sz="4" w:space="0" w:color="auto"/>
              <w:left w:val="nil"/>
              <w:bottom w:val="single" w:sz="4" w:space="0" w:color="auto"/>
              <w:right w:val="single" w:sz="4" w:space="0" w:color="auto"/>
            </w:tcBorders>
            <w:shd w:val="clear" w:color="000000" w:fill="00B0F0"/>
            <w:vAlign w:val="bottom"/>
            <w:hideMark/>
          </w:tcPr>
          <w:p w14:paraId="6D671315" w14:textId="77777777" w:rsidR="00F07E4B" w:rsidRPr="00B30084" w:rsidRDefault="00F07E4B"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Број</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листираних</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акција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берзи</w:t>
            </w:r>
            <w:proofErr w:type="spellEnd"/>
          </w:p>
        </w:tc>
        <w:tc>
          <w:tcPr>
            <w:tcW w:w="1791" w:type="dxa"/>
            <w:tcBorders>
              <w:top w:val="single" w:sz="4" w:space="0" w:color="auto"/>
              <w:left w:val="nil"/>
              <w:bottom w:val="single" w:sz="4" w:space="0" w:color="auto"/>
              <w:right w:val="single" w:sz="4" w:space="0" w:color="auto"/>
            </w:tcBorders>
            <w:shd w:val="clear" w:color="000000" w:fill="00B0F0"/>
            <w:vAlign w:val="bottom"/>
            <w:hideMark/>
          </w:tcPr>
          <w:p w14:paraId="265404BE" w14:textId="77777777" w:rsidR="00F07E4B" w:rsidRPr="00B30084" w:rsidRDefault="00F07E4B"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Тржишна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капитализација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крају</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године</w:t>
            </w:r>
            <w:proofErr w:type="spellEnd"/>
            <w:r w:rsidRPr="00B30084">
              <w:rPr>
                <w:rFonts w:ascii="Times New Roman" w:eastAsia="Times New Roman" w:hAnsi="Times New Roman" w:cs="Times New Roman"/>
                <w:color w:val="000000"/>
                <w:sz w:val="20"/>
                <w:szCs w:val="20"/>
              </w:rPr>
              <w:t xml:space="preserve"> (РСД </w:t>
            </w:r>
            <w:proofErr w:type="spellStart"/>
            <w:r w:rsidRPr="00B30084">
              <w:rPr>
                <w:rFonts w:ascii="Times New Roman" w:eastAsia="Times New Roman" w:hAnsi="Times New Roman" w:cs="Times New Roman"/>
                <w:color w:val="000000"/>
                <w:sz w:val="20"/>
                <w:szCs w:val="20"/>
              </w:rPr>
              <w:t>милиона</w:t>
            </w:r>
            <w:proofErr w:type="spellEnd"/>
            <w:r w:rsidRPr="00B30084">
              <w:rPr>
                <w:rFonts w:ascii="Times New Roman" w:eastAsia="Times New Roman" w:hAnsi="Times New Roman" w:cs="Times New Roman"/>
                <w:color w:val="000000"/>
                <w:sz w:val="20"/>
                <w:szCs w:val="20"/>
              </w:rPr>
              <w:t>)</w:t>
            </w:r>
          </w:p>
        </w:tc>
        <w:tc>
          <w:tcPr>
            <w:tcW w:w="1838" w:type="dxa"/>
            <w:tcBorders>
              <w:top w:val="single" w:sz="4" w:space="0" w:color="auto"/>
              <w:left w:val="nil"/>
              <w:bottom w:val="single" w:sz="4" w:space="0" w:color="auto"/>
              <w:right w:val="single" w:sz="4" w:space="0" w:color="auto"/>
            </w:tcBorders>
            <w:shd w:val="clear" w:color="000000" w:fill="00B0F0"/>
            <w:vAlign w:val="bottom"/>
            <w:hideMark/>
          </w:tcPr>
          <w:p w14:paraId="0046A719" w14:textId="77777777" w:rsidR="00F07E4B" w:rsidRPr="00B30084" w:rsidRDefault="00F07E4B"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Тржишна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капитализација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крају</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године</w:t>
            </w:r>
            <w:proofErr w:type="spellEnd"/>
            <w:r w:rsidRPr="00B30084">
              <w:rPr>
                <w:rFonts w:ascii="Times New Roman" w:eastAsia="Times New Roman" w:hAnsi="Times New Roman" w:cs="Times New Roman"/>
                <w:color w:val="000000"/>
                <w:sz w:val="20"/>
                <w:szCs w:val="20"/>
              </w:rPr>
              <w:t xml:space="preserve"> (EУР</w:t>
            </w:r>
            <w:r w:rsidRPr="00B30084">
              <w:rPr>
                <w:rFonts w:ascii="Times New Roman" w:eastAsia="Times New Roman" w:hAnsi="Times New Roman" w:cs="Times New Roman"/>
                <w:color w:val="000000"/>
                <w:sz w:val="20"/>
                <w:szCs w:val="20"/>
                <w:lang w:val="sr-Cyrl-RS"/>
              </w:rPr>
              <w:t xml:space="preserve"> </w:t>
            </w:r>
            <w:proofErr w:type="spellStart"/>
            <w:r w:rsidRPr="00B30084">
              <w:rPr>
                <w:rFonts w:ascii="Times New Roman" w:eastAsia="Times New Roman" w:hAnsi="Times New Roman" w:cs="Times New Roman"/>
                <w:color w:val="000000"/>
                <w:sz w:val="20"/>
                <w:szCs w:val="20"/>
              </w:rPr>
              <w:t>милиона</w:t>
            </w:r>
            <w:proofErr w:type="spellEnd"/>
            <w:r w:rsidRPr="00B30084">
              <w:rPr>
                <w:rFonts w:ascii="Times New Roman" w:eastAsia="Times New Roman" w:hAnsi="Times New Roman" w:cs="Times New Roman"/>
                <w:color w:val="000000"/>
                <w:sz w:val="20"/>
                <w:szCs w:val="20"/>
              </w:rPr>
              <w:t>)</w:t>
            </w:r>
          </w:p>
        </w:tc>
        <w:tc>
          <w:tcPr>
            <w:tcW w:w="1681" w:type="dxa"/>
            <w:tcBorders>
              <w:top w:val="single" w:sz="4" w:space="0" w:color="auto"/>
              <w:left w:val="nil"/>
              <w:bottom w:val="single" w:sz="4" w:space="0" w:color="auto"/>
              <w:right w:val="single" w:sz="4" w:space="0" w:color="auto"/>
            </w:tcBorders>
            <w:shd w:val="clear" w:color="000000" w:fill="00B0F0"/>
            <w:vAlign w:val="bottom"/>
            <w:hideMark/>
          </w:tcPr>
          <w:p w14:paraId="318514CB" w14:textId="77777777" w:rsidR="00F07E4B" w:rsidRPr="00B30084" w:rsidRDefault="00F07E4B"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Годишњи</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обим</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трговања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акцијама</w:t>
            </w:r>
            <w:proofErr w:type="spellEnd"/>
            <w:r w:rsidRPr="00B30084">
              <w:rPr>
                <w:rFonts w:ascii="Times New Roman" w:eastAsia="Times New Roman" w:hAnsi="Times New Roman" w:cs="Times New Roman"/>
                <w:color w:val="000000"/>
                <w:sz w:val="20"/>
                <w:szCs w:val="20"/>
              </w:rPr>
              <w:t xml:space="preserve"> (РСД </w:t>
            </w:r>
            <w:proofErr w:type="spellStart"/>
            <w:r w:rsidRPr="00B30084">
              <w:rPr>
                <w:rFonts w:ascii="Times New Roman" w:eastAsia="Times New Roman" w:hAnsi="Times New Roman" w:cs="Times New Roman"/>
                <w:color w:val="000000"/>
                <w:sz w:val="20"/>
                <w:szCs w:val="20"/>
              </w:rPr>
              <w:t>милиона</w:t>
            </w:r>
            <w:proofErr w:type="spellEnd"/>
            <w:r w:rsidRPr="00B30084">
              <w:rPr>
                <w:rFonts w:ascii="Times New Roman" w:eastAsia="Times New Roman" w:hAnsi="Times New Roman" w:cs="Times New Roman"/>
                <w:color w:val="000000"/>
                <w:sz w:val="20"/>
                <w:szCs w:val="20"/>
              </w:rPr>
              <w:t>)</w:t>
            </w:r>
          </w:p>
        </w:tc>
        <w:tc>
          <w:tcPr>
            <w:tcW w:w="1710" w:type="dxa"/>
            <w:tcBorders>
              <w:top w:val="single" w:sz="4" w:space="0" w:color="auto"/>
              <w:left w:val="nil"/>
              <w:bottom w:val="single" w:sz="4" w:space="0" w:color="auto"/>
              <w:right w:val="single" w:sz="4" w:space="0" w:color="auto"/>
            </w:tcBorders>
            <w:shd w:val="clear" w:color="000000" w:fill="00B0F0"/>
            <w:vAlign w:val="bottom"/>
            <w:hideMark/>
          </w:tcPr>
          <w:p w14:paraId="597B77C1" w14:textId="77777777" w:rsidR="00F07E4B" w:rsidRPr="00B30084" w:rsidRDefault="00F07E4B"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Годишњи</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обим</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трговања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акцијама</w:t>
            </w:r>
            <w:proofErr w:type="spellEnd"/>
            <w:r w:rsidRPr="00B30084">
              <w:rPr>
                <w:rFonts w:ascii="Times New Roman" w:eastAsia="Times New Roman" w:hAnsi="Times New Roman" w:cs="Times New Roman"/>
                <w:color w:val="000000"/>
                <w:sz w:val="20"/>
                <w:szCs w:val="20"/>
              </w:rPr>
              <w:t xml:space="preserve"> (ЕУР </w:t>
            </w:r>
            <w:proofErr w:type="spellStart"/>
            <w:r w:rsidRPr="00B30084">
              <w:rPr>
                <w:rFonts w:ascii="Times New Roman" w:eastAsia="Times New Roman" w:hAnsi="Times New Roman" w:cs="Times New Roman"/>
                <w:color w:val="000000"/>
                <w:sz w:val="20"/>
                <w:szCs w:val="20"/>
              </w:rPr>
              <w:t>милиона</w:t>
            </w:r>
            <w:proofErr w:type="spellEnd"/>
            <w:r w:rsidRPr="00B30084">
              <w:rPr>
                <w:rFonts w:ascii="Times New Roman" w:eastAsia="Times New Roman" w:hAnsi="Times New Roman" w:cs="Times New Roman"/>
                <w:color w:val="000000"/>
                <w:sz w:val="20"/>
                <w:szCs w:val="20"/>
              </w:rPr>
              <w:t>)</w:t>
            </w:r>
          </w:p>
        </w:tc>
      </w:tr>
      <w:tr w:rsidR="00F07E4B" w:rsidRPr="00B30084" w14:paraId="5DC32C05"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E02C6D6"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2011</w:t>
            </w:r>
          </w:p>
        </w:tc>
        <w:tc>
          <w:tcPr>
            <w:tcW w:w="1368" w:type="dxa"/>
            <w:tcBorders>
              <w:top w:val="nil"/>
              <w:left w:val="nil"/>
              <w:bottom w:val="single" w:sz="4" w:space="0" w:color="auto"/>
              <w:right w:val="single" w:sz="4" w:space="0" w:color="auto"/>
            </w:tcBorders>
            <w:shd w:val="clear" w:color="auto" w:fill="auto"/>
            <w:noWrap/>
            <w:vAlign w:val="bottom"/>
            <w:hideMark/>
          </w:tcPr>
          <w:p w14:paraId="2B92F65B"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1354</w:t>
            </w:r>
          </w:p>
        </w:tc>
        <w:tc>
          <w:tcPr>
            <w:tcW w:w="1791" w:type="dxa"/>
            <w:tcBorders>
              <w:top w:val="nil"/>
              <w:left w:val="nil"/>
              <w:bottom w:val="single" w:sz="4" w:space="0" w:color="auto"/>
              <w:right w:val="single" w:sz="4" w:space="0" w:color="auto"/>
            </w:tcBorders>
            <w:shd w:val="clear" w:color="auto" w:fill="auto"/>
            <w:noWrap/>
            <w:vAlign w:val="bottom"/>
            <w:hideMark/>
          </w:tcPr>
          <w:p w14:paraId="4001C924"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765,959.53</w:t>
            </w:r>
          </w:p>
        </w:tc>
        <w:tc>
          <w:tcPr>
            <w:tcW w:w="1838" w:type="dxa"/>
            <w:tcBorders>
              <w:top w:val="nil"/>
              <w:left w:val="nil"/>
              <w:bottom w:val="single" w:sz="4" w:space="0" w:color="auto"/>
              <w:right w:val="single" w:sz="4" w:space="0" w:color="auto"/>
            </w:tcBorders>
            <w:shd w:val="clear" w:color="auto" w:fill="auto"/>
            <w:noWrap/>
            <w:vAlign w:val="bottom"/>
            <w:hideMark/>
          </w:tcPr>
          <w:p w14:paraId="1F8E39E1"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7,319.89</w:t>
            </w:r>
          </w:p>
        </w:tc>
        <w:tc>
          <w:tcPr>
            <w:tcW w:w="1681" w:type="dxa"/>
            <w:tcBorders>
              <w:top w:val="nil"/>
              <w:left w:val="nil"/>
              <w:bottom w:val="single" w:sz="4" w:space="0" w:color="auto"/>
              <w:right w:val="single" w:sz="4" w:space="0" w:color="auto"/>
            </w:tcBorders>
            <w:shd w:val="clear" w:color="auto" w:fill="auto"/>
            <w:noWrap/>
            <w:vAlign w:val="bottom"/>
            <w:hideMark/>
          </w:tcPr>
          <w:p w14:paraId="2E4F3160"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24400.14</w:t>
            </w:r>
          </w:p>
        </w:tc>
        <w:tc>
          <w:tcPr>
            <w:tcW w:w="1710" w:type="dxa"/>
            <w:tcBorders>
              <w:top w:val="nil"/>
              <w:left w:val="nil"/>
              <w:bottom w:val="single" w:sz="4" w:space="0" w:color="auto"/>
              <w:right w:val="single" w:sz="4" w:space="0" w:color="auto"/>
            </w:tcBorders>
            <w:shd w:val="clear" w:color="auto" w:fill="auto"/>
            <w:noWrap/>
            <w:vAlign w:val="bottom"/>
            <w:hideMark/>
          </w:tcPr>
          <w:p w14:paraId="2F25F20A"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233.18</w:t>
            </w:r>
          </w:p>
        </w:tc>
      </w:tr>
      <w:tr w:rsidR="00F07E4B" w:rsidRPr="00B30084" w14:paraId="15AF5A7F"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37C931C"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2012</w:t>
            </w:r>
          </w:p>
        </w:tc>
        <w:tc>
          <w:tcPr>
            <w:tcW w:w="1368" w:type="dxa"/>
            <w:tcBorders>
              <w:top w:val="nil"/>
              <w:left w:val="nil"/>
              <w:bottom w:val="single" w:sz="4" w:space="0" w:color="auto"/>
              <w:right w:val="single" w:sz="4" w:space="0" w:color="auto"/>
            </w:tcBorders>
            <w:shd w:val="clear" w:color="auto" w:fill="auto"/>
            <w:noWrap/>
            <w:vAlign w:val="bottom"/>
            <w:hideMark/>
          </w:tcPr>
          <w:p w14:paraId="7D246419"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1111</w:t>
            </w:r>
          </w:p>
        </w:tc>
        <w:tc>
          <w:tcPr>
            <w:tcW w:w="1791" w:type="dxa"/>
            <w:tcBorders>
              <w:top w:val="nil"/>
              <w:left w:val="nil"/>
              <w:bottom w:val="single" w:sz="4" w:space="0" w:color="auto"/>
              <w:right w:val="single" w:sz="4" w:space="0" w:color="auto"/>
            </w:tcBorders>
            <w:shd w:val="clear" w:color="auto" w:fill="auto"/>
            <w:noWrap/>
            <w:vAlign w:val="bottom"/>
            <w:hideMark/>
          </w:tcPr>
          <w:p w14:paraId="7821057F"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490,957.48</w:t>
            </w:r>
          </w:p>
        </w:tc>
        <w:tc>
          <w:tcPr>
            <w:tcW w:w="1838" w:type="dxa"/>
            <w:tcBorders>
              <w:top w:val="nil"/>
              <w:left w:val="nil"/>
              <w:bottom w:val="single" w:sz="4" w:space="0" w:color="auto"/>
              <w:right w:val="single" w:sz="4" w:space="0" w:color="auto"/>
            </w:tcBorders>
            <w:shd w:val="clear" w:color="auto" w:fill="auto"/>
            <w:noWrap/>
            <w:vAlign w:val="bottom"/>
            <w:hideMark/>
          </w:tcPr>
          <w:p w14:paraId="25DCC110"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4,318.40</w:t>
            </w:r>
          </w:p>
        </w:tc>
        <w:tc>
          <w:tcPr>
            <w:tcW w:w="1681" w:type="dxa"/>
            <w:tcBorders>
              <w:top w:val="nil"/>
              <w:left w:val="nil"/>
              <w:bottom w:val="single" w:sz="4" w:space="0" w:color="auto"/>
              <w:right w:val="single" w:sz="4" w:space="0" w:color="auto"/>
            </w:tcBorders>
            <w:shd w:val="clear" w:color="auto" w:fill="auto"/>
            <w:noWrap/>
            <w:vAlign w:val="bottom"/>
            <w:hideMark/>
          </w:tcPr>
          <w:p w14:paraId="20E75A42"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20505.26</w:t>
            </w:r>
          </w:p>
        </w:tc>
        <w:tc>
          <w:tcPr>
            <w:tcW w:w="1710" w:type="dxa"/>
            <w:tcBorders>
              <w:top w:val="nil"/>
              <w:left w:val="nil"/>
              <w:bottom w:val="single" w:sz="4" w:space="0" w:color="auto"/>
              <w:right w:val="single" w:sz="4" w:space="0" w:color="auto"/>
            </w:tcBorders>
            <w:shd w:val="clear" w:color="auto" w:fill="auto"/>
            <w:noWrap/>
            <w:vAlign w:val="bottom"/>
            <w:hideMark/>
          </w:tcPr>
          <w:p w14:paraId="667E487A"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180.36</w:t>
            </w:r>
          </w:p>
        </w:tc>
      </w:tr>
      <w:tr w:rsidR="00F07E4B" w:rsidRPr="00B30084" w14:paraId="3E915941"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32F7C61"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2013</w:t>
            </w:r>
          </w:p>
        </w:tc>
        <w:tc>
          <w:tcPr>
            <w:tcW w:w="1368" w:type="dxa"/>
            <w:tcBorders>
              <w:top w:val="nil"/>
              <w:left w:val="nil"/>
              <w:bottom w:val="single" w:sz="4" w:space="0" w:color="auto"/>
              <w:right w:val="single" w:sz="4" w:space="0" w:color="auto"/>
            </w:tcBorders>
            <w:shd w:val="clear" w:color="auto" w:fill="auto"/>
            <w:noWrap/>
            <w:vAlign w:val="bottom"/>
            <w:hideMark/>
          </w:tcPr>
          <w:p w14:paraId="4FC3383B"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1014</w:t>
            </w:r>
          </w:p>
        </w:tc>
        <w:tc>
          <w:tcPr>
            <w:tcW w:w="1791" w:type="dxa"/>
            <w:tcBorders>
              <w:top w:val="nil"/>
              <w:left w:val="nil"/>
              <w:bottom w:val="single" w:sz="4" w:space="0" w:color="auto"/>
              <w:right w:val="single" w:sz="4" w:space="0" w:color="auto"/>
            </w:tcBorders>
            <w:shd w:val="clear" w:color="auto" w:fill="auto"/>
            <w:noWrap/>
            <w:vAlign w:val="bottom"/>
            <w:hideMark/>
          </w:tcPr>
          <w:p w14:paraId="0F51029C"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663,927.22</w:t>
            </w:r>
          </w:p>
        </w:tc>
        <w:tc>
          <w:tcPr>
            <w:tcW w:w="1838" w:type="dxa"/>
            <w:tcBorders>
              <w:top w:val="nil"/>
              <w:left w:val="nil"/>
              <w:bottom w:val="single" w:sz="4" w:space="0" w:color="auto"/>
              <w:right w:val="single" w:sz="4" w:space="0" w:color="auto"/>
            </w:tcBorders>
            <w:shd w:val="clear" w:color="auto" w:fill="auto"/>
            <w:noWrap/>
            <w:vAlign w:val="bottom"/>
            <w:hideMark/>
          </w:tcPr>
          <w:p w14:paraId="31DDD69E"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5,791.30</w:t>
            </w:r>
          </w:p>
        </w:tc>
        <w:tc>
          <w:tcPr>
            <w:tcW w:w="1681" w:type="dxa"/>
            <w:tcBorders>
              <w:top w:val="nil"/>
              <w:left w:val="nil"/>
              <w:bottom w:val="single" w:sz="4" w:space="0" w:color="auto"/>
              <w:right w:val="single" w:sz="4" w:space="0" w:color="auto"/>
            </w:tcBorders>
            <w:shd w:val="clear" w:color="auto" w:fill="auto"/>
            <w:noWrap/>
            <w:vAlign w:val="bottom"/>
            <w:hideMark/>
          </w:tcPr>
          <w:p w14:paraId="267F2ADD"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28490.19</w:t>
            </w:r>
          </w:p>
        </w:tc>
        <w:tc>
          <w:tcPr>
            <w:tcW w:w="1710" w:type="dxa"/>
            <w:tcBorders>
              <w:top w:val="nil"/>
              <w:left w:val="nil"/>
              <w:bottom w:val="single" w:sz="4" w:space="0" w:color="auto"/>
              <w:right w:val="single" w:sz="4" w:space="0" w:color="auto"/>
            </w:tcBorders>
            <w:shd w:val="clear" w:color="auto" w:fill="auto"/>
            <w:noWrap/>
            <w:vAlign w:val="bottom"/>
            <w:hideMark/>
          </w:tcPr>
          <w:p w14:paraId="779C345A"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248.51</w:t>
            </w:r>
          </w:p>
        </w:tc>
      </w:tr>
      <w:tr w:rsidR="00F07E4B" w:rsidRPr="00B30084" w14:paraId="3499F446"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919F67E"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2014</w:t>
            </w:r>
          </w:p>
        </w:tc>
        <w:tc>
          <w:tcPr>
            <w:tcW w:w="1368" w:type="dxa"/>
            <w:tcBorders>
              <w:top w:val="nil"/>
              <w:left w:val="nil"/>
              <w:bottom w:val="single" w:sz="4" w:space="0" w:color="auto"/>
              <w:right w:val="single" w:sz="4" w:space="0" w:color="auto"/>
            </w:tcBorders>
            <w:shd w:val="clear" w:color="auto" w:fill="auto"/>
            <w:noWrap/>
            <w:vAlign w:val="bottom"/>
            <w:hideMark/>
          </w:tcPr>
          <w:p w14:paraId="24121E7C"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945</w:t>
            </w:r>
          </w:p>
        </w:tc>
        <w:tc>
          <w:tcPr>
            <w:tcW w:w="1791" w:type="dxa"/>
            <w:tcBorders>
              <w:top w:val="nil"/>
              <w:left w:val="nil"/>
              <w:bottom w:val="single" w:sz="4" w:space="0" w:color="auto"/>
              <w:right w:val="single" w:sz="4" w:space="0" w:color="auto"/>
            </w:tcBorders>
            <w:shd w:val="clear" w:color="auto" w:fill="auto"/>
            <w:noWrap/>
            <w:vAlign w:val="bottom"/>
            <w:hideMark/>
          </w:tcPr>
          <w:p w14:paraId="6628454C"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714,584.03</w:t>
            </w:r>
          </w:p>
        </w:tc>
        <w:tc>
          <w:tcPr>
            <w:tcW w:w="1838" w:type="dxa"/>
            <w:tcBorders>
              <w:top w:val="nil"/>
              <w:left w:val="nil"/>
              <w:bottom w:val="single" w:sz="4" w:space="0" w:color="auto"/>
              <w:right w:val="single" w:sz="4" w:space="0" w:color="auto"/>
            </w:tcBorders>
            <w:shd w:val="clear" w:color="auto" w:fill="auto"/>
            <w:noWrap/>
            <w:vAlign w:val="bottom"/>
            <w:hideMark/>
          </w:tcPr>
          <w:p w14:paraId="31F7750A"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5,907.69</w:t>
            </w:r>
          </w:p>
        </w:tc>
        <w:tc>
          <w:tcPr>
            <w:tcW w:w="1681" w:type="dxa"/>
            <w:tcBorders>
              <w:top w:val="nil"/>
              <w:left w:val="nil"/>
              <w:bottom w:val="single" w:sz="4" w:space="0" w:color="auto"/>
              <w:right w:val="single" w:sz="4" w:space="0" w:color="auto"/>
            </w:tcBorders>
            <w:shd w:val="clear" w:color="auto" w:fill="auto"/>
            <w:noWrap/>
            <w:vAlign w:val="bottom"/>
            <w:hideMark/>
          </w:tcPr>
          <w:p w14:paraId="7D51C0D8"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15563.76</w:t>
            </w:r>
          </w:p>
        </w:tc>
        <w:tc>
          <w:tcPr>
            <w:tcW w:w="1710" w:type="dxa"/>
            <w:tcBorders>
              <w:top w:val="nil"/>
              <w:left w:val="nil"/>
              <w:bottom w:val="single" w:sz="4" w:space="0" w:color="auto"/>
              <w:right w:val="single" w:sz="4" w:space="0" w:color="auto"/>
            </w:tcBorders>
            <w:shd w:val="clear" w:color="auto" w:fill="auto"/>
            <w:noWrap/>
            <w:vAlign w:val="bottom"/>
            <w:hideMark/>
          </w:tcPr>
          <w:p w14:paraId="446011DC"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128.67</w:t>
            </w:r>
          </w:p>
        </w:tc>
      </w:tr>
      <w:tr w:rsidR="00F07E4B" w:rsidRPr="00B30084" w14:paraId="2E64190F"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13CE29F"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2015</w:t>
            </w:r>
          </w:p>
        </w:tc>
        <w:tc>
          <w:tcPr>
            <w:tcW w:w="1368" w:type="dxa"/>
            <w:tcBorders>
              <w:top w:val="nil"/>
              <w:left w:val="nil"/>
              <w:bottom w:val="single" w:sz="4" w:space="0" w:color="auto"/>
              <w:right w:val="single" w:sz="4" w:space="0" w:color="auto"/>
            </w:tcBorders>
            <w:shd w:val="clear" w:color="auto" w:fill="auto"/>
            <w:noWrap/>
            <w:vAlign w:val="bottom"/>
            <w:hideMark/>
          </w:tcPr>
          <w:p w14:paraId="67CEA249"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844</w:t>
            </w:r>
          </w:p>
        </w:tc>
        <w:tc>
          <w:tcPr>
            <w:tcW w:w="1791" w:type="dxa"/>
            <w:tcBorders>
              <w:top w:val="nil"/>
              <w:left w:val="nil"/>
              <w:bottom w:val="single" w:sz="4" w:space="0" w:color="auto"/>
              <w:right w:val="single" w:sz="4" w:space="0" w:color="auto"/>
            </w:tcBorders>
            <w:shd w:val="clear" w:color="auto" w:fill="auto"/>
            <w:noWrap/>
            <w:vAlign w:val="bottom"/>
            <w:hideMark/>
          </w:tcPr>
          <w:p w14:paraId="7D34B105"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641,008.12</w:t>
            </w:r>
          </w:p>
        </w:tc>
        <w:tc>
          <w:tcPr>
            <w:tcW w:w="1838" w:type="dxa"/>
            <w:tcBorders>
              <w:top w:val="nil"/>
              <w:left w:val="nil"/>
              <w:bottom w:val="single" w:sz="4" w:space="0" w:color="auto"/>
              <w:right w:val="single" w:sz="4" w:space="0" w:color="auto"/>
            </w:tcBorders>
            <w:shd w:val="clear" w:color="auto" w:fill="auto"/>
            <w:noWrap/>
            <w:vAlign w:val="bottom"/>
            <w:hideMark/>
          </w:tcPr>
          <w:p w14:paraId="6977F93C"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5,270.32</w:t>
            </w:r>
          </w:p>
        </w:tc>
        <w:tc>
          <w:tcPr>
            <w:tcW w:w="1681" w:type="dxa"/>
            <w:tcBorders>
              <w:top w:val="nil"/>
              <w:left w:val="nil"/>
              <w:bottom w:val="single" w:sz="4" w:space="0" w:color="auto"/>
              <w:right w:val="single" w:sz="4" w:space="0" w:color="auto"/>
            </w:tcBorders>
            <w:shd w:val="clear" w:color="auto" w:fill="auto"/>
            <w:noWrap/>
            <w:vAlign w:val="bottom"/>
            <w:hideMark/>
          </w:tcPr>
          <w:p w14:paraId="3AA16CB5"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17105.98</w:t>
            </w:r>
          </w:p>
        </w:tc>
        <w:tc>
          <w:tcPr>
            <w:tcW w:w="1710" w:type="dxa"/>
            <w:tcBorders>
              <w:top w:val="nil"/>
              <w:left w:val="nil"/>
              <w:bottom w:val="single" w:sz="4" w:space="0" w:color="auto"/>
              <w:right w:val="single" w:sz="4" w:space="0" w:color="auto"/>
            </w:tcBorders>
            <w:shd w:val="clear" w:color="auto" w:fill="auto"/>
            <w:noWrap/>
            <w:vAlign w:val="bottom"/>
            <w:hideMark/>
          </w:tcPr>
          <w:p w14:paraId="5DD42389"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140.64</w:t>
            </w:r>
          </w:p>
        </w:tc>
      </w:tr>
      <w:tr w:rsidR="00F07E4B" w:rsidRPr="00B30084" w14:paraId="181C63BE"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1222991"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2016</w:t>
            </w:r>
          </w:p>
        </w:tc>
        <w:tc>
          <w:tcPr>
            <w:tcW w:w="1368" w:type="dxa"/>
            <w:tcBorders>
              <w:top w:val="nil"/>
              <w:left w:val="nil"/>
              <w:bottom w:val="single" w:sz="4" w:space="0" w:color="auto"/>
              <w:right w:val="single" w:sz="4" w:space="0" w:color="auto"/>
            </w:tcBorders>
            <w:shd w:val="clear" w:color="auto" w:fill="auto"/>
            <w:noWrap/>
            <w:vAlign w:val="bottom"/>
            <w:hideMark/>
          </w:tcPr>
          <w:p w14:paraId="26A186B4"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719</w:t>
            </w:r>
          </w:p>
        </w:tc>
        <w:tc>
          <w:tcPr>
            <w:tcW w:w="1791" w:type="dxa"/>
            <w:tcBorders>
              <w:top w:val="nil"/>
              <w:left w:val="nil"/>
              <w:bottom w:val="single" w:sz="4" w:space="0" w:color="auto"/>
              <w:right w:val="single" w:sz="4" w:space="0" w:color="auto"/>
            </w:tcBorders>
            <w:shd w:val="clear" w:color="auto" w:fill="auto"/>
            <w:noWrap/>
            <w:vAlign w:val="bottom"/>
            <w:hideMark/>
          </w:tcPr>
          <w:p w14:paraId="1DB977DE"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592,443.32</w:t>
            </w:r>
          </w:p>
        </w:tc>
        <w:tc>
          <w:tcPr>
            <w:tcW w:w="1838" w:type="dxa"/>
            <w:tcBorders>
              <w:top w:val="nil"/>
              <w:left w:val="nil"/>
              <w:bottom w:val="single" w:sz="4" w:space="0" w:color="auto"/>
              <w:right w:val="single" w:sz="4" w:space="0" w:color="auto"/>
            </w:tcBorders>
            <w:shd w:val="clear" w:color="auto" w:fill="auto"/>
            <w:noWrap/>
            <w:vAlign w:val="bottom"/>
            <w:hideMark/>
          </w:tcPr>
          <w:p w14:paraId="6F383645"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4,798.19</w:t>
            </w:r>
          </w:p>
        </w:tc>
        <w:tc>
          <w:tcPr>
            <w:tcW w:w="1681" w:type="dxa"/>
            <w:tcBorders>
              <w:top w:val="nil"/>
              <w:left w:val="nil"/>
              <w:bottom w:val="single" w:sz="4" w:space="0" w:color="auto"/>
              <w:right w:val="single" w:sz="4" w:space="0" w:color="auto"/>
            </w:tcBorders>
            <w:shd w:val="clear" w:color="auto" w:fill="auto"/>
            <w:noWrap/>
            <w:vAlign w:val="bottom"/>
            <w:hideMark/>
          </w:tcPr>
          <w:p w14:paraId="5A86DEDD"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6464.64</w:t>
            </w:r>
          </w:p>
        </w:tc>
        <w:tc>
          <w:tcPr>
            <w:tcW w:w="1710" w:type="dxa"/>
            <w:tcBorders>
              <w:top w:val="nil"/>
              <w:left w:val="nil"/>
              <w:bottom w:val="single" w:sz="4" w:space="0" w:color="auto"/>
              <w:right w:val="single" w:sz="4" w:space="0" w:color="auto"/>
            </w:tcBorders>
            <w:shd w:val="clear" w:color="auto" w:fill="auto"/>
            <w:noWrap/>
            <w:vAlign w:val="bottom"/>
            <w:hideMark/>
          </w:tcPr>
          <w:p w14:paraId="0320B069"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52.36</w:t>
            </w:r>
          </w:p>
        </w:tc>
      </w:tr>
      <w:tr w:rsidR="00F07E4B" w:rsidRPr="00B30084" w14:paraId="3D8CE363"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42B4153"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2017</w:t>
            </w:r>
          </w:p>
        </w:tc>
        <w:tc>
          <w:tcPr>
            <w:tcW w:w="1368" w:type="dxa"/>
            <w:tcBorders>
              <w:top w:val="nil"/>
              <w:left w:val="nil"/>
              <w:bottom w:val="single" w:sz="4" w:space="0" w:color="auto"/>
              <w:right w:val="single" w:sz="4" w:space="0" w:color="auto"/>
            </w:tcBorders>
            <w:shd w:val="clear" w:color="auto" w:fill="auto"/>
            <w:noWrap/>
            <w:vAlign w:val="bottom"/>
            <w:hideMark/>
          </w:tcPr>
          <w:p w14:paraId="5A75DAB4"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634</w:t>
            </w:r>
          </w:p>
        </w:tc>
        <w:tc>
          <w:tcPr>
            <w:tcW w:w="1791" w:type="dxa"/>
            <w:tcBorders>
              <w:top w:val="nil"/>
              <w:left w:val="nil"/>
              <w:bottom w:val="single" w:sz="4" w:space="0" w:color="auto"/>
              <w:right w:val="single" w:sz="4" w:space="0" w:color="auto"/>
            </w:tcBorders>
            <w:shd w:val="clear" w:color="auto" w:fill="auto"/>
            <w:noWrap/>
            <w:vAlign w:val="bottom"/>
            <w:hideMark/>
          </w:tcPr>
          <w:p w14:paraId="76540527"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548,868.77</w:t>
            </w:r>
          </w:p>
        </w:tc>
        <w:tc>
          <w:tcPr>
            <w:tcW w:w="1838" w:type="dxa"/>
            <w:tcBorders>
              <w:top w:val="nil"/>
              <w:left w:val="nil"/>
              <w:bottom w:val="single" w:sz="4" w:space="0" w:color="auto"/>
              <w:right w:val="single" w:sz="4" w:space="0" w:color="auto"/>
            </w:tcBorders>
            <w:shd w:val="clear" w:color="auto" w:fill="auto"/>
            <w:noWrap/>
            <w:vAlign w:val="bottom"/>
            <w:hideMark/>
          </w:tcPr>
          <w:p w14:paraId="10569A3D"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4,632.87</w:t>
            </w:r>
          </w:p>
        </w:tc>
        <w:tc>
          <w:tcPr>
            <w:tcW w:w="1681" w:type="dxa"/>
            <w:tcBorders>
              <w:top w:val="nil"/>
              <w:left w:val="nil"/>
              <w:bottom w:val="single" w:sz="4" w:space="0" w:color="auto"/>
              <w:right w:val="single" w:sz="4" w:space="0" w:color="auto"/>
            </w:tcBorders>
            <w:shd w:val="clear" w:color="auto" w:fill="auto"/>
            <w:noWrap/>
            <w:vAlign w:val="bottom"/>
            <w:hideMark/>
          </w:tcPr>
          <w:p w14:paraId="6567CD61"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8266.39</w:t>
            </w:r>
          </w:p>
        </w:tc>
        <w:tc>
          <w:tcPr>
            <w:tcW w:w="1710" w:type="dxa"/>
            <w:tcBorders>
              <w:top w:val="nil"/>
              <w:left w:val="nil"/>
              <w:bottom w:val="single" w:sz="4" w:space="0" w:color="auto"/>
              <w:right w:val="single" w:sz="4" w:space="0" w:color="auto"/>
            </w:tcBorders>
            <w:shd w:val="clear" w:color="auto" w:fill="auto"/>
            <w:noWrap/>
            <w:vAlign w:val="bottom"/>
            <w:hideMark/>
          </w:tcPr>
          <w:p w14:paraId="5A3EFD6B"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69.77</w:t>
            </w:r>
          </w:p>
        </w:tc>
      </w:tr>
      <w:tr w:rsidR="00F07E4B" w:rsidRPr="00B30084" w14:paraId="01B3810A"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0FC2DEC"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2018</w:t>
            </w:r>
          </w:p>
        </w:tc>
        <w:tc>
          <w:tcPr>
            <w:tcW w:w="1368" w:type="dxa"/>
            <w:tcBorders>
              <w:top w:val="nil"/>
              <w:left w:val="nil"/>
              <w:bottom w:val="single" w:sz="4" w:space="0" w:color="auto"/>
              <w:right w:val="single" w:sz="4" w:space="0" w:color="auto"/>
            </w:tcBorders>
            <w:shd w:val="clear" w:color="auto" w:fill="auto"/>
            <w:noWrap/>
            <w:vAlign w:val="bottom"/>
            <w:hideMark/>
          </w:tcPr>
          <w:p w14:paraId="457A9239"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572</w:t>
            </w:r>
          </w:p>
        </w:tc>
        <w:tc>
          <w:tcPr>
            <w:tcW w:w="1791" w:type="dxa"/>
            <w:tcBorders>
              <w:top w:val="nil"/>
              <w:left w:val="nil"/>
              <w:bottom w:val="single" w:sz="4" w:space="0" w:color="auto"/>
              <w:right w:val="single" w:sz="4" w:space="0" w:color="auto"/>
            </w:tcBorders>
            <w:shd w:val="clear" w:color="auto" w:fill="auto"/>
            <w:noWrap/>
            <w:vAlign w:val="bottom"/>
            <w:hideMark/>
          </w:tcPr>
          <w:p w14:paraId="0A48663C"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522,726.05</w:t>
            </w:r>
          </w:p>
        </w:tc>
        <w:tc>
          <w:tcPr>
            <w:tcW w:w="1838" w:type="dxa"/>
            <w:tcBorders>
              <w:top w:val="nil"/>
              <w:left w:val="nil"/>
              <w:bottom w:val="single" w:sz="4" w:space="0" w:color="auto"/>
              <w:right w:val="single" w:sz="4" w:space="0" w:color="auto"/>
            </w:tcBorders>
            <w:shd w:val="clear" w:color="auto" w:fill="auto"/>
            <w:noWrap/>
            <w:vAlign w:val="bottom"/>
            <w:hideMark/>
          </w:tcPr>
          <w:p w14:paraId="1686B0E4"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4,422.59</w:t>
            </w:r>
          </w:p>
        </w:tc>
        <w:tc>
          <w:tcPr>
            <w:tcW w:w="1681" w:type="dxa"/>
            <w:tcBorders>
              <w:top w:val="nil"/>
              <w:left w:val="nil"/>
              <w:bottom w:val="single" w:sz="4" w:space="0" w:color="auto"/>
              <w:right w:val="single" w:sz="4" w:space="0" w:color="auto"/>
            </w:tcBorders>
            <w:shd w:val="clear" w:color="auto" w:fill="auto"/>
            <w:noWrap/>
            <w:vAlign w:val="bottom"/>
            <w:hideMark/>
          </w:tcPr>
          <w:p w14:paraId="483CCAEF"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7820.46</w:t>
            </w:r>
          </w:p>
        </w:tc>
        <w:tc>
          <w:tcPr>
            <w:tcW w:w="1710" w:type="dxa"/>
            <w:tcBorders>
              <w:top w:val="nil"/>
              <w:left w:val="nil"/>
              <w:bottom w:val="single" w:sz="4" w:space="0" w:color="auto"/>
              <w:right w:val="single" w:sz="4" w:space="0" w:color="auto"/>
            </w:tcBorders>
            <w:shd w:val="clear" w:color="auto" w:fill="auto"/>
            <w:noWrap/>
            <w:vAlign w:val="bottom"/>
            <w:hideMark/>
          </w:tcPr>
          <w:p w14:paraId="5F41FDD3"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66.17</w:t>
            </w:r>
          </w:p>
        </w:tc>
      </w:tr>
      <w:tr w:rsidR="00F07E4B" w:rsidRPr="00B30084" w14:paraId="2966B5A7"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E6A19FF"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2019</w:t>
            </w:r>
          </w:p>
        </w:tc>
        <w:tc>
          <w:tcPr>
            <w:tcW w:w="1368" w:type="dxa"/>
            <w:tcBorders>
              <w:top w:val="nil"/>
              <w:left w:val="nil"/>
              <w:bottom w:val="single" w:sz="4" w:space="0" w:color="auto"/>
              <w:right w:val="single" w:sz="4" w:space="0" w:color="auto"/>
            </w:tcBorders>
            <w:shd w:val="clear" w:color="auto" w:fill="auto"/>
            <w:noWrap/>
            <w:vAlign w:val="bottom"/>
            <w:hideMark/>
          </w:tcPr>
          <w:p w14:paraId="277442C7"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496</w:t>
            </w:r>
          </w:p>
        </w:tc>
        <w:tc>
          <w:tcPr>
            <w:tcW w:w="1791" w:type="dxa"/>
            <w:tcBorders>
              <w:top w:val="nil"/>
              <w:left w:val="nil"/>
              <w:bottom w:val="single" w:sz="4" w:space="0" w:color="auto"/>
              <w:right w:val="single" w:sz="4" w:space="0" w:color="auto"/>
            </w:tcBorders>
            <w:shd w:val="clear" w:color="auto" w:fill="auto"/>
            <w:noWrap/>
            <w:vAlign w:val="bottom"/>
            <w:hideMark/>
          </w:tcPr>
          <w:p w14:paraId="32328F6E"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569,647.46</w:t>
            </w:r>
          </w:p>
        </w:tc>
        <w:tc>
          <w:tcPr>
            <w:tcW w:w="1838" w:type="dxa"/>
            <w:tcBorders>
              <w:top w:val="nil"/>
              <w:left w:val="nil"/>
              <w:bottom w:val="single" w:sz="4" w:space="0" w:color="auto"/>
              <w:right w:val="single" w:sz="4" w:space="0" w:color="auto"/>
            </w:tcBorders>
            <w:shd w:val="clear" w:color="auto" w:fill="auto"/>
            <w:noWrap/>
            <w:vAlign w:val="bottom"/>
            <w:hideMark/>
          </w:tcPr>
          <w:p w14:paraId="58B53F35"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4,844.24</w:t>
            </w:r>
          </w:p>
        </w:tc>
        <w:tc>
          <w:tcPr>
            <w:tcW w:w="1681" w:type="dxa"/>
            <w:tcBorders>
              <w:top w:val="nil"/>
              <w:left w:val="nil"/>
              <w:bottom w:val="single" w:sz="4" w:space="0" w:color="auto"/>
              <w:right w:val="single" w:sz="4" w:space="0" w:color="auto"/>
            </w:tcBorders>
            <w:shd w:val="clear" w:color="auto" w:fill="auto"/>
            <w:noWrap/>
            <w:vAlign w:val="bottom"/>
            <w:hideMark/>
          </w:tcPr>
          <w:p w14:paraId="3C46C2B3"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40736.48</w:t>
            </w:r>
          </w:p>
        </w:tc>
        <w:tc>
          <w:tcPr>
            <w:tcW w:w="1710" w:type="dxa"/>
            <w:tcBorders>
              <w:top w:val="nil"/>
              <w:left w:val="nil"/>
              <w:bottom w:val="single" w:sz="4" w:space="0" w:color="auto"/>
              <w:right w:val="single" w:sz="4" w:space="0" w:color="auto"/>
            </w:tcBorders>
            <w:shd w:val="clear" w:color="auto" w:fill="auto"/>
            <w:noWrap/>
            <w:vAlign w:val="bottom"/>
            <w:hideMark/>
          </w:tcPr>
          <w:p w14:paraId="01A81CD5"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346.42</w:t>
            </w:r>
          </w:p>
        </w:tc>
      </w:tr>
      <w:tr w:rsidR="00F07E4B" w:rsidRPr="00B30084" w14:paraId="6424EF96" w14:textId="77777777" w:rsidTr="00E87DA0">
        <w:trPr>
          <w:trHeight w:val="26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45389D4"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2020</w:t>
            </w:r>
          </w:p>
        </w:tc>
        <w:tc>
          <w:tcPr>
            <w:tcW w:w="1368" w:type="dxa"/>
            <w:tcBorders>
              <w:top w:val="nil"/>
              <w:left w:val="nil"/>
              <w:bottom w:val="single" w:sz="4" w:space="0" w:color="auto"/>
              <w:right w:val="single" w:sz="4" w:space="0" w:color="auto"/>
            </w:tcBorders>
            <w:shd w:val="clear" w:color="auto" w:fill="auto"/>
            <w:noWrap/>
            <w:vAlign w:val="bottom"/>
            <w:hideMark/>
          </w:tcPr>
          <w:p w14:paraId="73DB7E44"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443</w:t>
            </w:r>
          </w:p>
        </w:tc>
        <w:tc>
          <w:tcPr>
            <w:tcW w:w="1791" w:type="dxa"/>
            <w:tcBorders>
              <w:top w:val="nil"/>
              <w:left w:val="nil"/>
              <w:bottom w:val="single" w:sz="4" w:space="0" w:color="auto"/>
              <w:right w:val="single" w:sz="4" w:space="0" w:color="auto"/>
            </w:tcBorders>
            <w:shd w:val="clear" w:color="auto" w:fill="auto"/>
            <w:noWrap/>
            <w:vAlign w:val="bottom"/>
            <w:hideMark/>
          </w:tcPr>
          <w:p w14:paraId="4687DC9B"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523,407.81</w:t>
            </w:r>
          </w:p>
        </w:tc>
        <w:tc>
          <w:tcPr>
            <w:tcW w:w="1838" w:type="dxa"/>
            <w:tcBorders>
              <w:top w:val="nil"/>
              <w:left w:val="nil"/>
              <w:bottom w:val="single" w:sz="4" w:space="0" w:color="auto"/>
              <w:right w:val="single" w:sz="4" w:space="0" w:color="auto"/>
            </w:tcBorders>
            <w:shd w:val="clear" w:color="auto" w:fill="auto"/>
            <w:noWrap/>
            <w:vAlign w:val="bottom"/>
            <w:hideMark/>
          </w:tcPr>
          <w:p w14:paraId="65270158"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4,451.50</w:t>
            </w:r>
          </w:p>
        </w:tc>
        <w:tc>
          <w:tcPr>
            <w:tcW w:w="1681" w:type="dxa"/>
            <w:tcBorders>
              <w:top w:val="nil"/>
              <w:left w:val="nil"/>
              <w:bottom w:val="single" w:sz="4" w:space="0" w:color="auto"/>
              <w:right w:val="single" w:sz="4" w:space="0" w:color="auto"/>
            </w:tcBorders>
            <w:shd w:val="clear" w:color="auto" w:fill="auto"/>
            <w:noWrap/>
            <w:vAlign w:val="bottom"/>
            <w:hideMark/>
          </w:tcPr>
          <w:p w14:paraId="246B8169"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5030.73</w:t>
            </w:r>
          </w:p>
        </w:tc>
        <w:tc>
          <w:tcPr>
            <w:tcW w:w="1710" w:type="dxa"/>
            <w:tcBorders>
              <w:top w:val="nil"/>
              <w:left w:val="nil"/>
              <w:bottom w:val="single" w:sz="4" w:space="0" w:color="auto"/>
              <w:right w:val="single" w:sz="4" w:space="0" w:color="auto"/>
            </w:tcBorders>
            <w:shd w:val="clear" w:color="auto" w:fill="auto"/>
            <w:noWrap/>
            <w:vAlign w:val="bottom"/>
            <w:hideMark/>
          </w:tcPr>
          <w:p w14:paraId="4B5056F6" w14:textId="77777777" w:rsidR="00F07E4B" w:rsidRPr="00B30084" w:rsidRDefault="00F07E4B"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42.79</w:t>
            </w:r>
          </w:p>
        </w:tc>
      </w:tr>
    </w:tbl>
    <w:p w14:paraId="78082D9F" w14:textId="77777777" w:rsidR="00F07E4B" w:rsidRPr="00B30084" w:rsidRDefault="00F07E4B" w:rsidP="00F07E4B">
      <w:pPr>
        <w:jc w:val="both"/>
        <w:rPr>
          <w:rFonts w:ascii="Times New Roman" w:hAnsi="Times New Roman" w:cs="Times New Roman"/>
          <w:sz w:val="20"/>
          <w:szCs w:val="20"/>
          <w:lang w:val="sr-Latn-RS"/>
        </w:rPr>
      </w:pPr>
      <w:r w:rsidRPr="00B30084">
        <w:rPr>
          <w:rFonts w:ascii="Times New Roman" w:hAnsi="Times New Roman" w:cs="Times New Roman"/>
          <w:sz w:val="20"/>
          <w:szCs w:val="20"/>
          <w:lang w:val="sr-Cyrl-RS"/>
        </w:rPr>
        <w:t xml:space="preserve">Извор: </w:t>
      </w:r>
      <w:hyperlink r:id="rId9" w:history="1">
        <w:r w:rsidRPr="00B30084">
          <w:rPr>
            <w:rStyle w:val="Hyperlink"/>
            <w:rFonts w:ascii="Times New Roman" w:hAnsi="Times New Roman" w:cs="Times New Roman"/>
            <w:sz w:val="20"/>
            <w:szCs w:val="20"/>
            <w:lang w:val="sr-Latn-RS"/>
          </w:rPr>
          <w:t>www.belex.rs</w:t>
        </w:r>
      </w:hyperlink>
    </w:p>
    <w:p w14:paraId="5C2CDF23" w14:textId="77777777" w:rsidR="00F07E4B" w:rsidRPr="00B30084" w:rsidRDefault="00F07E4B" w:rsidP="00E50617">
      <w:pPr>
        <w:spacing w:line="276" w:lineRule="auto"/>
        <w:jc w:val="both"/>
        <w:rPr>
          <w:rFonts w:ascii="Times New Roman" w:hAnsi="Times New Roman" w:cs="Times New Roman"/>
          <w:sz w:val="24"/>
          <w:szCs w:val="24"/>
          <w:lang w:val="sr-Cyrl-RS"/>
        </w:rPr>
      </w:pPr>
    </w:p>
    <w:p w14:paraId="6E9B5CA5" w14:textId="065E04B6" w:rsidR="00F27BFB" w:rsidRPr="00B30084" w:rsidRDefault="00F27BFB" w:rsidP="00E50617">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noProof/>
          <w:sz w:val="24"/>
          <w:szCs w:val="24"/>
        </w:rPr>
        <w:lastRenderedPageBreak/>
        <w:drawing>
          <wp:inline distT="0" distB="0" distL="0" distR="0" wp14:anchorId="3DB27A93" wp14:editId="19770741">
            <wp:extent cx="5969000" cy="3533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0" cy="3533140"/>
                    </a:xfrm>
                    <a:prstGeom prst="rect">
                      <a:avLst/>
                    </a:prstGeom>
                    <a:noFill/>
                    <a:ln>
                      <a:noFill/>
                    </a:ln>
                  </pic:spPr>
                </pic:pic>
              </a:graphicData>
            </a:graphic>
          </wp:inline>
        </w:drawing>
      </w:r>
    </w:p>
    <w:p w14:paraId="0D4A5CE2" w14:textId="24AF3CC4" w:rsidR="009E72E5" w:rsidRPr="00B30084" w:rsidRDefault="0052306D" w:rsidP="00E50617">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У Србији има више група инвеститора и сви они су значајни за функционисање тржишта капитала</w:t>
      </w:r>
      <w:r w:rsidR="00F73914" w:rsidRPr="00B30084">
        <w:rPr>
          <w:rFonts w:ascii="Times New Roman" w:hAnsi="Times New Roman" w:cs="Times New Roman"/>
          <w:sz w:val="24"/>
          <w:szCs w:val="24"/>
          <w:lang w:val="sr-Cyrl-RS"/>
        </w:rPr>
        <w:t xml:space="preserve"> и развој привреде</w:t>
      </w:r>
      <w:r w:rsidR="00CE4625">
        <w:rPr>
          <w:rFonts w:ascii="Times New Roman" w:hAnsi="Times New Roman" w:cs="Times New Roman"/>
          <w:sz w:val="24"/>
          <w:szCs w:val="24"/>
          <w:lang w:val="sr-Cyrl-RS"/>
        </w:rPr>
        <w:t>:</w:t>
      </w:r>
      <w:r w:rsidR="00B70055" w:rsidRPr="00B30084">
        <w:rPr>
          <w:rStyle w:val="FootnoteReference"/>
          <w:rFonts w:ascii="Times New Roman" w:hAnsi="Times New Roman" w:cs="Times New Roman"/>
          <w:sz w:val="24"/>
          <w:szCs w:val="24"/>
          <w:lang w:val="sr-Cyrl-RS"/>
        </w:rPr>
        <w:footnoteReference w:id="32"/>
      </w:r>
    </w:p>
    <w:p w14:paraId="47A36FDA" w14:textId="5DF5D512" w:rsidR="0052306D" w:rsidRPr="00B30084" w:rsidRDefault="0052306D" w:rsidP="00E50617">
      <w:pPr>
        <w:pStyle w:val="Default"/>
        <w:numPr>
          <w:ilvl w:val="0"/>
          <w:numId w:val="19"/>
        </w:numPr>
        <w:spacing w:line="276" w:lineRule="auto"/>
        <w:jc w:val="both"/>
        <w:rPr>
          <w:rFonts w:ascii="Times New Roman" w:hAnsi="Times New Roman" w:cs="Times New Roman"/>
          <w:lang w:val="sr-Cyrl-RS"/>
        </w:rPr>
      </w:pPr>
      <w:r w:rsidRPr="00B30084">
        <w:rPr>
          <w:rFonts w:ascii="Times New Roman" w:hAnsi="Times New Roman" w:cs="Times New Roman"/>
          <w:u w:val="single"/>
          <w:lang w:val="sr-Cyrl-RS"/>
        </w:rPr>
        <w:t>Домаћа штедња - појединци и домаћинства</w:t>
      </w:r>
      <w:r w:rsidRPr="00B30084">
        <w:rPr>
          <w:rFonts w:ascii="Times New Roman" w:hAnsi="Times New Roman" w:cs="Times New Roman"/>
          <w:lang w:val="sr-Cyrl-RS"/>
        </w:rPr>
        <w:t xml:space="preserve">. </w:t>
      </w:r>
      <w:r w:rsidR="008D7EFB" w:rsidRPr="00B30084">
        <w:rPr>
          <w:rFonts w:ascii="Times New Roman" w:hAnsi="Times New Roman" w:cs="Times New Roman"/>
          <w:lang w:val="sr-Cyrl-RS"/>
        </w:rPr>
        <w:t xml:space="preserve">Република </w:t>
      </w:r>
      <w:r w:rsidRPr="00B30084">
        <w:rPr>
          <w:rFonts w:ascii="Times New Roman" w:hAnsi="Times New Roman" w:cs="Times New Roman"/>
          <w:lang w:val="sr-Cyrl-RS"/>
        </w:rPr>
        <w:t xml:space="preserve">Србија као нација годишње уштеди приближно РСД 819,3 милијарди (€ 6,9 милијарди или 15,12% БДП). За ову штедњу су потребни „домови за инвестирање“. </w:t>
      </w:r>
    </w:p>
    <w:p w14:paraId="558EF8F2" w14:textId="77777777" w:rsidR="00D736CB" w:rsidRPr="00B30084" w:rsidRDefault="0052306D" w:rsidP="00E50617">
      <w:pPr>
        <w:pStyle w:val="Default"/>
        <w:numPr>
          <w:ilvl w:val="0"/>
          <w:numId w:val="19"/>
        </w:numPr>
        <w:spacing w:line="276" w:lineRule="auto"/>
        <w:jc w:val="both"/>
        <w:rPr>
          <w:rFonts w:ascii="Times New Roman" w:hAnsi="Times New Roman" w:cs="Times New Roman"/>
          <w:lang w:val="sr-Cyrl-RS"/>
        </w:rPr>
      </w:pPr>
      <w:r w:rsidRPr="00B30084">
        <w:rPr>
          <w:rFonts w:ascii="Times New Roman" w:hAnsi="Times New Roman" w:cs="Times New Roman"/>
          <w:u w:val="single"/>
          <w:lang w:val="sr-Cyrl-RS"/>
        </w:rPr>
        <w:t>Страни инвеститори</w:t>
      </w:r>
      <w:r w:rsidRPr="00B30084">
        <w:rPr>
          <w:rFonts w:ascii="Times New Roman" w:hAnsi="Times New Roman" w:cs="Times New Roman"/>
          <w:lang w:val="sr-Cyrl-RS"/>
        </w:rPr>
        <w:t xml:space="preserve"> - институције или појединци. У теорији, износ страних средстава расположивих за српско тржиште капитала је неограничен.</w:t>
      </w:r>
    </w:p>
    <w:p w14:paraId="4DEB14B1" w14:textId="77F51114" w:rsidR="00D736CB" w:rsidRPr="00B30084" w:rsidRDefault="0052306D" w:rsidP="00E50617">
      <w:pPr>
        <w:pStyle w:val="Default"/>
        <w:numPr>
          <w:ilvl w:val="0"/>
          <w:numId w:val="19"/>
        </w:numPr>
        <w:spacing w:line="276" w:lineRule="auto"/>
        <w:jc w:val="both"/>
        <w:rPr>
          <w:rFonts w:ascii="Times New Roman" w:hAnsi="Times New Roman" w:cs="Times New Roman"/>
          <w:lang w:val="sr-Cyrl-RS"/>
        </w:rPr>
      </w:pPr>
      <w:r w:rsidRPr="00B30084">
        <w:rPr>
          <w:rFonts w:ascii="Times New Roman" w:hAnsi="Times New Roman" w:cs="Times New Roman"/>
          <w:u w:val="single"/>
          <w:lang w:val="sr-Cyrl-RS"/>
        </w:rPr>
        <w:t>Инвестициони фондови</w:t>
      </w:r>
      <w:r w:rsidRPr="00B30084">
        <w:rPr>
          <w:rFonts w:ascii="Times New Roman" w:hAnsi="Times New Roman" w:cs="Times New Roman"/>
          <w:lang w:val="sr-Cyrl-RS"/>
        </w:rPr>
        <w:t xml:space="preserve"> улажу у разне врсте хартија од вредности са различитим временским хоризонтима. Србија има 18 инвестиционих фондова са укупном комбинованом имовином од РСД 51,8 милијарди (€ 440 милиона). </w:t>
      </w:r>
      <w:r w:rsidR="00A21D50" w:rsidRPr="00B30084">
        <w:rPr>
          <w:rFonts w:ascii="Times New Roman" w:hAnsi="Times New Roman" w:cs="Times New Roman"/>
          <w:lang w:val="sr-Cyrl-RS"/>
        </w:rPr>
        <w:t xml:space="preserve">Имовина којом управљају ови фондови има тренд умереног раста, а  након усвајања нових закона који регулишу рад алтернативних фондова и отворених </w:t>
      </w:r>
      <w:proofErr w:type="spellStart"/>
      <w:r w:rsidR="00A21D50" w:rsidRPr="00B30084">
        <w:rPr>
          <w:rFonts w:ascii="Times New Roman" w:hAnsi="Times New Roman" w:cs="Times New Roman"/>
          <w:lang w:val="sr-Cyrl-RS"/>
        </w:rPr>
        <w:t>ивестиционих</w:t>
      </w:r>
      <w:proofErr w:type="spellEnd"/>
      <w:r w:rsidR="00A21D50" w:rsidRPr="00B30084">
        <w:rPr>
          <w:rFonts w:ascii="Times New Roman" w:hAnsi="Times New Roman" w:cs="Times New Roman"/>
          <w:lang w:val="sr-Cyrl-RS"/>
        </w:rPr>
        <w:t xml:space="preserve"> фондова са јавном понудом очекује се снажнији раст у овој области.</w:t>
      </w:r>
    </w:p>
    <w:p w14:paraId="3C26ACCF" w14:textId="3FDE77DF" w:rsidR="0052306D" w:rsidRPr="00B30084" w:rsidRDefault="00307467" w:rsidP="00AE2E48">
      <w:pPr>
        <w:pStyle w:val="Default"/>
        <w:numPr>
          <w:ilvl w:val="0"/>
          <w:numId w:val="19"/>
        </w:numPr>
        <w:spacing w:line="276" w:lineRule="auto"/>
        <w:jc w:val="both"/>
        <w:rPr>
          <w:rFonts w:ascii="Times New Roman" w:hAnsi="Times New Roman" w:cs="Times New Roman"/>
          <w:lang w:val="sr-Cyrl-RS"/>
        </w:rPr>
      </w:pPr>
      <w:r w:rsidRPr="00B30084">
        <w:rPr>
          <w:rFonts w:ascii="Times New Roman" w:hAnsi="Times New Roman" w:cs="Times New Roman"/>
          <w:u w:val="single"/>
          <w:lang w:val="sr-Cyrl-RS"/>
        </w:rPr>
        <w:t>Добровољни п</w:t>
      </w:r>
      <w:r w:rsidR="0052306D" w:rsidRPr="00B30084">
        <w:rPr>
          <w:rFonts w:ascii="Times New Roman" w:hAnsi="Times New Roman" w:cs="Times New Roman"/>
          <w:u w:val="single"/>
          <w:lang w:val="sr-Cyrl-RS"/>
        </w:rPr>
        <w:t>ензи</w:t>
      </w:r>
      <w:r w:rsidR="008D7EFB" w:rsidRPr="00B30084">
        <w:rPr>
          <w:rFonts w:ascii="Times New Roman" w:hAnsi="Times New Roman" w:cs="Times New Roman"/>
          <w:u w:val="single"/>
          <w:lang w:val="sr-Cyrl-RS"/>
        </w:rPr>
        <w:t xml:space="preserve">јски </w:t>
      </w:r>
      <w:r w:rsidR="0052306D" w:rsidRPr="00B30084">
        <w:rPr>
          <w:rFonts w:ascii="Times New Roman" w:hAnsi="Times New Roman" w:cs="Times New Roman"/>
          <w:u w:val="single"/>
          <w:lang w:val="sr-Cyrl-RS"/>
        </w:rPr>
        <w:t>фондови</w:t>
      </w:r>
      <w:r w:rsidR="0052306D" w:rsidRPr="00B30084">
        <w:rPr>
          <w:rFonts w:ascii="Times New Roman" w:hAnsi="Times New Roman" w:cs="Times New Roman"/>
          <w:lang w:val="sr-Cyrl-RS"/>
        </w:rPr>
        <w:t xml:space="preserve"> су дугорочни инвеститори који </w:t>
      </w:r>
      <w:r w:rsidR="002B01ED" w:rsidRPr="00B30084">
        <w:rPr>
          <w:rFonts w:ascii="Times New Roman" w:hAnsi="Times New Roman" w:cs="Times New Roman"/>
          <w:lang w:val="sr-Cyrl-RS"/>
        </w:rPr>
        <w:t xml:space="preserve">данас теже дугорочном </w:t>
      </w:r>
      <w:r w:rsidR="0052306D" w:rsidRPr="00B30084">
        <w:rPr>
          <w:rFonts w:ascii="Times New Roman" w:hAnsi="Times New Roman" w:cs="Times New Roman"/>
          <w:lang w:val="sr-Cyrl-RS"/>
        </w:rPr>
        <w:t>висококвалитетн</w:t>
      </w:r>
      <w:r w:rsidR="002B01ED" w:rsidRPr="00B30084">
        <w:rPr>
          <w:rFonts w:ascii="Times New Roman" w:hAnsi="Times New Roman" w:cs="Times New Roman"/>
          <w:lang w:val="sr-Cyrl-RS"/>
        </w:rPr>
        <w:t>ом</w:t>
      </w:r>
      <w:r w:rsidR="0052306D" w:rsidRPr="00B30084">
        <w:rPr>
          <w:rFonts w:ascii="Times New Roman" w:hAnsi="Times New Roman" w:cs="Times New Roman"/>
          <w:lang w:val="sr-Cyrl-RS"/>
        </w:rPr>
        <w:t xml:space="preserve"> инвестицион</w:t>
      </w:r>
      <w:r w:rsidR="002B01ED" w:rsidRPr="00B30084">
        <w:rPr>
          <w:rFonts w:ascii="Times New Roman" w:hAnsi="Times New Roman" w:cs="Times New Roman"/>
          <w:lang w:val="sr-Cyrl-RS"/>
        </w:rPr>
        <w:t xml:space="preserve">ом улагању и то за </w:t>
      </w:r>
      <w:r w:rsidR="0052306D" w:rsidRPr="00B30084">
        <w:rPr>
          <w:rFonts w:ascii="Times New Roman" w:hAnsi="Times New Roman" w:cs="Times New Roman"/>
          <w:lang w:val="sr-Cyrl-RS"/>
        </w:rPr>
        <w:t>доприносе својих учесника,</w:t>
      </w:r>
      <w:r w:rsidR="002B01ED" w:rsidRPr="00B30084">
        <w:rPr>
          <w:rFonts w:ascii="Times New Roman" w:hAnsi="Times New Roman" w:cs="Times New Roman"/>
          <w:lang w:val="sr-Cyrl-RS"/>
        </w:rPr>
        <w:t xml:space="preserve"> па</w:t>
      </w:r>
      <w:r w:rsidR="0052306D" w:rsidRPr="00B30084">
        <w:rPr>
          <w:rFonts w:ascii="Times New Roman" w:hAnsi="Times New Roman" w:cs="Times New Roman"/>
          <w:lang w:val="sr-Cyrl-RS"/>
        </w:rPr>
        <w:t xml:space="preserve"> до исплате </w:t>
      </w:r>
      <w:r w:rsidR="00E71710" w:rsidRPr="00B30084">
        <w:rPr>
          <w:rFonts w:ascii="Times New Roman" w:hAnsi="Times New Roman" w:cs="Times New Roman"/>
          <w:lang w:val="sr-Cyrl-RS"/>
        </w:rPr>
        <w:t>која се дешава у</w:t>
      </w:r>
      <w:r w:rsidR="0052306D" w:rsidRPr="00B30084">
        <w:rPr>
          <w:rFonts w:ascii="Times New Roman" w:hAnsi="Times New Roman" w:cs="Times New Roman"/>
          <w:lang w:val="sr-Cyrl-RS"/>
        </w:rPr>
        <w:t xml:space="preserve"> будућности.</w:t>
      </w:r>
      <w:r w:rsidR="002B01ED" w:rsidRPr="00B30084">
        <w:rPr>
          <w:rFonts w:ascii="Times New Roman" w:hAnsi="Times New Roman" w:cs="Times New Roman"/>
          <w:lang w:val="sr-Cyrl-RS"/>
        </w:rPr>
        <w:t xml:space="preserve"> </w:t>
      </w:r>
      <w:r w:rsidR="0052306D" w:rsidRPr="00B30084">
        <w:rPr>
          <w:rFonts w:ascii="Times New Roman" w:hAnsi="Times New Roman" w:cs="Times New Roman"/>
          <w:lang w:val="sr-Cyrl-RS"/>
        </w:rPr>
        <w:t xml:space="preserve">Србија има 7 </w:t>
      </w:r>
      <w:r w:rsidRPr="00B30084">
        <w:rPr>
          <w:rFonts w:ascii="Times New Roman" w:hAnsi="Times New Roman" w:cs="Times New Roman"/>
          <w:lang w:val="sr-Cyrl-RS"/>
        </w:rPr>
        <w:t xml:space="preserve">добровољних </w:t>
      </w:r>
      <w:r w:rsidR="0052306D" w:rsidRPr="00B30084">
        <w:rPr>
          <w:rFonts w:ascii="Times New Roman" w:hAnsi="Times New Roman" w:cs="Times New Roman"/>
          <w:lang w:val="sr-Cyrl-RS"/>
        </w:rPr>
        <w:t xml:space="preserve">пензијских фондова са укупном комбинованом имовином од РСД 47 милијарди (€ 400 милиона). </w:t>
      </w:r>
      <w:r w:rsidRPr="00B30084">
        <w:rPr>
          <w:rFonts w:ascii="Times New Roman" w:hAnsi="Times New Roman" w:cs="Times New Roman"/>
          <w:lang w:val="sr-Cyrl-RS"/>
        </w:rPr>
        <w:t>У Србији добровољни</w:t>
      </w:r>
      <w:r w:rsidR="00D736CB" w:rsidRPr="00B30084">
        <w:rPr>
          <w:rFonts w:ascii="Times New Roman" w:hAnsi="Times New Roman" w:cs="Times New Roman"/>
          <w:lang w:val="sr-Cyrl-RS"/>
        </w:rPr>
        <w:t xml:space="preserve"> пензи</w:t>
      </w:r>
      <w:r w:rsidR="009F0DCE" w:rsidRPr="00B30084">
        <w:rPr>
          <w:rFonts w:ascii="Times New Roman" w:hAnsi="Times New Roman" w:cs="Times New Roman"/>
          <w:lang w:val="sr-Cyrl-RS"/>
        </w:rPr>
        <w:t>јски</w:t>
      </w:r>
      <w:r w:rsidR="00D736CB" w:rsidRPr="00B30084">
        <w:rPr>
          <w:rFonts w:ascii="Times New Roman" w:hAnsi="Times New Roman" w:cs="Times New Roman"/>
          <w:lang w:val="sr-Cyrl-RS"/>
        </w:rPr>
        <w:t xml:space="preserve"> фондови могу бити значајни инвеститори. Да би се то десило потребно је да се ревидира дијапазон финансијских инструмената у које могу да улажу </w:t>
      </w:r>
      <w:r w:rsidRPr="00B30084">
        <w:rPr>
          <w:rFonts w:ascii="Times New Roman" w:hAnsi="Times New Roman" w:cs="Times New Roman"/>
          <w:lang w:val="sr-Cyrl-RS"/>
        </w:rPr>
        <w:t>добровољни пензијски</w:t>
      </w:r>
      <w:r w:rsidR="00D736CB" w:rsidRPr="00B30084">
        <w:rPr>
          <w:rFonts w:ascii="Times New Roman" w:hAnsi="Times New Roman" w:cs="Times New Roman"/>
          <w:lang w:val="sr-Cyrl-RS"/>
        </w:rPr>
        <w:t xml:space="preserve"> фондови као и </w:t>
      </w:r>
      <w:proofErr w:type="spellStart"/>
      <w:r w:rsidR="00D736CB" w:rsidRPr="00B30084">
        <w:rPr>
          <w:rFonts w:ascii="Times New Roman" w:hAnsi="Times New Roman" w:cs="Times New Roman"/>
          <w:lang w:val="sr-Cyrl-RS"/>
        </w:rPr>
        <w:t>дефинисанa</w:t>
      </w:r>
      <w:proofErr w:type="spellEnd"/>
      <w:r w:rsidR="00D736CB" w:rsidRPr="00B30084">
        <w:rPr>
          <w:rFonts w:ascii="Times New Roman" w:hAnsi="Times New Roman" w:cs="Times New Roman"/>
          <w:lang w:val="sr-Cyrl-RS"/>
        </w:rPr>
        <w:t xml:space="preserve"> </w:t>
      </w:r>
      <w:r w:rsidR="00D736CB" w:rsidRPr="00B30084">
        <w:rPr>
          <w:rFonts w:ascii="Times New Roman" w:hAnsi="Times New Roman" w:cs="Times New Roman"/>
          <w:lang w:val="sr-Cyrl-RS"/>
        </w:rPr>
        <w:lastRenderedPageBreak/>
        <w:t xml:space="preserve">ограничења </w:t>
      </w:r>
      <w:r w:rsidR="00D32BC0" w:rsidRPr="00B30084">
        <w:rPr>
          <w:rFonts w:ascii="Times New Roman" w:hAnsi="Times New Roman" w:cs="Times New Roman"/>
          <w:lang w:val="sr-Cyrl-RS"/>
        </w:rPr>
        <w:t xml:space="preserve">по питању </w:t>
      </w:r>
      <w:r w:rsidR="0091439D" w:rsidRPr="00B30084">
        <w:rPr>
          <w:rFonts w:ascii="Times New Roman" w:hAnsi="Times New Roman" w:cs="Times New Roman"/>
          <w:lang w:val="sr-Cyrl-RS"/>
        </w:rPr>
        <w:t>могућности</w:t>
      </w:r>
      <w:r w:rsidR="00D32BC0" w:rsidRPr="00B30084">
        <w:rPr>
          <w:rFonts w:ascii="Times New Roman" w:hAnsi="Times New Roman" w:cs="Times New Roman"/>
          <w:lang w:val="sr-Cyrl-RS"/>
        </w:rPr>
        <w:t xml:space="preserve"> улагања</w:t>
      </w:r>
      <w:r w:rsidR="0091439D" w:rsidRPr="00B30084">
        <w:rPr>
          <w:rFonts w:ascii="Times New Roman" w:hAnsi="Times New Roman" w:cs="Times New Roman"/>
          <w:lang w:val="sr-Cyrl-RS"/>
        </w:rPr>
        <w:t xml:space="preserve"> у појединачне финансијске инструменте</w:t>
      </w:r>
      <w:r w:rsidR="00D736CB" w:rsidRPr="00B30084">
        <w:rPr>
          <w:rFonts w:ascii="Times New Roman" w:hAnsi="Times New Roman" w:cs="Times New Roman"/>
          <w:lang w:val="sr-Cyrl-RS"/>
        </w:rPr>
        <w:t xml:space="preserve">. </w:t>
      </w:r>
      <w:r w:rsidR="0052306D" w:rsidRPr="00B30084">
        <w:rPr>
          <w:rFonts w:ascii="Times New Roman" w:hAnsi="Times New Roman" w:cs="Times New Roman"/>
          <w:lang w:val="sr-Cyrl-RS"/>
        </w:rPr>
        <w:t>У првом кварталу 2021. године највише средстава</w:t>
      </w:r>
      <w:r w:rsidRPr="00B30084">
        <w:rPr>
          <w:rFonts w:ascii="Times New Roman" w:hAnsi="Times New Roman" w:cs="Times New Roman"/>
          <w:lang w:val="sr-Cyrl-RS"/>
        </w:rPr>
        <w:t xml:space="preserve"> добровољних</w:t>
      </w:r>
      <w:r w:rsidR="0052306D" w:rsidRPr="00B30084">
        <w:rPr>
          <w:rFonts w:ascii="Times New Roman" w:hAnsi="Times New Roman" w:cs="Times New Roman"/>
          <w:lang w:val="sr-Cyrl-RS"/>
        </w:rPr>
        <w:t xml:space="preserve"> пен</w:t>
      </w:r>
      <w:r w:rsidR="00510BBC" w:rsidRPr="00B30084">
        <w:rPr>
          <w:rFonts w:ascii="Times New Roman" w:hAnsi="Times New Roman" w:cs="Times New Roman"/>
          <w:lang w:val="sr-Cyrl-RS"/>
        </w:rPr>
        <w:t>з</w:t>
      </w:r>
      <w:r w:rsidRPr="00B30084">
        <w:rPr>
          <w:rFonts w:ascii="Times New Roman" w:hAnsi="Times New Roman" w:cs="Times New Roman"/>
          <w:lang w:val="sr-Cyrl-RS"/>
        </w:rPr>
        <w:t>ијских</w:t>
      </w:r>
      <w:r w:rsidR="0052306D" w:rsidRPr="00B30084">
        <w:rPr>
          <w:rFonts w:ascii="Times New Roman" w:hAnsi="Times New Roman" w:cs="Times New Roman"/>
          <w:lang w:val="sr-Cyrl-RS"/>
        </w:rPr>
        <w:t xml:space="preserve"> фондова је уложено у државне хартије од вредности</w:t>
      </w:r>
      <w:r w:rsidR="00AE2E48" w:rsidRPr="00B30084">
        <w:rPr>
          <w:rFonts w:ascii="Times New Roman" w:hAnsi="Times New Roman" w:cs="Times New Roman"/>
          <w:lang w:val="sr-Cyrl-RS"/>
        </w:rPr>
        <w:t xml:space="preserve"> и то 81% укупне имовине фондова.</w:t>
      </w:r>
      <w:r w:rsidR="0052306D" w:rsidRPr="00B30084">
        <w:rPr>
          <w:rFonts w:ascii="Times New Roman" w:hAnsi="Times New Roman" w:cs="Times New Roman"/>
          <w:lang w:val="sr-Cyrl-RS"/>
        </w:rPr>
        <w:t xml:space="preserve"> </w:t>
      </w:r>
    </w:p>
    <w:p w14:paraId="32C05C3D" w14:textId="2B648AF0" w:rsidR="0052306D" w:rsidRPr="00B30084" w:rsidRDefault="0052306D" w:rsidP="00E50617">
      <w:pPr>
        <w:pStyle w:val="ListParagraph"/>
        <w:numPr>
          <w:ilvl w:val="0"/>
          <w:numId w:val="15"/>
        </w:num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u w:val="single"/>
          <w:lang w:val="sr-Cyrl-RS"/>
        </w:rPr>
        <w:t>Осигуравајућа друштва</w:t>
      </w:r>
      <w:r w:rsidRPr="00B30084">
        <w:rPr>
          <w:rFonts w:ascii="Times New Roman" w:hAnsi="Times New Roman" w:cs="Times New Roman"/>
          <w:sz w:val="24"/>
          <w:szCs w:val="24"/>
          <w:lang w:val="sr-Cyrl-RS"/>
        </w:rPr>
        <w:t>. Будући да компаније за животно осигурање данас узимају премије које ће се исплаћивати у будућности, и оне морају пронаћи могућност за дугорочније улагање. Вредност имовине индустрије животног осигурања износи РСД 221,8 милијарде (</w:t>
      </w:r>
      <w:r w:rsidRPr="00B30084">
        <w:rPr>
          <w:rFonts w:ascii="Times New Roman" w:hAnsi="Times New Roman" w:cs="Times New Roman"/>
          <w:color w:val="000000"/>
          <w:sz w:val="24"/>
          <w:szCs w:val="24"/>
          <w:lang w:val="sr-Cyrl-RS"/>
        </w:rPr>
        <w:t xml:space="preserve">€ </w:t>
      </w:r>
      <w:r w:rsidRPr="00B30084">
        <w:rPr>
          <w:rFonts w:ascii="Times New Roman" w:hAnsi="Times New Roman" w:cs="Times New Roman"/>
          <w:sz w:val="24"/>
          <w:szCs w:val="24"/>
          <w:lang w:val="sr-Cyrl-RS"/>
        </w:rPr>
        <w:t>1,88 милијарди).</w:t>
      </w:r>
    </w:p>
    <w:p w14:paraId="34EF07FA" w14:textId="1361E9A2" w:rsidR="0052306D" w:rsidRPr="00B30084" w:rsidRDefault="0052306D" w:rsidP="00275E1F">
      <w:pPr>
        <w:pStyle w:val="ListParagraph"/>
        <w:numPr>
          <w:ilvl w:val="0"/>
          <w:numId w:val="15"/>
        </w:num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u w:val="single"/>
          <w:lang w:val="sr-Cyrl-RS"/>
        </w:rPr>
        <w:t>Комерцијалне банке.</w:t>
      </w:r>
      <w:r w:rsidRPr="00B30084">
        <w:rPr>
          <w:rFonts w:ascii="Times New Roman" w:hAnsi="Times New Roman" w:cs="Times New Roman"/>
          <w:sz w:val="24"/>
          <w:szCs w:val="24"/>
          <w:lang w:val="sr-Cyrl-RS"/>
        </w:rPr>
        <w:t xml:space="preserve"> Када банке имају обавезе (депозите) веће од одобрених пласмана, оне морају да пронађу могућности за улагање вишка ликвидних средстава. Да ли је реч о улагањима на краћи или дужи рок, зависи од временске структуре обавеза. Банке у Србији имају вишак ликвидности од РСД 182 милијарде (</w:t>
      </w:r>
      <w:r w:rsidRPr="00B30084">
        <w:rPr>
          <w:rFonts w:ascii="Times New Roman" w:hAnsi="Times New Roman" w:cs="Times New Roman"/>
          <w:color w:val="000000"/>
          <w:sz w:val="24"/>
          <w:szCs w:val="24"/>
          <w:lang w:val="sr-Cyrl-RS"/>
        </w:rPr>
        <w:t xml:space="preserve">€ </w:t>
      </w:r>
      <w:r w:rsidRPr="00B30084">
        <w:rPr>
          <w:rFonts w:ascii="Times New Roman" w:hAnsi="Times New Roman" w:cs="Times New Roman"/>
          <w:sz w:val="24"/>
          <w:szCs w:val="24"/>
          <w:lang w:val="sr-Cyrl-RS"/>
        </w:rPr>
        <w:t>1,5 милијарди), чак и након улагања у државне хартије од вредности.</w:t>
      </w:r>
    </w:p>
    <w:p w14:paraId="5111D60A" w14:textId="77777777" w:rsidR="0052306D" w:rsidRPr="00B30084" w:rsidRDefault="0052306D" w:rsidP="00E50617">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На страни потенцијалних издаваоца такође имамо више категорија и свака од њих је релевантна за раст и развој тржишта капитала:</w:t>
      </w:r>
    </w:p>
    <w:p w14:paraId="344D1DC4" w14:textId="010112E5" w:rsidR="0052306D" w:rsidRPr="00B30084" w:rsidRDefault="0052306D" w:rsidP="00E50617">
      <w:pPr>
        <w:pStyle w:val="ListParagraph"/>
        <w:numPr>
          <w:ilvl w:val="0"/>
          <w:numId w:val="15"/>
        </w:num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u w:val="single"/>
          <w:lang w:val="sr-Cyrl-RS"/>
        </w:rPr>
        <w:t>Велике компаније из реалног сектора</w:t>
      </w:r>
      <w:r w:rsidRPr="00B30084">
        <w:rPr>
          <w:rFonts w:ascii="Times New Roman" w:hAnsi="Times New Roman" w:cs="Times New Roman"/>
          <w:sz w:val="24"/>
          <w:szCs w:val="24"/>
          <w:lang w:val="sr-Cyrl-RS"/>
        </w:rPr>
        <w:t xml:space="preserve">. У овој категорији има преко 100 компанија (са приходима преко </w:t>
      </w:r>
      <w:r w:rsidRPr="00B30084">
        <w:rPr>
          <w:rFonts w:ascii="Times New Roman" w:hAnsi="Times New Roman" w:cs="Times New Roman"/>
          <w:color w:val="000000"/>
          <w:sz w:val="24"/>
          <w:szCs w:val="24"/>
          <w:lang w:val="sr-Cyrl-RS"/>
        </w:rPr>
        <w:t xml:space="preserve">€ </w:t>
      </w:r>
      <w:r w:rsidRPr="00B30084">
        <w:rPr>
          <w:rFonts w:ascii="Times New Roman" w:hAnsi="Times New Roman" w:cs="Times New Roman"/>
          <w:sz w:val="24"/>
          <w:szCs w:val="24"/>
          <w:lang w:val="sr-Cyrl-RS"/>
        </w:rPr>
        <w:t xml:space="preserve">50 милиона) које су потенцијални кандидати за излазак на тржиште капитала и искоришћење његових предности. </w:t>
      </w:r>
      <w:r w:rsidR="00E80384" w:rsidRPr="00B30084">
        <w:rPr>
          <w:rFonts w:ascii="Times New Roman" w:hAnsi="Times New Roman" w:cs="Times New Roman"/>
          <w:sz w:val="24"/>
          <w:szCs w:val="24"/>
          <w:lang w:val="sr-Cyrl-RS"/>
        </w:rPr>
        <w:t xml:space="preserve">Услед недостатка </w:t>
      </w:r>
      <w:proofErr w:type="spellStart"/>
      <w:r w:rsidR="00E80384" w:rsidRPr="00B30084">
        <w:rPr>
          <w:rFonts w:ascii="Times New Roman" w:hAnsi="Times New Roman" w:cs="Times New Roman"/>
          <w:sz w:val="24"/>
          <w:szCs w:val="24"/>
          <w:lang w:val="sr-Cyrl-RS"/>
        </w:rPr>
        <w:t>ентузијама</w:t>
      </w:r>
      <w:proofErr w:type="spellEnd"/>
      <w:r w:rsidR="00E80384" w:rsidRPr="00B30084">
        <w:rPr>
          <w:rFonts w:ascii="Times New Roman" w:hAnsi="Times New Roman" w:cs="Times New Roman"/>
          <w:sz w:val="24"/>
          <w:szCs w:val="24"/>
          <w:lang w:val="sr-Cyrl-RS"/>
        </w:rPr>
        <w:t>, исте се не одлучују за излазак на берзу.</w:t>
      </w:r>
    </w:p>
    <w:p w14:paraId="0D7BC3C5" w14:textId="4DB52CCE" w:rsidR="0052306D" w:rsidRPr="00B30084" w:rsidRDefault="0052306D" w:rsidP="00E50617">
      <w:pPr>
        <w:pStyle w:val="ListParagraph"/>
        <w:numPr>
          <w:ilvl w:val="0"/>
          <w:numId w:val="15"/>
        </w:num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u w:val="single"/>
          <w:lang w:val="sr-Cyrl-RS"/>
        </w:rPr>
        <w:t xml:space="preserve">Средња предузећа из реалног сектора. </w:t>
      </w:r>
      <w:r w:rsidRPr="00B30084">
        <w:rPr>
          <w:rFonts w:ascii="Times New Roman" w:hAnsi="Times New Roman" w:cs="Times New Roman"/>
          <w:sz w:val="24"/>
          <w:szCs w:val="24"/>
          <w:lang w:val="sr-Cyrl-RS"/>
        </w:rPr>
        <w:t>Такође постоји и велики број средњих предузећа, тј. са приходима између 10 и 50 милиона евра (РСД 1,17 до 5,8 милијарди) и бројем запослених између 50 и 250. Да ли су то кандидати за јавну понуду зависи од тога да ли је то трошковно рационално. Чак и у случајевима када није, њихове потребе за финансирањем обично сервисирају приватне инвестиционе компаније.</w:t>
      </w:r>
    </w:p>
    <w:p w14:paraId="471EF9DF" w14:textId="3DB2A8AC" w:rsidR="007969AD" w:rsidRPr="007969AD" w:rsidRDefault="0066511B" w:rsidP="008E2A52">
      <w:pPr>
        <w:spacing w:line="276" w:lineRule="auto"/>
        <w:ind w:left="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Довођење </w:t>
      </w:r>
      <w:r w:rsidR="003116F8" w:rsidRPr="00B30084">
        <w:rPr>
          <w:rFonts w:ascii="Times New Roman" w:hAnsi="Times New Roman" w:cs="Times New Roman"/>
          <w:sz w:val="24"/>
          <w:szCs w:val="24"/>
          <w:lang w:val="sr-Cyrl-RS"/>
        </w:rPr>
        <w:t xml:space="preserve">приватних </w:t>
      </w:r>
      <w:r w:rsidRPr="00B30084">
        <w:rPr>
          <w:rFonts w:ascii="Times New Roman" w:hAnsi="Times New Roman" w:cs="Times New Roman"/>
          <w:sz w:val="24"/>
          <w:szCs w:val="24"/>
          <w:lang w:val="sr-Cyrl-RS"/>
        </w:rPr>
        <w:t>предузећа</w:t>
      </w:r>
      <w:r w:rsidR="003116F8" w:rsidRPr="00B30084">
        <w:rPr>
          <w:rFonts w:ascii="Times New Roman" w:hAnsi="Times New Roman" w:cs="Times New Roman"/>
          <w:sz w:val="24"/>
          <w:szCs w:val="24"/>
          <w:lang w:val="sr-Cyrl-RS"/>
        </w:rPr>
        <w:t xml:space="preserve"> на тржиште </w:t>
      </w:r>
      <w:r w:rsidRPr="00B30084">
        <w:rPr>
          <w:rFonts w:ascii="Times New Roman" w:hAnsi="Times New Roman" w:cs="Times New Roman"/>
          <w:sz w:val="24"/>
          <w:szCs w:val="24"/>
          <w:lang w:val="sr-Cyrl-RS"/>
        </w:rPr>
        <w:t xml:space="preserve">капитала </w:t>
      </w:r>
      <w:r w:rsidR="003116F8" w:rsidRPr="00B30084">
        <w:rPr>
          <w:rFonts w:ascii="Times New Roman" w:hAnsi="Times New Roman" w:cs="Times New Roman"/>
          <w:sz w:val="24"/>
          <w:szCs w:val="24"/>
          <w:lang w:val="sr-Cyrl-RS"/>
        </w:rPr>
        <w:t xml:space="preserve">захтева процес образовања и </w:t>
      </w:r>
      <w:r w:rsidRPr="00B30084">
        <w:rPr>
          <w:rFonts w:ascii="Times New Roman" w:hAnsi="Times New Roman" w:cs="Times New Roman"/>
          <w:sz w:val="24"/>
          <w:szCs w:val="24"/>
          <w:lang w:val="sr-Cyrl-RS"/>
        </w:rPr>
        <w:t xml:space="preserve">у питању је </w:t>
      </w:r>
      <w:r w:rsidR="003116F8" w:rsidRPr="00B30084">
        <w:rPr>
          <w:rFonts w:ascii="Times New Roman" w:hAnsi="Times New Roman" w:cs="Times New Roman"/>
          <w:sz w:val="24"/>
          <w:szCs w:val="24"/>
          <w:lang w:val="sr-Cyrl-RS"/>
        </w:rPr>
        <w:t>дугорочни подухват. Требало би размотрити предлоге за подстица</w:t>
      </w:r>
      <w:r w:rsidR="00FB4FF6">
        <w:rPr>
          <w:rFonts w:ascii="Times New Roman" w:hAnsi="Times New Roman" w:cs="Times New Roman"/>
          <w:sz w:val="24"/>
          <w:szCs w:val="24"/>
          <w:lang w:val="sr-Cyrl-RS"/>
        </w:rPr>
        <w:t>је</w:t>
      </w:r>
      <w:r w:rsidR="003116F8" w:rsidRPr="00B30084">
        <w:rPr>
          <w:rFonts w:ascii="Times New Roman" w:hAnsi="Times New Roman" w:cs="Times New Roman"/>
          <w:sz w:val="24"/>
          <w:szCs w:val="24"/>
          <w:lang w:val="sr-Cyrl-RS"/>
        </w:rPr>
        <w:t>, али искуство показује да када субвенције истекну</w:t>
      </w:r>
      <w:r w:rsidR="00FB4FF6">
        <w:rPr>
          <w:rFonts w:ascii="Times New Roman" w:hAnsi="Times New Roman" w:cs="Times New Roman"/>
          <w:sz w:val="24"/>
          <w:szCs w:val="24"/>
          <w:lang w:val="sr-Cyrl-RS"/>
        </w:rPr>
        <w:t>,</w:t>
      </w:r>
      <w:r w:rsidR="003116F8" w:rsidRPr="00B30084">
        <w:rPr>
          <w:rFonts w:ascii="Times New Roman" w:hAnsi="Times New Roman" w:cs="Times New Roman"/>
          <w:sz w:val="24"/>
          <w:szCs w:val="24"/>
          <w:lang w:val="sr-Cyrl-RS"/>
        </w:rPr>
        <w:t xml:space="preserve"> корпоративно понашање </w:t>
      </w:r>
      <w:r w:rsidR="007969AD">
        <w:rPr>
          <w:rFonts w:ascii="Times New Roman" w:hAnsi="Times New Roman" w:cs="Times New Roman"/>
          <w:sz w:val="24"/>
          <w:szCs w:val="24"/>
          <w:lang w:val="sr-Cyrl-RS"/>
        </w:rPr>
        <w:t xml:space="preserve">се </w:t>
      </w:r>
      <w:r w:rsidR="003116F8" w:rsidRPr="00B30084">
        <w:rPr>
          <w:rFonts w:ascii="Times New Roman" w:hAnsi="Times New Roman" w:cs="Times New Roman"/>
          <w:sz w:val="24"/>
          <w:szCs w:val="24"/>
          <w:lang w:val="sr-Cyrl-RS"/>
        </w:rPr>
        <w:t xml:space="preserve">враћа у </w:t>
      </w:r>
      <w:r w:rsidRPr="00B30084">
        <w:rPr>
          <w:rFonts w:ascii="Times New Roman" w:hAnsi="Times New Roman" w:cs="Times New Roman"/>
          <w:sz w:val="24"/>
          <w:szCs w:val="24"/>
          <w:lang w:val="sr-Cyrl-RS"/>
        </w:rPr>
        <w:t xml:space="preserve">претходни </w:t>
      </w:r>
      <w:r w:rsidR="003116F8" w:rsidRPr="00B30084">
        <w:rPr>
          <w:rFonts w:ascii="Times New Roman" w:hAnsi="Times New Roman" w:cs="Times New Roman"/>
          <w:sz w:val="24"/>
          <w:szCs w:val="24"/>
          <w:lang w:val="sr-Cyrl-RS"/>
        </w:rPr>
        <w:t>статус.</w:t>
      </w:r>
      <w:r w:rsidR="008747E7">
        <w:rPr>
          <w:rFonts w:ascii="Times New Roman" w:hAnsi="Times New Roman" w:cs="Times New Roman"/>
          <w:sz w:val="24"/>
          <w:szCs w:val="24"/>
          <w:lang w:val="sr-Cyrl-RS"/>
        </w:rPr>
        <w:t xml:space="preserve"> </w:t>
      </w:r>
      <w:r w:rsidR="008747E7" w:rsidRPr="007969AD">
        <w:rPr>
          <w:rFonts w:ascii="Times New Roman" w:hAnsi="Times New Roman" w:cs="Times New Roman"/>
          <w:sz w:val="24"/>
          <w:szCs w:val="24"/>
          <w:lang w:val="sr-Cyrl-RS"/>
        </w:rPr>
        <w:t>С</w:t>
      </w:r>
      <w:r w:rsidR="008747E7">
        <w:rPr>
          <w:rFonts w:ascii="Times New Roman" w:hAnsi="Times New Roman" w:cs="Times New Roman"/>
          <w:sz w:val="24"/>
          <w:szCs w:val="24"/>
          <w:lang w:val="sr-Cyrl-RS"/>
        </w:rPr>
        <w:t xml:space="preserve"> </w:t>
      </w:r>
      <w:r w:rsidR="008747E7" w:rsidRPr="007969AD">
        <w:rPr>
          <w:rFonts w:ascii="Times New Roman" w:hAnsi="Times New Roman" w:cs="Times New Roman"/>
          <w:sz w:val="24"/>
          <w:szCs w:val="24"/>
          <w:lang w:val="sr-Cyrl-RS"/>
        </w:rPr>
        <w:t xml:space="preserve">обзиром да је одрицање од накнада један од предлога за промоцију </w:t>
      </w:r>
      <w:r w:rsidR="008747E7">
        <w:rPr>
          <w:rFonts w:ascii="Times New Roman" w:hAnsi="Times New Roman" w:cs="Times New Roman"/>
          <w:sz w:val="24"/>
          <w:szCs w:val="24"/>
          <w:lang w:val="sr-Cyrl-RS"/>
        </w:rPr>
        <w:t>јавне понуде</w:t>
      </w:r>
      <w:r w:rsidR="008747E7" w:rsidRPr="007969AD">
        <w:rPr>
          <w:rFonts w:ascii="Times New Roman" w:hAnsi="Times New Roman" w:cs="Times New Roman"/>
          <w:sz w:val="24"/>
          <w:szCs w:val="24"/>
          <w:lang w:val="sr-Cyrl-RS"/>
        </w:rPr>
        <w:t xml:space="preserve"> </w:t>
      </w:r>
      <w:r w:rsidR="008747E7">
        <w:rPr>
          <w:rFonts w:ascii="Times New Roman" w:hAnsi="Times New Roman" w:cs="Times New Roman"/>
          <w:sz w:val="24"/>
          <w:szCs w:val="24"/>
          <w:lang w:val="sr-Cyrl-RS"/>
        </w:rPr>
        <w:t xml:space="preserve">привредних друштава </w:t>
      </w:r>
      <w:r w:rsidR="008747E7" w:rsidRPr="007969AD">
        <w:rPr>
          <w:rFonts w:ascii="Times New Roman" w:hAnsi="Times New Roman" w:cs="Times New Roman"/>
          <w:sz w:val="24"/>
          <w:szCs w:val="24"/>
          <w:lang w:val="sr-Cyrl-RS"/>
        </w:rPr>
        <w:t>која</w:t>
      </w:r>
      <w:r w:rsidR="008747E7">
        <w:rPr>
          <w:rFonts w:ascii="Times New Roman" w:hAnsi="Times New Roman" w:cs="Times New Roman"/>
          <w:sz w:val="24"/>
          <w:szCs w:val="24"/>
          <w:lang w:val="sr-Cyrl-RS"/>
        </w:rPr>
        <w:t xml:space="preserve"> се укључују</w:t>
      </w:r>
      <w:r w:rsidR="008747E7" w:rsidRPr="007969AD">
        <w:rPr>
          <w:rFonts w:ascii="Times New Roman" w:hAnsi="Times New Roman" w:cs="Times New Roman"/>
          <w:sz w:val="24"/>
          <w:szCs w:val="24"/>
          <w:lang w:val="sr-Cyrl-RS"/>
        </w:rPr>
        <w:t xml:space="preserve"> на </w:t>
      </w:r>
      <w:r w:rsidR="008747E7">
        <w:rPr>
          <w:rFonts w:ascii="Times New Roman" w:hAnsi="Times New Roman" w:cs="Times New Roman"/>
          <w:sz w:val="24"/>
          <w:szCs w:val="24"/>
          <w:lang w:val="sr-Cyrl-RS"/>
        </w:rPr>
        <w:t>берзу</w:t>
      </w:r>
      <w:r w:rsidR="008747E7" w:rsidRPr="007969AD">
        <w:rPr>
          <w:rFonts w:ascii="Times New Roman" w:hAnsi="Times New Roman" w:cs="Times New Roman"/>
          <w:sz w:val="24"/>
          <w:szCs w:val="24"/>
          <w:lang w:val="sr-Cyrl-RS"/>
        </w:rPr>
        <w:t xml:space="preserve"> издава</w:t>
      </w:r>
      <w:r w:rsidR="008747E7">
        <w:rPr>
          <w:rFonts w:ascii="Times New Roman" w:hAnsi="Times New Roman" w:cs="Times New Roman"/>
          <w:sz w:val="24"/>
          <w:szCs w:val="24"/>
          <w:lang w:val="sr-Cyrl-RS"/>
        </w:rPr>
        <w:t>њем обичних</w:t>
      </w:r>
      <w:r w:rsidR="008747E7" w:rsidRPr="007969AD">
        <w:rPr>
          <w:rFonts w:ascii="Times New Roman" w:hAnsi="Times New Roman" w:cs="Times New Roman"/>
          <w:sz w:val="24"/>
          <w:szCs w:val="24"/>
          <w:lang w:val="sr-Cyrl-RS"/>
        </w:rPr>
        <w:t xml:space="preserve"> или повлашћен</w:t>
      </w:r>
      <w:r w:rsidR="008747E7">
        <w:rPr>
          <w:rFonts w:ascii="Times New Roman" w:hAnsi="Times New Roman" w:cs="Times New Roman"/>
          <w:sz w:val="24"/>
          <w:szCs w:val="24"/>
          <w:lang w:val="sr-Cyrl-RS"/>
        </w:rPr>
        <w:t>их акција</w:t>
      </w:r>
      <w:r w:rsidR="008747E7" w:rsidRPr="007969AD">
        <w:rPr>
          <w:rFonts w:ascii="Times New Roman" w:hAnsi="Times New Roman" w:cs="Times New Roman"/>
          <w:sz w:val="24"/>
          <w:szCs w:val="24"/>
          <w:lang w:val="sr-Cyrl-RS"/>
        </w:rPr>
        <w:t xml:space="preserve">, потребно је извршити корекцију </w:t>
      </w:r>
      <w:r w:rsidR="008747E7">
        <w:rPr>
          <w:rFonts w:ascii="Times New Roman" w:hAnsi="Times New Roman" w:cs="Times New Roman"/>
          <w:sz w:val="24"/>
          <w:szCs w:val="24"/>
          <w:lang w:val="sr-Cyrl-RS"/>
        </w:rPr>
        <w:t xml:space="preserve">свих </w:t>
      </w:r>
      <w:r w:rsidR="008747E7" w:rsidRPr="007969AD">
        <w:rPr>
          <w:rFonts w:ascii="Times New Roman" w:hAnsi="Times New Roman" w:cs="Times New Roman"/>
          <w:sz w:val="24"/>
          <w:szCs w:val="24"/>
          <w:lang w:val="sr-Cyrl-RS"/>
        </w:rPr>
        <w:t xml:space="preserve">трошкова </w:t>
      </w:r>
      <w:r w:rsidR="008747E7">
        <w:rPr>
          <w:rFonts w:ascii="Times New Roman" w:hAnsi="Times New Roman" w:cs="Times New Roman"/>
          <w:sz w:val="24"/>
          <w:szCs w:val="24"/>
          <w:lang w:val="sr-Cyrl-RS"/>
        </w:rPr>
        <w:t>који прате излазак на тржиште</w:t>
      </w:r>
      <w:r w:rsidR="008747E7" w:rsidRPr="007969AD">
        <w:rPr>
          <w:rFonts w:ascii="Times New Roman" w:hAnsi="Times New Roman" w:cs="Times New Roman"/>
          <w:sz w:val="24"/>
          <w:szCs w:val="24"/>
          <w:lang w:val="sr-Cyrl-RS"/>
        </w:rPr>
        <w:t xml:space="preserve">. </w:t>
      </w:r>
      <w:r w:rsidR="003116F8" w:rsidRPr="00B30084">
        <w:rPr>
          <w:rFonts w:ascii="Times New Roman" w:hAnsi="Times New Roman" w:cs="Times New Roman"/>
          <w:sz w:val="24"/>
          <w:szCs w:val="24"/>
          <w:lang w:val="sr-Cyrl-RS"/>
        </w:rPr>
        <w:t xml:space="preserve"> </w:t>
      </w:r>
    </w:p>
    <w:p w14:paraId="60120EB1" w14:textId="666D5D09" w:rsidR="0052306D" w:rsidRPr="008E2A52" w:rsidRDefault="0052306D" w:rsidP="008E2A52">
      <w:pPr>
        <w:pStyle w:val="ListParagraph"/>
        <w:numPr>
          <w:ilvl w:val="0"/>
          <w:numId w:val="15"/>
        </w:numPr>
        <w:spacing w:line="276" w:lineRule="auto"/>
        <w:jc w:val="both"/>
        <w:rPr>
          <w:rFonts w:ascii="Times New Roman" w:hAnsi="Times New Roman" w:cs="Times New Roman"/>
          <w:sz w:val="24"/>
          <w:szCs w:val="24"/>
          <w:lang w:val="sr-Cyrl-RS"/>
        </w:rPr>
      </w:pPr>
      <w:r w:rsidRPr="008E2A52">
        <w:rPr>
          <w:rFonts w:ascii="Times New Roman" w:hAnsi="Times New Roman" w:cs="Times New Roman"/>
          <w:sz w:val="24"/>
          <w:szCs w:val="24"/>
          <w:u w:val="single"/>
          <w:lang w:val="sr-Cyrl-RS"/>
        </w:rPr>
        <w:t xml:space="preserve">Предузећа из финансијског сектора. </w:t>
      </w:r>
      <w:r w:rsidRPr="008E2A52">
        <w:rPr>
          <w:rFonts w:ascii="Times New Roman" w:hAnsi="Times New Roman" w:cs="Times New Roman"/>
          <w:sz w:val="24"/>
          <w:szCs w:val="24"/>
          <w:lang w:val="sr-Cyrl-RS"/>
        </w:rPr>
        <w:t xml:space="preserve">Банке и лизинг компаније су наведене одвојено од компанија из реалног сектора, јер се природа њихових потреба за финансирањем разликује. Банке ће можда морати да </w:t>
      </w:r>
      <w:r w:rsidR="00514563" w:rsidRPr="008E2A52">
        <w:rPr>
          <w:rFonts w:ascii="Times New Roman" w:hAnsi="Times New Roman" w:cs="Times New Roman"/>
          <w:sz w:val="24"/>
          <w:szCs w:val="24"/>
          <w:lang w:val="sr-Cyrl-RS"/>
        </w:rPr>
        <w:t>издају хартије од вредности</w:t>
      </w:r>
      <w:r w:rsidRPr="008E2A52">
        <w:rPr>
          <w:rFonts w:ascii="Times New Roman" w:hAnsi="Times New Roman" w:cs="Times New Roman"/>
          <w:sz w:val="24"/>
          <w:szCs w:val="24"/>
          <w:lang w:val="sr-Cyrl-RS"/>
        </w:rPr>
        <w:t xml:space="preserve"> као што су покривене обвезнице и </w:t>
      </w:r>
      <w:proofErr w:type="spellStart"/>
      <w:r w:rsidRPr="008E2A52">
        <w:rPr>
          <w:rFonts w:ascii="Times New Roman" w:hAnsi="Times New Roman" w:cs="Times New Roman"/>
          <w:sz w:val="24"/>
          <w:szCs w:val="24"/>
          <w:lang w:val="sr-Cyrl-RS"/>
        </w:rPr>
        <w:t>секјуритизације</w:t>
      </w:r>
      <w:proofErr w:type="spellEnd"/>
      <w:r w:rsidRPr="008E2A52">
        <w:rPr>
          <w:rFonts w:ascii="Times New Roman" w:hAnsi="Times New Roman" w:cs="Times New Roman"/>
          <w:sz w:val="24"/>
          <w:szCs w:val="24"/>
          <w:lang w:val="sr-Cyrl-RS"/>
        </w:rPr>
        <w:t>.</w:t>
      </w:r>
    </w:p>
    <w:p w14:paraId="2FCA89FF" w14:textId="77777777" w:rsidR="0052306D" w:rsidRPr="00B30084" w:rsidRDefault="0052306D" w:rsidP="00E50617">
      <w:pPr>
        <w:pStyle w:val="ListParagraph"/>
        <w:numPr>
          <w:ilvl w:val="0"/>
          <w:numId w:val="15"/>
        </w:num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u w:val="single"/>
          <w:lang w:val="sr-Cyrl-RS"/>
        </w:rPr>
        <w:t>Влада Републике Србије.</w:t>
      </w:r>
      <w:r w:rsidRPr="00B30084">
        <w:rPr>
          <w:rFonts w:ascii="Times New Roman" w:hAnsi="Times New Roman" w:cs="Times New Roman"/>
          <w:sz w:val="24"/>
          <w:szCs w:val="24"/>
          <w:lang w:val="sr-Cyrl-RS"/>
        </w:rPr>
        <w:t xml:space="preserve"> У земљи је Министарство финансија највећи издавалац, са РСД 1,28 билиона (</w:t>
      </w:r>
      <w:r w:rsidRPr="00B30084">
        <w:rPr>
          <w:rFonts w:ascii="Times New Roman" w:hAnsi="Times New Roman" w:cs="Times New Roman"/>
          <w:color w:val="000000"/>
          <w:sz w:val="24"/>
          <w:szCs w:val="24"/>
          <w:lang w:val="sr-Cyrl-RS"/>
        </w:rPr>
        <w:t xml:space="preserve">€ </w:t>
      </w:r>
      <w:r w:rsidRPr="00B30084">
        <w:rPr>
          <w:rFonts w:ascii="Times New Roman" w:hAnsi="Times New Roman" w:cs="Times New Roman"/>
          <w:sz w:val="24"/>
          <w:szCs w:val="24"/>
          <w:lang w:val="sr-Cyrl-RS"/>
        </w:rPr>
        <w:t xml:space="preserve">10,9 милијарди) тржишних државних хартија од вредности које су у оптицају од краја 2019. </w:t>
      </w:r>
    </w:p>
    <w:p w14:paraId="081CD27B" w14:textId="60CB58F6" w:rsidR="0052306D" w:rsidRPr="00B30084" w:rsidRDefault="0052306D" w:rsidP="00E50617">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Главна карактеристика финансијског тржишта Србије јесте да је велика концентрација средстава у банкарском сектору, на шта указује и табела у прилогу:</w:t>
      </w:r>
    </w:p>
    <w:p w14:paraId="0999B3E3" w14:textId="7B5AB133" w:rsidR="00CE676A" w:rsidRPr="00B30084" w:rsidRDefault="00CE676A"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Табела </w:t>
      </w:r>
      <w:r w:rsidR="00BF3002" w:rsidRPr="00B30084">
        <w:rPr>
          <w:rFonts w:ascii="Times New Roman" w:hAnsi="Times New Roman" w:cs="Times New Roman"/>
          <w:sz w:val="24"/>
          <w:szCs w:val="24"/>
          <w:lang w:val="sr-Cyrl-RS"/>
        </w:rPr>
        <w:t>3</w:t>
      </w:r>
      <w:r w:rsidRPr="00B30084">
        <w:rPr>
          <w:rFonts w:ascii="Times New Roman" w:hAnsi="Times New Roman" w:cs="Times New Roman"/>
          <w:sz w:val="24"/>
          <w:szCs w:val="24"/>
          <w:lang w:val="sr-Cyrl-RS"/>
        </w:rPr>
        <w:t>. Структура финансијског сектора у Србији на крају 2019. године</w:t>
      </w:r>
    </w:p>
    <w:tbl>
      <w:tblPr>
        <w:tblW w:w="8360" w:type="dxa"/>
        <w:tblLook w:val="04A0" w:firstRow="1" w:lastRow="0" w:firstColumn="1" w:lastColumn="0" w:noHBand="0" w:noVBand="1"/>
      </w:tblPr>
      <w:tblGrid>
        <w:gridCol w:w="4850"/>
        <w:gridCol w:w="1260"/>
        <w:gridCol w:w="1350"/>
        <w:gridCol w:w="900"/>
      </w:tblGrid>
      <w:tr w:rsidR="0052306D" w:rsidRPr="00B30084" w14:paraId="6B18B009" w14:textId="77777777" w:rsidTr="00E92DE6">
        <w:trPr>
          <w:trHeight w:val="300"/>
        </w:trPr>
        <w:tc>
          <w:tcPr>
            <w:tcW w:w="8360" w:type="dxa"/>
            <w:gridSpan w:val="4"/>
            <w:tcBorders>
              <w:top w:val="single" w:sz="8" w:space="0" w:color="auto"/>
              <w:left w:val="single" w:sz="8" w:space="0" w:color="auto"/>
              <w:bottom w:val="single" w:sz="4" w:space="0" w:color="auto"/>
              <w:right w:val="single" w:sz="8" w:space="0" w:color="000000"/>
            </w:tcBorders>
            <w:shd w:val="clear" w:color="000000" w:fill="66CCFF"/>
            <w:noWrap/>
            <w:vAlign w:val="bottom"/>
            <w:hideMark/>
          </w:tcPr>
          <w:p w14:paraId="54C3802A"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Структура финансијског сектора у Србији 31.12.2019.</w:t>
            </w:r>
          </w:p>
        </w:tc>
      </w:tr>
      <w:tr w:rsidR="0052306D" w:rsidRPr="00B30084" w14:paraId="76BB517D" w14:textId="77777777" w:rsidTr="00E92DE6">
        <w:trPr>
          <w:trHeight w:val="300"/>
        </w:trPr>
        <w:tc>
          <w:tcPr>
            <w:tcW w:w="4850" w:type="dxa"/>
            <w:tcBorders>
              <w:top w:val="nil"/>
              <w:left w:val="single" w:sz="8" w:space="0" w:color="auto"/>
              <w:bottom w:val="single" w:sz="4" w:space="0" w:color="auto"/>
              <w:right w:val="single" w:sz="4" w:space="0" w:color="auto"/>
            </w:tcBorders>
            <w:shd w:val="clear" w:color="auto" w:fill="auto"/>
            <w:noWrap/>
            <w:vAlign w:val="bottom"/>
            <w:hideMark/>
          </w:tcPr>
          <w:p w14:paraId="2D262EE0"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E1068B"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РСД (млрд)</w:t>
            </w:r>
          </w:p>
        </w:tc>
        <w:tc>
          <w:tcPr>
            <w:tcW w:w="1350" w:type="dxa"/>
            <w:tcBorders>
              <w:top w:val="nil"/>
              <w:left w:val="nil"/>
              <w:bottom w:val="single" w:sz="4" w:space="0" w:color="auto"/>
              <w:right w:val="single" w:sz="4" w:space="0" w:color="auto"/>
            </w:tcBorders>
            <w:shd w:val="clear" w:color="auto" w:fill="auto"/>
            <w:noWrap/>
            <w:vAlign w:val="bottom"/>
            <w:hideMark/>
          </w:tcPr>
          <w:p w14:paraId="4FC4BAB1"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ЕУР (млрд)</w:t>
            </w:r>
          </w:p>
        </w:tc>
        <w:tc>
          <w:tcPr>
            <w:tcW w:w="900" w:type="dxa"/>
            <w:tcBorders>
              <w:top w:val="nil"/>
              <w:left w:val="nil"/>
              <w:bottom w:val="single" w:sz="4" w:space="0" w:color="auto"/>
              <w:right w:val="single" w:sz="8" w:space="0" w:color="auto"/>
            </w:tcBorders>
            <w:shd w:val="clear" w:color="auto" w:fill="auto"/>
            <w:noWrap/>
            <w:vAlign w:val="bottom"/>
            <w:hideMark/>
          </w:tcPr>
          <w:p w14:paraId="493AFAFB"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w:t>
            </w:r>
          </w:p>
        </w:tc>
      </w:tr>
      <w:tr w:rsidR="0052306D" w:rsidRPr="00B30084" w14:paraId="72E2D030" w14:textId="77777777" w:rsidTr="00E92DE6">
        <w:trPr>
          <w:trHeight w:val="300"/>
        </w:trPr>
        <w:tc>
          <w:tcPr>
            <w:tcW w:w="4850" w:type="dxa"/>
            <w:tcBorders>
              <w:top w:val="nil"/>
              <w:left w:val="single" w:sz="8" w:space="0" w:color="auto"/>
              <w:bottom w:val="single" w:sz="4" w:space="0" w:color="auto"/>
              <w:right w:val="single" w:sz="4" w:space="0" w:color="auto"/>
            </w:tcBorders>
            <w:shd w:val="clear" w:color="auto" w:fill="auto"/>
            <w:noWrap/>
            <w:vAlign w:val="bottom"/>
            <w:hideMark/>
          </w:tcPr>
          <w:p w14:paraId="0B320E3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Имовина банкарског сектора</w:t>
            </w:r>
          </w:p>
        </w:tc>
        <w:tc>
          <w:tcPr>
            <w:tcW w:w="1260" w:type="dxa"/>
            <w:tcBorders>
              <w:top w:val="nil"/>
              <w:left w:val="nil"/>
              <w:bottom w:val="single" w:sz="4" w:space="0" w:color="auto"/>
              <w:right w:val="single" w:sz="4" w:space="0" w:color="auto"/>
            </w:tcBorders>
            <w:shd w:val="clear" w:color="auto" w:fill="auto"/>
            <w:noWrap/>
            <w:vAlign w:val="bottom"/>
            <w:hideMark/>
          </w:tcPr>
          <w:p w14:paraId="1A590E4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4082.13</w:t>
            </w:r>
          </w:p>
        </w:tc>
        <w:tc>
          <w:tcPr>
            <w:tcW w:w="1350" w:type="dxa"/>
            <w:tcBorders>
              <w:top w:val="nil"/>
              <w:left w:val="nil"/>
              <w:bottom w:val="single" w:sz="4" w:space="0" w:color="auto"/>
              <w:right w:val="single" w:sz="4" w:space="0" w:color="auto"/>
            </w:tcBorders>
            <w:shd w:val="clear" w:color="auto" w:fill="auto"/>
            <w:noWrap/>
            <w:vAlign w:val="bottom"/>
            <w:hideMark/>
          </w:tcPr>
          <w:p w14:paraId="65869F80"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34.71</w:t>
            </w:r>
          </w:p>
        </w:tc>
        <w:tc>
          <w:tcPr>
            <w:tcW w:w="900" w:type="dxa"/>
            <w:tcBorders>
              <w:top w:val="nil"/>
              <w:left w:val="nil"/>
              <w:bottom w:val="single" w:sz="4" w:space="0" w:color="auto"/>
              <w:right w:val="single" w:sz="8" w:space="0" w:color="auto"/>
            </w:tcBorders>
            <w:shd w:val="clear" w:color="auto" w:fill="auto"/>
            <w:noWrap/>
            <w:vAlign w:val="bottom"/>
            <w:hideMark/>
          </w:tcPr>
          <w:p w14:paraId="78A1D12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79.81</w:t>
            </w:r>
          </w:p>
        </w:tc>
      </w:tr>
      <w:tr w:rsidR="0052306D" w:rsidRPr="00B30084" w14:paraId="681AE849" w14:textId="77777777" w:rsidTr="00E92DE6">
        <w:trPr>
          <w:trHeight w:val="300"/>
        </w:trPr>
        <w:tc>
          <w:tcPr>
            <w:tcW w:w="4850" w:type="dxa"/>
            <w:tcBorders>
              <w:top w:val="nil"/>
              <w:left w:val="single" w:sz="8" w:space="0" w:color="auto"/>
              <w:bottom w:val="single" w:sz="4" w:space="0" w:color="auto"/>
              <w:right w:val="single" w:sz="4" w:space="0" w:color="auto"/>
            </w:tcBorders>
            <w:shd w:val="clear" w:color="auto" w:fill="auto"/>
            <w:noWrap/>
            <w:vAlign w:val="bottom"/>
            <w:hideMark/>
          </w:tcPr>
          <w:p w14:paraId="0259B2A9"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Тржишна капитализација берзе</w:t>
            </w:r>
          </w:p>
        </w:tc>
        <w:tc>
          <w:tcPr>
            <w:tcW w:w="1260" w:type="dxa"/>
            <w:tcBorders>
              <w:top w:val="nil"/>
              <w:left w:val="nil"/>
              <w:bottom w:val="single" w:sz="4" w:space="0" w:color="auto"/>
              <w:right w:val="single" w:sz="4" w:space="0" w:color="auto"/>
            </w:tcBorders>
            <w:shd w:val="clear" w:color="auto" w:fill="auto"/>
            <w:noWrap/>
            <w:vAlign w:val="bottom"/>
            <w:hideMark/>
          </w:tcPr>
          <w:p w14:paraId="46279C31"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569.65</w:t>
            </w:r>
          </w:p>
        </w:tc>
        <w:tc>
          <w:tcPr>
            <w:tcW w:w="1350" w:type="dxa"/>
            <w:tcBorders>
              <w:top w:val="nil"/>
              <w:left w:val="nil"/>
              <w:bottom w:val="single" w:sz="4" w:space="0" w:color="auto"/>
              <w:right w:val="single" w:sz="4" w:space="0" w:color="auto"/>
            </w:tcBorders>
            <w:shd w:val="clear" w:color="auto" w:fill="auto"/>
            <w:noWrap/>
            <w:vAlign w:val="bottom"/>
            <w:hideMark/>
          </w:tcPr>
          <w:p w14:paraId="789FD060"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4.84</w:t>
            </w:r>
          </w:p>
        </w:tc>
        <w:tc>
          <w:tcPr>
            <w:tcW w:w="900" w:type="dxa"/>
            <w:tcBorders>
              <w:top w:val="nil"/>
              <w:left w:val="nil"/>
              <w:bottom w:val="single" w:sz="4" w:space="0" w:color="auto"/>
              <w:right w:val="single" w:sz="8" w:space="0" w:color="auto"/>
            </w:tcBorders>
            <w:shd w:val="clear" w:color="auto" w:fill="auto"/>
            <w:noWrap/>
            <w:vAlign w:val="bottom"/>
            <w:hideMark/>
          </w:tcPr>
          <w:p w14:paraId="2609FC2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11.14</w:t>
            </w:r>
          </w:p>
        </w:tc>
      </w:tr>
      <w:tr w:rsidR="0052306D" w:rsidRPr="00B30084" w14:paraId="4CC541C7" w14:textId="77777777" w:rsidTr="00E92DE6">
        <w:trPr>
          <w:trHeight w:val="300"/>
        </w:trPr>
        <w:tc>
          <w:tcPr>
            <w:tcW w:w="4850" w:type="dxa"/>
            <w:tcBorders>
              <w:top w:val="nil"/>
              <w:left w:val="single" w:sz="8" w:space="0" w:color="auto"/>
              <w:bottom w:val="single" w:sz="4" w:space="0" w:color="auto"/>
              <w:right w:val="single" w:sz="4" w:space="0" w:color="auto"/>
            </w:tcBorders>
            <w:shd w:val="clear" w:color="auto" w:fill="auto"/>
            <w:noWrap/>
            <w:vAlign w:val="bottom"/>
            <w:hideMark/>
          </w:tcPr>
          <w:p w14:paraId="6B4E3858"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xml:space="preserve">Имовина животног осигурања </w:t>
            </w:r>
          </w:p>
        </w:tc>
        <w:tc>
          <w:tcPr>
            <w:tcW w:w="1260" w:type="dxa"/>
            <w:tcBorders>
              <w:top w:val="nil"/>
              <w:left w:val="nil"/>
              <w:bottom w:val="single" w:sz="4" w:space="0" w:color="auto"/>
              <w:right w:val="single" w:sz="4" w:space="0" w:color="auto"/>
            </w:tcBorders>
            <w:shd w:val="clear" w:color="auto" w:fill="auto"/>
            <w:noWrap/>
            <w:vAlign w:val="bottom"/>
            <w:hideMark/>
          </w:tcPr>
          <w:p w14:paraId="32D48387"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19</w:t>
            </w:r>
          </w:p>
        </w:tc>
        <w:tc>
          <w:tcPr>
            <w:tcW w:w="1350" w:type="dxa"/>
            <w:tcBorders>
              <w:top w:val="nil"/>
              <w:left w:val="nil"/>
              <w:bottom w:val="single" w:sz="4" w:space="0" w:color="auto"/>
              <w:right w:val="single" w:sz="4" w:space="0" w:color="auto"/>
            </w:tcBorders>
            <w:shd w:val="clear" w:color="auto" w:fill="auto"/>
            <w:noWrap/>
            <w:vAlign w:val="bottom"/>
            <w:hideMark/>
          </w:tcPr>
          <w:p w14:paraId="1DC699C0"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0.16</w:t>
            </w:r>
          </w:p>
        </w:tc>
        <w:tc>
          <w:tcPr>
            <w:tcW w:w="900" w:type="dxa"/>
            <w:tcBorders>
              <w:top w:val="nil"/>
              <w:left w:val="nil"/>
              <w:bottom w:val="single" w:sz="4" w:space="0" w:color="auto"/>
              <w:right w:val="single" w:sz="8" w:space="0" w:color="auto"/>
            </w:tcBorders>
            <w:shd w:val="clear" w:color="auto" w:fill="auto"/>
            <w:noWrap/>
            <w:vAlign w:val="bottom"/>
            <w:hideMark/>
          </w:tcPr>
          <w:p w14:paraId="67052E11"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0.37</w:t>
            </w:r>
          </w:p>
        </w:tc>
      </w:tr>
      <w:tr w:rsidR="0052306D" w:rsidRPr="00B30084" w14:paraId="48758D8E" w14:textId="77777777" w:rsidTr="00E92DE6">
        <w:trPr>
          <w:trHeight w:val="300"/>
        </w:trPr>
        <w:tc>
          <w:tcPr>
            <w:tcW w:w="4850" w:type="dxa"/>
            <w:tcBorders>
              <w:top w:val="nil"/>
              <w:left w:val="single" w:sz="8" w:space="0" w:color="auto"/>
              <w:bottom w:val="single" w:sz="4" w:space="0" w:color="auto"/>
              <w:right w:val="single" w:sz="4" w:space="0" w:color="auto"/>
            </w:tcBorders>
            <w:shd w:val="clear" w:color="auto" w:fill="auto"/>
            <w:noWrap/>
            <w:vAlign w:val="bottom"/>
            <w:hideMark/>
          </w:tcPr>
          <w:p w14:paraId="467955F2"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Имовина  осигурања имовине и осигурања од несрећа</w:t>
            </w:r>
          </w:p>
        </w:tc>
        <w:tc>
          <w:tcPr>
            <w:tcW w:w="1260" w:type="dxa"/>
            <w:tcBorders>
              <w:top w:val="nil"/>
              <w:left w:val="nil"/>
              <w:bottom w:val="single" w:sz="4" w:space="0" w:color="auto"/>
              <w:right w:val="single" w:sz="4" w:space="0" w:color="auto"/>
            </w:tcBorders>
            <w:shd w:val="clear" w:color="auto" w:fill="auto"/>
            <w:noWrap/>
            <w:vAlign w:val="bottom"/>
            <w:hideMark/>
          </w:tcPr>
          <w:p w14:paraId="37E2F8E9"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256.15</w:t>
            </w:r>
          </w:p>
        </w:tc>
        <w:tc>
          <w:tcPr>
            <w:tcW w:w="1350" w:type="dxa"/>
            <w:tcBorders>
              <w:top w:val="nil"/>
              <w:left w:val="nil"/>
              <w:bottom w:val="single" w:sz="4" w:space="0" w:color="auto"/>
              <w:right w:val="single" w:sz="4" w:space="0" w:color="auto"/>
            </w:tcBorders>
            <w:shd w:val="clear" w:color="auto" w:fill="auto"/>
            <w:noWrap/>
            <w:vAlign w:val="bottom"/>
            <w:hideMark/>
          </w:tcPr>
          <w:p w14:paraId="1973CDE0"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2.18</w:t>
            </w:r>
          </w:p>
        </w:tc>
        <w:tc>
          <w:tcPr>
            <w:tcW w:w="900" w:type="dxa"/>
            <w:tcBorders>
              <w:top w:val="nil"/>
              <w:left w:val="nil"/>
              <w:bottom w:val="single" w:sz="4" w:space="0" w:color="auto"/>
              <w:right w:val="single" w:sz="8" w:space="0" w:color="auto"/>
            </w:tcBorders>
            <w:shd w:val="clear" w:color="auto" w:fill="auto"/>
            <w:noWrap/>
            <w:vAlign w:val="bottom"/>
            <w:hideMark/>
          </w:tcPr>
          <w:p w14:paraId="0AADCBF1"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5.01</w:t>
            </w:r>
          </w:p>
        </w:tc>
      </w:tr>
      <w:tr w:rsidR="0052306D" w:rsidRPr="00B30084" w14:paraId="1E8ACF93" w14:textId="77777777" w:rsidTr="00E92DE6">
        <w:trPr>
          <w:trHeight w:val="300"/>
        </w:trPr>
        <w:tc>
          <w:tcPr>
            <w:tcW w:w="4850" w:type="dxa"/>
            <w:tcBorders>
              <w:top w:val="nil"/>
              <w:left w:val="single" w:sz="8" w:space="0" w:color="auto"/>
              <w:bottom w:val="single" w:sz="4" w:space="0" w:color="auto"/>
              <w:right w:val="single" w:sz="4" w:space="0" w:color="auto"/>
            </w:tcBorders>
            <w:shd w:val="clear" w:color="auto" w:fill="auto"/>
            <w:noWrap/>
            <w:vAlign w:val="bottom"/>
            <w:hideMark/>
          </w:tcPr>
          <w:p w14:paraId="60C4527B" w14:textId="07AB00DF" w:rsidR="0052306D" w:rsidRPr="00B30084" w:rsidRDefault="0052306D" w:rsidP="008E2A52">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xml:space="preserve">Имовина </w:t>
            </w:r>
            <w:r w:rsidR="008E2A52">
              <w:rPr>
                <w:rFonts w:ascii="Times New Roman" w:eastAsia="Times New Roman" w:hAnsi="Times New Roman" w:cs="Times New Roman"/>
                <w:color w:val="000000"/>
                <w:sz w:val="24"/>
                <w:szCs w:val="24"/>
                <w:lang w:val="sr-Cyrl-RS"/>
              </w:rPr>
              <w:t xml:space="preserve">добровољних </w:t>
            </w:r>
            <w:r w:rsidRPr="00B30084">
              <w:rPr>
                <w:rFonts w:ascii="Times New Roman" w:eastAsia="Times New Roman" w:hAnsi="Times New Roman" w:cs="Times New Roman"/>
                <w:color w:val="000000"/>
                <w:sz w:val="24"/>
                <w:szCs w:val="24"/>
                <w:lang w:val="sr-Cyrl-RS"/>
              </w:rPr>
              <w:t>пензи</w:t>
            </w:r>
            <w:r w:rsidR="008E2A52">
              <w:rPr>
                <w:rFonts w:ascii="Times New Roman" w:eastAsia="Times New Roman" w:hAnsi="Times New Roman" w:cs="Times New Roman"/>
                <w:color w:val="000000"/>
                <w:sz w:val="24"/>
                <w:szCs w:val="24"/>
                <w:lang w:val="sr-Cyrl-RS"/>
              </w:rPr>
              <w:t>јских</w:t>
            </w:r>
            <w:r w:rsidRPr="00B30084">
              <w:rPr>
                <w:rFonts w:ascii="Times New Roman" w:eastAsia="Times New Roman" w:hAnsi="Times New Roman" w:cs="Times New Roman"/>
                <w:color w:val="000000"/>
                <w:sz w:val="24"/>
                <w:szCs w:val="24"/>
                <w:lang w:val="sr-Cyrl-RS"/>
              </w:rPr>
              <w:t xml:space="preserve"> фондова</w:t>
            </w:r>
          </w:p>
        </w:tc>
        <w:tc>
          <w:tcPr>
            <w:tcW w:w="1260" w:type="dxa"/>
            <w:tcBorders>
              <w:top w:val="nil"/>
              <w:left w:val="nil"/>
              <w:bottom w:val="single" w:sz="4" w:space="0" w:color="auto"/>
              <w:right w:val="single" w:sz="4" w:space="0" w:color="auto"/>
            </w:tcBorders>
            <w:shd w:val="clear" w:color="auto" w:fill="auto"/>
            <w:noWrap/>
            <w:vAlign w:val="bottom"/>
            <w:hideMark/>
          </w:tcPr>
          <w:p w14:paraId="669D26FA"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40.32</w:t>
            </w:r>
          </w:p>
        </w:tc>
        <w:tc>
          <w:tcPr>
            <w:tcW w:w="1350" w:type="dxa"/>
            <w:tcBorders>
              <w:top w:val="nil"/>
              <w:left w:val="nil"/>
              <w:bottom w:val="single" w:sz="4" w:space="0" w:color="auto"/>
              <w:right w:val="single" w:sz="4" w:space="0" w:color="auto"/>
            </w:tcBorders>
            <w:shd w:val="clear" w:color="auto" w:fill="auto"/>
            <w:noWrap/>
            <w:vAlign w:val="bottom"/>
            <w:hideMark/>
          </w:tcPr>
          <w:p w14:paraId="35ED2D0C"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0.34</w:t>
            </w:r>
          </w:p>
        </w:tc>
        <w:tc>
          <w:tcPr>
            <w:tcW w:w="900" w:type="dxa"/>
            <w:tcBorders>
              <w:top w:val="nil"/>
              <w:left w:val="nil"/>
              <w:bottom w:val="single" w:sz="4" w:space="0" w:color="auto"/>
              <w:right w:val="single" w:sz="8" w:space="0" w:color="auto"/>
            </w:tcBorders>
            <w:shd w:val="clear" w:color="auto" w:fill="auto"/>
            <w:noWrap/>
            <w:vAlign w:val="bottom"/>
            <w:hideMark/>
          </w:tcPr>
          <w:p w14:paraId="66E5F23C"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0.79</w:t>
            </w:r>
          </w:p>
        </w:tc>
      </w:tr>
      <w:tr w:rsidR="0052306D" w:rsidRPr="00B30084" w14:paraId="241B8995" w14:textId="77777777" w:rsidTr="00E92DE6">
        <w:trPr>
          <w:trHeight w:val="300"/>
        </w:trPr>
        <w:tc>
          <w:tcPr>
            <w:tcW w:w="4850" w:type="dxa"/>
            <w:tcBorders>
              <w:top w:val="nil"/>
              <w:left w:val="single" w:sz="8" w:space="0" w:color="auto"/>
              <w:bottom w:val="single" w:sz="4" w:space="0" w:color="auto"/>
              <w:right w:val="single" w:sz="4" w:space="0" w:color="auto"/>
            </w:tcBorders>
            <w:shd w:val="clear" w:color="auto" w:fill="auto"/>
            <w:noWrap/>
            <w:vAlign w:val="bottom"/>
            <w:hideMark/>
          </w:tcPr>
          <w:p w14:paraId="4E4A03D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Имовина инвестиционих фондова</w:t>
            </w:r>
          </w:p>
        </w:tc>
        <w:tc>
          <w:tcPr>
            <w:tcW w:w="1260" w:type="dxa"/>
            <w:tcBorders>
              <w:top w:val="nil"/>
              <w:left w:val="nil"/>
              <w:bottom w:val="single" w:sz="4" w:space="0" w:color="auto"/>
              <w:right w:val="single" w:sz="4" w:space="0" w:color="auto"/>
            </w:tcBorders>
            <w:shd w:val="clear" w:color="auto" w:fill="auto"/>
            <w:noWrap/>
            <w:vAlign w:val="bottom"/>
            <w:hideMark/>
          </w:tcPr>
          <w:p w14:paraId="0881DC8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44.46</w:t>
            </w:r>
          </w:p>
        </w:tc>
        <w:tc>
          <w:tcPr>
            <w:tcW w:w="1350" w:type="dxa"/>
            <w:tcBorders>
              <w:top w:val="nil"/>
              <w:left w:val="nil"/>
              <w:bottom w:val="single" w:sz="4" w:space="0" w:color="auto"/>
              <w:right w:val="single" w:sz="4" w:space="0" w:color="auto"/>
            </w:tcBorders>
            <w:shd w:val="clear" w:color="auto" w:fill="auto"/>
            <w:noWrap/>
            <w:vAlign w:val="bottom"/>
            <w:hideMark/>
          </w:tcPr>
          <w:p w14:paraId="78F5A17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0.38</w:t>
            </w:r>
          </w:p>
        </w:tc>
        <w:tc>
          <w:tcPr>
            <w:tcW w:w="900" w:type="dxa"/>
            <w:tcBorders>
              <w:top w:val="nil"/>
              <w:left w:val="nil"/>
              <w:bottom w:val="single" w:sz="4" w:space="0" w:color="auto"/>
              <w:right w:val="single" w:sz="8" w:space="0" w:color="auto"/>
            </w:tcBorders>
            <w:shd w:val="clear" w:color="auto" w:fill="auto"/>
            <w:noWrap/>
            <w:vAlign w:val="bottom"/>
            <w:hideMark/>
          </w:tcPr>
          <w:p w14:paraId="02417469"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0.87</w:t>
            </w:r>
          </w:p>
        </w:tc>
      </w:tr>
      <w:tr w:rsidR="0052306D" w:rsidRPr="00B30084" w14:paraId="4F5B8BFD" w14:textId="77777777" w:rsidTr="00E92DE6">
        <w:trPr>
          <w:trHeight w:val="300"/>
        </w:trPr>
        <w:tc>
          <w:tcPr>
            <w:tcW w:w="4850" w:type="dxa"/>
            <w:tcBorders>
              <w:top w:val="nil"/>
              <w:left w:val="single" w:sz="8" w:space="0" w:color="auto"/>
              <w:bottom w:val="single" w:sz="4" w:space="0" w:color="auto"/>
              <w:right w:val="single" w:sz="4" w:space="0" w:color="auto"/>
            </w:tcBorders>
            <w:shd w:val="clear" w:color="auto" w:fill="auto"/>
            <w:noWrap/>
            <w:vAlign w:val="bottom"/>
            <w:hideMark/>
          </w:tcPr>
          <w:p w14:paraId="4F79DDC4"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Имовина лизинг компанија</w:t>
            </w:r>
          </w:p>
        </w:tc>
        <w:tc>
          <w:tcPr>
            <w:tcW w:w="1260" w:type="dxa"/>
            <w:tcBorders>
              <w:top w:val="nil"/>
              <w:left w:val="nil"/>
              <w:bottom w:val="single" w:sz="4" w:space="0" w:color="auto"/>
              <w:right w:val="single" w:sz="4" w:space="0" w:color="auto"/>
            </w:tcBorders>
            <w:shd w:val="clear" w:color="auto" w:fill="auto"/>
            <w:noWrap/>
            <w:vAlign w:val="bottom"/>
            <w:hideMark/>
          </w:tcPr>
          <w:p w14:paraId="113D815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102.91</w:t>
            </w:r>
          </w:p>
        </w:tc>
        <w:tc>
          <w:tcPr>
            <w:tcW w:w="1350" w:type="dxa"/>
            <w:tcBorders>
              <w:top w:val="nil"/>
              <w:left w:val="nil"/>
              <w:bottom w:val="single" w:sz="4" w:space="0" w:color="auto"/>
              <w:right w:val="single" w:sz="4" w:space="0" w:color="auto"/>
            </w:tcBorders>
            <w:shd w:val="clear" w:color="auto" w:fill="auto"/>
            <w:noWrap/>
            <w:vAlign w:val="bottom"/>
            <w:hideMark/>
          </w:tcPr>
          <w:p w14:paraId="7F98D2D4"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0.88</w:t>
            </w:r>
          </w:p>
        </w:tc>
        <w:tc>
          <w:tcPr>
            <w:tcW w:w="900" w:type="dxa"/>
            <w:tcBorders>
              <w:top w:val="nil"/>
              <w:left w:val="nil"/>
              <w:bottom w:val="single" w:sz="4" w:space="0" w:color="auto"/>
              <w:right w:val="single" w:sz="8" w:space="0" w:color="auto"/>
            </w:tcBorders>
            <w:shd w:val="clear" w:color="auto" w:fill="auto"/>
            <w:noWrap/>
            <w:vAlign w:val="bottom"/>
            <w:hideMark/>
          </w:tcPr>
          <w:p w14:paraId="24DD0D7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2.01</w:t>
            </w:r>
          </w:p>
        </w:tc>
      </w:tr>
      <w:tr w:rsidR="0052306D" w:rsidRPr="00B30084" w14:paraId="5B01C129" w14:textId="77777777" w:rsidTr="00E92DE6">
        <w:trPr>
          <w:trHeight w:val="315"/>
        </w:trPr>
        <w:tc>
          <w:tcPr>
            <w:tcW w:w="4850" w:type="dxa"/>
            <w:tcBorders>
              <w:top w:val="nil"/>
              <w:left w:val="single" w:sz="8" w:space="0" w:color="auto"/>
              <w:bottom w:val="single" w:sz="8" w:space="0" w:color="auto"/>
              <w:right w:val="single" w:sz="4" w:space="0" w:color="auto"/>
            </w:tcBorders>
            <w:shd w:val="clear" w:color="000000" w:fill="66CCFF"/>
            <w:noWrap/>
            <w:vAlign w:val="bottom"/>
            <w:hideMark/>
          </w:tcPr>
          <w:p w14:paraId="0616545C"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w:t>
            </w:r>
          </w:p>
        </w:tc>
        <w:tc>
          <w:tcPr>
            <w:tcW w:w="1260" w:type="dxa"/>
            <w:tcBorders>
              <w:top w:val="nil"/>
              <w:left w:val="nil"/>
              <w:bottom w:val="single" w:sz="8" w:space="0" w:color="auto"/>
              <w:right w:val="single" w:sz="4" w:space="0" w:color="auto"/>
            </w:tcBorders>
            <w:shd w:val="clear" w:color="000000" w:fill="66CCFF"/>
            <w:noWrap/>
            <w:vAlign w:val="bottom"/>
            <w:hideMark/>
          </w:tcPr>
          <w:p w14:paraId="21AF1308"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5114.62</w:t>
            </w:r>
          </w:p>
        </w:tc>
        <w:tc>
          <w:tcPr>
            <w:tcW w:w="1350" w:type="dxa"/>
            <w:tcBorders>
              <w:top w:val="nil"/>
              <w:left w:val="nil"/>
              <w:bottom w:val="single" w:sz="8" w:space="0" w:color="auto"/>
              <w:right w:val="single" w:sz="4" w:space="0" w:color="auto"/>
            </w:tcBorders>
            <w:shd w:val="clear" w:color="000000" w:fill="66CCFF"/>
            <w:noWrap/>
            <w:vAlign w:val="bottom"/>
            <w:hideMark/>
          </w:tcPr>
          <w:p w14:paraId="5479E9E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43.49</w:t>
            </w:r>
          </w:p>
        </w:tc>
        <w:tc>
          <w:tcPr>
            <w:tcW w:w="900" w:type="dxa"/>
            <w:tcBorders>
              <w:top w:val="nil"/>
              <w:left w:val="nil"/>
              <w:bottom w:val="single" w:sz="8" w:space="0" w:color="auto"/>
              <w:right w:val="single" w:sz="8" w:space="0" w:color="auto"/>
            </w:tcBorders>
            <w:shd w:val="clear" w:color="000000" w:fill="66CCFF"/>
            <w:noWrap/>
            <w:vAlign w:val="bottom"/>
            <w:hideMark/>
          </w:tcPr>
          <w:p w14:paraId="64102900"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100</w:t>
            </w:r>
          </w:p>
        </w:tc>
      </w:tr>
    </w:tbl>
    <w:p w14:paraId="6D5C2BC4" w14:textId="5198DC50" w:rsidR="0052306D" w:rsidRPr="00B30084" w:rsidRDefault="0052306D"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Извор: </w:t>
      </w:r>
      <w:hyperlink r:id="rId11" w:history="1">
        <w:r w:rsidR="00157CD1" w:rsidRPr="00B30084">
          <w:rPr>
            <w:rStyle w:val="Hyperlink"/>
            <w:rFonts w:ascii="Times New Roman" w:hAnsi="Times New Roman" w:cs="Times New Roman"/>
            <w:sz w:val="24"/>
            <w:szCs w:val="24"/>
            <w:lang w:val="sr-Cyrl-RS"/>
          </w:rPr>
          <w:t>www.belex.rs</w:t>
        </w:r>
      </w:hyperlink>
      <w:r w:rsidR="00157CD1" w:rsidRPr="00B30084">
        <w:rPr>
          <w:rFonts w:ascii="Times New Roman" w:hAnsi="Times New Roman" w:cs="Times New Roman"/>
          <w:sz w:val="24"/>
          <w:szCs w:val="24"/>
          <w:lang w:val="sr-Cyrl-RS"/>
        </w:rPr>
        <w:t xml:space="preserve">, </w:t>
      </w:r>
      <w:hyperlink r:id="rId12" w:history="1">
        <w:r w:rsidR="00157CD1" w:rsidRPr="00B30084">
          <w:rPr>
            <w:rStyle w:val="Hyperlink"/>
            <w:rFonts w:ascii="Times New Roman" w:hAnsi="Times New Roman" w:cs="Times New Roman"/>
            <w:sz w:val="24"/>
            <w:szCs w:val="24"/>
            <w:lang w:val="sr-Cyrl-RS"/>
          </w:rPr>
          <w:t>www.nbs.rs</w:t>
        </w:r>
      </w:hyperlink>
      <w:r w:rsidR="00157CD1" w:rsidRPr="00B30084">
        <w:rPr>
          <w:rFonts w:ascii="Times New Roman" w:hAnsi="Times New Roman" w:cs="Times New Roman"/>
          <w:sz w:val="24"/>
          <w:szCs w:val="24"/>
          <w:lang w:val="sr-Cyrl-RS"/>
        </w:rPr>
        <w:t xml:space="preserve"> </w:t>
      </w:r>
    </w:p>
    <w:p w14:paraId="0407F14C" w14:textId="5E11066A" w:rsidR="0052306D" w:rsidRPr="00B30084" w:rsidRDefault="00133BAC"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Долазимо до закључка </w:t>
      </w:r>
      <w:r w:rsidR="0052306D" w:rsidRPr="00B30084">
        <w:rPr>
          <w:rFonts w:ascii="Times New Roman" w:hAnsi="Times New Roman" w:cs="Times New Roman"/>
          <w:sz w:val="24"/>
          <w:szCs w:val="24"/>
          <w:lang w:val="sr-Cyrl-RS"/>
        </w:rPr>
        <w:t>да се већина имовине потенцијалних инвеститора налази у облику депозита код банака. У корист овој тврдњи иде и доле приложена табела:</w:t>
      </w:r>
    </w:p>
    <w:p w14:paraId="5B8AA57B" w14:textId="0E26229C" w:rsidR="00157CD1" w:rsidRPr="00B30084" w:rsidRDefault="00157CD1"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Табела </w:t>
      </w:r>
      <w:r w:rsidR="00BF3002" w:rsidRPr="00B30084">
        <w:rPr>
          <w:rFonts w:ascii="Times New Roman" w:hAnsi="Times New Roman" w:cs="Times New Roman"/>
          <w:sz w:val="24"/>
          <w:szCs w:val="24"/>
          <w:lang w:val="sr-Cyrl-RS"/>
        </w:rPr>
        <w:t>4</w:t>
      </w:r>
      <w:r w:rsidRPr="00B30084">
        <w:rPr>
          <w:rFonts w:ascii="Times New Roman" w:hAnsi="Times New Roman" w:cs="Times New Roman"/>
          <w:sz w:val="24"/>
          <w:szCs w:val="24"/>
          <w:lang w:val="sr-Cyrl-RS"/>
        </w:rPr>
        <w:t xml:space="preserve">. Алокација средстава инвеститора на крају 2019. године </w:t>
      </w:r>
    </w:p>
    <w:tbl>
      <w:tblPr>
        <w:tblW w:w="8869" w:type="dxa"/>
        <w:tblLook w:val="04A0" w:firstRow="1" w:lastRow="0" w:firstColumn="1" w:lastColumn="0" w:noHBand="0" w:noVBand="1"/>
      </w:tblPr>
      <w:tblGrid>
        <w:gridCol w:w="5725"/>
        <w:gridCol w:w="1209"/>
        <w:gridCol w:w="1169"/>
        <w:gridCol w:w="876"/>
      </w:tblGrid>
      <w:tr w:rsidR="0052306D" w:rsidRPr="00B30084" w14:paraId="5B43A007" w14:textId="77777777" w:rsidTr="00290D43">
        <w:trPr>
          <w:trHeight w:val="300"/>
        </w:trPr>
        <w:tc>
          <w:tcPr>
            <w:tcW w:w="8869" w:type="dxa"/>
            <w:gridSpan w:val="4"/>
            <w:tcBorders>
              <w:top w:val="single" w:sz="8" w:space="0" w:color="auto"/>
              <w:left w:val="single" w:sz="8" w:space="0" w:color="auto"/>
              <w:bottom w:val="single" w:sz="4" w:space="0" w:color="auto"/>
              <w:right w:val="single" w:sz="8" w:space="0" w:color="000000"/>
            </w:tcBorders>
            <w:shd w:val="clear" w:color="000000" w:fill="66CCFF"/>
            <w:noWrap/>
            <w:vAlign w:val="bottom"/>
            <w:hideMark/>
          </w:tcPr>
          <w:p w14:paraId="77A3A025" w14:textId="77777777" w:rsidR="0052306D" w:rsidRPr="00B30084" w:rsidRDefault="0052306D" w:rsidP="00E50617">
            <w:pPr>
              <w:spacing w:after="0" w:line="276" w:lineRule="auto"/>
              <w:jc w:val="both"/>
              <w:rPr>
                <w:rFonts w:ascii="Times New Roman" w:eastAsia="Times New Roman" w:hAnsi="Times New Roman" w:cs="Times New Roman"/>
                <w:b/>
                <w:bCs/>
                <w:color w:val="000000"/>
                <w:sz w:val="24"/>
                <w:szCs w:val="24"/>
                <w:lang w:val="sr-Cyrl-RS"/>
              </w:rPr>
            </w:pPr>
            <w:proofErr w:type="spellStart"/>
            <w:r w:rsidRPr="00B30084">
              <w:rPr>
                <w:rFonts w:ascii="Times New Roman" w:eastAsia="Times New Roman" w:hAnsi="Times New Roman" w:cs="Times New Roman"/>
                <w:b/>
                <w:bCs/>
                <w:color w:val="000000"/>
                <w:sz w:val="24"/>
                <w:szCs w:val="24"/>
                <w:lang w:val="sr-Cyrl-RS"/>
              </w:rPr>
              <w:t>Aлокација</w:t>
            </w:r>
            <w:proofErr w:type="spellEnd"/>
            <w:r w:rsidRPr="00B30084">
              <w:rPr>
                <w:rFonts w:ascii="Times New Roman" w:eastAsia="Times New Roman" w:hAnsi="Times New Roman" w:cs="Times New Roman"/>
                <w:b/>
                <w:bCs/>
                <w:color w:val="000000"/>
                <w:sz w:val="24"/>
                <w:szCs w:val="24"/>
                <w:lang w:val="sr-Cyrl-RS"/>
              </w:rPr>
              <w:t xml:space="preserve"> средстава инвеститора 31.12.2019.</w:t>
            </w:r>
          </w:p>
        </w:tc>
      </w:tr>
      <w:tr w:rsidR="0052306D" w:rsidRPr="00B30084" w14:paraId="464D6621" w14:textId="77777777" w:rsidTr="00290D43">
        <w:trPr>
          <w:trHeight w:val="300"/>
        </w:trPr>
        <w:tc>
          <w:tcPr>
            <w:tcW w:w="5725" w:type="dxa"/>
            <w:tcBorders>
              <w:top w:val="nil"/>
              <w:left w:val="single" w:sz="8" w:space="0" w:color="auto"/>
              <w:bottom w:val="single" w:sz="4" w:space="0" w:color="auto"/>
              <w:right w:val="single" w:sz="4" w:space="0" w:color="auto"/>
            </w:tcBorders>
            <w:shd w:val="clear" w:color="auto" w:fill="auto"/>
            <w:noWrap/>
            <w:vAlign w:val="bottom"/>
            <w:hideMark/>
          </w:tcPr>
          <w:p w14:paraId="4C5F1EA9"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w:t>
            </w:r>
          </w:p>
        </w:tc>
        <w:tc>
          <w:tcPr>
            <w:tcW w:w="1209" w:type="dxa"/>
            <w:tcBorders>
              <w:top w:val="nil"/>
              <w:left w:val="nil"/>
              <w:bottom w:val="single" w:sz="4" w:space="0" w:color="auto"/>
              <w:right w:val="single" w:sz="4" w:space="0" w:color="auto"/>
            </w:tcBorders>
            <w:shd w:val="clear" w:color="auto" w:fill="auto"/>
            <w:noWrap/>
            <w:vAlign w:val="bottom"/>
            <w:hideMark/>
          </w:tcPr>
          <w:p w14:paraId="7828055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РСД (млрд)</w:t>
            </w:r>
          </w:p>
        </w:tc>
        <w:tc>
          <w:tcPr>
            <w:tcW w:w="1169" w:type="dxa"/>
            <w:tcBorders>
              <w:top w:val="nil"/>
              <w:left w:val="nil"/>
              <w:bottom w:val="single" w:sz="4" w:space="0" w:color="auto"/>
              <w:right w:val="single" w:sz="4" w:space="0" w:color="auto"/>
            </w:tcBorders>
            <w:shd w:val="clear" w:color="auto" w:fill="auto"/>
            <w:noWrap/>
            <w:vAlign w:val="bottom"/>
            <w:hideMark/>
          </w:tcPr>
          <w:p w14:paraId="3262EE6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ЕУР (млрд)</w:t>
            </w:r>
          </w:p>
        </w:tc>
        <w:tc>
          <w:tcPr>
            <w:tcW w:w="766" w:type="dxa"/>
            <w:tcBorders>
              <w:top w:val="nil"/>
              <w:left w:val="nil"/>
              <w:bottom w:val="single" w:sz="4" w:space="0" w:color="auto"/>
              <w:right w:val="single" w:sz="8" w:space="0" w:color="auto"/>
            </w:tcBorders>
            <w:shd w:val="clear" w:color="auto" w:fill="auto"/>
            <w:noWrap/>
            <w:vAlign w:val="bottom"/>
            <w:hideMark/>
          </w:tcPr>
          <w:p w14:paraId="18606D4A"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w:t>
            </w:r>
          </w:p>
        </w:tc>
      </w:tr>
      <w:tr w:rsidR="0052306D" w:rsidRPr="00B30084" w14:paraId="23482CB8" w14:textId="77777777" w:rsidTr="00290D43">
        <w:trPr>
          <w:trHeight w:val="300"/>
        </w:trPr>
        <w:tc>
          <w:tcPr>
            <w:tcW w:w="5725" w:type="dxa"/>
            <w:tcBorders>
              <w:top w:val="nil"/>
              <w:left w:val="single" w:sz="8" w:space="0" w:color="auto"/>
              <w:bottom w:val="single" w:sz="4" w:space="0" w:color="auto"/>
              <w:right w:val="single" w:sz="4" w:space="0" w:color="auto"/>
            </w:tcBorders>
            <w:shd w:val="clear" w:color="auto" w:fill="auto"/>
            <w:noWrap/>
            <w:vAlign w:val="bottom"/>
            <w:hideMark/>
          </w:tcPr>
          <w:p w14:paraId="2253ED50"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Депозити банкарског сектора</w:t>
            </w:r>
          </w:p>
        </w:tc>
        <w:tc>
          <w:tcPr>
            <w:tcW w:w="1209" w:type="dxa"/>
            <w:tcBorders>
              <w:top w:val="nil"/>
              <w:left w:val="nil"/>
              <w:bottom w:val="single" w:sz="4" w:space="0" w:color="auto"/>
              <w:right w:val="single" w:sz="4" w:space="0" w:color="auto"/>
            </w:tcBorders>
            <w:shd w:val="clear" w:color="auto" w:fill="auto"/>
            <w:noWrap/>
            <w:vAlign w:val="bottom"/>
            <w:hideMark/>
          </w:tcPr>
          <w:p w14:paraId="08C3CA11"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2963</w:t>
            </w:r>
          </w:p>
        </w:tc>
        <w:tc>
          <w:tcPr>
            <w:tcW w:w="1169" w:type="dxa"/>
            <w:tcBorders>
              <w:top w:val="nil"/>
              <w:left w:val="nil"/>
              <w:bottom w:val="single" w:sz="4" w:space="0" w:color="auto"/>
              <w:right w:val="single" w:sz="4" w:space="0" w:color="auto"/>
            </w:tcBorders>
            <w:shd w:val="clear" w:color="auto" w:fill="auto"/>
            <w:noWrap/>
            <w:vAlign w:val="bottom"/>
            <w:hideMark/>
          </w:tcPr>
          <w:p w14:paraId="5A2BA3E6"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25.2</w:t>
            </w:r>
          </w:p>
        </w:tc>
        <w:tc>
          <w:tcPr>
            <w:tcW w:w="766" w:type="dxa"/>
            <w:tcBorders>
              <w:top w:val="nil"/>
              <w:left w:val="nil"/>
              <w:bottom w:val="single" w:sz="4" w:space="0" w:color="auto"/>
              <w:right w:val="single" w:sz="8" w:space="0" w:color="auto"/>
            </w:tcBorders>
            <w:shd w:val="clear" w:color="auto" w:fill="auto"/>
            <w:noWrap/>
            <w:vAlign w:val="bottom"/>
            <w:hideMark/>
          </w:tcPr>
          <w:p w14:paraId="573B917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58.15</w:t>
            </w:r>
          </w:p>
        </w:tc>
      </w:tr>
      <w:tr w:rsidR="0052306D" w:rsidRPr="00B30084" w14:paraId="14BD3CCD" w14:textId="77777777" w:rsidTr="00290D43">
        <w:trPr>
          <w:trHeight w:val="300"/>
        </w:trPr>
        <w:tc>
          <w:tcPr>
            <w:tcW w:w="5725" w:type="dxa"/>
            <w:tcBorders>
              <w:top w:val="nil"/>
              <w:left w:val="single" w:sz="8" w:space="0" w:color="auto"/>
              <w:bottom w:val="single" w:sz="4" w:space="0" w:color="auto"/>
              <w:right w:val="single" w:sz="4" w:space="0" w:color="auto"/>
            </w:tcBorders>
            <w:shd w:val="clear" w:color="auto" w:fill="auto"/>
            <w:noWrap/>
            <w:vAlign w:val="bottom"/>
            <w:hideMark/>
          </w:tcPr>
          <w:p w14:paraId="22E841F2"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Брокерски рачуни: Трезорски записи и обвезнице ЈЛС</w:t>
            </w:r>
          </w:p>
        </w:tc>
        <w:tc>
          <w:tcPr>
            <w:tcW w:w="1209" w:type="dxa"/>
            <w:tcBorders>
              <w:top w:val="nil"/>
              <w:left w:val="nil"/>
              <w:bottom w:val="single" w:sz="4" w:space="0" w:color="auto"/>
              <w:right w:val="single" w:sz="4" w:space="0" w:color="auto"/>
            </w:tcBorders>
            <w:shd w:val="clear" w:color="auto" w:fill="auto"/>
            <w:noWrap/>
            <w:vAlign w:val="bottom"/>
            <w:hideMark/>
          </w:tcPr>
          <w:p w14:paraId="4336B61C"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989</w:t>
            </w:r>
          </w:p>
        </w:tc>
        <w:tc>
          <w:tcPr>
            <w:tcW w:w="1169" w:type="dxa"/>
            <w:tcBorders>
              <w:top w:val="nil"/>
              <w:left w:val="nil"/>
              <w:bottom w:val="single" w:sz="4" w:space="0" w:color="auto"/>
              <w:right w:val="single" w:sz="4" w:space="0" w:color="auto"/>
            </w:tcBorders>
            <w:shd w:val="clear" w:color="auto" w:fill="auto"/>
            <w:noWrap/>
            <w:vAlign w:val="bottom"/>
            <w:hideMark/>
          </w:tcPr>
          <w:p w14:paraId="24F517C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8.41</w:t>
            </w:r>
          </w:p>
        </w:tc>
        <w:tc>
          <w:tcPr>
            <w:tcW w:w="766" w:type="dxa"/>
            <w:tcBorders>
              <w:top w:val="nil"/>
              <w:left w:val="nil"/>
              <w:bottom w:val="single" w:sz="4" w:space="0" w:color="auto"/>
              <w:right w:val="single" w:sz="8" w:space="0" w:color="auto"/>
            </w:tcBorders>
            <w:shd w:val="clear" w:color="auto" w:fill="auto"/>
            <w:noWrap/>
            <w:vAlign w:val="bottom"/>
            <w:hideMark/>
          </w:tcPr>
          <w:p w14:paraId="699F0630"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19.41</w:t>
            </w:r>
          </w:p>
        </w:tc>
      </w:tr>
      <w:tr w:rsidR="0052306D" w:rsidRPr="00B30084" w14:paraId="46A26856" w14:textId="77777777" w:rsidTr="00290D43">
        <w:trPr>
          <w:trHeight w:val="300"/>
        </w:trPr>
        <w:tc>
          <w:tcPr>
            <w:tcW w:w="5725" w:type="dxa"/>
            <w:tcBorders>
              <w:top w:val="nil"/>
              <w:left w:val="single" w:sz="8" w:space="0" w:color="auto"/>
              <w:bottom w:val="single" w:sz="4" w:space="0" w:color="auto"/>
              <w:right w:val="single" w:sz="4" w:space="0" w:color="auto"/>
            </w:tcBorders>
            <w:shd w:val="clear" w:color="auto" w:fill="auto"/>
            <w:noWrap/>
            <w:vAlign w:val="bottom"/>
            <w:hideMark/>
          </w:tcPr>
          <w:p w14:paraId="3AD24463"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xml:space="preserve">Брокерски рачуни: </w:t>
            </w:r>
            <w:proofErr w:type="spellStart"/>
            <w:r w:rsidRPr="00B30084">
              <w:rPr>
                <w:rFonts w:ascii="Times New Roman" w:eastAsia="Times New Roman" w:hAnsi="Times New Roman" w:cs="Times New Roman"/>
                <w:color w:val="000000"/>
                <w:sz w:val="24"/>
                <w:szCs w:val="24"/>
                <w:lang w:val="sr-Cyrl-RS"/>
              </w:rPr>
              <w:t>Aкције</w:t>
            </w:r>
            <w:proofErr w:type="spellEnd"/>
            <w:r w:rsidRPr="00B30084">
              <w:rPr>
                <w:rFonts w:ascii="Times New Roman" w:eastAsia="Times New Roman" w:hAnsi="Times New Roman" w:cs="Times New Roman"/>
                <w:color w:val="000000"/>
                <w:sz w:val="24"/>
                <w:szCs w:val="24"/>
                <w:lang w:val="sr-Cyrl-RS"/>
              </w:rPr>
              <w:t xml:space="preserve"> и корпоративне обвезнице</w:t>
            </w:r>
          </w:p>
        </w:tc>
        <w:tc>
          <w:tcPr>
            <w:tcW w:w="1209" w:type="dxa"/>
            <w:tcBorders>
              <w:top w:val="nil"/>
              <w:left w:val="nil"/>
              <w:bottom w:val="single" w:sz="4" w:space="0" w:color="auto"/>
              <w:right w:val="single" w:sz="4" w:space="0" w:color="auto"/>
            </w:tcBorders>
            <w:shd w:val="clear" w:color="auto" w:fill="auto"/>
            <w:noWrap/>
            <w:vAlign w:val="bottom"/>
            <w:hideMark/>
          </w:tcPr>
          <w:p w14:paraId="2F96617B"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872</w:t>
            </w:r>
          </w:p>
        </w:tc>
        <w:tc>
          <w:tcPr>
            <w:tcW w:w="1169" w:type="dxa"/>
            <w:tcBorders>
              <w:top w:val="nil"/>
              <w:left w:val="nil"/>
              <w:bottom w:val="single" w:sz="4" w:space="0" w:color="auto"/>
              <w:right w:val="single" w:sz="4" w:space="0" w:color="auto"/>
            </w:tcBorders>
            <w:shd w:val="clear" w:color="auto" w:fill="auto"/>
            <w:noWrap/>
            <w:vAlign w:val="bottom"/>
            <w:hideMark/>
          </w:tcPr>
          <w:p w14:paraId="37268B8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7.42</w:t>
            </w:r>
          </w:p>
        </w:tc>
        <w:tc>
          <w:tcPr>
            <w:tcW w:w="766" w:type="dxa"/>
            <w:tcBorders>
              <w:top w:val="nil"/>
              <w:left w:val="nil"/>
              <w:bottom w:val="single" w:sz="4" w:space="0" w:color="auto"/>
              <w:right w:val="single" w:sz="8" w:space="0" w:color="auto"/>
            </w:tcBorders>
            <w:shd w:val="clear" w:color="auto" w:fill="auto"/>
            <w:noWrap/>
            <w:vAlign w:val="bottom"/>
            <w:hideMark/>
          </w:tcPr>
          <w:p w14:paraId="5CC32D01"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17.12</w:t>
            </w:r>
          </w:p>
        </w:tc>
      </w:tr>
      <w:tr w:rsidR="0052306D" w:rsidRPr="00B30084" w14:paraId="7133853E" w14:textId="77777777" w:rsidTr="00290D43">
        <w:trPr>
          <w:trHeight w:val="300"/>
        </w:trPr>
        <w:tc>
          <w:tcPr>
            <w:tcW w:w="5725" w:type="dxa"/>
            <w:tcBorders>
              <w:top w:val="nil"/>
              <w:left w:val="single" w:sz="8" w:space="0" w:color="auto"/>
              <w:bottom w:val="single" w:sz="4" w:space="0" w:color="auto"/>
              <w:right w:val="single" w:sz="4" w:space="0" w:color="auto"/>
            </w:tcBorders>
            <w:shd w:val="clear" w:color="auto" w:fill="auto"/>
            <w:noWrap/>
            <w:vAlign w:val="bottom"/>
            <w:hideMark/>
          </w:tcPr>
          <w:p w14:paraId="5F899770" w14:textId="0DC294CB" w:rsidR="0052306D" w:rsidRPr="00B30084" w:rsidRDefault="0052306D" w:rsidP="008E2A52">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xml:space="preserve">Имовина </w:t>
            </w:r>
            <w:r w:rsidR="008E2A52" w:rsidRPr="007E5150">
              <w:rPr>
                <w:rFonts w:ascii="Times New Roman" w:eastAsia="Times New Roman" w:hAnsi="Times New Roman" w:cs="Times New Roman"/>
                <w:color w:val="000000"/>
                <w:sz w:val="24"/>
                <w:szCs w:val="24"/>
                <w:lang w:val="sr-Cyrl-RS"/>
              </w:rPr>
              <w:t>добровољних пензијских</w:t>
            </w:r>
            <w:r w:rsidRPr="007E5150">
              <w:rPr>
                <w:rFonts w:ascii="Times New Roman" w:eastAsia="Times New Roman" w:hAnsi="Times New Roman" w:cs="Times New Roman"/>
                <w:color w:val="000000"/>
                <w:sz w:val="24"/>
                <w:szCs w:val="24"/>
                <w:lang w:val="sr-Cyrl-RS"/>
              </w:rPr>
              <w:t xml:space="preserve"> фондова</w:t>
            </w:r>
          </w:p>
        </w:tc>
        <w:tc>
          <w:tcPr>
            <w:tcW w:w="1209" w:type="dxa"/>
            <w:tcBorders>
              <w:top w:val="nil"/>
              <w:left w:val="nil"/>
              <w:bottom w:val="single" w:sz="4" w:space="0" w:color="auto"/>
              <w:right w:val="single" w:sz="4" w:space="0" w:color="auto"/>
            </w:tcBorders>
            <w:shd w:val="clear" w:color="auto" w:fill="auto"/>
            <w:noWrap/>
            <w:vAlign w:val="bottom"/>
            <w:hideMark/>
          </w:tcPr>
          <w:p w14:paraId="3C83889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45</w:t>
            </w:r>
          </w:p>
        </w:tc>
        <w:tc>
          <w:tcPr>
            <w:tcW w:w="1169" w:type="dxa"/>
            <w:tcBorders>
              <w:top w:val="nil"/>
              <w:left w:val="nil"/>
              <w:bottom w:val="single" w:sz="4" w:space="0" w:color="auto"/>
              <w:right w:val="single" w:sz="4" w:space="0" w:color="auto"/>
            </w:tcBorders>
            <w:shd w:val="clear" w:color="auto" w:fill="auto"/>
            <w:noWrap/>
            <w:vAlign w:val="bottom"/>
            <w:hideMark/>
          </w:tcPr>
          <w:p w14:paraId="1D1CE294"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0.39</w:t>
            </w:r>
          </w:p>
        </w:tc>
        <w:tc>
          <w:tcPr>
            <w:tcW w:w="766" w:type="dxa"/>
            <w:tcBorders>
              <w:top w:val="nil"/>
              <w:left w:val="nil"/>
              <w:bottom w:val="single" w:sz="4" w:space="0" w:color="auto"/>
              <w:right w:val="single" w:sz="8" w:space="0" w:color="auto"/>
            </w:tcBorders>
            <w:shd w:val="clear" w:color="auto" w:fill="auto"/>
            <w:noWrap/>
            <w:vAlign w:val="bottom"/>
            <w:hideMark/>
          </w:tcPr>
          <w:p w14:paraId="782CFEA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0.89</w:t>
            </w:r>
          </w:p>
        </w:tc>
      </w:tr>
      <w:tr w:rsidR="0052306D" w:rsidRPr="00B30084" w14:paraId="0496C89D" w14:textId="77777777" w:rsidTr="00290D43">
        <w:trPr>
          <w:trHeight w:val="300"/>
        </w:trPr>
        <w:tc>
          <w:tcPr>
            <w:tcW w:w="5725" w:type="dxa"/>
            <w:tcBorders>
              <w:top w:val="nil"/>
              <w:left w:val="single" w:sz="8" w:space="0" w:color="auto"/>
              <w:bottom w:val="single" w:sz="4" w:space="0" w:color="auto"/>
              <w:right w:val="single" w:sz="4" w:space="0" w:color="auto"/>
            </w:tcBorders>
            <w:shd w:val="clear" w:color="auto" w:fill="auto"/>
            <w:noWrap/>
            <w:vAlign w:val="bottom"/>
            <w:hideMark/>
          </w:tcPr>
          <w:p w14:paraId="608B9D86"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Имовина осигурања имовине и осигурања од несрећа</w:t>
            </w:r>
          </w:p>
        </w:tc>
        <w:tc>
          <w:tcPr>
            <w:tcW w:w="1209" w:type="dxa"/>
            <w:tcBorders>
              <w:top w:val="nil"/>
              <w:left w:val="nil"/>
              <w:bottom w:val="single" w:sz="4" w:space="0" w:color="auto"/>
              <w:right w:val="single" w:sz="4" w:space="0" w:color="auto"/>
            </w:tcBorders>
            <w:shd w:val="clear" w:color="auto" w:fill="auto"/>
            <w:noWrap/>
            <w:vAlign w:val="bottom"/>
            <w:hideMark/>
          </w:tcPr>
          <w:p w14:paraId="6726FD36"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166</w:t>
            </w:r>
          </w:p>
        </w:tc>
        <w:tc>
          <w:tcPr>
            <w:tcW w:w="1169" w:type="dxa"/>
            <w:tcBorders>
              <w:top w:val="nil"/>
              <w:left w:val="nil"/>
              <w:bottom w:val="single" w:sz="4" w:space="0" w:color="auto"/>
              <w:right w:val="single" w:sz="4" w:space="0" w:color="auto"/>
            </w:tcBorders>
            <w:shd w:val="clear" w:color="auto" w:fill="auto"/>
            <w:noWrap/>
            <w:vAlign w:val="bottom"/>
            <w:hideMark/>
          </w:tcPr>
          <w:p w14:paraId="5DCCF128"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1.41</w:t>
            </w:r>
          </w:p>
        </w:tc>
        <w:tc>
          <w:tcPr>
            <w:tcW w:w="766" w:type="dxa"/>
            <w:tcBorders>
              <w:top w:val="nil"/>
              <w:left w:val="nil"/>
              <w:bottom w:val="single" w:sz="4" w:space="0" w:color="auto"/>
              <w:right w:val="single" w:sz="8" w:space="0" w:color="auto"/>
            </w:tcBorders>
            <w:shd w:val="clear" w:color="auto" w:fill="auto"/>
            <w:noWrap/>
            <w:vAlign w:val="bottom"/>
            <w:hideMark/>
          </w:tcPr>
          <w:p w14:paraId="1A4C84F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3.26</w:t>
            </w:r>
          </w:p>
        </w:tc>
      </w:tr>
      <w:tr w:rsidR="0052306D" w:rsidRPr="00B30084" w14:paraId="1238BF94" w14:textId="77777777" w:rsidTr="00290D43">
        <w:trPr>
          <w:trHeight w:val="300"/>
        </w:trPr>
        <w:tc>
          <w:tcPr>
            <w:tcW w:w="5725" w:type="dxa"/>
            <w:tcBorders>
              <w:top w:val="nil"/>
              <w:left w:val="single" w:sz="8" w:space="0" w:color="auto"/>
              <w:bottom w:val="single" w:sz="4" w:space="0" w:color="auto"/>
              <w:right w:val="single" w:sz="4" w:space="0" w:color="auto"/>
            </w:tcBorders>
            <w:shd w:val="clear" w:color="auto" w:fill="auto"/>
            <w:noWrap/>
            <w:vAlign w:val="bottom"/>
            <w:hideMark/>
          </w:tcPr>
          <w:p w14:paraId="279AD553"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Имовина инвестиционих фондова</w:t>
            </w:r>
          </w:p>
        </w:tc>
        <w:tc>
          <w:tcPr>
            <w:tcW w:w="1209" w:type="dxa"/>
            <w:tcBorders>
              <w:top w:val="nil"/>
              <w:left w:val="nil"/>
              <w:bottom w:val="single" w:sz="4" w:space="0" w:color="auto"/>
              <w:right w:val="single" w:sz="4" w:space="0" w:color="auto"/>
            </w:tcBorders>
            <w:shd w:val="clear" w:color="auto" w:fill="auto"/>
            <w:noWrap/>
            <w:vAlign w:val="bottom"/>
            <w:hideMark/>
          </w:tcPr>
          <w:p w14:paraId="79F6A40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44</w:t>
            </w:r>
          </w:p>
        </w:tc>
        <w:tc>
          <w:tcPr>
            <w:tcW w:w="1169" w:type="dxa"/>
            <w:tcBorders>
              <w:top w:val="nil"/>
              <w:left w:val="nil"/>
              <w:bottom w:val="single" w:sz="4" w:space="0" w:color="auto"/>
              <w:right w:val="single" w:sz="4" w:space="0" w:color="auto"/>
            </w:tcBorders>
            <w:shd w:val="clear" w:color="auto" w:fill="auto"/>
            <w:noWrap/>
            <w:vAlign w:val="bottom"/>
            <w:hideMark/>
          </w:tcPr>
          <w:p w14:paraId="05FF4FFA"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0.38</w:t>
            </w:r>
          </w:p>
        </w:tc>
        <w:tc>
          <w:tcPr>
            <w:tcW w:w="766" w:type="dxa"/>
            <w:tcBorders>
              <w:top w:val="nil"/>
              <w:left w:val="nil"/>
              <w:bottom w:val="single" w:sz="4" w:space="0" w:color="auto"/>
              <w:right w:val="single" w:sz="8" w:space="0" w:color="auto"/>
            </w:tcBorders>
            <w:shd w:val="clear" w:color="auto" w:fill="auto"/>
            <w:noWrap/>
            <w:vAlign w:val="bottom"/>
            <w:hideMark/>
          </w:tcPr>
          <w:p w14:paraId="2EABDC8C"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0.87</w:t>
            </w:r>
          </w:p>
        </w:tc>
      </w:tr>
      <w:tr w:rsidR="0052306D" w:rsidRPr="00B30084" w14:paraId="1815E320" w14:textId="77777777" w:rsidTr="00290D43">
        <w:trPr>
          <w:trHeight w:val="300"/>
        </w:trPr>
        <w:tc>
          <w:tcPr>
            <w:tcW w:w="5725" w:type="dxa"/>
            <w:tcBorders>
              <w:top w:val="nil"/>
              <w:left w:val="single" w:sz="8" w:space="0" w:color="auto"/>
              <w:bottom w:val="single" w:sz="4" w:space="0" w:color="auto"/>
              <w:right w:val="single" w:sz="4" w:space="0" w:color="auto"/>
            </w:tcBorders>
            <w:shd w:val="clear" w:color="auto" w:fill="auto"/>
            <w:noWrap/>
            <w:vAlign w:val="bottom"/>
            <w:hideMark/>
          </w:tcPr>
          <w:p w14:paraId="261A46A4"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Портфолио имовине животног осигурања</w:t>
            </w:r>
          </w:p>
        </w:tc>
        <w:tc>
          <w:tcPr>
            <w:tcW w:w="1209" w:type="dxa"/>
            <w:tcBorders>
              <w:top w:val="nil"/>
              <w:left w:val="nil"/>
              <w:bottom w:val="single" w:sz="4" w:space="0" w:color="auto"/>
              <w:right w:val="single" w:sz="4" w:space="0" w:color="auto"/>
            </w:tcBorders>
            <w:shd w:val="clear" w:color="auto" w:fill="auto"/>
            <w:noWrap/>
            <w:vAlign w:val="bottom"/>
            <w:hideMark/>
          </w:tcPr>
          <w:p w14:paraId="5914CC0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15</w:t>
            </w:r>
          </w:p>
        </w:tc>
        <w:tc>
          <w:tcPr>
            <w:tcW w:w="1169" w:type="dxa"/>
            <w:tcBorders>
              <w:top w:val="nil"/>
              <w:left w:val="nil"/>
              <w:bottom w:val="single" w:sz="4" w:space="0" w:color="auto"/>
              <w:right w:val="single" w:sz="4" w:space="0" w:color="auto"/>
            </w:tcBorders>
            <w:shd w:val="clear" w:color="auto" w:fill="auto"/>
            <w:noWrap/>
            <w:vAlign w:val="bottom"/>
            <w:hideMark/>
          </w:tcPr>
          <w:p w14:paraId="0DE5240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0.13</w:t>
            </w:r>
          </w:p>
        </w:tc>
        <w:tc>
          <w:tcPr>
            <w:tcW w:w="766" w:type="dxa"/>
            <w:tcBorders>
              <w:top w:val="nil"/>
              <w:left w:val="nil"/>
              <w:bottom w:val="single" w:sz="4" w:space="0" w:color="auto"/>
              <w:right w:val="single" w:sz="8" w:space="0" w:color="auto"/>
            </w:tcBorders>
            <w:shd w:val="clear" w:color="auto" w:fill="auto"/>
            <w:noWrap/>
            <w:vAlign w:val="bottom"/>
            <w:hideMark/>
          </w:tcPr>
          <w:p w14:paraId="2AA5074D"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0.31</w:t>
            </w:r>
          </w:p>
        </w:tc>
      </w:tr>
      <w:tr w:rsidR="0052306D" w:rsidRPr="00B30084" w14:paraId="481A062A" w14:textId="77777777" w:rsidTr="00290D43">
        <w:trPr>
          <w:trHeight w:val="315"/>
        </w:trPr>
        <w:tc>
          <w:tcPr>
            <w:tcW w:w="5725" w:type="dxa"/>
            <w:tcBorders>
              <w:top w:val="nil"/>
              <w:left w:val="single" w:sz="8" w:space="0" w:color="auto"/>
              <w:bottom w:val="single" w:sz="8" w:space="0" w:color="auto"/>
              <w:right w:val="single" w:sz="4" w:space="0" w:color="auto"/>
            </w:tcBorders>
            <w:shd w:val="clear" w:color="000000" w:fill="66CCFF"/>
            <w:noWrap/>
            <w:vAlign w:val="bottom"/>
            <w:hideMark/>
          </w:tcPr>
          <w:p w14:paraId="1AB70769"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w:t>
            </w:r>
          </w:p>
        </w:tc>
        <w:tc>
          <w:tcPr>
            <w:tcW w:w="1209" w:type="dxa"/>
            <w:tcBorders>
              <w:top w:val="nil"/>
              <w:left w:val="nil"/>
              <w:bottom w:val="single" w:sz="8" w:space="0" w:color="auto"/>
              <w:right w:val="single" w:sz="4" w:space="0" w:color="auto"/>
            </w:tcBorders>
            <w:shd w:val="clear" w:color="000000" w:fill="66CCFF"/>
            <w:noWrap/>
            <w:vAlign w:val="bottom"/>
            <w:hideMark/>
          </w:tcPr>
          <w:p w14:paraId="7AA4173D"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5094</w:t>
            </w:r>
          </w:p>
        </w:tc>
        <w:tc>
          <w:tcPr>
            <w:tcW w:w="1169" w:type="dxa"/>
            <w:tcBorders>
              <w:top w:val="nil"/>
              <w:left w:val="nil"/>
              <w:bottom w:val="single" w:sz="8" w:space="0" w:color="auto"/>
              <w:right w:val="single" w:sz="4" w:space="0" w:color="auto"/>
            </w:tcBorders>
            <w:shd w:val="clear" w:color="000000" w:fill="66CCFF"/>
            <w:noWrap/>
            <w:vAlign w:val="bottom"/>
            <w:hideMark/>
          </w:tcPr>
          <w:p w14:paraId="041C8609"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43.34</w:t>
            </w:r>
          </w:p>
        </w:tc>
        <w:tc>
          <w:tcPr>
            <w:tcW w:w="766" w:type="dxa"/>
            <w:tcBorders>
              <w:top w:val="nil"/>
              <w:left w:val="nil"/>
              <w:bottom w:val="single" w:sz="8" w:space="0" w:color="auto"/>
              <w:right w:val="single" w:sz="8" w:space="0" w:color="auto"/>
            </w:tcBorders>
            <w:shd w:val="clear" w:color="000000" w:fill="66CCFF"/>
            <w:noWrap/>
            <w:vAlign w:val="bottom"/>
            <w:hideMark/>
          </w:tcPr>
          <w:p w14:paraId="554EB8F2"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100.01</w:t>
            </w:r>
          </w:p>
        </w:tc>
      </w:tr>
    </w:tbl>
    <w:p w14:paraId="6F08D277" w14:textId="77777777" w:rsidR="00246374" w:rsidRPr="00B30084" w:rsidRDefault="0052306D" w:rsidP="00246374">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Извор: </w:t>
      </w:r>
      <w:hyperlink r:id="rId13" w:history="1">
        <w:r w:rsidR="00157CD1" w:rsidRPr="00B30084">
          <w:rPr>
            <w:rStyle w:val="Hyperlink"/>
            <w:rFonts w:ascii="Times New Roman" w:hAnsi="Times New Roman" w:cs="Times New Roman"/>
            <w:sz w:val="24"/>
            <w:szCs w:val="24"/>
            <w:lang w:val="sr-Cyrl-RS"/>
          </w:rPr>
          <w:t>www.nbs.rs</w:t>
        </w:r>
      </w:hyperlink>
      <w:r w:rsidR="00157CD1" w:rsidRPr="00B30084">
        <w:rPr>
          <w:rFonts w:ascii="Times New Roman" w:hAnsi="Times New Roman" w:cs="Times New Roman"/>
          <w:sz w:val="24"/>
          <w:szCs w:val="24"/>
          <w:lang w:val="sr-Cyrl-RS"/>
        </w:rPr>
        <w:t xml:space="preserve">, </w:t>
      </w:r>
      <w:hyperlink r:id="rId14" w:history="1">
        <w:r w:rsidR="00157CD1" w:rsidRPr="00B30084">
          <w:rPr>
            <w:rStyle w:val="Hyperlink"/>
            <w:rFonts w:ascii="Times New Roman" w:hAnsi="Times New Roman" w:cs="Times New Roman"/>
            <w:sz w:val="24"/>
            <w:szCs w:val="24"/>
            <w:lang w:val="sr-Cyrl-RS"/>
          </w:rPr>
          <w:t>www.belex.rs</w:t>
        </w:r>
      </w:hyperlink>
      <w:r w:rsidR="00157CD1" w:rsidRPr="00B30084">
        <w:rPr>
          <w:rFonts w:ascii="Times New Roman" w:hAnsi="Times New Roman" w:cs="Times New Roman"/>
          <w:sz w:val="24"/>
          <w:szCs w:val="24"/>
          <w:lang w:val="sr-Cyrl-RS"/>
        </w:rPr>
        <w:t xml:space="preserve">, </w:t>
      </w:r>
      <w:hyperlink r:id="rId15" w:history="1">
        <w:r w:rsidR="00157CD1" w:rsidRPr="00B30084">
          <w:rPr>
            <w:rStyle w:val="Hyperlink"/>
            <w:rFonts w:ascii="Times New Roman" w:hAnsi="Times New Roman" w:cs="Times New Roman"/>
            <w:sz w:val="24"/>
            <w:szCs w:val="24"/>
            <w:lang w:val="sr-Cyrl-RS"/>
          </w:rPr>
          <w:t>www.crhov.rs</w:t>
        </w:r>
      </w:hyperlink>
      <w:r w:rsidR="00157CD1" w:rsidRPr="00B30084">
        <w:rPr>
          <w:rFonts w:ascii="Times New Roman" w:hAnsi="Times New Roman" w:cs="Times New Roman"/>
          <w:sz w:val="24"/>
          <w:szCs w:val="24"/>
          <w:lang w:val="sr-Cyrl-RS"/>
        </w:rPr>
        <w:t xml:space="preserve"> </w:t>
      </w:r>
    </w:p>
    <w:p w14:paraId="12E19478" w14:textId="0BD7C0B7" w:rsidR="0052306D" w:rsidRPr="00B30084" w:rsidRDefault="0052306D" w:rsidP="00246374">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Како би тржиште капитала понудило инвестиционе опције које носе већи принос у замену за додатне трансакционе трошкове (уплата депозита је бесплатна, док куповина хартија од вредности са собом носи одређене накнаде), потребно је привући инвеститоре са банкарских депозита нудећи бољу пословну понуду. </w:t>
      </w:r>
    </w:p>
    <w:p w14:paraId="3FFA15E2" w14:textId="0C24763B" w:rsidR="002853E2" w:rsidRPr="00B30084" w:rsidRDefault="0052306D"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Још један значајан аспект финансијског система у Србији јесте ниво ликвидности у оквиру банкарског сектора. Анализа свеукупног банкарског система који чине 2</w:t>
      </w:r>
      <w:r w:rsidR="00D5504B" w:rsidRPr="00B30084">
        <w:rPr>
          <w:rFonts w:ascii="Times New Roman" w:hAnsi="Times New Roman" w:cs="Times New Roman"/>
          <w:sz w:val="24"/>
          <w:szCs w:val="24"/>
          <w:lang w:val="sr-Cyrl-RS"/>
        </w:rPr>
        <w:t>4</w:t>
      </w:r>
      <w:r w:rsidRPr="00B30084">
        <w:rPr>
          <w:rFonts w:ascii="Times New Roman" w:hAnsi="Times New Roman" w:cs="Times New Roman"/>
          <w:sz w:val="24"/>
          <w:szCs w:val="24"/>
          <w:lang w:val="sr-Cyrl-RS"/>
        </w:rPr>
        <w:t xml:space="preserve"> банке указује да систем садржи значајан део неискоришћених средстава који би могао да се каналише у тржиште капитала</w:t>
      </w:r>
      <w:r w:rsidR="00403925" w:rsidRPr="00B30084">
        <w:rPr>
          <w:rFonts w:ascii="Times New Roman" w:hAnsi="Times New Roman" w:cs="Times New Roman"/>
          <w:sz w:val="24"/>
          <w:szCs w:val="24"/>
          <w:lang w:val="sr-Cyrl-RS"/>
        </w:rPr>
        <w:t xml:space="preserve"> на шта упућује и Табела </w:t>
      </w:r>
      <w:r w:rsidR="0090242E" w:rsidRPr="00B30084">
        <w:rPr>
          <w:rFonts w:ascii="Times New Roman" w:hAnsi="Times New Roman" w:cs="Times New Roman"/>
          <w:sz w:val="24"/>
          <w:szCs w:val="24"/>
          <w:lang w:val="sr-Cyrl-RS"/>
        </w:rPr>
        <w:t>5</w:t>
      </w:r>
      <w:r w:rsidR="00403925" w:rsidRPr="00B30084">
        <w:rPr>
          <w:rFonts w:ascii="Times New Roman" w:hAnsi="Times New Roman" w:cs="Times New Roman"/>
          <w:sz w:val="24"/>
          <w:szCs w:val="24"/>
          <w:lang w:val="sr-Cyrl-RS"/>
        </w:rPr>
        <w:t>.</w:t>
      </w:r>
      <w:r w:rsidRPr="00B30084">
        <w:rPr>
          <w:rFonts w:ascii="Times New Roman" w:hAnsi="Times New Roman" w:cs="Times New Roman"/>
          <w:sz w:val="24"/>
          <w:szCs w:val="24"/>
          <w:lang w:val="sr-Cyrl-RS"/>
        </w:rPr>
        <w:t xml:space="preserve"> Од укупно RSD 3.5 трили</w:t>
      </w:r>
      <w:r w:rsidR="00990A7A" w:rsidRPr="00B30084">
        <w:rPr>
          <w:rFonts w:ascii="Times New Roman" w:hAnsi="Times New Roman" w:cs="Times New Roman"/>
          <w:sz w:val="24"/>
          <w:szCs w:val="24"/>
          <w:lang w:val="sr-Cyrl-RS"/>
        </w:rPr>
        <w:t>она</w:t>
      </w:r>
      <w:r w:rsidRPr="00B30084">
        <w:rPr>
          <w:rFonts w:ascii="Times New Roman" w:hAnsi="Times New Roman" w:cs="Times New Roman"/>
          <w:sz w:val="24"/>
          <w:szCs w:val="24"/>
          <w:lang w:val="sr-Cyrl-RS"/>
        </w:rPr>
        <w:t xml:space="preserve"> (€ 29.5 милијарди) само 0.56 %  је усмерено на тржиште капитала у 2019. години. Оваква ситуација указује да инвестиционе потребе банака нису задовољене на тржишту капитала, али исто тако и да не постоји потреба за издавањем покривених обвезница и/или ХоВ за прикупљање ликвидних средстава.</w:t>
      </w:r>
    </w:p>
    <w:p w14:paraId="1F18DB30" w14:textId="1AB99A86" w:rsidR="00FB01F9" w:rsidRPr="00B30084" w:rsidRDefault="00FB01F9" w:rsidP="00E50617">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Табела </w:t>
      </w:r>
      <w:r w:rsidR="00BF3002" w:rsidRPr="00B30084">
        <w:rPr>
          <w:rFonts w:ascii="Times New Roman" w:hAnsi="Times New Roman" w:cs="Times New Roman"/>
          <w:sz w:val="24"/>
          <w:szCs w:val="24"/>
          <w:lang w:val="sr-Cyrl-RS"/>
        </w:rPr>
        <w:t>5</w:t>
      </w:r>
      <w:r w:rsidRPr="00B30084">
        <w:rPr>
          <w:rFonts w:ascii="Times New Roman" w:hAnsi="Times New Roman" w:cs="Times New Roman"/>
          <w:sz w:val="24"/>
          <w:szCs w:val="24"/>
          <w:lang w:val="sr-Cyrl-RS"/>
        </w:rPr>
        <w:t xml:space="preserve">. </w:t>
      </w:r>
      <w:r w:rsidR="00A237BB" w:rsidRPr="00B30084">
        <w:rPr>
          <w:rFonts w:ascii="Times New Roman" w:hAnsi="Times New Roman" w:cs="Times New Roman"/>
          <w:sz w:val="24"/>
          <w:szCs w:val="24"/>
          <w:lang w:val="sr-Latn-RS"/>
        </w:rPr>
        <w:t>A</w:t>
      </w:r>
      <w:r w:rsidR="00A237BB" w:rsidRPr="00B30084">
        <w:rPr>
          <w:rFonts w:ascii="Times New Roman" w:hAnsi="Times New Roman" w:cs="Times New Roman"/>
          <w:sz w:val="24"/>
          <w:szCs w:val="24"/>
          <w:lang w:val="sr-Cyrl-RS"/>
        </w:rPr>
        <w:t>локација расположивих средстава банкарског сектора</w:t>
      </w:r>
    </w:p>
    <w:tbl>
      <w:tblPr>
        <w:tblW w:w="7082" w:type="dxa"/>
        <w:tblLook w:val="04A0" w:firstRow="1" w:lastRow="0" w:firstColumn="1" w:lastColumn="0" w:noHBand="0" w:noVBand="1"/>
      </w:tblPr>
      <w:tblGrid>
        <w:gridCol w:w="3434"/>
        <w:gridCol w:w="1596"/>
        <w:gridCol w:w="1296"/>
        <w:gridCol w:w="756"/>
      </w:tblGrid>
      <w:tr w:rsidR="0052306D" w:rsidRPr="00B30084" w14:paraId="27877158" w14:textId="77777777" w:rsidTr="002F6E17">
        <w:trPr>
          <w:trHeight w:val="300"/>
        </w:trPr>
        <w:tc>
          <w:tcPr>
            <w:tcW w:w="7082" w:type="dxa"/>
            <w:gridSpan w:val="4"/>
            <w:tcBorders>
              <w:top w:val="single" w:sz="8" w:space="0" w:color="auto"/>
              <w:left w:val="single" w:sz="8" w:space="0" w:color="auto"/>
              <w:bottom w:val="single" w:sz="4" w:space="0" w:color="auto"/>
              <w:right w:val="single" w:sz="8" w:space="0" w:color="000000"/>
            </w:tcBorders>
            <w:shd w:val="clear" w:color="000000" w:fill="66CCFF"/>
            <w:noWrap/>
            <w:vAlign w:val="bottom"/>
            <w:hideMark/>
          </w:tcPr>
          <w:p w14:paraId="4B9ED613" w14:textId="77777777" w:rsidR="0052306D" w:rsidRPr="00B30084" w:rsidRDefault="0052306D" w:rsidP="00E50617">
            <w:pPr>
              <w:spacing w:after="0" w:line="276" w:lineRule="auto"/>
              <w:jc w:val="both"/>
              <w:rPr>
                <w:rFonts w:ascii="Times New Roman" w:eastAsia="Times New Roman" w:hAnsi="Times New Roman" w:cs="Times New Roman"/>
                <w:b/>
                <w:color w:val="000000"/>
                <w:sz w:val="24"/>
                <w:szCs w:val="24"/>
                <w:lang w:val="sr-Cyrl-RS"/>
              </w:rPr>
            </w:pPr>
            <w:r w:rsidRPr="00B30084">
              <w:rPr>
                <w:rFonts w:ascii="Times New Roman" w:eastAsia="Times New Roman" w:hAnsi="Times New Roman" w:cs="Times New Roman"/>
                <w:b/>
                <w:color w:val="000000"/>
                <w:sz w:val="24"/>
                <w:szCs w:val="24"/>
                <w:lang w:val="sr-Cyrl-RS"/>
              </w:rPr>
              <w:t xml:space="preserve">Каналисање банкарских средстава </w:t>
            </w:r>
          </w:p>
        </w:tc>
      </w:tr>
      <w:tr w:rsidR="0052306D" w:rsidRPr="00B30084" w14:paraId="0EE0F428" w14:textId="77777777" w:rsidTr="002F6E17">
        <w:trPr>
          <w:trHeight w:val="300"/>
        </w:trPr>
        <w:tc>
          <w:tcPr>
            <w:tcW w:w="3434" w:type="dxa"/>
            <w:tcBorders>
              <w:top w:val="nil"/>
              <w:left w:val="single" w:sz="8" w:space="0" w:color="auto"/>
              <w:bottom w:val="single" w:sz="4" w:space="0" w:color="auto"/>
              <w:right w:val="single" w:sz="4" w:space="0" w:color="auto"/>
            </w:tcBorders>
            <w:shd w:val="clear" w:color="auto" w:fill="auto"/>
            <w:noWrap/>
            <w:vAlign w:val="bottom"/>
            <w:hideMark/>
          </w:tcPr>
          <w:p w14:paraId="1213F9AA"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w:t>
            </w:r>
          </w:p>
        </w:tc>
        <w:tc>
          <w:tcPr>
            <w:tcW w:w="1596" w:type="dxa"/>
            <w:tcBorders>
              <w:top w:val="nil"/>
              <w:left w:val="nil"/>
              <w:bottom w:val="single" w:sz="4" w:space="0" w:color="auto"/>
              <w:right w:val="single" w:sz="4" w:space="0" w:color="auto"/>
            </w:tcBorders>
            <w:shd w:val="clear" w:color="auto" w:fill="auto"/>
            <w:noWrap/>
            <w:vAlign w:val="bottom"/>
            <w:hideMark/>
          </w:tcPr>
          <w:p w14:paraId="235DA72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РСД 000</w:t>
            </w:r>
          </w:p>
        </w:tc>
        <w:tc>
          <w:tcPr>
            <w:tcW w:w="1296" w:type="dxa"/>
            <w:tcBorders>
              <w:top w:val="nil"/>
              <w:left w:val="nil"/>
              <w:bottom w:val="single" w:sz="4" w:space="0" w:color="auto"/>
              <w:right w:val="single" w:sz="4" w:space="0" w:color="auto"/>
            </w:tcBorders>
            <w:shd w:val="clear" w:color="auto" w:fill="auto"/>
            <w:noWrap/>
            <w:vAlign w:val="bottom"/>
            <w:hideMark/>
          </w:tcPr>
          <w:p w14:paraId="5AE360E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ЕУР 000</w:t>
            </w:r>
          </w:p>
        </w:tc>
        <w:tc>
          <w:tcPr>
            <w:tcW w:w="756" w:type="dxa"/>
            <w:tcBorders>
              <w:top w:val="nil"/>
              <w:left w:val="nil"/>
              <w:bottom w:val="single" w:sz="4" w:space="0" w:color="auto"/>
              <w:right w:val="single" w:sz="8" w:space="0" w:color="auto"/>
            </w:tcBorders>
            <w:shd w:val="clear" w:color="auto" w:fill="auto"/>
            <w:noWrap/>
            <w:vAlign w:val="bottom"/>
            <w:hideMark/>
          </w:tcPr>
          <w:p w14:paraId="600A86C4"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w:t>
            </w:r>
          </w:p>
        </w:tc>
      </w:tr>
      <w:tr w:rsidR="0052306D" w:rsidRPr="00B30084" w14:paraId="1F9FAAD1" w14:textId="77777777" w:rsidTr="002F6E17">
        <w:trPr>
          <w:trHeight w:val="255"/>
        </w:trPr>
        <w:tc>
          <w:tcPr>
            <w:tcW w:w="3434" w:type="dxa"/>
            <w:tcBorders>
              <w:top w:val="nil"/>
              <w:left w:val="single" w:sz="8" w:space="0" w:color="auto"/>
              <w:bottom w:val="single" w:sz="4" w:space="0" w:color="auto"/>
              <w:right w:val="single" w:sz="4" w:space="0" w:color="auto"/>
            </w:tcBorders>
            <w:shd w:val="clear" w:color="auto" w:fill="auto"/>
            <w:noWrap/>
            <w:vAlign w:val="bottom"/>
            <w:hideMark/>
          </w:tcPr>
          <w:p w14:paraId="67036C09"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Слободна средстава</w:t>
            </w:r>
          </w:p>
        </w:tc>
        <w:tc>
          <w:tcPr>
            <w:tcW w:w="1596" w:type="dxa"/>
            <w:tcBorders>
              <w:top w:val="nil"/>
              <w:left w:val="nil"/>
              <w:bottom w:val="single" w:sz="4" w:space="0" w:color="auto"/>
              <w:right w:val="single" w:sz="4" w:space="0" w:color="auto"/>
            </w:tcBorders>
            <w:shd w:val="clear" w:color="auto" w:fill="auto"/>
            <w:noWrap/>
            <w:vAlign w:val="bottom"/>
            <w:hideMark/>
          </w:tcPr>
          <w:p w14:paraId="09547661"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3.468.985.279</w:t>
            </w:r>
          </w:p>
        </w:tc>
        <w:tc>
          <w:tcPr>
            <w:tcW w:w="1296" w:type="dxa"/>
            <w:tcBorders>
              <w:top w:val="nil"/>
              <w:left w:val="nil"/>
              <w:bottom w:val="single" w:sz="4" w:space="0" w:color="auto"/>
              <w:right w:val="single" w:sz="4" w:space="0" w:color="auto"/>
            </w:tcBorders>
            <w:shd w:val="clear" w:color="auto" w:fill="auto"/>
            <w:noWrap/>
            <w:vAlign w:val="bottom"/>
            <w:hideMark/>
          </w:tcPr>
          <w:p w14:paraId="084E2A4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29.505.148</w:t>
            </w:r>
          </w:p>
        </w:tc>
        <w:tc>
          <w:tcPr>
            <w:tcW w:w="756" w:type="dxa"/>
            <w:tcBorders>
              <w:top w:val="nil"/>
              <w:left w:val="nil"/>
              <w:bottom w:val="single" w:sz="4" w:space="0" w:color="auto"/>
              <w:right w:val="single" w:sz="8" w:space="0" w:color="auto"/>
            </w:tcBorders>
            <w:shd w:val="clear" w:color="auto" w:fill="auto"/>
            <w:noWrap/>
            <w:vAlign w:val="bottom"/>
            <w:hideMark/>
          </w:tcPr>
          <w:p w14:paraId="39B99541"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w:t>
            </w:r>
          </w:p>
        </w:tc>
      </w:tr>
      <w:tr w:rsidR="0052306D" w:rsidRPr="00B30084" w14:paraId="49D3576C" w14:textId="77777777" w:rsidTr="002F6E17">
        <w:trPr>
          <w:trHeight w:val="300"/>
        </w:trPr>
        <w:tc>
          <w:tcPr>
            <w:tcW w:w="3434" w:type="dxa"/>
            <w:tcBorders>
              <w:top w:val="nil"/>
              <w:left w:val="single" w:sz="8" w:space="0" w:color="auto"/>
              <w:bottom w:val="single" w:sz="4" w:space="0" w:color="auto"/>
              <w:right w:val="single" w:sz="4" w:space="0" w:color="auto"/>
            </w:tcBorders>
            <w:shd w:val="clear" w:color="auto" w:fill="auto"/>
            <w:noWrap/>
            <w:vAlign w:val="bottom"/>
            <w:hideMark/>
          </w:tcPr>
          <w:p w14:paraId="4B68E359"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Пласмани клијентима</w:t>
            </w:r>
          </w:p>
        </w:tc>
        <w:tc>
          <w:tcPr>
            <w:tcW w:w="1596" w:type="dxa"/>
            <w:tcBorders>
              <w:top w:val="nil"/>
              <w:left w:val="nil"/>
              <w:bottom w:val="single" w:sz="4" w:space="0" w:color="auto"/>
              <w:right w:val="single" w:sz="4" w:space="0" w:color="auto"/>
            </w:tcBorders>
            <w:shd w:val="clear" w:color="auto" w:fill="auto"/>
            <w:noWrap/>
            <w:vAlign w:val="bottom"/>
            <w:hideMark/>
          </w:tcPr>
          <w:p w14:paraId="11E6BBDB"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2.386.118.437</w:t>
            </w:r>
          </w:p>
        </w:tc>
        <w:tc>
          <w:tcPr>
            <w:tcW w:w="1296" w:type="dxa"/>
            <w:tcBorders>
              <w:top w:val="nil"/>
              <w:left w:val="nil"/>
              <w:bottom w:val="single" w:sz="4" w:space="0" w:color="auto"/>
              <w:right w:val="single" w:sz="4" w:space="0" w:color="auto"/>
            </w:tcBorders>
            <w:shd w:val="clear" w:color="auto" w:fill="auto"/>
            <w:noWrap/>
            <w:vAlign w:val="bottom"/>
            <w:hideMark/>
          </w:tcPr>
          <w:p w14:paraId="5BC170F6"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20.294.920</w:t>
            </w:r>
          </w:p>
        </w:tc>
        <w:tc>
          <w:tcPr>
            <w:tcW w:w="756" w:type="dxa"/>
            <w:tcBorders>
              <w:top w:val="nil"/>
              <w:left w:val="nil"/>
              <w:bottom w:val="single" w:sz="4" w:space="0" w:color="auto"/>
              <w:right w:val="single" w:sz="8" w:space="0" w:color="auto"/>
            </w:tcBorders>
            <w:shd w:val="clear" w:color="auto" w:fill="auto"/>
            <w:noWrap/>
            <w:vAlign w:val="bottom"/>
            <w:hideMark/>
          </w:tcPr>
          <w:p w14:paraId="2717743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68,78</w:t>
            </w:r>
          </w:p>
        </w:tc>
      </w:tr>
      <w:tr w:rsidR="0052306D" w:rsidRPr="00B30084" w14:paraId="039AC74D" w14:textId="77777777" w:rsidTr="002F6E17">
        <w:trPr>
          <w:trHeight w:val="300"/>
        </w:trPr>
        <w:tc>
          <w:tcPr>
            <w:tcW w:w="3434" w:type="dxa"/>
            <w:tcBorders>
              <w:top w:val="nil"/>
              <w:left w:val="single" w:sz="8" w:space="0" w:color="auto"/>
              <w:bottom w:val="single" w:sz="4" w:space="0" w:color="auto"/>
              <w:right w:val="single" w:sz="4" w:space="0" w:color="auto"/>
            </w:tcBorders>
            <w:shd w:val="clear" w:color="auto" w:fill="auto"/>
            <w:noWrap/>
            <w:vAlign w:val="bottom"/>
            <w:hideMark/>
          </w:tcPr>
          <w:p w14:paraId="4BCDAF76"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Пласмани другим ентитетима</w:t>
            </w:r>
          </w:p>
        </w:tc>
        <w:tc>
          <w:tcPr>
            <w:tcW w:w="1596" w:type="dxa"/>
            <w:tcBorders>
              <w:top w:val="nil"/>
              <w:left w:val="nil"/>
              <w:bottom w:val="single" w:sz="4" w:space="0" w:color="auto"/>
              <w:right w:val="single" w:sz="4" w:space="0" w:color="auto"/>
            </w:tcBorders>
            <w:shd w:val="clear" w:color="auto" w:fill="auto"/>
            <w:noWrap/>
            <w:vAlign w:val="bottom"/>
            <w:hideMark/>
          </w:tcPr>
          <w:p w14:paraId="2CD12AEB"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214.345.367</w:t>
            </w:r>
          </w:p>
        </w:tc>
        <w:tc>
          <w:tcPr>
            <w:tcW w:w="1296" w:type="dxa"/>
            <w:tcBorders>
              <w:top w:val="nil"/>
              <w:left w:val="nil"/>
              <w:bottom w:val="single" w:sz="4" w:space="0" w:color="auto"/>
              <w:right w:val="single" w:sz="4" w:space="0" w:color="auto"/>
            </w:tcBorders>
            <w:shd w:val="clear" w:color="auto" w:fill="auto"/>
            <w:noWrap/>
            <w:vAlign w:val="bottom"/>
            <w:hideMark/>
          </w:tcPr>
          <w:p w14:paraId="6F68462C"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1.823.096</w:t>
            </w:r>
          </w:p>
        </w:tc>
        <w:tc>
          <w:tcPr>
            <w:tcW w:w="756" w:type="dxa"/>
            <w:tcBorders>
              <w:top w:val="nil"/>
              <w:left w:val="nil"/>
              <w:bottom w:val="single" w:sz="4" w:space="0" w:color="auto"/>
              <w:right w:val="single" w:sz="8" w:space="0" w:color="auto"/>
            </w:tcBorders>
            <w:shd w:val="clear" w:color="auto" w:fill="auto"/>
            <w:noWrap/>
            <w:vAlign w:val="bottom"/>
            <w:hideMark/>
          </w:tcPr>
          <w:p w14:paraId="0E58E6CC"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6,18</w:t>
            </w:r>
          </w:p>
        </w:tc>
      </w:tr>
      <w:tr w:rsidR="0052306D" w:rsidRPr="00B30084" w14:paraId="6B852237" w14:textId="77777777" w:rsidTr="002F6E17">
        <w:trPr>
          <w:trHeight w:val="300"/>
        </w:trPr>
        <w:tc>
          <w:tcPr>
            <w:tcW w:w="3434" w:type="dxa"/>
            <w:tcBorders>
              <w:top w:val="nil"/>
              <w:left w:val="single" w:sz="8" w:space="0" w:color="auto"/>
              <w:bottom w:val="single" w:sz="4" w:space="0" w:color="auto"/>
              <w:right w:val="single" w:sz="4" w:space="0" w:color="auto"/>
            </w:tcBorders>
            <w:shd w:val="clear" w:color="auto" w:fill="auto"/>
            <w:noWrap/>
            <w:vAlign w:val="bottom"/>
            <w:hideMark/>
          </w:tcPr>
          <w:p w14:paraId="63DC885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Пласмани у трезорске записе</w:t>
            </w:r>
          </w:p>
        </w:tc>
        <w:tc>
          <w:tcPr>
            <w:tcW w:w="1596" w:type="dxa"/>
            <w:tcBorders>
              <w:top w:val="nil"/>
              <w:left w:val="nil"/>
              <w:bottom w:val="single" w:sz="4" w:space="0" w:color="auto"/>
              <w:right w:val="single" w:sz="4" w:space="0" w:color="auto"/>
            </w:tcBorders>
            <w:shd w:val="clear" w:color="auto" w:fill="auto"/>
            <w:noWrap/>
            <w:vAlign w:val="bottom"/>
            <w:hideMark/>
          </w:tcPr>
          <w:p w14:paraId="1E68959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667.164.245</w:t>
            </w:r>
          </w:p>
        </w:tc>
        <w:tc>
          <w:tcPr>
            <w:tcW w:w="1296" w:type="dxa"/>
            <w:tcBorders>
              <w:top w:val="nil"/>
              <w:left w:val="nil"/>
              <w:bottom w:val="single" w:sz="4" w:space="0" w:color="auto"/>
              <w:right w:val="single" w:sz="4" w:space="0" w:color="auto"/>
            </w:tcBorders>
            <w:shd w:val="clear" w:color="auto" w:fill="auto"/>
            <w:noWrap/>
            <w:vAlign w:val="bottom"/>
            <w:hideMark/>
          </w:tcPr>
          <w:p w14:paraId="2D3F2C47"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5.674.507</w:t>
            </w:r>
          </w:p>
        </w:tc>
        <w:tc>
          <w:tcPr>
            <w:tcW w:w="756" w:type="dxa"/>
            <w:tcBorders>
              <w:top w:val="nil"/>
              <w:left w:val="nil"/>
              <w:bottom w:val="single" w:sz="4" w:space="0" w:color="auto"/>
              <w:right w:val="single" w:sz="8" w:space="0" w:color="auto"/>
            </w:tcBorders>
            <w:shd w:val="clear" w:color="auto" w:fill="auto"/>
            <w:noWrap/>
            <w:vAlign w:val="bottom"/>
            <w:hideMark/>
          </w:tcPr>
          <w:p w14:paraId="6B926DA4"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19,23</w:t>
            </w:r>
          </w:p>
        </w:tc>
      </w:tr>
      <w:tr w:rsidR="0052306D" w:rsidRPr="00B30084" w14:paraId="0AFAD930" w14:textId="77777777" w:rsidTr="002F6E17">
        <w:trPr>
          <w:trHeight w:val="300"/>
        </w:trPr>
        <w:tc>
          <w:tcPr>
            <w:tcW w:w="3434" w:type="dxa"/>
            <w:tcBorders>
              <w:top w:val="nil"/>
              <w:left w:val="single" w:sz="8" w:space="0" w:color="auto"/>
              <w:bottom w:val="single" w:sz="4" w:space="0" w:color="auto"/>
              <w:right w:val="single" w:sz="4" w:space="0" w:color="auto"/>
            </w:tcBorders>
            <w:shd w:val="clear" w:color="auto" w:fill="auto"/>
            <w:noWrap/>
            <w:vAlign w:val="bottom"/>
            <w:hideMark/>
          </w:tcPr>
          <w:p w14:paraId="6D7E78B6"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Средства код НБС</w:t>
            </w:r>
          </w:p>
        </w:tc>
        <w:tc>
          <w:tcPr>
            <w:tcW w:w="1596" w:type="dxa"/>
            <w:tcBorders>
              <w:top w:val="nil"/>
              <w:left w:val="nil"/>
              <w:bottom w:val="single" w:sz="4" w:space="0" w:color="auto"/>
              <w:right w:val="single" w:sz="4" w:space="0" w:color="auto"/>
            </w:tcBorders>
            <w:shd w:val="clear" w:color="auto" w:fill="auto"/>
            <w:noWrap/>
            <w:vAlign w:val="bottom"/>
            <w:hideMark/>
          </w:tcPr>
          <w:p w14:paraId="27E9CB24"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181.,927.970</w:t>
            </w:r>
          </w:p>
        </w:tc>
        <w:tc>
          <w:tcPr>
            <w:tcW w:w="1296" w:type="dxa"/>
            <w:tcBorders>
              <w:top w:val="nil"/>
              <w:left w:val="nil"/>
              <w:bottom w:val="single" w:sz="4" w:space="0" w:color="auto"/>
              <w:right w:val="single" w:sz="4" w:space="0" w:color="auto"/>
            </w:tcBorders>
            <w:shd w:val="clear" w:color="auto" w:fill="auto"/>
            <w:noWrap/>
            <w:vAlign w:val="bottom"/>
            <w:hideMark/>
          </w:tcPr>
          <w:p w14:paraId="4F22E2A5"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1.547.372</w:t>
            </w:r>
          </w:p>
        </w:tc>
        <w:tc>
          <w:tcPr>
            <w:tcW w:w="756" w:type="dxa"/>
            <w:tcBorders>
              <w:top w:val="nil"/>
              <w:left w:val="nil"/>
              <w:bottom w:val="single" w:sz="4" w:space="0" w:color="auto"/>
              <w:right w:val="single" w:sz="8" w:space="0" w:color="auto"/>
            </w:tcBorders>
            <w:shd w:val="clear" w:color="auto" w:fill="auto"/>
            <w:noWrap/>
            <w:vAlign w:val="bottom"/>
            <w:hideMark/>
          </w:tcPr>
          <w:p w14:paraId="085DA11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5,24</w:t>
            </w:r>
          </w:p>
        </w:tc>
      </w:tr>
      <w:tr w:rsidR="0052306D" w:rsidRPr="00B30084" w14:paraId="0260A6AD" w14:textId="77777777" w:rsidTr="002F6E17">
        <w:trPr>
          <w:trHeight w:val="315"/>
        </w:trPr>
        <w:tc>
          <w:tcPr>
            <w:tcW w:w="3434" w:type="dxa"/>
            <w:tcBorders>
              <w:top w:val="nil"/>
              <w:left w:val="single" w:sz="8" w:space="0" w:color="auto"/>
              <w:bottom w:val="single" w:sz="8" w:space="0" w:color="auto"/>
              <w:right w:val="single" w:sz="4" w:space="0" w:color="auto"/>
            </w:tcBorders>
            <w:shd w:val="clear" w:color="auto" w:fill="auto"/>
            <w:noWrap/>
            <w:vAlign w:val="bottom"/>
            <w:hideMark/>
          </w:tcPr>
          <w:p w14:paraId="546ABF62" w14:textId="6CC7EBAA" w:rsidR="0052306D" w:rsidRPr="00B30084" w:rsidRDefault="0052306D" w:rsidP="00FF1383">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 xml:space="preserve">Улагања у недржавне </w:t>
            </w:r>
            <w:r w:rsidR="00FF1383" w:rsidRPr="00B30084">
              <w:rPr>
                <w:rFonts w:ascii="Times New Roman" w:eastAsia="Times New Roman" w:hAnsi="Times New Roman" w:cs="Times New Roman"/>
                <w:color w:val="000000"/>
                <w:sz w:val="24"/>
                <w:szCs w:val="24"/>
                <w:lang w:val="sr-Cyrl-RS"/>
              </w:rPr>
              <w:t>хартије од вредности</w:t>
            </w:r>
          </w:p>
        </w:tc>
        <w:tc>
          <w:tcPr>
            <w:tcW w:w="1596" w:type="dxa"/>
            <w:tcBorders>
              <w:top w:val="nil"/>
              <w:left w:val="nil"/>
              <w:bottom w:val="single" w:sz="8" w:space="0" w:color="auto"/>
              <w:right w:val="single" w:sz="4" w:space="0" w:color="auto"/>
            </w:tcBorders>
            <w:shd w:val="clear" w:color="auto" w:fill="auto"/>
            <w:noWrap/>
            <w:vAlign w:val="bottom"/>
            <w:hideMark/>
          </w:tcPr>
          <w:p w14:paraId="1E3CEE3E"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19.429.260</w:t>
            </w:r>
          </w:p>
        </w:tc>
        <w:tc>
          <w:tcPr>
            <w:tcW w:w="1296" w:type="dxa"/>
            <w:tcBorders>
              <w:top w:val="nil"/>
              <w:left w:val="nil"/>
              <w:bottom w:val="single" w:sz="8" w:space="0" w:color="auto"/>
              <w:right w:val="single" w:sz="4" w:space="0" w:color="auto"/>
            </w:tcBorders>
            <w:shd w:val="clear" w:color="auto" w:fill="auto"/>
            <w:noWrap/>
            <w:vAlign w:val="bottom"/>
            <w:hideMark/>
          </w:tcPr>
          <w:p w14:paraId="228C799F"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165.254</w:t>
            </w:r>
          </w:p>
        </w:tc>
        <w:tc>
          <w:tcPr>
            <w:tcW w:w="756" w:type="dxa"/>
            <w:tcBorders>
              <w:top w:val="nil"/>
              <w:left w:val="nil"/>
              <w:bottom w:val="single" w:sz="8" w:space="0" w:color="auto"/>
              <w:right w:val="single" w:sz="8" w:space="0" w:color="auto"/>
            </w:tcBorders>
            <w:shd w:val="clear" w:color="auto" w:fill="auto"/>
            <w:noWrap/>
            <w:vAlign w:val="bottom"/>
            <w:hideMark/>
          </w:tcPr>
          <w:p w14:paraId="02228BFA" w14:textId="77777777" w:rsidR="0052306D" w:rsidRPr="00B30084" w:rsidRDefault="0052306D" w:rsidP="00E50617">
            <w:pPr>
              <w:spacing w:after="0" w:line="276" w:lineRule="auto"/>
              <w:jc w:val="both"/>
              <w:rPr>
                <w:rFonts w:ascii="Times New Roman" w:eastAsia="Times New Roman" w:hAnsi="Times New Roman" w:cs="Times New Roman"/>
                <w:color w:val="000000"/>
                <w:sz w:val="24"/>
                <w:szCs w:val="24"/>
                <w:lang w:val="sr-Cyrl-RS"/>
              </w:rPr>
            </w:pPr>
            <w:r w:rsidRPr="00B30084">
              <w:rPr>
                <w:rFonts w:ascii="Times New Roman" w:eastAsia="Times New Roman" w:hAnsi="Times New Roman" w:cs="Times New Roman"/>
                <w:color w:val="000000"/>
                <w:sz w:val="24"/>
                <w:szCs w:val="24"/>
                <w:lang w:val="sr-Cyrl-RS"/>
              </w:rPr>
              <w:t>0,56</w:t>
            </w:r>
          </w:p>
        </w:tc>
      </w:tr>
    </w:tbl>
    <w:p w14:paraId="2F461C85" w14:textId="77777777" w:rsidR="002F6E17" w:rsidRPr="00B30084" w:rsidRDefault="002F6E17" w:rsidP="002F6E17">
      <w:pPr>
        <w:jc w:val="both"/>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ЕБРД извештај „Приоритети за развој тржишта капитала у Србији“, Април 2021. године</w:t>
      </w:r>
    </w:p>
    <w:p w14:paraId="48CA325F" w14:textId="6A136DF0" w:rsidR="0052306D" w:rsidRPr="00B30084" w:rsidRDefault="0052306D" w:rsidP="003C5CB1">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Постојећи вишак ликвидности у банкарском сектору индиректно утиче на смањење ликвидности секундарног тржишта трезорских записа. Не постоји потреба да банке тргују трезорским записима јер исте купују и држе их како би а</w:t>
      </w:r>
      <w:r w:rsidR="00A94C26" w:rsidRPr="00B30084">
        <w:rPr>
          <w:rFonts w:ascii="Times New Roman" w:hAnsi="Times New Roman" w:cs="Times New Roman"/>
          <w:sz w:val="24"/>
          <w:szCs w:val="24"/>
          <w:lang w:val="sr-Cyrl-RS"/>
        </w:rPr>
        <w:t>п</w:t>
      </w:r>
      <w:r w:rsidRPr="00B30084">
        <w:rPr>
          <w:rFonts w:ascii="Times New Roman" w:hAnsi="Times New Roman" w:cs="Times New Roman"/>
          <w:sz w:val="24"/>
          <w:szCs w:val="24"/>
          <w:lang w:val="sr-Cyrl-RS"/>
        </w:rPr>
        <w:t xml:space="preserve">сорбовале њихову ликвидност. Данас банке држе 52% </w:t>
      </w:r>
      <w:proofErr w:type="spellStart"/>
      <w:r w:rsidRPr="00B30084">
        <w:rPr>
          <w:rFonts w:ascii="Times New Roman" w:hAnsi="Times New Roman" w:cs="Times New Roman"/>
          <w:sz w:val="24"/>
          <w:szCs w:val="24"/>
          <w:lang w:val="sr-Cyrl-RS"/>
        </w:rPr>
        <w:t>oд</w:t>
      </w:r>
      <w:proofErr w:type="spellEnd"/>
      <w:r w:rsidRPr="00B30084">
        <w:rPr>
          <w:rFonts w:ascii="Times New Roman" w:hAnsi="Times New Roman" w:cs="Times New Roman"/>
          <w:sz w:val="24"/>
          <w:szCs w:val="24"/>
          <w:lang w:val="sr-Cyrl-RS"/>
        </w:rPr>
        <w:t xml:space="preserve"> укупних трезорских записа. Вредност промета ових записа је у 2019. години била 39.8% </w:t>
      </w:r>
      <w:proofErr w:type="spellStart"/>
      <w:r w:rsidRPr="00B30084">
        <w:rPr>
          <w:rFonts w:ascii="Times New Roman" w:hAnsi="Times New Roman" w:cs="Times New Roman"/>
          <w:sz w:val="24"/>
          <w:szCs w:val="24"/>
          <w:lang w:val="sr-Cyrl-RS"/>
        </w:rPr>
        <w:t>oд</w:t>
      </w:r>
      <w:proofErr w:type="spellEnd"/>
      <w:r w:rsidRPr="00B30084">
        <w:rPr>
          <w:rFonts w:ascii="Times New Roman" w:hAnsi="Times New Roman" w:cs="Times New Roman"/>
          <w:sz w:val="24"/>
          <w:szCs w:val="24"/>
          <w:lang w:val="sr-Cyrl-RS"/>
        </w:rPr>
        <w:t xml:space="preserve"> салда номиналне вредности. </w:t>
      </w:r>
    </w:p>
    <w:p w14:paraId="24579FCE" w14:textId="36327732" w:rsidR="0035402C" w:rsidRPr="00B30084" w:rsidRDefault="0052306D" w:rsidP="00C20085">
      <w:pPr>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u w:val="single"/>
          <w:lang w:val="sr-Cyrl-RS"/>
        </w:rPr>
        <w:t>Инвестиционе фондове</w:t>
      </w:r>
      <w:r w:rsidRPr="00B30084">
        <w:rPr>
          <w:rFonts w:ascii="Times New Roman" w:hAnsi="Times New Roman" w:cs="Times New Roman"/>
          <w:sz w:val="24"/>
          <w:szCs w:val="24"/>
          <w:lang w:val="sr-Cyrl-RS"/>
        </w:rPr>
        <w:t xml:space="preserve"> видимо као једну од значајних категорија тржишта капитала када говоримо о тражњи. На крају 2020. године у Србији је било 18 инвестиционих фондова и 5 друштава за управљање истих које управљају имовином вредности РСД 51,8  милијарди (€ 55 милиона). Тренутно је овај сектор орјентисан на улагања у краткорочне </w:t>
      </w:r>
      <w:r w:rsidR="004C03B3" w:rsidRPr="00B30084">
        <w:rPr>
          <w:rFonts w:ascii="Times New Roman" w:hAnsi="Times New Roman" w:cs="Times New Roman"/>
          <w:sz w:val="24"/>
          <w:szCs w:val="24"/>
          <w:lang w:val="sr-Cyrl-RS"/>
        </w:rPr>
        <w:t>финансијске инструменте</w:t>
      </w:r>
      <w:r w:rsidRPr="00B30084">
        <w:rPr>
          <w:rFonts w:ascii="Times New Roman" w:hAnsi="Times New Roman" w:cs="Times New Roman"/>
          <w:sz w:val="24"/>
          <w:szCs w:val="24"/>
          <w:lang w:val="sr-Cyrl-RS"/>
        </w:rPr>
        <w:t xml:space="preserve"> са фиксним приходом</w:t>
      </w:r>
      <w:r w:rsidR="0035402C" w:rsidRPr="00B30084">
        <w:rPr>
          <w:rFonts w:ascii="Times New Roman" w:hAnsi="Times New Roman" w:cs="Times New Roman"/>
          <w:sz w:val="24"/>
          <w:szCs w:val="24"/>
          <w:lang w:val="sr-Cyrl-RS"/>
        </w:rPr>
        <w:t xml:space="preserve"> (8 инвестиционих фондова)</w:t>
      </w:r>
      <w:r w:rsidRPr="00B30084">
        <w:rPr>
          <w:rFonts w:ascii="Times New Roman" w:hAnsi="Times New Roman" w:cs="Times New Roman"/>
          <w:sz w:val="24"/>
          <w:szCs w:val="24"/>
          <w:lang w:val="sr-Cyrl-RS"/>
        </w:rPr>
        <w:t xml:space="preserve">, али би доношење Закона о отвореним фондовима са јавном понудом и Закона о </w:t>
      </w:r>
      <w:proofErr w:type="spellStart"/>
      <w:r w:rsidRPr="00B30084">
        <w:rPr>
          <w:rFonts w:ascii="Times New Roman" w:hAnsi="Times New Roman" w:cs="Times New Roman"/>
          <w:sz w:val="24"/>
          <w:szCs w:val="24"/>
          <w:lang w:val="sr-Cyrl-RS"/>
        </w:rPr>
        <w:t>алтеративним</w:t>
      </w:r>
      <w:proofErr w:type="spellEnd"/>
      <w:r w:rsidRPr="00B30084">
        <w:rPr>
          <w:rFonts w:ascii="Times New Roman" w:hAnsi="Times New Roman" w:cs="Times New Roman"/>
          <w:sz w:val="24"/>
          <w:szCs w:val="24"/>
          <w:lang w:val="sr-Cyrl-RS"/>
        </w:rPr>
        <w:t xml:space="preserve"> инвестиционим фондовима могло </w:t>
      </w:r>
      <w:r w:rsidRPr="00D47F0E">
        <w:rPr>
          <w:rFonts w:ascii="Times New Roman" w:hAnsi="Times New Roman" w:cs="Times New Roman"/>
          <w:sz w:val="24"/>
          <w:szCs w:val="24"/>
          <w:lang w:val="sr-Cyrl-RS"/>
        </w:rPr>
        <w:t xml:space="preserve">позитивно да се одрази на будуће пословање инвестиционих фондова и њихово дугорочно улагање. </w:t>
      </w:r>
      <w:r w:rsidR="0035402C" w:rsidRPr="00D47F0E">
        <w:rPr>
          <w:rFonts w:ascii="Times New Roman" w:hAnsi="Times New Roman" w:cs="Times New Roman"/>
          <w:sz w:val="24"/>
          <w:szCs w:val="24"/>
          <w:lang w:val="sr-Cyrl-RS"/>
        </w:rPr>
        <w:t xml:space="preserve">Овом Стратегијом желимо да постигнемо раст улагања инвестиционих фондова у дугорочне </w:t>
      </w:r>
      <w:r w:rsidR="00514563" w:rsidRPr="00D47F0E">
        <w:rPr>
          <w:rFonts w:ascii="Times New Roman" w:hAnsi="Times New Roman" w:cs="Times New Roman"/>
          <w:sz w:val="24"/>
          <w:szCs w:val="24"/>
          <w:lang w:val="sr-Cyrl-RS"/>
        </w:rPr>
        <w:t>хартије од вредности</w:t>
      </w:r>
      <w:r w:rsidR="0035402C" w:rsidRPr="00D47F0E">
        <w:rPr>
          <w:rFonts w:ascii="Times New Roman" w:hAnsi="Times New Roman" w:cs="Times New Roman"/>
          <w:sz w:val="24"/>
          <w:szCs w:val="24"/>
          <w:lang w:val="sr-Cyrl-RS"/>
        </w:rPr>
        <w:t xml:space="preserve"> на начин да овај проценат достигне ниво од </w:t>
      </w:r>
      <w:r w:rsidR="00777653" w:rsidRPr="00D47F0E">
        <w:rPr>
          <w:rFonts w:ascii="Times New Roman" w:hAnsi="Times New Roman" w:cs="Times New Roman"/>
          <w:sz w:val="24"/>
          <w:szCs w:val="24"/>
          <w:lang w:val="sr-Latn-RS"/>
        </w:rPr>
        <w:t>1</w:t>
      </w:r>
      <w:r w:rsidR="0035402C" w:rsidRPr="00D47F0E">
        <w:rPr>
          <w:rFonts w:ascii="Times New Roman" w:hAnsi="Times New Roman" w:cs="Times New Roman"/>
          <w:sz w:val="24"/>
          <w:szCs w:val="24"/>
          <w:lang w:val="sr-Cyrl-RS"/>
        </w:rPr>
        <w:t xml:space="preserve">5% до краја 2026. године. </w:t>
      </w:r>
      <w:r w:rsidR="004E0EF7" w:rsidRPr="00D47F0E">
        <w:rPr>
          <w:rFonts w:ascii="Times New Roman" w:hAnsi="Times New Roman" w:cs="Times New Roman"/>
          <w:sz w:val="24"/>
          <w:szCs w:val="24"/>
          <w:lang w:val="sr-Cyrl-RS"/>
        </w:rPr>
        <w:t xml:space="preserve">Тренд кретања имовине којом управљају инвестициони фондови је приказан у Табели </w:t>
      </w:r>
      <w:r w:rsidR="00BF3002" w:rsidRPr="00D47F0E">
        <w:rPr>
          <w:rFonts w:ascii="Times New Roman" w:hAnsi="Times New Roman" w:cs="Times New Roman"/>
          <w:sz w:val="24"/>
          <w:szCs w:val="24"/>
          <w:lang w:val="sr-Cyrl-RS"/>
        </w:rPr>
        <w:t>6</w:t>
      </w:r>
      <w:r w:rsidR="004E0EF7" w:rsidRPr="00D47F0E">
        <w:rPr>
          <w:rFonts w:ascii="Times New Roman" w:hAnsi="Times New Roman" w:cs="Times New Roman"/>
          <w:sz w:val="24"/>
          <w:szCs w:val="24"/>
          <w:lang w:val="sr-Cyrl-RS"/>
        </w:rPr>
        <w:t>. и пратећем</w:t>
      </w:r>
      <w:r w:rsidR="004E0EF7" w:rsidRPr="00B30084">
        <w:rPr>
          <w:rFonts w:ascii="Times New Roman" w:hAnsi="Times New Roman" w:cs="Times New Roman"/>
          <w:sz w:val="24"/>
          <w:szCs w:val="24"/>
          <w:lang w:val="sr-Cyrl-RS"/>
        </w:rPr>
        <w:t xml:space="preserve"> графикону.</w:t>
      </w:r>
    </w:p>
    <w:p w14:paraId="5C5C7130" w14:textId="77777777" w:rsidR="003F7D83" w:rsidRPr="00B30084" w:rsidRDefault="003F7D83" w:rsidP="0035402C">
      <w:pPr>
        <w:ind w:firstLine="360"/>
        <w:jc w:val="both"/>
        <w:rPr>
          <w:rFonts w:ascii="Times New Roman" w:hAnsi="Times New Roman" w:cs="Times New Roman"/>
          <w:sz w:val="24"/>
          <w:szCs w:val="24"/>
          <w:lang w:val="sr-Cyrl-RS"/>
        </w:rPr>
      </w:pPr>
    </w:p>
    <w:p w14:paraId="6182C72F" w14:textId="77777777" w:rsidR="003F7D83" w:rsidRPr="00B30084" w:rsidRDefault="003F7D83" w:rsidP="0035402C">
      <w:pPr>
        <w:ind w:firstLine="360"/>
        <w:jc w:val="both"/>
        <w:rPr>
          <w:rFonts w:ascii="Times New Roman" w:hAnsi="Times New Roman" w:cs="Times New Roman"/>
          <w:sz w:val="24"/>
          <w:szCs w:val="24"/>
          <w:lang w:val="sr-Cyrl-RS"/>
        </w:rPr>
      </w:pPr>
    </w:p>
    <w:p w14:paraId="6DD463D9" w14:textId="4E02EE74" w:rsidR="0035402C" w:rsidRPr="00B30084" w:rsidRDefault="0035402C" w:rsidP="0035402C">
      <w:pPr>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 xml:space="preserve">Табела </w:t>
      </w:r>
      <w:r w:rsidR="00BF3002" w:rsidRPr="00B30084">
        <w:rPr>
          <w:rFonts w:ascii="Times New Roman" w:hAnsi="Times New Roman" w:cs="Times New Roman"/>
          <w:sz w:val="24"/>
          <w:szCs w:val="24"/>
          <w:lang w:val="sr-Cyrl-RS"/>
        </w:rPr>
        <w:t>6</w:t>
      </w:r>
      <w:r w:rsidRPr="00B30084">
        <w:rPr>
          <w:rFonts w:ascii="Times New Roman" w:hAnsi="Times New Roman" w:cs="Times New Roman"/>
          <w:sz w:val="24"/>
          <w:szCs w:val="24"/>
          <w:lang w:val="sr-Cyrl-RS"/>
        </w:rPr>
        <w:t>. Тренд кретања имовине којом управљају инвестициони фондови у периоду 2015 - 2020</w:t>
      </w:r>
    </w:p>
    <w:tbl>
      <w:tblPr>
        <w:tblW w:w="9524" w:type="dxa"/>
        <w:tblInd w:w="-5" w:type="dxa"/>
        <w:tblLook w:val="04A0" w:firstRow="1" w:lastRow="0" w:firstColumn="1" w:lastColumn="0" w:noHBand="0" w:noVBand="1"/>
      </w:tblPr>
      <w:tblGrid>
        <w:gridCol w:w="837"/>
        <w:gridCol w:w="1525"/>
        <w:gridCol w:w="1457"/>
        <w:gridCol w:w="1380"/>
        <w:gridCol w:w="1422"/>
        <w:gridCol w:w="1384"/>
        <w:gridCol w:w="1530"/>
      </w:tblGrid>
      <w:tr w:rsidR="0035402C" w:rsidRPr="00B30084" w14:paraId="630D9F2A" w14:textId="77777777" w:rsidTr="00E87DA0">
        <w:trPr>
          <w:trHeight w:val="1264"/>
        </w:trPr>
        <w:tc>
          <w:tcPr>
            <w:tcW w:w="83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807731F"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Година</w:t>
            </w:r>
            <w:proofErr w:type="spellEnd"/>
          </w:p>
        </w:tc>
        <w:tc>
          <w:tcPr>
            <w:tcW w:w="1521" w:type="dxa"/>
            <w:tcBorders>
              <w:top w:val="single" w:sz="4" w:space="0" w:color="auto"/>
              <w:left w:val="nil"/>
              <w:bottom w:val="single" w:sz="4" w:space="0" w:color="auto"/>
              <w:right w:val="single" w:sz="4" w:space="0" w:color="auto"/>
            </w:tcBorders>
            <w:shd w:val="clear" w:color="000000" w:fill="00B0F0"/>
            <w:vAlign w:val="bottom"/>
            <w:hideMark/>
          </w:tcPr>
          <w:p w14:paraId="20D82655"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Број</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инвестиционих</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фондова</w:t>
            </w:r>
            <w:proofErr w:type="spellEnd"/>
          </w:p>
        </w:tc>
        <w:tc>
          <w:tcPr>
            <w:tcW w:w="1457" w:type="dxa"/>
            <w:tcBorders>
              <w:top w:val="single" w:sz="4" w:space="0" w:color="auto"/>
              <w:left w:val="nil"/>
              <w:bottom w:val="single" w:sz="4" w:space="0" w:color="auto"/>
              <w:right w:val="single" w:sz="4" w:space="0" w:color="auto"/>
            </w:tcBorders>
            <w:shd w:val="clear" w:color="000000" w:fill="00B0F0"/>
            <w:vAlign w:val="bottom"/>
            <w:hideMark/>
          </w:tcPr>
          <w:p w14:paraId="1F435BF4"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Имовина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којом</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управљају</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инвестициона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друштва</w:t>
            </w:r>
            <w:proofErr w:type="spellEnd"/>
            <w:r w:rsidRPr="00B30084">
              <w:rPr>
                <w:rFonts w:ascii="Times New Roman" w:eastAsia="Times New Roman" w:hAnsi="Times New Roman" w:cs="Times New Roman"/>
                <w:color w:val="000000"/>
                <w:sz w:val="20"/>
                <w:szCs w:val="20"/>
              </w:rPr>
              <w:t xml:space="preserve"> (РСД 000)</w:t>
            </w:r>
          </w:p>
        </w:tc>
        <w:tc>
          <w:tcPr>
            <w:tcW w:w="1380" w:type="dxa"/>
            <w:tcBorders>
              <w:top w:val="single" w:sz="4" w:space="0" w:color="auto"/>
              <w:left w:val="nil"/>
              <w:bottom w:val="single" w:sz="4" w:space="0" w:color="auto"/>
              <w:right w:val="single" w:sz="4" w:space="0" w:color="auto"/>
            </w:tcBorders>
            <w:shd w:val="clear" w:color="000000" w:fill="00B0F0"/>
            <w:vAlign w:val="bottom"/>
            <w:hideMark/>
          </w:tcPr>
          <w:p w14:paraId="762B67A5"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Приливи</w:t>
            </w:r>
            <w:proofErr w:type="spellEnd"/>
            <w:r w:rsidRPr="00B30084">
              <w:rPr>
                <w:rFonts w:ascii="Times New Roman" w:eastAsia="Times New Roman" w:hAnsi="Times New Roman" w:cs="Times New Roman"/>
                <w:color w:val="000000"/>
                <w:sz w:val="20"/>
                <w:szCs w:val="20"/>
              </w:rPr>
              <w:t xml:space="preserve"> (+/-) (РСД 000)</w:t>
            </w:r>
          </w:p>
        </w:tc>
        <w:tc>
          <w:tcPr>
            <w:tcW w:w="1422" w:type="dxa"/>
            <w:tcBorders>
              <w:top w:val="single" w:sz="4" w:space="0" w:color="auto"/>
              <w:left w:val="nil"/>
              <w:bottom w:val="single" w:sz="4" w:space="0" w:color="auto"/>
              <w:right w:val="single" w:sz="4" w:space="0" w:color="auto"/>
            </w:tcBorders>
            <w:shd w:val="clear" w:color="000000" w:fill="00B0F0"/>
            <w:vAlign w:val="bottom"/>
            <w:hideMark/>
          </w:tcPr>
          <w:p w14:paraId="7A341422"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Имовина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којом</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управљају</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инвестициона</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друштва</w:t>
            </w:r>
            <w:proofErr w:type="spellEnd"/>
            <w:r w:rsidRPr="00B30084">
              <w:rPr>
                <w:rFonts w:ascii="Times New Roman" w:eastAsia="Times New Roman" w:hAnsi="Times New Roman" w:cs="Times New Roman"/>
                <w:color w:val="000000"/>
                <w:sz w:val="20"/>
                <w:szCs w:val="20"/>
              </w:rPr>
              <w:t xml:space="preserve"> (ЕУР 000)</w:t>
            </w:r>
          </w:p>
        </w:tc>
        <w:tc>
          <w:tcPr>
            <w:tcW w:w="1384" w:type="dxa"/>
            <w:tcBorders>
              <w:top w:val="single" w:sz="4" w:space="0" w:color="auto"/>
              <w:left w:val="nil"/>
              <w:bottom w:val="single" w:sz="4" w:space="0" w:color="auto"/>
              <w:right w:val="single" w:sz="4" w:space="0" w:color="auto"/>
            </w:tcBorders>
            <w:shd w:val="clear" w:color="000000" w:fill="00B0F0"/>
            <w:vAlign w:val="bottom"/>
            <w:hideMark/>
          </w:tcPr>
          <w:p w14:paraId="3AF54B79"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proofErr w:type="spellStart"/>
            <w:r w:rsidRPr="00B30084">
              <w:rPr>
                <w:rFonts w:ascii="Times New Roman" w:eastAsia="Times New Roman" w:hAnsi="Times New Roman" w:cs="Times New Roman"/>
                <w:color w:val="000000"/>
                <w:sz w:val="20"/>
                <w:szCs w:val="20"/>
              </w:rPr>
              <w:t>Приливи</w:t>
            </w:r>
            <w:proofErr w:type="spellEnd"/>
            <w:r w:rsidRPr="00B30084">
              <w:rPr>
                <w:rFonts w:ascii="Times New Roman" w:eastAsia="Times New Roman" w:hAnsi="Times New Roman" w:cs="Times New Roman"/>
                <w:color w:val="000000"/>
                <w:sz w:val="20"/>
                <w:szCs w:val="20"/>
              </w:rPr>
              <w:t xml:space="preserve"> (+/-) (ЕУР 000)</w:t>
            </w:r>
          </w:p>
        </w:tc>
        <w:tc>
          <w:tcPr>
            <w:tcW w:w="1530" w:type="dxa"/>
            <w:tcBorders>
              <w:top w:val="single" w:sz="4" w:space="0" w:color="auto"/>
              <w:left w:val="nil"/>
              <w:bottom w:val="single" w:sz="4" w:space="0" w:color="auto"/>
              <w:right w:val="single" w:sz="4" w:space="0" w:color="auto"/>
            </w:tcBorders>
            <w:shd w:val="clear" w:color="000000" w:fill="00B0F0"/>
            <w:vAlign w:val="bottom"/>
            <w:hideMark/>
          </w:tcPr>
          <w:p w14:paraId="6F5D22D1"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промене</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имовине</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којом</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управљају</w:t>
            </w:r>
            <w:proofErr w:type="spellEnd"/>
            <w:r w:rsidRPr="00B30084">
              <w:rPr>
                <w:rFonts w:ascii="Times New Roman" w:eastAsia="Times New Roman" w:hAnsi="Times New Roman" w:cs="Times New Roman"/>
                <w:color w:val="000000"/>
                <w:sz w:val="20"/>
                <w:szCs w:val="20"/>
              </w:rPr>
              <w:t xml:space="preserve"> </w:t>
            </w:r>
            <w:proofErr w:type="spellStart"/>
            <w:r w:rsidRPr="00B30084">
              <w:rPr>
                <w:rFonts w:ascii="Times New Roman" w:eastAsia="Times New Roman" w:hAnsi="Times New Roman" w:cs="Times New Roman"/>
                <w:color w:val="000000"/>
                <w:sz w:val="20"/>
                <w:szCs w:val="20"/>
              </w:rPr>
              <w:t>фондови</w:t>
            </w:r>
            <w:proofErr w:type="spellEnd"/>
          </w:p>
        </w:tc>
      </w:tr>
      <w:tr w:rsidR="0035402C" w:rsidRPr="00B30084" w14:paraId="20C63546" w14:textId="77777777" w:rsidTr="00E87DA0">
        <w:trPr>
          <w:trHeight w:val="49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1C9FF630"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2015</w:t>
            </w:r>
          </w:p>
        </w:tc>
        <w:tc>
          <w:tcPr>
            <w:tcW w:w="1521" w:type="dxa"/>
            <w:tcBorders>
              <w:top w:val="nil"/>
              <w:left w:val="nil"/>
              <w:bottom w:val="single" w:sz="4" w:space="0" w:color="auto"/>
              <w:right w:val="single" w:sz="4" w:space="0" w:color="auto"/>
            </w:tcBorders>
            <w:shd w:val="clear" w:color="auto" w:fill="auto"/>
            <w:noWrap/>
            <w:vAlign w:val="bottom"/>
            <w:hideMark/>
          </w:tcPr>
          <w:p w14:paraId="3FB44071"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13</w:t>
            </w:r>
          </w:p>
        </w:tc>
        <w:tc>
          <w:tcPr>
            <w:tcW w:w="1457" w:type="dxa"/>
            <w:tcBorders>
              <w:top w:val="nil"/>
              <w:left w:val="nil"/>
              <w:bottom w:val="single" w:sz="4" w:space="0" w:color="auto"/>
              <w:right w:val="single" w:sz="4" w:space="0" w:color="auto"/>
            </w:tcBorders>
            <w:shd w:val="clear" w:color="auto" w:fill="auto"/>
            <w:noWrap/>
            <w:vAlign w:val="bottom"/>
            <w:hideMark/>
          </w:tcPr>
          <w:p w14:paraId="011900F4"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17,128,940.00</w:t>
            </w:r>
          </w:p>
        </w:tc>
        <w:tc>
          <w:tcPr>
            <w:tcW w:w="1380" w:type="dxa"/>
            <w:tcBorders>
              <w:top w:val="nil"/>
              <w:left w:val="nil"/>
              <w:bottom w:val="single" w:sz="4" w:space="0" w:color="auto"/>
              <w:right w:val="single" w:sz="4" w:space="0" w:color="auto"/>
            </w:tcBorders>
            <w:shd w:val="clear" w:color="auto" w:fill="auto"/>
            <w:noWrap/>
            <w:vAlign w:val="bottom"/>
            <w:hideMark/>
          </w:tcPr>
          <w:p w14:paraId="37463236"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 </w:t>
            </w:r>
          </w:p>
        </w:tc>
        <w:tc>
          <w:tcPr>
            <w:tcW w:w="1422" w:type="dxa"/>
            <w:tcBorders>
              <w:top w:val="nil"/>
              <w:left w:val="nil"/>
              <w:bottom w:val="single" w:sz="4" w:space="0" w:color="auto"/>
              <w:right w:val="single" w:sz="4" w:space="0" w:color="auto"/>
            </w:tcBorders>
            <w:shd w:val="clear" w:color="auto" w:fill="auto"/>
            <w:noWrap/>
            <w:vAlign w:val="bottom"/>
            <w:hideMark/>
          </w:tcPr>
          <w:p w14:paraId="1B01037C"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140,833.00</w:t>
            </w:r>
          </w:p>
        </w:tc>
        <w:tc>
          <w:tcPr>
            <w:tcW w:w="1384" w:type="dxa"/>
            <w:tcBorders>
              <w:top w:val="nil"/>
              <w:left w:val="nil"/>
              <w:bottom w:val="single" w:sz="4" w:space="0" w:color="auto"/>
              <w:right w:val="single" w:sz="4" w:space="0" w:color="auto"/>
            </w:tcBorders>
            <w:shd w:val="clear" w:color="auto" w:fill="auto"/>
            <w:noWrap/>
            <w:vAlign w:val="bottom"/>
            <w:hideMark/>
          </w:tcPr>
          <w:p w14:paraId="10EF5E07"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F6EBF0" w14:textId="77777777" w:rsidR="0035402C" w:rsidRPr="00B30084" w:rsidRDefault="0035402C" w:rsidP="00E87DA0">
            <w:pPr>
              <w:spacing w:after="0" w:line="240" w:lineRule="auto"/>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 </w:t>
            </w:r>
          </w:p>
        </w:tc>
      </w:tr>
      <w:tr w:rsidR="0035402C" w:rsidRPr="00B30084" w14:paraId="34F527D5" w14:textId="77777777" w:rsidTr="00E87DA0">
        <w:trPr>
          <w:trHeight w:val="49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6EF68529"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2016</w:t>
            </w:r>
          </w:p>
        </w:tc>
        <w:tc>
          <w:tcPr>
            <w:tcW w:w="1521" w:type="dxa"/>
            <w:tcBorders>
              <w:top w:val="nil"/>
              <w:left w:val="nil"/>
              <w:bottom w:val="single" w:sz="4" w:space="0" w:color="auto"/>
              <w:right w:val="single" w:sz="4" w:space="0" w:color="auto"/>
            </w:tcBorders>
            <w:shd w:val="clear" w:color="auto" w:fill="auto"/>
            <w:noWrap/>
            <w:vAlign w:val="bottom"/>
            <w:hideMark/>
          </w:tcPr>
          <w:p w14:paraId="025F61B8"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13</w:t>
            </w:r>
          </w:p>
        </w:tc>
        <w:tc>
          <w:tcPr>
            <w:tcW w:w="1457" w:type="dxa"/>
            <w:tcBorders>
              <w:top w:val="nil"/>
              <w:left w:val="nil"/>
              <w:bottom w:val="single" w:sz="4" w:space="0" w:color="auto"/>
              <w:right w:val="single" w:sz="4" w:space="0" w:color="auto"/>
            </w:tcBorders>
            <w:shd w:val="clear" w:color="auto" w:fill="auto"/>
            <w:noWrap/>
            <w:vAlign w:val="bottom"/>
            <w:hideMark/>
          </w:tcPr>
          <w:p w14:paraId="20349202"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21,122,820.00</w:t>
            </w:r>
          </w:p>
        </w:tc>
        <w:tc>
          <w:tcPr>
            <w:tcW w:w="1380" w:type="dxa"/>
            <w:tcBorders>
              <w:top w:val="nil"/>
              <w:left w:val="nil"/>
              <w:bottom w:val="single" w:sz="4" w:space="0" w:color="auto"/>
              <w:right w:val="single" w:sz="4" w:space="0" w:color="auto"/>
            </w:tcBorders>
            <w:shd w:val="clear" w:color="auto" w:fill="auto"/>
            <w:noWrap/>
            <w:vAlign w:val="bottom"/>
            <w:hideMark/>
          </w:tcPr>
          <w:p w14:paraId="1BD2191E"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3,993,880.00</w:t>
            </w:r>
          </w:p>
        </w:tc>
        <w:tc>
          <w:tcPr>
            <w:tcW w:w="1422" w:type="dxa"/>
            <w:tcBorders>
              <w:top w:val="nil"/>
              <w:left w:val="nil"/>
              <w:bottom w:val="single" w:sz="4" w:space="0" w:color="auto"/>
              <w:right w:val="single" w:sz="4" w:space="0" w:color="auto"/>
            </w:tcBorders>
            <w:shd w:val="clear" w:color="auto" w:fill="auto"/>
            <w:noWrap/>
            <w:vAlign w:val="bottom"/>
            <w:hideMark/>
          </w:tcPr>
          <w:p w14:paraId="661A5BD4"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171,073.00</w:t>
            </w:r>
          </w:p>
        </w:tc>
        <w:tc>
          <w:tcPr>
            <w:tcW w:w="1384" w:type="dxa"/>
            <w:tcBorders>
              <w:top w:val="nil"/>
              <w:left w:val="nil"/>
              <w:bottom w:val="single" w:sz="4" w:space="0" w:color="auto"/>
              <w:right w:val="single" w:sz="4" w:space="0" w:color="auto"/>
            </w:tcBorders>
            <w:shd w:val="clear" w:color="auto" w:fill="auto"/>
            <w:noWrap/>
            <w:vAlign w:val="bottom"/>
            <w:hideMark/>
          </w:tcPr>
          <w:p w14:paraId="1C41BC3E"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30,241.00</w:t>
            </w:r>
          </w:p>
        </w:tc>
        <w:tc>
          <w:tcPr>
            <w:tcW w:w="1530" w:type="dxa"/>
            <w:tcBorders>
              <w:top w:val="nil"/>
              <w:left w:val="nil"/>
              <w:bottom w:val="single" w:sz="4" w:space="0" w:color="auto"/>
              <w:right w:val="single" w:sz="4" w:space="0" w:color="auto"/>
            </w:tcBorders>
            <w:shd w:val="clear" w:color="auto" w:fill="auto"/>
            <w:noWrap/>
            <w:vAlign w:val="bottom"/>
            <w:hideMark/>
          </w:tcPr>
          <w:p w14:paraId="20DF6367"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23.00</w:t>
            </w:r>
          </w:p>
        </w:tc>
      </w:tr>
      <w:tr w:rsidR="0035402C" w:rsidRPr="00B30084" w14:paraId="79253BD6" w14:textId="77777777" w:rsidTr="00E87DA0">
        <w:trPr>
          <w:trHeight w:val="49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C05DFCF"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2017</w:t>
            </w:r>
          </w:p>
        </w:tc>
        <w:tc>
          <w:tcPr>
            <w:tcW w:w="1521" w:type="dxa"/>
            <w:tcBorders>
              <w:top w:val="nil"/>
              <w:left w:val="nil"/>
              <w:bottom w:val="single" w:sz="4" w:space="0" w:color="auto"/>
              <w:right w:val="single" w:sz="4" w:space="0" w:color="auto"/>
            </w:tcBorders>
            <w:shd w:val="clear" w:color="auto" w:fill="auto"/>
            <w:noWrap/>
            <w:vAlign w:val="bottom"/>
            <w:hideMark/>
          </w:tcPr>
          <w:p w14:paraId="4867E256"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19</w:t>
            </w:r>
          </w:p>
        </w:tc>
        <w:tc>
          <w:tcPr>
            <w:tcW w:w="1457" w:type="dxa"/>
            <w:tcBorders>
              <w:top w:val="nil"/>
              <w:left w:val="nil"/>
              <w:bottom w:val="single" w:sz="4" w:space="0" w:color="auto"/>
              <w:right w:val="single" w:sz="4" w:space="0" w:color="auto"/>
            </w:tcBorders>
            <w:shd w:val="clear" w:color="auto" w:fill="auto"/>
            <w:noWrap/>
            <w:vAlign w:val="bottom"/>
            <w:hideMark/>
          </w:tcPr>
          <w:p w14:paraId="5462EAC9"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25,293,170.00</w:t>
            </w:r>
          </w:p>
        </w:tc>
        <w:tc>
          <w:tcPr>
            <w:tcW w:w="1380" w:type="dxa"/>
            <w:tcBorders>
              <w:top w:val="nil"/>
              <w:left w:val="nil"/>
              <w:bottom w:val="single" w:sz="4" w:space="0" w:color="auto"/>
              <w:right w:val="single" w:sz="4" w:space="0" w:color="auto"/>
            </w:tcBorders>
            <w:shd w:val="clear" w:color="auto" w:fill="auto"/>
            <w:noWrap/>
            <w:vAlign w:val="bottom"/>
            <w:hideMark/>
          </w:tcPr>
          <w:p w14:paraId="71D61049"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4,170,350.00</w:t>
            </w:r>
          </w:p>
        </w:tc>
        <w:tc>
          <w:tcPr>
            <w:tcW w:w="1422" w:type="dxa"/>
            <w:tcBorders>
              <w:top w:val="nil"/>
              <w:left w:val="nil"/>
              <w:bottom w:val="single" w:sz="4" w:space="0" w:color="auto"/>
              <w:right w:val="single" w:sz="4" w:space="0" w:color="auto"/>
            </w:tcBorders>
            <w:shd w:val="clear" w:color="auto" w:fill="auto"/>
            <w:noWrap/>
            <w:vAlign w:val="bottom"/>
            <w:hideMark/>
          </w:tcPr>
          <w:p w14:paraId="3C3BB69B"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213,494.00</w:t>
            </w:r>
          </w:p>
        </w:tc>
        <w:tc>
          <w:tcPr>
            <w:tcW w:w="1384" w:type="dxa"/>
            <w:tcBorders>
              <w:top w:val="nil"/>
              <w:left w:val="nil"/>
              <w:bottom w:val="single" w:sz="4" w:space="0" w:color="auto"/>
              <w:right w:val="single" w:sz="4" w:space="0" w:color="auto"/>
            </w:tcBorders>
            <w:shd w:val="clear" w:color="auto" w:fill="auto"/>
            <w:noWrap/>
            <w:vAlign w:val="bottom"/>
            <w:hideMark/>
          </w:tcPr>
          <w:p w14:paraId="59D93C56"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42,420.00</w:t>
            </w:r>
          </w:p>
        </w:tc>
        <w:tc>
          <w:tcPr>
            <w:tcW w:w="1530" w:type="dxa"/>
            <w:tcBorders>
              <w:top w:val="nil"/>
              <w:left w:val="nil"/>
              <w:bottom w:val="single" w:sz="4" w:space="0" w:color="auto"/>
              <w:right w:val="single" w:sz="4" w:space="0" w:color="auto"/>
            </w:tcBorders>
            <w:shd w:val="clear" w:color="auto" w:fill="auto"/>
            <w:noWrap/>
            <w:vAlign w:val="bottom"/>
            <w:hideMark/>
          </w:tcPr>
          <w:p w14:paraId="7DEC9BE2"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20.00</w:t>
            </w:r>
          </w:p>
        </w:tc>
      </w:tr>
      <w:tr w:rsidR="0035402C" w:rsidRPr="00B30084" w14:paraId="6B4EA455" w14:textId="77777777" w:rsidTr="00E87DA0">
        <w:trPr>
          <w:trHeight w:val="49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247581FF"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2018</w:t>
            </w:r>
          </w:p>
        </w:tc>
        <w:tc>
          <w:tcPr>
            <w:tcW w:w="1521" w:type="dxa"/>
            <w:tcBorders>
              <w:top w:val="nil"/>
              <w:left w:val="nil"/>
              <w:bottom w:val="single" w:sz="4" w:space="0" w:color="auto"/>
              <w:right w:val="single" w:sz="4" w:space="0" w:color="auto"/>
            </w:tcBorders>
            <w:shd w:val="clear" w:color="auto" w:fill="auto"/>
            <w:noWrap/>
            <w:vAlign w:val="bottom"/>
            <w:hideMark/>
          </w:tcPr>
          <w:p w14:paraId="4B08D3DA"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21</w:t>
            </w:r>
          </w:p>
        </w:tc>
        <w:tc>
          <w:tcPr>
            <w:tcW w:w="1457" w:type="dxa"/>
            <w:tcBorders>
              <w:top w:val="nil"/>
              <w:left w:val="nil"/>
              <w:bottom w:val="single" w:sz="4" w:space="0" w:color="auto"/>
              <w:right w:val="single" w:sz="4" w:space="0" w:color="auto"/>
            </w:tcBorders>
            <w:shd w:val="clear" w:color="auto" w:fill="auto"/>
            <w:noWrap/>
            <w:vAlign w:val="bottom"/>
            <w:hideMark/>
          </w:tcPr>
          <w:p w14:paraId="2CB41F39"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27,623,070.00</w:t>
            </w:r>
          </w:p>
        </w:tc>
        <w:tc>
          <w:tcPr>
            <w:tcW w:w="1380" w:type="dxa"/>
            <w:tcBorders>
              <w:top w:val="nil"/>
              <w:left w:val="nil"/>
              <w:bottom w:val="single" w:sz="4" w:space="0" w:color="auto"/>
              <w:right w:val="single" w:sz="4" w:space="0" w:color="auto"/>
            </w:tcBorders>
            <w:shd w:val="clear" w:color="auto" w:fill="auto"/>
            <w:noWrap/>
            <w:vAlign w:val="bottom"/>
            <w:hideMark/>
          </w:tcPr>
          <w:p w14:paraId="151E9D0F"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2,329,900.00</w:t>
            </w:r>
          </w:p>
        </w:tc>
        <w:tc>
          <w:tcPr>
            <w:tcW w:w="1422" w:type="dxa"/>
            <w:tcBorders>
              <w:top w:val="nil"/>
              <w:left w:val="nil"/>
              <w:bottom w:val="single" w:sz="4" w:space="0" w:color="auto"/>
              <w:right w:val="single" w:sz="4" w:space="0" w:color="auto"/>
            </w:tcBorders>
            <w:shd w:val="clear" w:color="auto" w:fill="auto"/>
            <w:noWrap/>
            <w:vAlign w:val="bottom"/>
            <w:hideMark/>
          </w:tcPr>
          <w:p w14:paraId="527C09A3"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233,708.00</w:t>
            </w:r>
          </w:p>
        </w:tc>
        <w:tc>
          <w:tcPr>
            <w:tcW w:w="1384" w:type="dxa"/>
            <w:tcBorders>
              <w:top w:val="nil"/>
              <w:left w:val="nil"/>
              <w:bottom w:val="single" w:sz="4" w:space="0" w:color="auto"/>
              <w:right w:val="single" w:sz="4" w:space="0" w:color="auto"/>
            </w:tcBorders>
            <w:shd w:val="clear" w:color="auto" w:fill="auto"/>
            <w:noWrap/>
            <w:vAlign w:val="bottom"/>
            <w:hideMark/>
          </w:tcPr>
          <w:p w14:paraId="7B8A8D19"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20,215.00</w:t>
            </w:r>
          </w:p>
        </w:tc>
        <w:tc>
          <w:tcPr>
            <w:tcW w:w="1530" w:type="dxa"/>
            <w:tcBorders>
              <w:top w:val="nil"/>
              <w:left w:val="nil"/>
              <w:bottom w:val="single" w:sz="4" w:space="0" w:color="auto"/>
              <w:right w:val="single" w:sz="4" w:space="0" w:color="auto"/>
            </w:tcBorders>
            <w:shd w:val="clear" w:color="auto" w:fill="auto"/>
            <w:noWrap/>
            <w:vAlign w:val="bottom"/>
            <w:hideMark/>
          </w:tcPr>
          <w:p w14:paraId="0D5404F3"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9.00</w:t>
            </w:r>
          </w:p>
        </w:tc>
      </w:tr>
      <w:tr w:rsidR="0035402C" w:rsidRPr="00B30084" w14:paraId="5DF213B6" w14:textId="77777777" w:rsidTr="00E87DA0">
        <w:trPr>
          <w:trHeight w:val="49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43034AB6"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2019</w:t>
            </w:r>
          </w:p>
        </w:tc>
        <w:tc>
          <w:tcPr>
            <w:tcW w:w="1521" w:type="dxa"/>
            <w:tcBorders>
              <w:top w:val="nil"/>
              <w:left w:val="nil"/>
              <w:bottom w:val="single" w:sz="4" w:space="0" w:color="auto"/>
              <w:right w:val="single" w:sz="4" w:space="0" w:color="auto"/>
            </w:tcBorders>
            <w:shd w:val="clear" w:color="auto" w:fill="auto"/>
            <w:noWrap/>
            <w:vAlign w:val="bottom"/>
            <w:hideMark/>
          </w:tcPr>
          <w:p w14:paraId="70560F71"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18</w:t>
            </w:r>
          </w:p>
        </w:tc>
        <w:tc>
          <w:tcPr>
            <w:tcW w:w="1457" w:type="dxa"/>
            <w:tcBorders>
              <w:top w:val="nil"/>
              <w:left w:val="nil"/>
              <w:bottom w:val="single" w:sz="4" w:space="0" w:color="auto"/>
              <w:right w:val="single" w:sz="4" w:space="0" w:color="auto"/>
            </w:tcBorders>
            <w:shd w:val="clear" w:color="auto" w:fill="auto"/>
            <w:noWrap/>
            <w:vAlign w:val="bottom"/>
            <w:hideMark/>
          </w:tcPr>
          <w:p w14:paraId="309B4E66"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44,457,101.00</w:t>
            </w:r>
          </w:p>
        </w:tc>
        <w:tc>
          <w:tcPr>
            <w:tcW w:w="1380" w:type="dxa"/>
            <w:tcBorders>
              <w:top w:val="nil"/>
              <w:left w:val="nil"/>
              <w:bottom w:val="single" w:sz="4" w:space="0" w:color="auto"/>
              <w:right w:val="single" w:sz="4" w:space="0" w:color="auto"/>
            </w:tcBorders>
            <w:shd w:val="clear" w:color="auto" w:fill="auto"/>
            <w:noWrap/>
            <w:vAlign w:val="bottom"/>
            <w:hideMark/>
          </w:tcPr>
          <w:p w14:paraId="511B6BB5"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16,834,031.00</w:t>
            </w:r>
          </w:p>
        </w:tc>
        <w:tc>
          <w:tcPr>
            <w:tcW w:w="1422" w:type="dxa"/>
            <w:tcBorders>
              <w:top w:val="nil"/>
              <w:left w:val="nil"/>
              <w:bottom w:val="single" w:sz="4" w:space="0" w:color="auto"/>
              <w:right w:val="single" w:sz="4" w:space="0" w:color="auto"/>
            </w:tcBorders>
            <w:shd w:val="clear" w:color="auto" w:fill="auto"/>
            <w:noWrap/>
            <w:vAlign w:val="bottom"/>
            <w:hideMark/>
          </w:tcPr>
          <w:p w14:paraId="23FFD1A0"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378,060.00</w:t>
            </w:r>
          </w:p>
        </w:tc>
        <w:tc>
          <w:tcPr>
            <w:tcW w:w="1384" w:type="dxa"/>
            <w:tcBorders>
              <w:top w:val="nil"/>
              <w:left w:val="nil"/>
              <w:bottom w:val="single" w:sz="4" w:space="0" w:color="auto"/>
              <w:right w:val="single" w:sz="4" w:space="0" w:color="auto"/>
            </w:tcBorders>
            <w:shd w:val="clear" w:color="auto" w:fill="auto"/>
            <w:noWrap/>
            <w:vAlign w:val="bottom"/>
            <w:hideMark/>
          </w:tcPr>
          <w:p w14:paraId="2819BCEB"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144,351.00</w:t>
            </w:r>
          </w:p>
        </w:tc>
        <w:tc>
          <w:tcPr>
            <w:tcW w:w="1530" w:type="dxa"/>
            <w:tcBorders>
              <w:top w:val="nil"/>
              <w:left w:val="nil"/>
              <w:bottom w:val="single" w:sz="4" w:space="0" w:color="auto"/>
              <w:right w:val="single" w:sz="4" w:space="0" w:color="auto"/>
            </w:tcBorders>
            <w:shd w:val="clear" w:color="auto" w:fill="auto"/>
            <w:noWrap/>
            <w:vAlign w:val="bottom"/>
            <w:hideMark/>
          </w:tcPr>
          <w:p w14:paraId="7E715C62"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61.00</w:t>
            </w:r>
          </w:p>
        </w:tc>
      </w:tr>
      <w:tr w:rsidR="0035402C" w:rsidRPr="00B30084" w14:paraId="6B40CBBC" w14:textId="77777777" w:rsidTr="00E87DA0">
        <w:trPr>
          <w:trHeight w:val="49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2AEB0D8D"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2020</w:t>
            </w:r>
          </w:p>
        </w:tc>
        <w:tc>
          <w:tcPr>
            <w:tcW w:w="1521" w:type="dxa"/>
            <w:tcBorders>
              <w:top w:val="nil"/>
              <w:left w:val="nil"/>
              <w:bottom w:val="single" w:sz="4" w:space="0" w:color="auto"/>
              <w:right w:val="single" w:sz="4" w:space="0" w:color="auto"/>
            </w:tcBorders>
            <w:shd w:val="clear" w:color="auto" w:fill="auto"/>
            <w:noWrap/>
            <w:vAlign w:val="bottom"/>
            <w:hideMark/>
          </w:tcPr>
          <w:p w14:paraId="1673AB4C"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18</w:t>
            </w:r>
          </w:p>
        </w:tc>
        <w:tc>
          <w:tcPr>
            <w:tcW w:w="1457" w:type="dxa"/>
            <w:tcBorders>
              <w:top w:val="nil"/>
              <w:left w:val="nil"/>
              <w:bottom w:val="single" w:sz="4" w:space="0" w:color="auto"/>
              <w:right w:val="single" w:sz="4" w:space="0" w:color="auto"/>
            </w:tcBorders>
            <w:shd w:val="clear" w:color="auto" w:fill="auto"/>
            <w:noWrap/>
            <w:vAlign w:val="bottom"/>
            <w:hideMark/>
          </w:tcPr>
          <w:p w14:paraId="6E7F4A9D"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51,777,900.00</w:t>
            </w:r>
          </w:p>
        </w:tc>
        <w:tc>
          <w:tcPr>
            <w:tcW w:w="1380" w:type="dxa"/>
            <w:tcBorders>
              <w:top w:val="nil"/>
              <w:left w:val="nil"/>
              <w:bottom w:val="single" w:sz="4" w:space="0" w:color="auto"/>
              <w:right w:val="single" w:sz="4" w:space="0" w:color="auto"/>
            </w:tcBorders>
            <w:shd w:val="clear" w:color="auto" w:fill="auto"/>
            <w:noWrap/>
            <w:vAlign w:val="bottom"/>
            <w:hideMark/>
          </w:tcPr>
          <w:p w14:paraId="245E583B"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7,320,799.00</w:t>
            </w:r>
          </w:p>
        </w:tc>
        <w:tc>
          <w:tcPr>
            <w:tcW w:w="1422" w:type="dxa"/>
            <w:tcBorders>
              <w:top w:val="nil"/>
              <w:left w:val="nil"/>
              <w:bottom w:val="single" w:sz="4" w:space="0" w:color="auto"/>
              <w:right w:val="single" w:sz="4" w:space="0" w:color="auto"/>
            </w:tcBorders>
            <w:shd w:val="clear" w:color="auto" w:fill="auto"/>
            <w:noWrap/>
            <w:vAlign w:val="bottom"/>
            <w:hideMark/>
          </w:tcPr>
          <w:p w14:paraId="526B9830"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440,362.00</w:t>
            </w:r>
          </w:p>
        </w:tc>
        <w:tc>
          <w:tcPr>
            <w:tcW w:w="1384" w:type="dxa"/>
            <w:tcBorders>
              <w:top w:val="nil"/>
              <w:left w:val="nil"/>
              <w:bottom w:val="single" w:sz="4" w:space="0" w:color="auto"/>
              <w:right w:val="single" w:sz="4" w:space="0" w:color="auto"/>
            </w:tcBorders>
            <w:shd w:val="clear" w:color="auto" w:fill="auto"/>
            <w:noWrap/>
            <w:vAlign w:val="bottom"/>
            <w:hideMark/>
          </w:tcPr>
          <w:p w14:paraId="04BA5197"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62,303.00</w:t>
            </w:r>
          </w:p>
        </w:tc>
        <w:tc>
          <w:tcPr>
            <w:tcW w:w="1530" w:type="dxa"/>
            <w:tcBorders>
              <w:top w:val="nil"/>
              <w:left w:val="nil"/>
              <w:bottom w:val="single" w:sz="4" w:space="0" w:color="auto"/>
              <w:right w:val="single" w:sz="4" w:space="0" w:color="auto"/>
            </w:tcBorders>
            <w:shd w:val="clear" w:color="auto" w:fill="auto"/>
            <w:noWrap/>
            <w:vAlign w:val="bottom"/>
            <w:hideMark/>
          </w:tcPr>
          <w:p w14:paraId="7AD8D3C3" w14:textId="77777777" w:rsidR="0035402C" w:rsidRPr="00B30084" w:rsidRDefault="0035402C" w:rsidP="00E87DA0">
            <w:pPr>
              <w:spacing w:after="0" w:line="240" w:lineRule="auto"/>
              <w:jc w:val="right"/>
              <w:rPr>
                <w:rFonts w:ascii="Times New Roman" w:eastAsia="Times New Roman" w:hAnsi="Times New Roman" w:cs="Times New Roman"/>
                <w:color w:val="000000"/>
                <w:sz w:val="20"/>
                <w:szCs w:val="20"/>
              </w:rPr>
            </w:pPr>
            <w:r w:rsidRPr="00B30084">
              <w:rPr>
                <w:rFonts w:ascii="Times New Roman" w:eastAsia="Times New Roman" w:hAnsi="Times New Roman" w:cs="Times New Roman"/>
                <w:color w:val="000000"/>
                <w:sz w:val="20"/>
                <w:szCs w:val="20"/>
              </w:rPr>
              <w:t>16.00</w:t>
            </w:r>
          </w:p>
        </w:tc>
      </w:tr>
    </w:tbl>
    <w:p w14:paraId="2FD4DAB7" w14:textId="77777777" w:rsidR="0035402C" w:rsidRPr="00B30084" w:rsidRDefault="0035402C" w:rsidP="0035402C">
      <w:pPr>
        <w:jc w:val="both"/>
        <w:rPr>
          <w:rFonts w:ascii="Times New Roman" w:hAnsi="Times New Roman" w:cs="Times New Roman"/>
          <w:sz w:val="20"/>
          <w:szCs w:val="20"/>
          <w:lang w:val="sr-Cyrl-RS"/>
        </w:rPr>
      </w:pPr>
      <w:r w:rsidRPr="00B30084">
        <w:rPr>
          <w:rFonts w:ascii="Times New Roman" w:hAnsi="Times New Roman" w:cs="Times New Roman"/>
          <w:sz w:val="24"/>
          <w:szCs w:val="24"/>
          <w:lang w:val="sr-Cyrl-RS"/>
        </w:rPr>
        <w:t xml:space="preserve"> </w:t>
      </w:r>
      <w:r w:rsidRPr="00B30084">
        <w:rPr>
          <w:rFonts w:ascii="Times New Roman" w:hAnsi="Times New Roman" w:cs="Times New Roman"/>
          <w:sz w:val="20"/>
          <w:szCs w:val="20"/>
          <w:lang w:val="sr-Cyrl-RS"/>
        </w:rPr>
        <w:t>Извор: ЕБРД извештај „Приоритети за развој тржишта капитала у Србији“, Април 2021. године</w:t>
      </w:r>
    </w:p>
    <w:p w14:paraId="0E52FB12" w14:textId="20F81681" w:rsidR="004E0EF7" w:rsidRPr="00B30084" w:rsidRDefault="004E0EF7" w:rsidP="0035402C">
      <w:pPr>
        <w:ind w:firstLine="360"/>
        <w:jc w:val="both"/>
        <w:rPr>
          <w:rFonts w:ascii="Times New Roman" w:hAnsi="Times New Roman" w:cs="Times New Roman"/>
          <w:sz w:val="24"/>
          <w:szCs w:val="24"/>
          <w:lang w:val="sr-Cyrl-RS"/>
        </w:rPr>
      </w:pPr>
    </w:p>
    <w:p w14:paraId="4CC52CBC" w14:textId="77777777" w:rsidR="0035402C" w:rsidRPr="00B30084" w:rsidRDefault="0035402C" w:rsidP="0035402C">
      <w:pPr>
        <w:jc w:val="both"/>
        <w:rPr>
          <w:rFonts w:ascii="Times New Roman" w:hAnsi="Times New Roman" w:cs="Times New Roman"/>
          <w:sz w:val="24"/>
          <w:szCs w:val="24"/>
          <w:lang w:val="sr-Cyrl-RS"/>
        </w:rPr>
      </w:pPr>
      <w:r w:rsidRPr="00B30084">
        <w:rPr>
          <w:rFonts w:ascii="Times New Roman" w:hAnsi="Times New Roman" w:cs="Times New Roman"/>
          <w:noProof/>
          <w:sz w:val="24"/>
          <w:szCs w:val="24"/>
        </w:rPr>
        <w:drawing>
          <wp:inline distT="0" distB="0" distL="0" distR="0" wp14:anchorId="3E78EFBF" wp14:editId="3CA89413">
            <wp:extent cx="3371850" cy="18415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1841500"/>
                    </a:xfrm>
                    <a:prstGeom prst="rect">
                      <a:avLst/>
                    </a:prstGeom>
                    <a:noFill/>
                  </pic:spPr>
                </pic:pic>
              </a:graphicData>
            </a:graphic>
          </wp:inline>
        </w:drawing>
      </w:r>
    </w:p>
    <w:p w14:paraId="43521192" w14:textId="77777777" w:rsidR="0035402C" w:rsidRPr="00B30084" w:rsidRDefault="0035402C" w:rsidP="0035402C">
      <w:pPr>
        <w:jc w:val="both"/>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ЕБРД извештај „Приоритети за развој тржишта капитала у Србији“, Април 2021. године</w:t>
      </w:r>
    </w:p>
    <w:p w14:paraId="346AB3AC" w14:textId="3D9F7250" w:rsidR="0052306D" w:rsidRPr="00B30084" w:rsidRDefault="0052306D"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Много светлију будућност видимо у</w:t>
      </w:r>
      <w:r w:rsidR="00514563" w:rsidRPr="00B30084">
        <w:rPr>
          <w:rFonts w:ascii="Times New Roman" w:hAnsi="Times New Roman" w:cs="Times New Roman"/>
          <w:sz w:val="24"/>
          <w:szCs w:val="24"/>
          <w:lang w:val="sr-Cyrl-RS"/>
        </w:rPr>
        <w:t xml:space="preserve"> добровољним</w:t>
      </w:r>
      <w:r w:rsidRPr="00B30084">
        <w:rPr>
          <w:rFonts w:ascii="Times New Roman" w:hAnsi="Times New Roman" w:cs="Times New Roman"/>
          <w:sz w:val="24"/>
          <w:szCs w:val="24"/>
          <w:lang w:val="sr-Cyrl-RS"/>
        </w:rPr>
        <w:t xml:space="preserve"> </w:t>
      </w:r>
      <w:r w:rsidR="00514563" w:rsidRPr="00B30084">
        <w:rPr>
          <w:rFonts w:ascii="Times New Roman" w:hAnsi="Times New Roman" w:cs="Times New Roman"/>
          <w:sz w:val="24"/>
          <w:szCs w:val="24"/>
          <w:u w:val="single"/>
          <w:lang w:val="sr-Cyrl-RS"/>
        </w:rPr>
        <w:t>пензијским</w:t>
      </w:r>
      <w:r w:rsidRPr="00B30084">
        <w:rPr>
          <w:rFonts w:ascii="Times New Roman" w:hAnsi="Times New Roman" w:cs="Times New Roman"/>
          <w:sz w:val="24"/>
          <w:szCs w:val="24"/>
          <w:u w:val="single"/>
          <w:lang w:val="sr-Cyrl-RS"/>
        </w:rPr>
        <w:t xml:space="preserve"> фондовима</w:t>
      </w:r>
      <w:r w:rsidRPr="00B30084">
        <w:rPr>
          <w:rFonts w:ascii="Times New Roman" w:hAnsi="Times New Roman" w:cs="Times New Roman"/>
          <w:sz w:val="24"/>
          <w:szCs w:val="24"/>
          <w:lang w:val="sr-Cyrl-RS"/>
        </w:rPr>
        <w:t xml:space="preserve">. Данас у Србији послују 7 </w:t>
      </w:r>
      <w:r w:rsidR="00514563" w:rsidRPr="00B30084">
        <w:rPr>
          <w:rFonts w:ascii="Times New Roman" w:hAnsi="Times New Roman" w:cs="Times New Roman"/>
          <w:sz w:val="24"/>
          <w:szCs w:val="24"/>
          <w:lang w:val="sr-Cyrl-RS"/>
        </w:rPr>
        <w:t>добровољних пензијских фондова</w:t>
      </w:r>
      <w:r w:rsidRPr="00B30084">
        <w:rPr>
          <w:rFonts w:ascii="Times New Roman" w:hAnsi="Times New Roman" w:cs="Times New Roman"/>
          <w:sz w:val="24"/>
          <w:szCs w:val="24"/>
          <w:lang w:val="sr-Cyrl-RS"/>
        </w:rPr>
        <w:t xml:space="preserve"> којима управљају 4 друштва и који у збиру управљају имовином у вредности РСД 47 билиона (€ 400 милиона). Потреба пензионих фондова да улажу у дугорочне хартије је оправдана с обзиром да они данас прикупљају средства улагача, а исплаћују иста са приносом након дужег низа година. Ово често говори у прилог улагању у акције него у дужничке хартије од вредности, с обзиром да  вредност акција генерално осликава раст економије током времена. Међутим, према </w:t>
      </w:r>
      <w:r w:rsidR="004C03B3" w:rsidRPr="00B30084">
        <w:rPr>
          <w:rFonts w:ascii="Times New Roman" w:hAnsi="Times New Roman" w:cs="Times New Roman"/>
          <w:sz w:val="24"/>
          <w:szCs w:val="24"/>
          <w:lang w:val="sr-Cyrl-RS"/>
        </w:rPr>
        <w:t xml:space="preserve">доступним </w:t>
      </w:r>
      <w:r w:rsidRPr="00B30084">
        <w:rPr>
          <w:rFonts w:ascii="Times New Roman" w:hAnsi="Times New Roman" w:cs="Times New Roman"/>
          <w:sz w:val="24"/>
          <w:szCs w:val="24"/>
          <w:lang w:val="sr-Cyrl-RS"/>
        </w:rPr>
        <w:t xml:space="preserve">подацима </w:t>
      </w:r>
      <w:r w:rsidR="00514563" w:rsidRPr="00B30084">
        <w:rPr>
          <w:rFonts w:ascii="Times New Roman" w:hAnsi="Times New Roman" w:cs="Times New Roman"/>
          <w:sz w:val="24"/>
          <w:szCs w:val="24"/>
          <w:lang w:val="sr-Cyrl-RS"/>
        </w:rPr>
        <w:t xml:space="preserve">добровољни </w:t>
      </w:r>
      <w:r w:rsidRPr="00B30084">
        <w:rPr>
          <w:rFonts w:ascii="Times New Roman" w:hAnsi="Times New Roman" w:cs="Times New Roman"/>
          <w:sz w:val="24"/>
          <w:szCs w:val="24"/>
          <w:lang w:val="sr-Cyrl-RS"/>
        </w:rPr>
        <w:t xml:space="preserve">пензиони фондови улажу преко 80% у хартије </w:t>
      </w:r>
      <w:r w:rsidR="00514563" w:rsidRPr="00B30084">
        <w:rPr>
          <w:rFonts w:ascii="Times New Roman" w:hAnsi="Times New Roman" w:cs="Times New Roman"/>
          <w:sz w:val="24"/>
          <w:szCs w:val="24"/>
          <w:lang w:val="sr-Cyrl-RS"/>
        </w:rPr>
        <w:t xml:space="preserve">од вредности </w:t>
      </w:r>
      <w:r w:rsidRPr="00B30084">
        <w:rPr>
          <w:rFonts w:ascii="Times New Roman" w:hAnsi="Times New Roman" w:cs="Times New Roman"/>
          <w:sz w:val="24"/>
          <w:szCs w:val="24"/>
          <w:lang w:val="sr-Cyrl-RS"/>
        </w:rPr>
        <w:t xml:space="preserve">са фиксним приходом. Уколико би у будућности овај однос између улагања у хартије од вредности са фиксним приходом и улагања у акције био 50% : 50% </w:t>
      </w:r>
      <w:r w:rsidR="008E2A52">
        <w:rPr>
          <w:rFonts w:ascii="Times New Roman" w:hAnsi="Times New Roman" w:cs="Times New Roman"/>
          <w:sz w:val="24"/>
          <w:szCs w:val="24"/>
          <w:lang w:val="sr-Cyrl-RS"/>
        </w:rPr>
        <w:t xml:space="preserve">добровољни </w:t>
      </w:r>
      <w:r w:rsidRPr="00B30084">
        <w:rPr>
          <w:rFonts w:ascii="Times New Roman" w:hAnsi="Times New Roman" w:cs="Times New Roman"/>
          <w:sz w:val="24"/>
          <w:szCs w:val="24"/>
          <w:lang w:val="sr-Cyrl-RS"/>
        </w:rPr>
        <w:t>пензи</w:t>
      </w:r>
      <w:r w:rsidR="008E2A52">
        <w:rPr>
          <w:rFonts w:ascii="Times New Roman" w:hAnsi="Times New Roman" w:cs="Times New Roman"/>
          <w:sz w:val="24"/>
          <w:szCs w:val="24"/>
          <w:lang w:val="sr-Cyrl-RS"/>
        </w:rPr>
        <w:t xml:space="preserve">јски </w:t>
      </w:r>
      <w:r w:rsidRPr="00B30084">
        <w:rPr>
          <w:rFonts w:ascii="Times New Roman" w:hAnsi="Times New Roman" w:cs="Times New Roman"/>
          <w:sz w:val="24"/>
          <w:szCs w:val="24"/>
          <w:lang w:val="sr-Cyrl-RS"/>
        </w:rPr>
        <w:t xml:space="preserve">фондови би усмерили на тржиште капитала € 138 милиона. Очекује се да ће утицај </w:t>
      </w:r>
      <w:r w:rsidRPr="00B30084">
        <w:rPr>
          <w:rFonts w:ascii="Times New Roman" w:hAnsi="Times New Roman" w:cs="Times New Roman"/>
          <w:sz w:val="24"/>
          <w:szCs w:val="24"/>
          <w:lang w:val="sr-Cyrl-RS"/>
        </w:rPr>
        <w:lastRenderedPageBreak/>
        <w:t xml:space="preserve">овог прилива средстава на тржиште капитала бити </w:t>
      </w:r>
      <w:r w:rsidR="008E2A52" w:rsidRPr="00B30084">
        <w:rPr>
          <w:rFonts w:ascii="Times New Roman" w:hAnsi="Times New Roman" w:cs="Times New Roman"/>
          <w:sz w:val="24"/>
          <w:szCs w:val="24"/>
          <w:lang w:val="sr-Cyrl-RS"/>
        </w:rPr>
        <w:t xml:space="preserve">већи </w:t>
      </w:r>
      <w:r w:rsidRPr="00B30084">
        <w:rPr>
          <w:rFonts w:ascii="Times New Roman" w:hAnsi="Times New Roman" w:cs="Times New Roman"/>
          <w:sz w:val="24"/>
          <w:szCs w:val="24"/>
          <w:lang w:val="sr-Cyrl-RS"/>
        </w:rPr>
        <w:t>током времена</w:t>
      </w:r>
      <w:r w:rsidR="00DA7799">
        <w:rPr>
          <w:rFonts w:ascii="Times New Roman" w:hAnsi="Times New Roman" w:cs="Times New Roman"/>
          <w:sz w:val="24"/>
          <w:szCs w:val="24"/>
          <w:lang w:val="sr-Cyrl-RS"/>
        </w:rPr>
        <w:t>,</w:t>
      </w:r>
      <w:r w:rsidRPr="00B30084">
        <w:rPr>
          <w:rFonts w:ascii="Times New Roman" w:hAnsi="Times New Roman" w:cs="Times New Roman"/>
          <w:sz w:val="24"/>
          <w:szCs w:val="24"/>
          <w:lang w:val="sr-Cyrl-RS"/>
        </w:rPr>
        <w:t xml:space="preserve"> с обзиром да је вредност имовине у последњих 5 година расте по стопи од 10% или € 32 милиона. </w:t>
      </w:r>
    </w:p>
    <w:p w14:paraId="01F7212D" w14:textId="6A4D199A" w:rsidR="007E09B6" w:rsidRPr="00B30084" w:rsidRDefault="000560DB"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Тренд кретања имовине којом управљају </w:t>
      </w:r>
      <w:r w:rsidR="008E2A52">
        <w:rPr>
          <w:rFonts w:ascii="Times New Roman" w:hAnsi="Times New Roman" w:cs="Times New Roman"/>
          <w:sz w:val="24"/>
          <w:szCs w:val="24"/>
          <w:lang w:val="sr-Cyrl-RS"/>
        </w:rPr>
        <w:t xml:space="preserve">добровољни </w:t>
      </w:r>
      <w:r w:rsidRPr="00B30084">
        <w:rPr>
          <w:rFonts w:ascii="Times New Roman" w:hAnsi="Times New Roman" w:cs="Times New Roman"/>
          <w:sz w:val="24"/>
          <w:szCs w:val="24"/>
          <w:lang w:val="sr-Cyrl-RS"/>
        </w:rPr>
        <w:t>пензи</w:t>
      </w:r>
      <w:r w:rsidR="008E2A52">
        <w:rPr>
          <w:rFonts w:ascii="Times New Roman" w:hAnsi="Times New Roman" w:cs="Times New Roman"/>
          <w:sz w:val="24"/>
          <w:szCs w:val="24"/>
          <w:lang w:val="sr-Cyrl-RS"/>
        </w:rPr>
        <w:t>јски</w:t>
      </w:r>
      <w:r w:rsidRPr="00B30084">
        <w:rPr>
          <w:rFonts w:ascii="Times New Roman" w:hAnsi="Times New Roman" w:cs="Times New Roman"/>
          <w:sz w:val="24"/>
          <w:szCs w:val="24"/>
          <w:lang w:val="sr-Cyrl-RS"/>
        </w:rPr>
        <w:t xml:space="preserve"> фондови је приказан у Табели </w:t>
      </w:r>
      <w:r w:rsidR="00BF3002" w:rsidRPr="00B30084">
        <w:rPr>
          <w:rFonts w:ascii="Times New Roman" w:hAnsi="Times New Roman" w:cs="Times New Roman"/>
          <w:sz w:val="24"/>
          <w:szCs w:val="24"/>
          <w:lang w:val="sr-Cyrl-RS"/>
        </w:rPr>
        <w:t>7</w:t>
      </w:r>
      <w:r w:rsidRPr="00B30084">
        <w:rPr>
          <w:rFonts w:ascii="Times New Roman" w:hAnsi="Times New Roman" w:cs="Times New Roman"/>
          <w:sz w:val="24"/>
          <w:szCs w:val="24"/>
          <w:lang w:val="sr-Cyrl-RS"/>
        </w:rPr>
        <w:t>. и пратећим графиконима који приказују промене у управљању на имовини</w:t>
      </w:r>
      <w:r w:rsidR="00755BA6" w:rsidRPr="00B30084">
        <w:rPr>
          <w:rFonts w:ascii="Times New Roman" w:hAnsi="Times New Roman" w:cs="Times New Roman"/>
          <w:sz w:val="24"/>
          <w:szCs w:val="24"/>
          <w:lang w:val="sr-Cyrl-RS"/>
        </w:rPr>
        <w:t xml:space="preserve"> </w:t>
      </w:r>
      <w:r w:rsidR="008E2A52">
        <w:rPr>
          <w:rFonts w:ascii="Times New Roman" w:hAnsi="Times New Roman" w:cs="Times New Roman"/>
          <w:sz w:val="24"/>
          <w:szCs w:val="24"/>
          <w:lang w:val="sr-Cyrl-RS"/>
        </w:rPr>
        <w:t>код ових</w:t>
      </w:r>
      <w:r w:rsidRPr="00B30084">
        <w:rPr>
          <w:rFonts w:ascii="Times New Roman" w:hAnsi="Times New Roman" w:cs="Times New Roman"/>
          <w:sz w:val="24"/>
          <w:szCs w:val="24"/>
          <w:lang w:val="sr-Cyrl-RS"/>
        </w:rPr>
        <w:t xml:space="preserve"> фондова.</w:t>
      </w:r>
    </w:p>
    <w:p w14:paraId="38AB84DF" w14:textId="70770CA5" w:rsidR="000560DB" w:rsidRPr="00B30084" w:rsidRDefault="000560DB" w:rsidP="000560DB">
      <w:pPr>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Табела </w:t>
      </w:r>
      <w:r w:rsidR="00BF3002" w:rsidRPr="00B30084">
        <w:rPr>
          <w:rFonts w:ascii="Times New Roman" w:hAnsi="Times New Roman" w:cs="Times New Roman"/>
          <w:sz w:val="24"/>
          <w:szCs w:val="24"/>
          <w:lang w:val="sr-Cyrl-RS"/>
        </w:rPr>
        <w:t>7</w:t>
      </w:r>
      <w:r w:rsidRPr="00B30084">
        <w:rPr>
          <w:rFonts w:ascii="Times New Roman" w:hAnsi="Times New Roman" w:cs="Times New Roman"/>
          <w:sz w:val="24"/>
          <w:szCs w:val="24"/>
          <w:lang w:val="sr-Cyrl-RS"/>
        </w:rPr>
        <w:t xml:space="preserve">. Тренд кретања имовине којом управљају </w:t>
      </w:r>
      <w:r w:rsidR="008E2A52">
        <w:rPr>
          <w:rFonts w:ascii="Times New Roman" w:hAnsi="Times New Roman" w:cs="Times New Roman"/>
          <w:sz w:val="24"/>
          <w:szCs w:val="24"/>
          <w:lang w:val="sr-Cyrl-RS"/>
        </w:rPr>
        <w:t xml:space="preserve">добровољни </w:t>
      </w:r>
      <w:r w:rsidRPr="00B30084">
        <w:rPr>
          <w:rFonts w:ascii="Times New Roman" w:hAnsi="Times New Roman" w:cs="Times New Roman"/>
          <w:sz w:val="24"/>
          <w:szCs w:val="24"/>
          <w:lang w:val="sr-Cyrl-RS"/>
        </w:rPr>
        <w:t>пензи</w:t>
      </w:r>
      <w:r w:rsidR="00755BA6" w:rsidRPr="00B30084">
        <w:rPr>
          <w:rFonts w:ascii="Times New Roman" w:hAnsi="Times New Roman" w:cs="Times New Roman"/>
          <w:sz w:val="24"/>
          <w:szCs w:val="24"/>
          <w:lang w:val="sr-Cyrl-RS"/>
        </w:rPr>
        <w:t>јски</w:t>
      </w:r>
      <w:r w:rsidRPr="00B30084">
        <w:rPr>
          <w:rFonts w:ascii="Times New Roman" w:hAnsi="Times New Roman" w:cs="Times New Roman"/>
          <w:sz w:val="24"/>
          <w:szCs w:val="24"/>
          <w:lang w:val="sr-Cyrl-RS"/>
        </w:rPr>
        <w:t xml:space="preserve"> фондови у периоду 2015 – 2020</w:t>
      </w:r>
    </w:p>
    <w:tbl>
      <w:tblPr>
        <w:tblW w:w="9077" w:type="dxa"/>
        <w:tblLook w:val="04A0" w:firstRow="1" w:lastRow="0" w:firstColumn="1" w:lastColumn="0" w:noHBand="0" w:noVBand="1"/>
      </w:tblPr>
      <w:tblGrid>
        <w:gridCol w:w="877"/>
        <w:gridCol w:w="1183"/>
        <w:gridCol w:w="1534"/>
        <w:gridCol w:w="1171"/>
        <w:gridCol w:w="1530"/>
        <w:gridCol w:w="1440"/>
        <w:gridCol w:w="1342"/>
      </w:tblGrid>
      <w:tr w:rsidR="000560DB" w:rsidRPr="00B30084" w14:paraId="32A7DCD6" w14:textId="77777777" w:rsidTr="00E87DA0">
        <w:trPr>
          <w:trHeight w:val="883"/>
        </w:trPr>
        <w:tc>
          <w:tcPr>
            <w:tcW w:w="87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7153721" w14:textId="77777777" w:rsidR="000560DB" w:rsidRPr="00B30084" w:rsidRDefault="000560DB" w:rsidP="00E87DA0">
            <w:pPr>
              <w:spacing w:after="0" w:line="240" w:lineRule="auto"/>
              <w:rPr>
                <w:rFonts w:ascii="Times New Roman" w:eastAsia="Times New Roman" w:hAnsi="Times New Roman" w:cs="Times New Roman"/>
                <w:color w:val="000000"/>
                <w:sz w:val="18"/>
                <w:szCs w:val="18"/>
              </w:rPr>
            </w:pPr>
            <w:proofErr w:type="spellStart"/>
            <w:r w:rsidRPr="00B30084">
              <w:rPr>
                <w:rFonts w:ascii="Times New Roman" w:eastAsia="Times New Roman" w:hAnsi="Times New Roman" w:cs="Times New Roman"/>
                <w:color w:val="000000"/>
                <w:sz w:val="18"/>
                <w:szCs w:val="18"/>
              </w:rPr>
              <w:t>Година</w:t>
            </w:r>
            <w:proofErr w:type="spellEnd"/>
          </w:p>
        </w:tc>
        <w:tc>
          <w:tcPr>
            <w:tcW w:w="1183" w:type="dxa"/>
            <w:tcBorders>
              <w:top w:val="single" w:sz="4" w:space="0" w:color="auto"/>
              <w:left w:val="nil"/>
              <w:bottom w:val="single" w:sz="4" w:space="0" w:color="auto"/>
              <w:right w:val="single" w:sz="4" w:space="0" w:color="auto"/>
            </w:tcBorders>
            <w:shd w:val="clear" w:color="000000" w:fill="00B0F0"/>
            <w:vAlign w:val="bottom"/>
            <w:hideMark/>
          </w:tcPr>
          <w:p w14:paraId="73F0B7D7" w14:textId="77777777" w:rsidR="000560DB" w:rsidRPr="00B30084" w:rsidRDefault="000560DB" w:rsidP="00E87DA0">
            <w:pPr>
              <w:spacing w:after="0" w:line="240" w:lineRule="auto"/>
              <w:rPr>
                <w:rFonts w:ascii="Times New Roman" w:eastAsia="Times New Roman" w:hAnsi="Times New Roman" w:cs="Times New Roman"/>
                <w:color w:val="000000"/>
                <w:sz w:val="18"/>
                <w:szCs w:val="18"/>
              </w:rPr>
            </w:pPr>
            <w:proofErr w:type="spellStart"/>
            <w:r w:rsidRPr="00B30084">
              <w:rPr>
                <w:rFonts w:ascii="Times New Roman" w:eastAsia="Times New Roman" w:hAnsi="Times New Roman" w:cs="Times New Roman"/>
                <w:color w:val="000000"/>
                <w:sz w:val="18"/>
                <w:szCs w:val="18"/>
              </w:rPr>
              <w:t>Број</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пензионих</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фондова</w:t>
            </w:r>
            <w:proofErr w:type="spellEnd"/>
          </w:p>
        </w:tc>
        <w:tc>
          <w:tcPr>
            <w:tcW w:w="1534" w:type="dxa"/>
            <w:tcBorders>
              <w:top w:val="single" w:sz="4" w:space="0" w:color="auto"/>
              <w:left w:val="nil"/>
              <w:bottom w:val="single" w:sz="4" w:space="0" w:color="auto"/>
              <w:right w:val="single" w:sz="4" w:space="0" w:color="auto"/>
            </w:tcBorders>
            <w:shd w:val="clear" w:color="000000" w:fill="00B0F0"/>
            <w:vAlign w:val="bottom"/>
            <w:hideMark/>
          </w:tcPr>
          <w:p w14:paraId="74C99E8D" w14:textId="77777777" w:rsidR="000560DB" w:rsidRPr="00B30084" w:rsidRDefault="000560DB" w:rsidP="00E87DA0">
            <w:pPr>
              <w:spacing w:after="0" w:line="240" w:lineRule="auto"/>
              <w:rPr>
                <w:rFonts w:ascii="Times New Roman" w:eastAsia="Times New Roman" w:hAnsi="Times New Roman" w:cs="Times New Roman"/>
                <w:color w:val="000000"/>
                <w:sz w:val="18"/>
                <w:szCs w:val="18"/>
              </w:rPr>
            </w:pPr>
            <w:proofErr w:type="spellStart"/>
            <w:r w:rsidRPr="00B30084">
              <w:rPr>
                <w:rFonts w:ascii="Times New Roman" w:eastAsia="Times New Roman" w:hAnsi="Times New Roman" w:cs="Times New Roman"/>
                <w:color w:val="000000"/>
                <w:sz w:val="18"/>
                <w:szCs w:val="18"/>
              </w:rPr>
              <w:t>Имовина</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којом</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управљају</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пензиони</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фондови</w:t>
            </w:r>
            <w:proofErr w:type="spellEnd"/>
            <w:r w:rsidRPr="00B30084">
              <w:rPr>
                <w:rFonts w:ascii="Times New Roman" w:eastAsia="Times New Roman" w:hAnsi="Times New Roman" w:cs="Times New Roman"/>
                <w:color w:val="000000"/>
                <w:sz w:val="18"/>
                <w:szCs w:val="18"/>
              </w:rPr>
              <w:t xml:space="preserve"> (РСД 000)</w:t>
            </w:r>
          </w:p>
        </w:tc>
        <w:tc>
          <w:tcPr>
            <w:tcW w:w="1171" w:type="dxa"/>
            <w:tcBorders>
              <w:top w:val="single" w:sz="4" w:space="0" w:color="auto"/>
              <w:left w:val="nil"/>
              <w:bottom w:val="single" w:sz="4" w:space="0" w:color="auto"/>
              <w:right w:val="single" w:sz="4" w:space="0" w:color="auto"/>
            </w:tcBorders>
            <w:shd w:val="clear" w:color="000000" w:fill="00B0F0"/>
            <w:vAlign w:val="bottom"/>
            <w:hideMark/>
          </w:tcPr>
          <w:p w14:paraId="75D47357" w14:textId="77777777" w:rsidR="000560DB" w:rsidRPr="00B30084" w:rsidRDefault="000560DB" w:rsidP="00E87DA0">
            <w:pPr>
              <w:spacing w:after="0" w:line="240" w:lineRule="auto"/>
              <w:rPr>
                <w:rFonts w:ascii="Times New Roman" w:eastAsia="Times New Roman" w:hAnsi="Times New Roman" w:cs="Times New Roman"/>
                <w:color w:val="000000"/>
                <w:sz w:val="18"/>
                <w:szCs w:val="18"/>
              </w:rPr>
            </w:pPr>
            <w:proofErr w:type="spellStart"/>
            <w:r w:rsidRPr="00B30084">
              <w:rPr>
                <w:rFonts w:ascii="Times New Roman" w:eastAsia="Times New Roman" w:hAnsi="Times New Roman" w:cs="Times New Roman"/>
                <w:color w:val="000000"/>
                <w:sz w:val="18"/>
                <w:szCs w:val="18"/>
              </w:rPr>
              <w:t>Приливи</w:t>
            </w:r>
            <w:proofErr w:type="spellEnd"/>
            <w:r w:rsidRPr="00B30084">
              <w:rPr>
                <w:rFonts w:ascii="Times New Roman" w:eastAsia="Times New Roman" w:hAnsi="Times New Roman" w:cs="Times New Roman"/>
                <w:color w:val="000000"/>
                <w:sz w:val="18"/>
                <w:szCs w:val="18"/>
              </w:rPr>
              <w:t xml:space="preserve"> (+/-) (РСД 000)</w:t>
            </w:r>
          </w:p>
        </w:tc>
        <w:tc>
          <w:tcPr>
            <w:tcW w:w="1530" w:type="dxa"/>
            <w:tcBorders>
              <w:top w:val="single" w:sz="4" w:space="0" w:color="auto"/>
              <w:left w:val="nil"/>
              <w:bottom w:val="single" w:sz="4" w:space="0" w:color="auto"/>
              <w:right w:val="single" w:sz="4" w:space="0" w:color="auto"/>
            </w:tcBorders>
            <w:shd w:val="clear" w:color="000000" w:fill="00B0F0"/>
            <w:vAlign w:val="bottom"/>
            <w:hideMark/>
          </w:tcPr>
          <w:p w14:paraId="7259D500" w14:textId="77777777" w:rsidR="000560DB" w:rsidRPr="00B30084" w:rsidRDefault="000560DB" w:rsidP="00E87DA0">
            <w:pPr>
              <w:spacing w:after="0" w:line="240" w:lineRule="auto"/>
              <w:rPr>
                <w:rFonts w:ascii="Times New Roman" w:eastAsia="Times New Roman" w:hAnsi="Times New Roman" w:cs="Times New Roman"/>
                <w:color w:val="000000"/>
                <w:sz w:val="18"/>
                <w:szCs w:val="18"/>
              </w:rPr>
            </w:pPr>
            <w:proofErr w:type="spellStart"/>
            <w:r w:rsidRPr="00B30084">
              <w:rPr>
                <w:rFonts w:ascii="Times New Roman" w:eastAsia="Times New Roman" w:hAnsi="Times New Roman" w:cs="Times New Roman"/>
                <w:color w:val="000000"/>
                <w:sz w:val="18"/>
                <w:szCs w:val="18"/>
              </w:rPr>
              <w:t>Имовина</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којом</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управљају</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пензиони</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фондови</w:t>
            </w:r>
            <w:proofErr w:type="spellEnd"/>
            <w:r w:rsidRPr="00B30084">
              <w:rPr>
                <w:rFonts w:ascii="Times New Roman" w:eastAsia="Times New Roman" w:hAnsi="Times New Roman" w:cs="Times New Roman"/>
                <w:color w:val="000000"/>
                <w:sz w:val="18"/>
                <w:szCs w:val="18"/>
              </w:rPr>
              <w:t xml:space="preserve"> (ЕУР 000)</w:t>
            </w:r>
          </w:p>
        </w:tc>
        <w:tc>
          <w:tcPr>
            <w:tcW w:w="1440" w:type="dxa"/>
            <w:tcBorders>
              <w:top w:val="single" w:sz="4" w:space="0" w:color="auto"/>
              <w:left w:val="nil"/>
              <w:bottom w:val="single" w:sz="4" w:space="0" w:color="auto"/>
              <w:right w:val="single" w:sz="4" w:space="0" w:color="auto"/>
            </w:tcBorders>
            <w:shd w:val="clear" w:color="000000" w:fill="00B0F0"/>
            <w:vAlign w:val="bottom"/>
            <w:hideMark/>
          </w:tcPr>
          <w:p w14:paraId="7B4D5FB3" w14:textId="77777777" w:rsidR="000560DB" w:rsidRPr="00B30084" w:rsidRDefault="000560DB" w:rsidP="00E87DA0">
            <w:pPr>
              <w:spacing w:after="0" w:line="240" w:lineRule="auto"/>
              <w:rPr>
                <w:rFonts w:ascii="Times New Roman" w:eastAsia="Times New Roman" w:hAnsi="Times New Roman" w:cs="Times New Roman"/>
                <w:color w:val="000000"/>
                <w:sz w:val="18"/>
                <w:szCs w:val="18"/>
              </w:rPr>
            </w:pPr>
            <w:proofErr w:type="spellStart"/>
            <w:r w:rsidRPr="00B30084">
              <w:rPr>
                <w:rFonts w:ascii="Times New Roman" w:eastAsia="Times New Roman" w:hAnsi="Times New Roman" w:cs="Times New Roman"/>
                <w:color w:val="000000"/>
                <w:sz w:val="18"/>
                <w:szCs w:val="18"/>
              </w:rPr>
              <w:t>Приливи</w:t>
            </w:r>
            <w:proofErr w:type="spellEnd"/>
            <w:r w:rsidRPr="00B30084">
              <w:rPr>
                <w:rFonts w:ascii="Times New Roman" w:eastAsia="Times New Roman" w:hAnsi="Times New Roman" w:cs="Times New Roman"/>
                <w:color w:val="000000"/>
                <w:sz w:val="18"/>
                <w:szCs w:val="18"/>
              </w:rPr>
              <w:t xml:space="preserve"> (+/-) (ЕУР 000)</w:t>
            </w:r>
          </w:p>
        </w:tc>
        <w:tc>
          <w:tcPr>
            <w:tcW w:w="1342" w:type="dxa"/>
            <w:tcBorders>
              <w:top w:val="single" w:sz="4" w:space="0" w:color="auto"/>
              <w:left w:val="nil"/>
              <w:bottom w:val="single" w:sz="4" w:space="0" w:color="auto"/>
              <w:right w:val="single" w:sz="4" w:space="0" w:color="auto"/>
            </w:tcBorders>
            <w:shd w:val="clear" w:color="000000" w:fill="00B0F0"/>
            <w:vAlign w:val="bottom"/>
            <w:hideMark/>
          </w:tcPr>
          <w:p w14:paraId="625D5C39" w14:textId="77777777" w:rsidR="000560DB" w:rsidRPr="00B30084" w:rsidRDefault="000560DB" w:rsidP="00E87DA0">
            <w:pPr>
              <w:spacing w:after="0" w:line="240" w:lineRule="auto"/>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промене</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имовине</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којом</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управљају</w:t>
            </w:r>
            <w:proofErr w:type="spellEnd"/>
            <w:r w:rsidRPr="00B30084">
              <w:rPr>
                <w:rFonts w:ascii="Times New Roman" w:eastAsia="Times New Roman" w:hAnsi="Times New Roman" w:cs="Times New Roman"/>
                <w:color w:val="000000"/>
                <w:sz w:val="18"/>
                <w:szCs w:val="18"/>
              </w:rPr>
              <w:t xml:space="preserve"> </w:t>
            </w:r>
            <w:proofErr w:type="spellStart"/>
            <w:r w:rsidRPr="00B30084">
              <w:rPr>
                <w:rFonts w:ascii="Times New Roman" w:eastAsia="Times New Roman" w:hAnsi="Times New Roman" w:cs="Times New Roman"/>
                <w:color w:val="000000"/>
                <w:sz w:val="18"/>
                <w:szCs w:val="18"/>
              </w:rPr>
              <w:t>фондови</w:t>
            </w:r>
            <w:proofErr w:type="spellEnd"/>
          </w:p>
        </w:tc>
      </w:tr>
      <w:tr w:rsidR="000560DB" w:rsidRPr="00B30084" w14:paraId="440DADCB" w14:textId="77777777" w:rsidTr="00E87DA0">
        <w:trPr>
          <w:trHeight w:val="276"/>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CCFC752"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2015</w:t>
            </w:r>
          </w:p>
        </w:tc>
        <w:tc>
          <w:tcPr>
            <w:tcW w:w="1183" w:type="dxa"/>
            <w:tcBorders>
              <w:top w:val="nil"/>
              <w:left w:val="nil"/>
              <w:bottom w:val="single" w:sz="4" w:space="0" w:color="auto"/>
              <w:right w:val="single" w:sz="4" w:space="0" w:color="auto"/>
            </w:tcBorders>
            <w:shd w:val="clear" w:color="auto" w:fill="auto"/>
            <w:noWrap/>
            <w:vAlign w:val="bottom"/>
            <w:hideMark/>
          </w:tcPr>
          <w:p w14:paraId="7A1E7CDC"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7</w:t>
            </w:r>
          </w:p>
        </w:tc>
        <w:tc>
          <w:tcPr>
            <w:tcW w:w="1534" w:type="dxa"/>
            <w:tcBorders>
              <w:top w:val="nil"/>
              <w:left w:val="nil"/>
              <w:bottom w:val="single" w:sz="4" w:space="0" w:color="auto"/>
              <w:right w:val="single" w:sz="4" w:space="0" w:color="auto"/>
            </w:tcBorders>
            <w:shd w:val="clear" w:color="auto" w:fill="auto"/>
            <w:noWrap/>
            <w:vAlign w:val="bottom"/>
            <w:hideMark/>
          </w:tcPr>
          <w:p w14:paraId="7EA90FA9"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28,953,993</w:t>
            </w:r>
          </w:p>
        </w:tc>
        <w:tc>
          <w:tcPr>
            <w:tcW w:w="1171" w:type="dxa"/>
            <w:tcBorders>
              <w:top w:val="nil"/>
              <w:left w:val="nil"/>
              <w:bottom w:val="single" w:sz="4" w:space="0" w:color="auto"/>
              <w:right w:val="single" w:sz="4" w:space="0" w:color="auto"/>
            </w:tcBorders>
            <w:shd w:val="clear" w:color="auto" w:fill="auto"/>
            <w:noWrap/>
            <w:vAlign w:val="bottom"/>
            <w:hideMark/>
          </w:tcPr>
          <w:p w14:paraId="36CABD75"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5,299,598</w:t>
            </w:r>
          </w:p>
        </w:tc>
        <w:tc>
          <w:tcPr>
            <w:tcW w:w="1530" w:type="dxa"/>
            <w:tcBorders>
              <w:top w:val="nil"/>
              <w:left w:val="nil"/>
              <w:bottom w:val="single" w:sz="4" w:space="0" w:color="auto"/>
              <w:right w:val="single" w:sz="4" w:space="0" w:color="auto"/>
            </w:tcBorders>
            <w:shd w:val="clear" w:color="auto" w:fill="auto"/>
            <w:noWrap/>
            <w:vAlign w:val="bottom"/>
            <w:hideMark/>
          </w:tcPr>
          <w:p w14:paraId="1AD2FD1C"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238,057</w:t>
            </w:r>
          </w:p>
        </w:tc>
        <w:tc>
          <w:tcPr>
            <w:tcW w:w="1440" w:type="dxa"/>
            <w:tcBorders>
              <w:top w:val="nil"/>
              <w:left w:val="nil"/>
              <w:bottom w:val="single" w:sz="4" w:space="0" w:color="auto"/>
              <w:right w:val="single" w:sz="4" w:space="0" w:color="auto"/>
            </w:tcBorders>
            <w:shd w:val="clear" w:color="auto" w:fill="auto"/>
            <w:noWrap/>
            <w:vAlign w:val="bottom"/>
            <w:hideMark/>
          </w:tcPr>
          <w:p w14:paraId="2B44D937"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42,499</w:t>
            </w:r>
          </w:p>
        </w:tc>
        <w:tc>
          <w:tcPr>
            <w:tcW w:w="1342" w:type="dxa"/>
            <w:tcBorders>
              <w:top w:val="nil"/>
              <w:left w:val="nil"/>
              <w:bottom w:val="single" w:sz="4" w:space="0" w:color="auto"/>
              <w:right w:val="single" w:sz="4" w:space="0" w:color="auto"/>
            </w:tcBorders>
            <w:shd w:val="clear" w:color="auto" w:fill="auto"/>
            <w:noWrap/>
            <w:vAlign w:val="bottom"/>
            <w:hideMark/>
          </w:tcPr>
          <w:p w14:paraId="0B4DD5BF"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22</w:t>
            </w:r>
          </w:p>
        </w:tc>
      </w:tr>
      <w:tr w:rsidR="000560DB" w:rsidRPr="00B30084" w14:paraId="5BC3E403" w14:textId="77777777" w:rsidTr="00E87DA0">
        <w:trPr>
          <w:trHeight w:val="276"/>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5BD1216E"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2016</w:t>
            </w:r>
          </w:p>
        </w:tc>
        <w:tc>
          <w:tcPr>
            <w:tcW w:w="1183" w:type="dxa"/>
            <w:tcBorders>
              <w:top w:val="nil"/>
              <w:left w:val="nil"/>
              <w:bottom w:val="single" w:sz="4" w:space="0" w:color="auto"/>
              <w:right w:val="single" w:sz="4" w:space="0" w:color="auto"/>
            </w:tcBorders>
            <w:shd w:val="clear" w:color="auto" w:fill="auto"/>
            <w:noWrap/>
            <w:vAlign w:val="bottom"/>
            <w:hideMark/>
          </w:tcPr>
          <w:p w14:paraId="00FC6D41"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7</w:t>
            </w:r>
          </w:p>
        </w:tc>
        <w:tc>
          <w:tcPr>
            <w:tcW w:w="1534" w:type="dxa"/>
            <w:tcBorders>
              <w:top w:val="nil"/>
              <w:left w:val="nil"/>
              <w:bottom w:val="single" w:sz="4" w:space="0" w:color="auto"/>
              <w:right w:val="single" w:sz="4" w:space="0" w:color="auto"/>
            </w:tcBorders>
            <w:shd w:val="clear" w:color="auto" w:fill="auto"/>
            <w:noWrap/>
            <w:vAlign w:val="bottom"/>
            <w:hideMark/>
          </w:tcPr>
          <w:p w14:paraId="6EF8067D"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32,860,400</w:t>
            </w:r>
          </w:p>
        </w:tc>
        <w:tc>
          <w:tcPr>
            <w:tcW w:w="1171" w:type="dxa"/>
            <w:tcBorders>
              <w:top w:val="nil"/>
              <w:left w:val="nil"/>
              <w:bottom w:val="single" w:sz="4" w:space="0" w:color="auto"/>
              <w:right w:val="single" w:sz="4" w:space="0" w:color="auto"/>
            </w:tcBorders>
            <w:shd w:val="clear" w:color="auto" w:fill="auto"/>
            <w:noWrap/>
            <w:vAlign w:val="bottom"/>
            <w:hideMark/>
          </w:tcPr>
          <w:p w14:paraId="3C1DEC3D"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3,906,407</w:t>
            </w:r>
          </w:p>
        </w:tc>
        <w:tc>
          <w:tcPr>
            <w:tcW w:w="1530" w:type="dxa"/>
            <w:tcBorders>
              <w:top w:val="nil"/>
              <w:left w:val="nil"/>
              <w:bottom w:val="single" w:sz="4" w:space="0" w:color="auto"/>
              <w:right w:val="single" w:sz="4" w:space="0" w:color="auto"/>
            </w:tcBorders>
            <w:shd w:val="clear" w:color="auto" w:fill="auto"/>
            <w:noWrap/>
            <w:vAlign w:val="bottom"/>
            <w:hideMark/>
          </w:tcPr>
          <w:p w14:paraId="62FCA4B8"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266,136</w:t>
            </w:r>
          </w:p>
        </w:tc>
        <w:tc>
          <w:tcPr>
            <w:tcW w:w="1440" w:type="dxa"/>
            <w:tcBorders>
              <w:top w:val="nil"/>
              <w:left w:val="nil"/>
              <w:bottom w:val="single" w:sz="4" w:space="0" w:color="auto"/>
              <w:right w:val="single" w:sz="4" w:space="0" w:color="auto"/>
            </w:tcBorders>
            <w:shd w:val="clear" w:color="auto" w:fill="auto"/>
            <w:noWrap/>
            <w:vAlign w:val="bottom"/>
            <w:hideMark/>
          </w:tcPr>
          <w:p w14:paraId="11480867"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28,078</w:t>
            </w:r>
          </w:p>
        </w:tc>
        <w:tc>
          <w:tcPr>
            <w:tcW w:w="1342" w:type="dxa"/>
            <w:tcBorders>
              <w:top w:val="nil"/>
              <w:left w:val="nil"/>
              <w:bottom w:val="single" w:sz="4" w:space="0" w:color="auto"/>
              <w:right w:val="single" w:sz="4" w:space="0" w:color="auto"/>
            </w:tcBorders>
            <w:shd w:val="clear" w:color="auto" w:fill="auto"/>
            <w:noWrap/>
            <w:vAlign w:val="bottom"/>
            <w:hideMark/>
          </w:tcPr>
          <w:p w14:paraId="13771DEE"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13</w:t>
            </w:r>
          </w:p>
        </w:tc>
      </w:tr>
      <w:tr w:rsidR="000560DB" w:rsidRPr="00B30084" w14:paraId="12627F40" w14:textId="77777777" w:rsidTr="00E87DA0">
        <w:trPr>
          <w:trHeight w:val="276"/>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50F3BE8"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2017</w:t>
            </w:r>
          </w:p>
        </w:tc>
        <w:tc>
          <w:tcPr>
            <w:tcW w:w="1183" w:type="dxa"/>
            <w:tcBorders>
              <w:top w:val="nil"/>
              <w:left w:val="nil"/>
              <w:bottom w:val="single" w:sz="4" w:space="0" w:color="auto"/>
              <w:right w:val="single" w:sz="4" w:space="0" w:color="auto"/>
            </w:tcBorders>
            <w:shd w:val="clear" w:color="auto" w:fill="auto"/>
            <w:noWrap/>
            <w:vAlign w:val="bottom"/>
            <w:hideMark/>
          </w:tcPr>
          <w:p w14:paraId="3479ED94"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7</w:t>
            </w:r>
          </w:p>
        </w:tc>
        <w:tc>
          <w:tcPr>
            <w:tcW w:w="1534" w:type="dxa"/>
            <w:tcBorders>
              <w:top w:val="nil"/>
              <w:left w:val="nil"/>
              <w:bottom w:val="single" w:sz="4" w:space="0" w:color="auto"/>
              <w:right w:val="single" w:sz="4" w:space="0" w:color="auto"/>
            </w:tcBorders>
            <w:shd w:val="clear" w:color="auto" w:fill="auto"/>
            <w:noWrap/>
            <w:vAlign w:val="bottom"/>
            <w:hideMark/>
          </w:tcPr>
          <w:p w14:paraId="449C0661"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36,319,400</w:t>
            </w:r>
          </w:p>
        </w:tc>
        <w:tc>
          <w:tcPr>
            <w:tcW w:w="1171" w:type="dxa"/>
            <w:tcBorders>
              <w:top w:val="nil"/>
              <w:left w:val="nil"/>
              <w:bottom w:val="single" w:sz="4" w:space="0" w:color="auto"/>
              <w:right w:val="single" w:sz="4" w:space="0" w:color="auto"/>
            </w:tcBorders>
            <w:shd w:val="clear" w:color="auto" w:fill="auto"/>
            <w:noWrap/>
            <w:vAlign w:val="bottom"/>
            <w:hideMark/>
          </w:tcPr>
          <w:p w14:paraId="30AD993F"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3,459,000</w:t>
            </w:r>
          </w:p>
        </w:tc>
        <w:tc>
          <w:tcPr>
            <w:tcW w:w="1530" w:type="dxa"/>
            <w:tcBorders>
              <w:top w:val="nil"/>
              <w:left w:val="nil"/>
              <w:bottom w:val="single" w:sz="4" w:space="0" w:color="auto"/>
              <w:right w:val="single" w:sz="4" w:space="0" w:color="auto"/>
            </w:tcBorders>
            <w:shd w:val="clear" w:color="auto" w:fill="auto"/>
            <w:noWrap/>
            <w:vAlign w:val="bottom"/>
            <w:hideMark/>
          </w:tcPr>
          <w:p w14:paraId="0EDCCFD8"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306,563</w:t>
            </w:r>
          </w:p>
        </w:tc>
        <w:tc>
          <w:tcPr>
            <w:tcW w:w="1440" w:type="dxa"/>
            <w:tcBorders>
              <w:top w:val="nil"/>
              <w:left w:val="nil"/>
              <w:bottom w:val="single" w:sz="4" w:space="0" w:color="auto"/>
              <w:right w:val="single" w:sz="4" w:space="0" w:color="auto"/>
            </w:tcBorders>
            <w:shd w:val="clear" w:color="auto" w:fill="auto"/>
            <w:noWrap/>
            <w:vAlign w:val="bottom"/>
            <w:hideMark/>
          </w:tcPr>
          <w:p w14:paraId="481E4FA9"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40,428</w:t>
            </w:r>
          </w:p>
        </w:tc>
        <w:tc>
          <w:tcPr>
            <w:tcW w:w="1342" w:type="dxa"/>
            <w:tcBorders>
              <w:top w:val="nil"/>
              <w:left w:val="nil"/>
              <w:bottom w:val="single" w:sz="4" w:space="0" w:color="auto"/>
              <w:right w:val="single" w:sz="4" w:space="0" w:color="auto"/>
            </w:tcBorders>
            <w:shd w:val="clear" w:color="auto" w:fill="auto"/>
            <w:noWrap/>
            <w:vAlign w:val="bottom"/>
            <w:hideMark/>
          </w:tcPr>
          <w:p w14:paraId="4DE2D717"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11</w:t>
            </w:r>
          </w:p>
        </w:tc>
      </w:tr>
      <w:tr w:rsidR="000560DB" w:rsidRPr="00B30084" w14:paraId="7FDDFFF8" w14:textId="77777777" w:rsidTr="00E87DA0">
        <w:trPr>
          <w:trHeight w:val="276"/>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7B87152"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2018</w:t>
            </w:r>
          </w:p>
        </w:tc>
        <w:tc>
          <w:tcPr>
            <w:tcW w:w="1183" w:type="dxa"/>
            <w:tcBorders>
              <w:top w:val="nil"/>
              <w:left w:val="nil"/>
              <w:bottom w:val="single" w:sz="4" w:space="0" w:color="auto"/>
              <w:right w:val="single" w:sz="4" w:space="0" w:color="auto"/>
            </w:tcBorders>
            <w:shd w:val="clear" w:color="auto" w:fill="auto"/>
            <w:noWrap/>
            <w:vAlign w:val="bottom"/>
            <w:hideMark/>
          </w:tcPr>
          <w:p w14:paraId="29E04409"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7</w:t>
            </w:r>
          </w:p>
        </w:tc>
        <w:tc>
          <w:tcPr>
            <w:tcW w:w="1534" w:type="dxa"/>
            <w:tcBorders>
              <w:top w:val="nil"/>
              <w:left w:val="nil"/>
              <w:bottom w:val="single" w:sz="4" w:space="0" w:color="auto"/>
              <w:right w:val="single" w:sz="4" w:space="0" w:color="auto"/>
            </w:tcBorders>
            <w:shd w:val="clear" w:color="auto" w:fill="auto"/>
            <w:noWrap/>
            <w:vAlign w:val="bottom"/>
            <w:hideMark/>
          </w:tcPr>
          <w:p w14:paraId="1B9EE0AB"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40,264,245</w:t>
            </w:r>
          </w:p>
        </w:tc>
        <w:tc>
          <w:tcPr>
            <w:tcW w:w="1171" w:type="dxa"/>
            <w:tcBorders>
              <w:top w:val="nil"/>
              <w:left w:val="nil"/>
              <w:bottom w:val="single" w:sz="4" w:space="0" w:color="auto"/>
              <w:right w:val="single" w:sz="4" w:space="0" w:color="auto"/>
            </w:tcBorders>
            <w:shd w:val="clear" w:color="auto" w:fill="auto"/>
            <w:noWrap/>
            <w:vAlign w:val="bottom"/>
            <w:hideMark/>
          </w:tcPr>
          <w:p w14:paraId="391DB9F7"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3,944,845</w:t>
            </w:r>
          </w:p>
        </w:tc>
        <w:tc>
          <w:tcPr>
            <w:tcW w:w="1530" w:type="dxa"/>
            <w:tcBorders>
              <w:top w:val="nil"/>
              <w:left w:val="nil"/>
              <w:bottom w:val="single" w:sz="4" w:space="0" w:color="auto"/>
              <w:right w:val="single" w:sz="4" w:space="0" w:color="auto"/>
            </w:tcBorders>
            <w:shd w:val="clear" w:color="auto" w:fill="auto"/>
            <w:noWrap/>
            <w:vAlign w:val="bottom"/>
            <w:hideMark/>
          </w:tcPr>
          <w:p w14:paraId="44741B43"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340,661</w:t>
            </w:r>
          </w:p>
        </w:tc>
        <w:tc>
          <w:tcPr>
            <w:tcW w:w="1440" w:type="dxa"/>
            <w:tcBorders>
              <w:top w:val="nil"/>
              <w:left w:val="nil"/>
              <w:bottom w:val="single" w:sz="4" w:space="0" w:color="auto"/>
              <w:right w:val="single" w:sz="4" w:space="0" w:color="auto"/>
            </w:tcBorders>
            <w:shd w:val="clear" w:color="auto" w:fill="auto"/>
            <w:noWrap/>
            <w:vAlign w:val="bottom"/>
            <w:hideMark/>
          </w:tcPr>
          <w:p w14:paraId="3546ADB6"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34,097</w:t>
            </w:r>
          </w:p>
        </w:tc>
        <w:tc>
          <w:tcPr>
            <w:tcW w:w="1342" w:type="dxa"/>
            <w:tcBorders>
              <w:top w:val="nil"/>
              <w:left w:val="nil"/>
              <w:bottom w:val="single" w:sz="4" w:space="0" w:color="auto"/>
              <w:right w:val="single" w:sz="4" w:space="0" w:color="auto"/>
            </w:tcBorders>
            <w:shd w:val="clear" w:color="auto" w:fill="auto"/>
            <w:noWrap/>
            <w:vAlign w:val="bottom"/>
            <w:hideMark/>
          </w:tcPr>
          <w:p w14:paraId="7382E6D2"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11</w:t>
            </w:r>
          </w:p>
        </w:tc>
      </w:tr>
      <w:tr w:rsidR="000560DB" w:rsidRPr="00B30084" w14:paraId="62473F43" w14:textId="77777777" w:rsidTr="00E87DA0">
        <w:trPr>
          <w:trHeight w:val="276"/>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2B1CCB3"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2019</w:t>
            </w:r>
          </w:p>
        </w:tc>
        <w:tc>
          <w:tcPr>
            <w:tcW w:w="1183" w:type="dxa"/>
            <w:tcBorders>
              <w:top w:val="nil"/>
              <w:left w:val="nil"/>
              <w:bottom w:val="single" w:sz="4" w:space="0" w:color="auto"/>
              <w:right w:val="single" w:sz="4" w:space="0" w:color="auto"/>
            </w:tcBorders>
            <w:shd w:val="clear" w:color="auto" w:fill="auto"/>
            <w:noWrap/>
            <w:vAlign w:val="bottom"/>
            <w:hideMark/>
          </w:tcPr>
          <w:p w14:paraId="7A06AF63"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7</w:t>
            </w:r>
          </w:p>
        </w:tc>
        <w:tc>
          <w:tcPr>
            <w:tcW w:w="1534" w:type="dxa"/>
            <w:tcBorders>
              <w:top w:val="nil"/>
              <w:left w:val="nil"/>
              <w:bottom w:val="single" w:sz="4" w:space="0" w:color="auto"/>
              <w:right w:val="single" w:sz="4" w:space="0" w:color="auto"/>
            </w:tcBorders>
            <w:shd w:val="clear" w:color="auto" w:fill="auto"/>
            <w:noWrap/>
            <w:vAlign w:val="bottom"/>
            <w:hideMark/>
          </w:tcPr>
          <w:p w14:paraId="6D836A4A"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45,359,300</w:t>
            </w:r>
          </w:p>
        </w:tc>
        <w:tc>
          <w:tcPr>
            <w:tcW w:w="1171" w:type="dxa"/>
            <w:tcBorders>
              <w:top w:val="nil"/>
              <w:left w:val="nil"/>
              <w:bottom w:val="single" w:sz="4" w:space="0" w:color="auto"/>
              <w:right w:val="single" w:sz="4" w:space="0" w:color="auto"/>
            </w:tcBorders>
            <w:shd w:val="clear" w:color="auto" w:fill="auto"/>
            <w:noWrap/>
            <w:vAlign w:val="bottom"/>
            <w:hideMark/>
          </w:tcPr>
          <w:p w14:paraId="65919D6E"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5,095,055</w:t>
            </w:r>
          </w:p>
        </w:tc>
        <w:tc>
          <w:tcPr>
            <w:tcW w:w="1530" w:type="dxa"/>
            <w:tcBorders>
              <w:top w:val="nil"/>
              <w:left w:val="nil"/>
              <w:bottom w:val="single" w:sz="4" w:space="0" w:color="auto"/>
              <w:right w:val="single" w:sz="4" w:space="0" w:color="auto"/>
            </w:tcBorders>
            <w:shd w:val="clear" w:color="auto" w:fill="auto"/>
            <w:noWrap/>
            <w:vAlign w:val="bottom"/>
            <w:hideMark/>
          </w:tcPr>
          <w:p w14:paraId="1E516B3E"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385,732</w:t>
            </w:r>
          </w:p>
        </w:tc>
        <w:tc>
          <w:tcPr>
            <w:tcW w:w="1440" w:type="dxa"/>
            <w:tcBorders>
              <w:top w:val="nil"/>
              <w:left w:val="nil"/>
              <w:bottom w:val="single" w:sz="4" w:space="0" w:color="auto"/>
              <w:right w:val="single" w:sz="4" w:space="0" w:color="auto"/>
            </w:tcBorders>
            <w:shd w:val="clear" w:color="auto" w:fill="auto"/>
            <w:noWrap/>
            <w:vAlign w:val="bottom"/>
            <w:hideMark/>
          </w:tcPr>
          <w:p w14:paraId="348BDAAD"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45,071</w:t>
            </w:r>
          </w:p>
        </w:tc>
        <w:tc>
          <w:tcPr>
            <w:tcW w:w="1342" w:type="dxa"/>
            <w:tcBorders>
              <w:top w:val="nil"/>
              <w:left w:val="nil"/>
              <w:bottom w:val="single" w:sz="4" w:space="0" w:color="auto"/>
              <w:right w:val="single" w:sz="4" w:space="0" w:color="auto"/>
            </w:tcBorders>
            <w:shd w:val="clear" w:color="auto" w:fill="auto"/>
            <w:noWrap/>
            <w:vAlign w:val="bottom"/>
            <w:hideMark/>
          </w:tcPr>
          <w:p w14:paraId="7450FEAE"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13</w:t>
            </w:r>
          </w:p>
        </w:tc>
      </w:tr>
      <w:tr w:rsidR="000560DB" w:rsidRPr="00B30084" w14:paraId="3BAF8291" w14:textId="77777777" w:rsidTr="00E87DA0">
        <w:trPr>
          <w:trHeight w:val="276"/>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252D676"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2020</w:t>
            </w:r>
          </w:p>
        </w:tc>
        <w:tc>
          <w:tcPr>
            <w:tcW w:w="1183" w:type="dxa"/>
            <w:tcBorders>
              <w:top w:val="nil"/>
              <w:left w:val="nil"/>
              <w:bottom w:val="single" w:sz="4" w:space="0" w:color="auto"/>
              <w:right w:val="single" w:sz="4" w:space="0" w:color="auto"/>
            </w:tcBorders>
            <w:shd w:val="clear" w:color="auto" w:fill="auto"/>
            <w:noWrap/>
            <w:vAlign w:val="bottom"/>
            <w:hideMark/>
          </w:tcPr>
          <w:p w14:paraId="1EFA6701"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7</w:t>
            </w:r>
          </w:p>
        </w:tc>
        <w:tc>
          <w:tcPr>
            <w:tcW w:w="1534" w:type="dxa"/>
            <w:tcBorders>
              <w:top w:val="nil"/>
              <w:left w:val="nil"/>
              <w:bottom w:val="single" w:sz="4" w:space="0" w:color="auto"/>
              <w:right w:val="single" w:sz="4" w:space="0" w:color="auto"/>
            </w:tcBorders>
            <w:shd w:val="clear" w:color="auto" w:fill="auto"/>
            <w:noWrap/>
            <w:vAlign w:val="bottom"/>
            <w:hideMark/>
          </w:tcPr>
          <w:p w14:paraId="074E47B1"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47,122,700</w:t>
            </w:r>
          </w:p>
        </w:tc>
        <w:tc>
          <w:tcPr>
            <w:tcW w:w="1171" w:type="dxa"/>
            <w:tcBorders>
              <w:top w:val="nil"/>
              <w:left w:val="nil"/>
              <w:bottom w:val="single" w:sz="4" w:space="0" w:color="auto"/>
              <w:right w:val="single" w:sz="4" w:space="0" w:color="auto"/>
            </w:tcBorders>
            <w:shd w:val="clear" w:color="auto" w:fill="auto"/>
            <w:noWrap/>
            <w:vAlign w:val="bottom"/>
            <w:hideMark/>
          </w:tcPr>
          <w:p w14:paraId="6120F8DC"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1,763,400</w:t>
            </w:r>
          </w:p>
        </w:tc>
        <w:tc>
          <w:tcPr>
            <w:tcW w:w="1530" w:type="dxa"/>
            <w:tcBorders>
              <w:top w:val="nil"/>
              <w:left w:val="nil"/>
              <w:bottom w:val="single" w:sz="4" w:space="0" w:color="auto"/>
              <w:right w:val="single" w:sz="4" w:space="0" w:color="auto"/>
            </w:tcBorders>
            <w:shd w:val="clear" w:color="auto" w:fill="auto"/>
            <w:noWrap/>
            <w:vAlign w:val="bottom"/>
            <w:hideMark/>
          </w:tcPr>
          <w:p w14:paraId="48F80C87"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400,771</w:t>
            </w:r>
          </w:p>
        </w:tc>
        <w:tc>
          <w:tcPr>
            <w:tcW w:w="1440" w:type="dxa"/>
            <w:tcBorders>
              <w:top w:val="nil"/>
              <w:left w:val="nil"/>
              <w:bottom w:val="single" w:sz="4" w:space="0" w:color="auto"/>
              <w:right w:val="single" w:sz="4" w:space="0" w:color="auto"/>
            </w:tcBorders>
            <w:shd w:val="clear" w:color="auto" w:fill="auto"/>
            <w:noWrap/>
            <w:vAlign w:val="bottom"/>
            <w:hideMark/>
          </w:tcPr>
          <w:p w14:paraId="6F057380"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15,039</w:t>
            </w:r>
          </w:p>
        </w:tc>
        <w:tc>
          <w:tcPr>
            <w:tcW w:w="1342" w:type="dxa"/>
            <w:tcBorders>
              <w:top w:val="nil"/>
              <w:left w:val="nil"/>
              <w:bottom w:val="single" w:sz="4" w:space="0" w:color="auto"/>
              <w:right w:val="single" w:sz="4" w:space="0" w:color="auto"/>
            </w:tcBorders>
            <w:shd w:val="clear" w:color="auto" w:fill="auto"/>
            <w:noWrap/>
            <w:vAlign w:val="bottom"/>
            <w:hideMark/>
          </w:tcPr>
          <w:p w14:paraId="3F2CFB3F" w14:textId="77777777" w:rsidR="000560DB" w:rsidRPr="00B30084" w:rsidRDefault="000560DB" w:rsidP="00E87DA0">
            <w:pPr>
              <w:spacing w:after="0" w:line="240" w:lineRule="auto"/>
              <w:jc w:val="right"/>
              <w:rPr>
                <w:rFonts w:ascii="Times New Roman" w:eastAsia="Times New Roman" w:hAnsi="Times New Roman" w:cs="Times New Roman"/>
                <w:color w:val="000000"/>
                <w:sz w:val="18"/>
                <w:szCs w:val="18"/>
              </w:rPr>
            </w:pPr>
            <w:r w:rsidRPr="00B30084">
              <w:rPr>
                <w:rFonts w:ascii="Times New Roman" w:eastAsia="Times New Roman" w:hAnsi="Times New Roman" w:cs="Times New Roman"/>
                <w:color w:val="000000"/>
                <w:sz w:val="18"/>
                <w:szCs w:val="18"/>
              </w:rPr>
              <w:t>4</w:t>
            </w:r>
          </w:p>
        </w:tc>
      </w:tr>
    </w:tbl>
    <w:p w14:paraId="5730D6FB" w14:textId="77777777" w:rsidR="000560DB" w:rsidRPr="00B30084" w:rsidRDefault="000560DB" w:rsidP="000560DB">
      <w:pPr>
        <w:jc w:val="both"/>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ЕБРД извештај „Приоритети за развој тржишта капитала у Србији“, Април 2021. године</w:t>
      </w:r>
    </w:p>
    <w:p w14:paraId="292EE429" w14:textId="77777777" w:rsidR="000560DB" w:rsidRPr="00B30084" w:rsidRDefault="000560DB" w:rsidP="000560DB">
      <w:pPr>
        <w:jc w:val="both"/>
        <w:rPr>
          <w:rFonts w:ascii="Times New Roman" w:hAnsi="Times New Roman" w:cs="Times New Roman"/>
          <w:sz w:val="24"/>
          <w:szCs w:val="24"/>
          <w:lang w:val="sr-Cyrl-RS"/>
        </w:rPr>
      </w:pPr>
      <w:r w:rsidRPr="00B30084">
        <w:rPr>
          <w:rFonts w:ascii="Times New Roman" w:hAnsi="Times New Roman" w:cs="Times New Roman"/>
          <w:noProof/>
          <w:sz w:val="24"/>
          <w:szCs w:val="24"/>
        </w:rPr>
        <w:drawing>
          <wp:inline distT="0" distB="0" distL="0" distR="0" wp14:anchorId="7AE17497" wp14:editId="328CA96A">
            <wp:extent cx="3359150" cy="2127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303" cy="2134946"/>
                    </a:xfrm>
                    <a:prstGeom prst="rect">
                      <a:avLst/>
                    </a:prstGeom>
                    <a:noFill/>
                  </pic:spPr>
                </pic:pic>
              </a:graphicData>
            </a:graphic>
          </wp:inline>
        </w:drawing>
      </w:r>
    </w:p>
    <w:p w14:paraId="06F3CB18" w14:textId="77777777" w:rsidR="000560DB" w:rsidRPr="00B30084" w:rsidRDefault="000560DB" w:rsidP="000560DB">
      <w:pPr>
        <w:jc w:val="both"/>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ЕБРД извештај „Приоритети за развој тржишта капитала у Србији“, Април 2021. године</w:t>
      </w:r>
    </w:p>
    <w:p w14:paraId="440F9DA3" w14:textId="77777777" w:rsidR="000560DB" w:rsidRPr="00B30084" w:rsidRDefault="000560DB" w:rsidP="000560DB">
      <w:pPr>
        <w:jc w:val="center"/>
        <w:rPr>
          <w:rFonts w:ascii="Times New Roman" w:hAnsi="Times New Roman" w:cs="Times New Roman"/>
          <w:sz w:val="24"/>
          <w:szCs w:val="24"/>
          <w:lang w:val="sr-Latn-RS"/>
        </w:rPr>
      </w:pPr>
    </w:p>
    <w:p w14:paraId="261F4497" w14:textId="77777777" w:rsidR="000560DB" w:rsidRPr="00B30084" w:rsidRDefault="000560DB" w:rsidP="000560DB">
      <w:pPr>
        <w:jc w:val="both"/>
        <w:rPr>
          <w:rFonts w:ascii="Times New Roman" w:hAnsi="Times New Roman" w:cs="Times New Roman"/>
          <w:sz w:val="24"/>
          <w:szCs w:val="24"/>
          <w:lang w:val="sr-Cyrl-RS"/>
        </w:rPr>
      </w:pPr>
      <w:r w:rsidRPr="00B30084">
        <w:rPr>
          <w:rFonts w:ascii="Times New Roman" w:hAnsi="Times New Roman" w:cs="Times New Roman"/>
          <w:noProof/>
          <w:sz w:val="24"/>
          <w:szCs w:val="24"/>
        </w:rPr>
        <w:lastRenderedPageBreak/>
        <w:drawing>
          <wp:inline distT="0" distB="0" distL="0" distR="0" wp14:anchorId="3BB994BF" wp14:editId="3B28DBAC">
            <wp:extent cx="3403600" cy="20764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600" cy="2076450"/>
                    </a:xfrm>
                    <a:prstGeom prst="rect">
                      <a:avLst/>
                    </a:prstGeom>
                    <a:noFill/>
                  </pic:spPr>
                </pic:pic>
              </a:graphicData>
            </a:graphic>
          </wp:inline>
        </w:drawing>
      </w:r>
    </w:p>
    <w:p w14:paraId="03653017" w14:textId="3C4BC13A" w:rsidR="003265A2" w:rsidRPr="00B30084" w:rsidRDefault="000560DB" w:rsidP="008E2A52">
      <w:pPr>
        <w:jc w:val="both"/>
        <w:rPr>
          <w:rFonts w:ascii="Times New Roman" w:hAnsi="Times New Roman" w:cs="Times New Roman"/>
          <w:sz w:val="24"/>
          <w:szCs w:val="24"/>
          <w:lang w:val="sr-Cyrl-RS"/>
        </w:rPr>
      </w:pPr>
      <w:r w:rsidRPr="00B30084">
        <w:rPr>
          <w:rFonts w:ascii="Times New Roman" w:hAnsi="Times New Roman" w:cs="Times New Roman"/>
          <w:sz w:val="20"/>
          <w:szCs w:val="20"/>
          <w:lang w:val="sr-Cyrl-RS"/>
        </w:rPr>
        <w:t>Извор: ЕБРД извештај „Приоритети за развој тржишта капитала у Србији“, Април 2021. године</w:t>
      </w:r>
    </w:p>
    <w:p w14:paraId="3BE291FE" w14:textId="4E17D446" w:rsidR="003265A2" w:rsidRPr="00B30084" w:rsidRDefault="006952DF" w:rsidP="00246374">
      <w:pPr>
        <w:ind w:firstLine="720"/>
        <w:rPr>
          <w:rFonts w:ascii="Times New Roman" w:hAnsi="Times New Roman" w:cs="Times New Roman"/>
          <w:sz w:val="24"/>
          <w:szCs w:val="24"/>
          <w:lang w:val="sr-Cyrl-RS"/>
        </w:rPr>
      </w:pPr>
      <w:r w:rsidRPr="00B30084">
        <w:rPr>
          <w:rFonts w:ascii="Times New Roman" w:hAnsi="Times New Roman" w:cs="Times New Roman"/>
          <w:sz w:val="24"/>
          <w:szCs w:val="24"/>
          <w:lang w:val="sr-Cyrl-RS"/>
        </w:rPr>
        <w:t>На Графикону 1</w:t>
      </w:r>
      <w:r w:rsidR="00BF3002" w:rsidRPr="00B30084">
        <w:rPr>
          <w:rFonts w:ascii="Times New Roman" w:hAnsi="Times New Roman" w:cs="Times New Roman"/>
          <w:sz w:val="24"/>
          <w:szCs w:val="24"/>
          <w:lang w:val="sr-Cyrl-RS"/>
        </w:rPr>
        <w:t>. дат је приказ структуре активе сектора добровољних пензијских фондова која указује на низак потенцијал коришћења финансијских инструмената које нуди тржиште капитала.</w:t>
      </w:r>
    </w:p>
    <w:p w14:paraId="12BFEF00" w14:textId="77777777" w:rsidR="003265A2" w:rsidRPr="00B30084" w:rsidRDefault="003265A2" w:rsidP="003265A2">
      <w:pPr>
        <w:rPr>
          <w:rFonts w:ascii="Times New Roman" w:hAnsi="Times New Roman" w:cs="Times New Roman"/>
          <w:sz w:val="24"/>
          <w:szCs w:val="24"/>
          <w:lang w:val="sr-Cyrl-RS"/>
        </w:rPr>
      </w:pPr>
      <w:r w:rsidRPr="00B30084">
        <w:rPr>
          <w:rFonts w:ascii="Times New Roman" w:hAnsi="Times New Roman" w:cs="Times New Roman"/>
          <w:noProof/>
          <w:sz w:val="24"/>
          <w:szCs w:val="24"/>
        </w:rPr>
        <w:drawing>
          <wp:inline distT="0" distB="0" distL="0" distR="0" wp14:anchorId="559F7255" wp14:editId="60F21C97">
            <wp:extent cx="5001064" cy="2982036"/>
            <wp:effectExtent l="0" t="0" r="952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5831" cy="2996804"/>
                    </a:xfrm>
                    <a:prstGeom prst="rect">
                      <a:avLst/>
                    </a:prstGeom>
                    <a:noFill/>
                  </pic:spPr>
                </pic:pic>
              </a:graphicData>
            </a:graphic>
          </wp:inline>
        </w:drawing>
      </w:r>
    </w:p>
    <w:p w14:paraId="684086B3" w14:textId="48C02032" w:rsidR="003265A2" w:rsidRPr="00B30084" w:rsidRDefault="001E2EC2" w:rsidP="003265A2">
      <w:pPr>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Графикон 1. Структура активе сектора добровољних пензијских фондова на крају првог квартала у 2021.  години; </w:t>
      </w:r>
      <w:r w:rsidR="003265A2" w:rsidRPr="00B30084">
        <w:rPr>
          <w:rFonts w:ascii="Times New Roman" w:hAnsi="Times New Roman" w:cs="Times New Roman"/>
          <w:sz w:val="20"/>
          <w:szCs w:val="20"/>
          <w:lang w:val="sr-Cyrl-RS"/>
        </w:rPr>
        <w:t>Извор: Народна Банка Србије</w:t>
      </w:r>
    </w:p>
    <w:p w14:paraId="77DDED7E" w14:textId="329162CF" w:rsidR="00C20085" w:rsidRPr="00B30084" w:rsidRDefault="00C20085" w:rsidP="00C20085">
      <w:pPr>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Сектор </w:t>
      </w:r>
      <w:r w:rsidR="008E2A52">
        <w:rPr>
          <w:rFonts w:ascii="Times New Roman" w:hAnsi="Times New Roman" w:cs="Times New Roman"/>
          <w:sz w:val="24"/>
          <w:szCs w:val="24"/>
          <w:lang w:val="sr-Cyrl-RS"/>
        </w:rPr>
        <w:t xml:space="preserve">добровољних </w:t>
      </w:r>
      <w:r w:rsidRPr="00B30084">
        <w:rPr>
          <w:rFonts w:ascii="Times New Roman" w:hAnsi="Times New Roman" w:cs="Times New Roman"/>
          <w:sz w:val="24"/>
          <w:szCs w:val="24"/>
          <w:lang w:val="sr-Cyrl-RS"/>
        </w:rPr>
        <w:t>пензи</w:t>
      </w:r>
      <w:r w:rsidR="008E2A52">
        <w:rPr>
          <w:rFonts w:ascii="Times New Roman" w:hAnsi="Times New Roman" w:cs="Times New Roman"/>
          <w:sz w:val="24"/>
          <w:szCs w:val="24"/>
          <w:lang w:val="sr-Cyrl-RS"/>
        </w:rPr>
        <w:t>јских</w:t>
      </w:r>
      <w:r w:rsidRPr="00B30084">
        <w:rPr>
          <w:rFonts w:ascii="Times New Roman" w:hAnsi="Times New Roman" w:cs="Times New Roman"/>
          <w:sz w:val="24"/>
          <w:szCs w:val="24"/>
          <w:lang w:val="sr-Cyrl-RS"/>
        </w:rPr>
        <w:t xml:space="preserve"> фондова оцењујемо као стабилан, али је евидентан скроман раст учесника и имовине којом они управљају. Овом Стратегијом желимо да постигнемо раст улагања </w:t>
      </w:r>
      <w:r w:rsidR="00B37692">
        <w:rPr>
          <w:rFonts w:ascii="Times New Roman" w:hAnsi="Times New Roman" w:cs="Times New Roman"/>
          <w:sz w:val="24"/>
          <w:szCs w:val="24"/>
          <w:lang w:val="sr-Cyrl-RS"/>
        </w:rPr>
        <w:t>ових</w:t>
      </w:r>
      <w:r w:rsidRPr="00B30084">
        <w:rPr>
          <w:rFonts w:ascii="Times New Roman" w:hAnsi="Times New Roman" w:cs="Times New Roman"/>
          <w:sz w:val="24"/>
          <w:szCs w:val="24"/>
          <w:lang w:val="sr-Cyrl-RS"/>
        </w:rPr>
        <w:t xml:space="preserve"> фондова на начин да им се омогући улагање у шири опсег </w:t>
      </w:r>
      <w:r w:rsidR="00514563" w:rsidRPr="00B30084">
        <w:rPr>
          <w:rFonts w:ascii="Times New Roman" w:hAnsi="Times New Roman" w:cs="Times New Roman"/>
          <w:sz w:val="24"/>
          <w:szCs w:val="24"/>
          <w:lang w:val="sr-Cyrl-RS"/>
        </w:rPr>
        <w:t>хартија од вредности</w:t>
      </w:r>
      <w:r w:rsidRPr="00B30084">
        <w:rPr>
          <w:rFonts w:ascii="Times New Roman" w:hAnsi="Times New Roman" w:cs="Times New Roman"/>
          <w:sz w:val="24"/>
          <w:szCs w:val="24"/>
          <w:lang w:val="sr-Cyrl-RS"/>
        </w:rPr>
        <w:t xml:space="preserve">, као и редефинисање лимита односно ограничења која важе за улагања у поједине </w:t>
      </w:r>
      <w:r w:rsidR="00514563" w:rsidRPr="00B30084">
        <w:rPr>
          <w:rFonts w:ascii="Times New Roman" w:hAnsi="Times New Roman" w:cs="Times New Roman"/>
          <w:sz w:val="24"/>
          <w:szCs w:val="24"/>
          <w:lang w:val="sr-Cyrl-RS"/>
        </w:rPr>
        <w:t>хартије од вредности</w:t>
      </w:r>
      <w:r w:rsidRPr="00B30084">
        <w:rPr>
          <w:rFonts w:ascii="Times New Roman" w:hAnsi="Times New Roman" w:cs="Times New Roman"/>
          <w:sz w:val="24"/>
          <w:szCs w:val="24"/>
          <w:lang w:val="sr-Cyrl-RS"/>
        </w:rPr>
        <w:t xml:space="preserve">.    </w:t>
      </w:r>
    </w:p>
    <w:p w14:paraId="7C7B9004" w14:textId="65DB55E3" w:rsidR="0052306D" w:rsidRPr="00B30084" w:rsidRDefault="0052306D"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Када говоримо о потенцијалу тржишта капитала треба поменути и </w:t>
      </w:r>
      <w:r w:rsidRPr="00B30084">
        <w:rPr>
          <w:rFonts w:ascii="Times New Roman" w:hAnsi="Times New Roman" w:cs="Times New Roman"/>
          <w:sz w:val="24"/>
          <w:szCs w:val="24"/>
          <w:u w:val="single"/>
          <w:lang w:val="sr-Cyrl-RS"/>
        </w:rPr>
        <w:t>осигуравајућа друштва</w:t>
      </w:r>
      <w:r w:rsidRPr="00B30084">
        <w:rPr>
          <w:rFonts w:ascii="Times New Roman" w:hAnsi="Times New Roman" w:cs="Times New Roman"/>
          <w:sz w:val="24"/>
          <w:szCs w:val="24"/>
          <w:lang w:val="sr-Cyrl-RS"/>
        </w:rPr>
        <w:t xml:space="preserve">. У Србији послују 4 друштва за осигурање живота, 6 комбинованих друштава </w:t>
      </w:r>
      <w:r w:rsidRPr="00B30084">
        <w:rPr>
          <w:rFonts w:ascii="Times New Roman" w:hAnsi="Times New Roman" w:cs="Times New Roman"/>
          <w:sz w:val="24"/>
          <w:szCs w:val="24"/>
          <w:lang w:val="sr-Cyrl-RS"/>
        </w:rPr>
        <w:lastRenderedPageBreak/>
        <w:t xml:space="preserve">(животно, неживотно, осигурање од несреће) и 6 друштава која се баве неживотним осигурањем и осигурањем од несрећа. Укупан портфолио друштава је на крају 2019. године износио РСД 221,807 </w:t>
      </w:r>
      <w:r w:rsidR="00634C41" w:rsidRPr="00B30084">
        <w:rPr>
          <w:rFonts w:ascii="Times New Roman" w:hAnsi="Times New Roman" w:cs="Times New Roman"/>
          <w:sz w:val="24"/>
          <w:szCs w:val="24"/>
          <w:lang w:val="sr-Cyrl-RS"/>
        </w:rPr>
        <w:t>милијарди</w:t>
      </w:r>
      <w:r w:rsidRPr="00B30084">
        <w:rPr>
          <w:rFonts w:ascii="Times New Roman" w:hAnsi="Times New Roman" w:cs="Times New Roman"/>
          <w:sz w:val="24"/>
          <w:szCs w:val="24"/>
          <w:lang w:val="sr-Cyrl-RS"/>
        </w:rPr>
        <w:t xml:space="preserve"> (€ 1.88 милијарди). Међутим, осигуравајућа друштва немају праксу улагања на тржиште капитала. Само 0.81% портфолија се састоји од акција. Уколико би осигуравајућа друштва редефинисала однос својих портфолија на 50% : 50%, акције </w:t>
      </w:r>
      <w:r w:rsidR="008850B4" w:rsidRPr="00B30084">
        <w:rPr>
          <w:rFonts w:ascii="Times New Roman" w:hAnsi="Times New Roman" w:cs="Times New Roman"/>
          <w:sz w:val="24"/>
          <w:szCs w:val="24"/>
          <w:lang w:val="sr-Cyrl-RS"/>
        </w:rPr>
        <w:t>у односу на</w:t>
      </w:r>
      <w:r w:rsidRPr="00B30084">
        <w:rPr>
          <w:rFonts w:ascii="Times New Roman" w:hAnsi="Times New Roman" w:cs="Times New Roman"/>
          <w:sz w:val="24"/>
          <w:szCs w:val="24"/>
          <w:lang w:val="sr-Cyrl-RS"/>
        </w:rPr>
        <w:t xml:space="preserve"> дужничке хартије од вредности (задржавајући тренутни ниво готовине и потраживања) добили би прилив од РСД 86,925 милиона (€ 737 милиона) што представља значајан износ на страни тражње инвеститора.  </w:t>
      </w:r>
      <w:r w:rsidR="00F56B87" w:rsidRPr="00B30084">
        <w:rPr>
          <w:rFonts w:ascii="Times New Roman" w:hAnsi="Times New Roman" w:cs="Times New Roman"/>
          <w:sz w:val="24"/>
          <w:szCs w:val="24"/>
          <w:lang w:val="sr-Cyrl-RS"/>
        </w:rPr>
        <w:t>На графикону 2</w:t>
      </w:r>
      <w:r w:rsidR="00280953" w:rsidRPr="00B30084">
        <w:rPr>
          <w:rFonts w:ascii="Times New Roman" w:hAnsi="Times New Roman" w:cs="Times New Roman"/>
          <w:sz w:val="24"/>
          <w:szCs w:val="24"/>
          <w:lang w:val="sr-Cyrl-RS"/>
        </w:rPr>
        <w:t>. дат је приказ активе сектора осигурања који потврђује изузетно низак проценат улагања у власничке хартије од вредности.</w:t>
      </w:r>
    </w:p>
    <w:p w14:paraId="21586824" w14:textId="77777777" w:rsidR="00BF3002" w:rsidRPr="00B30084" w:rsidRDefault="00BF3002" w:rsidP="00803640">
      <w:pPr>
        <w:rPr>
          <w:rFonts w:ascii="Times New Roman" w:hAnsi="Times New Roman" w:cs="Times New Roman"/>
          <w:sz w:val="24"/>
          <w:szCs w:val="24"/>
          <w:lang w:val="sr-Cyrl-RS"/>
        </w:rPr>
      </w:pPr>
    </w:p>
    <w:p w14:paraId="0D84424F" w14:textId="77777777" w:rsidR="00BF3002" w:rsidRPr="00B30084" w:rsidRDefault="00BF3002" w:rsidP="00803640">
      <w:pPr>
        <w:rPr>
          <w:rFonts w:ascii="Times New Roman" w:hAnsi="Times New Roman" w:cs="Times New Roman"/>
          <w:sz w:val="24"/>
          <w:szCs w:val="24"/>
          <w:lang w:val="sr-Cyrl-RS"/>
        </w:rPr>
      </w:pPr>
    </w:p>
    <w:p w14:paraId="6E0EC3BB" w14:textId="77777777" w:rsidR="00803640" w:rsidRPr="00B30084" w:rsidRDefault="00803640" w:rsidP="00803640">
      <w:pPr>
        <w:rPr>
          <w:rFonts w:ascii="Times New Roman" w:hAnsi="Times New Roman" w:cs="Times New Roman"/>
          <w:sz w:val="24"/>
          <w:szCs w:val="24"/>
          <w:lang w:val="sr-Cyrl-RS"/>
        </w:rPr>
      </w:pPr>
      <w:r w:rsidRPr="00B30084">
        <w:rPr>
          <w:rFonts w:ascii="Times New Roman" w:hAnsi="Times New Roman" w:cs="Times New Roman"/>
          <w:noProof/>
          <w:sz w:val="24"/>
          <w:szCs w:val="24"/>
        </w:rPr>
        <w:drawing>
          <wp:inline distT="0" distB="0" distL="0" distR="0" wp14:anchorId="5AC7AC58" wp14:editId="0D4ABCD3">
            <wp:extent cx="5766435" cy="262064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6435" cy="2620645"/>
                    </a:xfrm>
                    <a:prstGeom prst="rect">
                      <a:avLst/>
                    </a:prstGeom>
                    <a:noFill/>
                    <a:ln>
                      <a:noFill/>
                    </a:ln>
                    <a:effectLst>
                      <a:softEdge rad="63500"/>
                    </a:effectLst>
                  </pic:spPr>
                </pic:pic>
              </a:graphicData>
            </a:graphic>
          </wp:inline>
        </w:drawing>
      </w:r>
    </w:p>
    <w:p w14:paraId="4777D232" w14:textId="2FE74604" w:rsidR="00803640" w:rsidRPr="00B30084" w:rsidRDefault="005B680C" w:rsidP="00803640">
      <w:pPr>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Графикон 2. Структура активе сектора осигурања на крају првог квартала у 2020. и 2021.  години; </w:t>
      </w:r>
      <w:r w:rsidR="00803640" w:rsidRPr="00B30084">
        <w:rPr>
          <w:rFonts w:ascii="Times New Roman" w:hAnsi="Times New Roman" w:cs="Times New Roman"/>
          <w:sz w:val="20"/>
          <w:szCs w:val="20"/>
          <w:lang w:val="sr-Cyrl-RS"/>
        </w:rPr>
        <w:t>Извор: Народна Банка Србије</w:t>
      </w:r>
    </w:p>
    <w:p w14:paraId="42E97867" w14:textId="06A904CA" w:rsidR="00146328" w:rsidRDefault="00942D7E" w:rsidP="00B37692">
      <w:pPr>
        <w:spacing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Развоју</w:t>
      </w:r>
      <w:r w:rsidR="0052306D" w:rsidRPr="00B30084">
        <w:rPr>
          <w:rFonts w:ascii="Times New Roman" w:hAnsi="Times New Roman" w:cs="Times New Roman"/>
          <w:sz w:val="24"/>
          <w:szCs w:val="24"/>
          <w:lang w:val="sr-Cyrl-RS"/>
        </w:rPr>
        <w:t xml:space="preserve"> тржишта капитала свакако не иде у корист пад каматних стопа на банкарске кредите с једне стране, и пад приноса на државне хартије од вредности са друге стране. </w:t>
      </w:r>
      <w:r w:rsidR="00DA7799">
        <w:rPr>
          <w:rFonts w:ascii="Times New Roman" w:hAnsi="Times New Roman" w:cs="Times New Roman"/>
          <w:sz w:val="24"/>
          <w:szCs w:val="24"/>
          <w:lang w:val="sr-Cyrl-RS"/>
        </w:rPr>
        <w:t>Међутим,</w:t>
      </w:r>
      <w:r w:rsidR="0052306D" w:rsidRPr="00B30084">
        <w:rPr>
          <w:rFonts w:ascii="Times New Roman" w:hAnsi="Times New Roman" w:cs="Times New Roman"/>
          <w:sz w:val="24"/>
          <w:szCs w:val="24"/>
          <w:lang w:val="sr-Cyrl-RS"/>
        </w:rPr>
        <w:t xml:space="preserve"> имајући у виду </w:t>
      </w:r>
      <w:proofErr w:type="spellStart"/>
      <w:r w:rsidR="0052306D" w:rsidRPr="00B30084">
        <w:rPr>
          <w:rFonts w:ascii="Times New Roman" w:hAnsi="Times New Roman" w:cs="Times New Roman"/>
          <w:sz w:val="24"/>
          <w:szCs w:val="24"/>
          <w:lang w:val="sr-Cyrl-RS"/>
        </w:rPr>
        <w:t>рочну</w:t>
      </w:r>
      <w:proofErr w:type="spellEnd"/>
      <w:r w:rsidR="0052306D" w:rsidRPr="00B30084">
        <w:rPr>
          <w:rFonts w:ascii="Times New Roman" w:hAnsi="Times New Roman" w:cs="Times New Roman"/>
          <w:sz w:val="24"/>
          <w:szCs w:val="24"/>
          <w:lang w:val="sr-Cyrl-RS"/>
        </w:rPr>
        <w:t xml:space="preserve"> неусклађеност активе и пасиве банкарског сектора (ограничене могућности пласмана дугорочних кредита), неопходно је да овде иступи тржиште капитала и задовољи потребе компанија за дугорочним изворима финансирања.</w:t>
      </w:r>
    </w:p>
    <w:p w14:paraId="1D297674" w14:textId="7540865A" w:rsidR="00CD142B" w:rsidRDefault="00CD142B" w:rsidP="00B37692">
      <w:pPr>
        <w:spacing w:line="276" w:lineRule="auto"/>
        <w:ind w:firstLine="720"/>
        <w:jc w:val="both"/>
        <w:rPr>
          <w:rFonts w:ascii="Times New Roman" w:hAnsi="Times New Roman" w:cs="Times New Roman"/>
          <w:sz w:val="24"/>
          <w:szCs w:val="24"/>
          <w:lang w:val="sr-Cyrl-RS"/>
        </w:rPr>
      </w:pPr>
    </w:p>
    <w:p w14:paraId="476F2581" w14:textId="2F441A2B" w:rsidR="00CD142B" w:rsidRDefault="00CD142B" w:rsidP="00B37692">
      <w:pPr>
        <w:spacing w:line="276" w:lineRule="auto"/>
        <w:ind w:firstLine="720"/>
        <w:jc w:val="both"/>
        <w:rPr>
          <w:rFonts w:ascii="Times New Roman" w:hAnsi="Times New Roman" w:cs="Times New Roman"/>
          <w:sz w:val="24"/>
          <w:szCs w:val="24"/>
          <w:lang w:val="sr-Cyrl-RS"/>
        </w:rPr>
      </w:pPr>
    </w:p>
    <w:p w14:paraId="62ACB1EB" w14:textId="77777777" w:rsidR="00CD142B" w:rsidRPr="00B30084" w:rsidRDefault="00CD142B" w:rsidP="00B37692">
      <w:pPr>
        <w:spacing w:line="276" w:lineRule="auto"/>
        <w:ind w:firstLine="720"/>
        <w:jc w:val="both"/>
        <w:rPr>
          <w:rFonts w:ascii="Times New Roman" w:hAnsi="Times New Roman" w:cs="Times New Roman"/>
          <w:sz w:val="24"/>
          <w:szCs w:val="24"/>
          <w:lang w:val="sr-Cyrl-RS"/>
        </w:rPr>
      </w:pPr>
    </w:p>
    <w:p w14:paraId="3D7DB843" w14:textId="6B94CBDB" w:rsidR="002C2F47" w:rsidRPr="00B30084" w:rsidRDefault="002C2F47" w:rsidP="000E3C22">
      <w:pPr>
        <w:pStyle w:val="Heading2"/>
        <w:numPr>
          <w:ilvl w:val="3"/>
          <w:numId w:val="30"/>
        </w:numPr>
      </w:pPr>
      <w:r w:rsidRPr="00B30084">
        <w:lastRenderedPageBreak/>
        <w:t>Јавни сектор</w:t>
      </w:r>
    </w:p>
    <w:p w14:paraId="002D734E" w14:textId="7E098F6E" w:rsidR="00173D6C" w:rsidRPr="00B30084" w:rsidRDefault="00173D6C" w:rsidP="00155FCE">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У току израде Стратегије вођене су консултације на тему потенцијала јавног сектора у развоју тржишта капитала. </w:t>
      </w:r>
      <w:proofErr w:type="spellStart"/>
      <w:r w:rsidRPr="00B30084">
        <w:rPr>
          <w:rFonts w:ascii="Times New Roman" w:hAnsi="Times New Roman" w:cs="Times New Roman"/>
          <w:sz w:val="24"/>
          <w:szCs w:val="24"/>
          <w:lang w:val="sr-Cyrl-RS"/>
        </w:rPr>
        <w:t>Константовано</w:t>
      </w:r>
      <w:proofErr w:type="spellEnd"/>
      <w:r w:rsidRPr="00B30084">
        <w:rPr>
          <w:rFonts w:ascii="Times New Roman" w:hAnsi="Times New Roman" w:cs="Times New Roman"/>
          <w:sz w:val="24"/>
          <w:szCs w:val="24"/>
          <w:lang w:val="sr-Cyrl-RS"/>
        </w:rPr>
        <w:t xml:space="preserve"> је да су </w:t>
      </w:r>
      <w:r w:rsidR="00FD7D35">
        <w:rPr>
          <w:rFonts w:ascii="Times New Roman" w:hAnsi="Times New Roman" w:cs="Times New Roman"/>
          <w:sz w:val="24"/>
          <w:szCs w:val="24"/>
          <w:lang w:val="sr-Cyrl-RS"/>
        </w:rPr>
        <w:t>Република Србија</w:t>
      </w:r>
      <w:r w:rsidRPr="00B30084">
        <w:rPr>
          <w:rFonts w:ascii="Times New Roman" w:hAnsi="Times New Roman" w:cs="Times New Roman"/>
          <w:sz w:val="24"/>
          <w:szCs w:val="24"/>
          <w:lang w:val="sr-Cyrl-RS"/>
        </w:rPr>
        <w:t xml:space="preserve"> (</w:t>
      </w:r>
      <w:proofErr w:type="spellStart"/>
      <w:r w:rsidRPr="00B30084">
        <w:rPr>
          <w:rFonts w:ascii="Times New Roman" w:hAnsi="Times New Roman" w:cs="Times New Roman"/>
          <w:sz w:val="24"/>
          <w:szCs w:val="24"/>
          <w:lang w:val="sr-Cyrl-RS"/>
        </w:rPr>
        <w:t>МФ</w:t>
      </w:r>
      <w:r w:rsidR="009B4EA3" w:rsidRPr="00B30084">
        <w:rPr>
          <w:rFonts w:ascii="Times New Roman" w:hAnsi="Times New Roman" w:cs="Times New Roman"/>
          <w:sz w:val="24"/>
          <w:szCs w:val="24"/>
          <w:lang w:val="sr-Cyrl-RS"/>
        </w:rPr>
        <w:t>ин</w:t>
      </w:r>
      <w:proofErr w:type="spellEnd"/>
      <w:r w:rsidRPr="00B30084">
        <w:rPr>
          <w:rFonts w:ascii="Times New Roman" w:hAnsi="Times New Roman" w:cs="Times New Roman"/>
          <w:sz w:val="24"/>
          <w:szCs w:val="24"/>
          <w:lang w:val="sr-Cyrl-RS"/>
        </w:rPr>
        <w:t xml:space="preserve">), </w:t>
      </w:r>
      <w:r w:rsidR="000B5FAF" w:rsidRPr="00B30084">
        <w:rPr>
          <w:rFonts w:ascii="Times New Roman" w:hAnsi="Times New Roman" w:cs="Times New Roman"/>
          <w:sz w:val="24"/>
          <w:szCs w:val="24"/>
          <w:lang w:val="sr-Cyrl-RS"/>
        </w:rPr>
        <w:t>предузећа у државном власништву</w:t>
      </w:r>
      <w:r w:rsidR="004C2203"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t>и јединице локалне самоуправе главни покретачи у развоју тржишта капитала.</w:t>
      </w:r>
    </w:p>
    <w:p w14:paraId="3E2AEEAF" w14:textId="3503DDDC" w:rsidR="00B22D0B" w:rsidRPr="00B30084" w:rsidRDefault="004C2203"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u w:val="single"/>
          <w:lang w:val="sr-Cyrl-RS"/>
        </w:rPr>
        <w:t>Министарство финансија</w:t>
      </w:r>
      <w:r w:rsidRPr="00B30084">
        <w:rPr>
          <w:rFonts w:ascii="Times New Roman" w:hAnsi="Times New Roman" w:cs="Times New Roman"/>
          <w:sz w:val="24"/>
          <w:szCs w:val="24"/>
          <w:lang w:val="sr-Cyrl-RS"/>
        </w:rPr>
        <w:t xml:space="preserve"> </w:t>
      </w:r>
      <w:r w:rsidR="000B5FAF" w:rsidRPr="00B30084">
        <w:rPr>
          <w:rFonts w:ascii="Times New Roman" w:hAnsi="Times New Roman" w:cs="Times New Roman"/>
          <w:sz w:val="24"/>
          <w:szCs w:val="24"/>
          <w:lang w:val="sr-Cyrl-RS"/>
        </w:rPr>
        <w:t xml:space="preserve">је у </w:t>
      </w:r>
      <w:r w:rsidR="00FD7D35">
        <w:rPr>
          <w:rFonts w:ascii="Times New Roman" w:hAnsi="Times New Roman" w:cs="Times New Roman"/>
          <w:sz w:val="24"/>
          <w:szCs w:val="24"/>
          <w:lang w:val="sr-Cyrl-RS"/>
        </w:rPr>
        <w:t>Републици Србији</w:t>
      </w:r>
      <w:r w:rsidR="000B5FAF" w:rsidRPr="00B30084">
        <w:rPr>
          <w:rFonts w:ascii="Times New Roman" w:hAnsi="Times New Roman" w:cs="Times New Roman"/>
          <w:sz w:val="24"/>
          <w:szCs w:val="24"/>
          <w:lang w:val="sr-Cyrl-RS"/>
        </w:rPr>
        <w:t xml:space="preserve"> </w:t>
      </w:r>
      <w:r w:rsidR="00FD7D35">
        <w:rPr>
          <w:rFonts w:ascii="Times New Roman" w:hAnsi="Times New Roman" w:cs="Times New Roman"/>
          <w:sz w:val="24"/>
          <w:szCs w:val="24"/>
          <w:lang w:val="sr-Cyrl-RS"/>
        </w:rPr>
        <w:t xml:space="preserve">највећи издавалац </w:t>
      </w:r>
      <w:r w:rsidRPr="00B30084">
        <w:rPr>
          <w:rFonts w:ascii="Times New Roman" w:hAnsi="Times New Roman" w:cs="Times New Roman"/>
          <w:sz w:val="24"/>
          <w:szCs w:val="24"/>
          <w:lang w:val="sr-Cyrl-RS"/>
        </w:rPr>
        <w:t xml:space="preserve">са </w:t>
      </w:r>
      <w:r w:rsidR="00E024B6" w:rsidRPr="00B30084">
        <w:rPr>
          <w:rFonts w:ascii="Times New Roman" w:hAnsi="Times New Roman" w:cs="Times New Roman"/>
          <w:sz w:val="24"/>
          <w:szCs w:val="24"/>
          <w:lang w:val="sr-Cyrl-RS"/>
        </w:rPr>
        <w:t>РСД 1,28 билиона (</w:t>
      </w:r>
      <w:r w:rsidR="00E024B6" w:rsidRPr="00B30084">
        <w:rPr>
          <w:rFonts w:ascii="Times New Roman" w:hAnsi="Times New Roman" w:cs="Times New Roman"/>
          <w:color w:val="000000"/>
          <w:sz w:val="24"/>
          <w:szCs w:val="24"/>
          <w:lang w:val="sr-Cyrl-RS"/>
        </w:rPr>
        <w:t xml:space="preserve">€ </w:t>
      </w:r>
      <w:r w:rsidR="00E024B6" w:rsidRPr="00B30084">
        <w:rPr>
          <w:rFonts w:ascii="Times New Roman" w:hAnsi="Times New Roman" w:cs="Times New Roman"/>
          <w:sz w:val="24"/>
          <w:szCs w:val="24"/>
          <w:lang w:val="sr-Cyrl-RS"/>
        </w:rPr>
        <w:t>10,9 милијарди) државних хартија од вредности које су у оптицају од краја 2019</w:t>
      </w:r>
      <w:r w:rsidRPr="00B30084">
        <w:rPr>
          <w:rFonts w:ascii="Times New Roman" w:hAnsi="Times New Roman" w:cs="Times New Roman"/>
          <w:sz w:val="24"/>
          <w:szCs w:val="24"/>
          <w:lang w:val="sr-Cyrl-RS"/>
        </w:rPr>
        <w:t>.</w:t>
      </w:r>
      <w:r w:rsidR="00477670" w:rsidRPr="00B30084">
        <w:rPr>
          <w:rFonts w:ascii="Times New Roman" w:hAnsi="Times New Roman" w:cs="Times New Roman"/>
          <w:sz w:val="24"/>
          <w:szCs w:val="24"/>
          <w:lang w:val="sr-Cyrl-RS"/>
        </w:rPr>
        <w:t xml:space="preserve"> </w:t>
      </w:r>
      <w:r w:rsidR="00D629AD" w:rsidRPr="00B30084">
        <w:rPr>
          <w:rFonts w:ascii="Times New Roman" w:hAnsi="Times New Roman" w:cs="Times New Roman"/>
          <w:sz w:val="24"/>
          <w:szCs w:val="24"/>
          <w:lang w:val="sr-Cyrl-RS"/>
        </w:rPr>
        <w:t xml:space="preserve">Државне </w:t>
      </w:r>
      <w:r w:rsidR="00514563" w:rsidRPr="00B30084">
        <w:rPr>
          <w:rFonts w:ascii="Times New Roman" w:hAnsi="Times New Roman" w:cs="Times New Roman"/>
          <w:sz w:val="24"/>
          <w:szCs w:val="24"/>
          <w:lang w:val="sr-Cyrl-RS"/>
        </w:rPr>
        <w:t>хартије од вредности</w:t>
      </w:r>
      <w:r w:rsidR="00D629AD" w:rsidRPr="00B30084">
        <w:rPr>
          <w:rFonts w:ascii="Times New Roman" w:hAnsi="Times New Roman" w:cs="Times New Roman"/>
          <w:sz w:val="24"/>
          <w:szCs w:val="24"/>
          <w:lang w:val="sr-Cyrl-RS"/>
        </w:rPr>
        <w:t xml:space="preserve"> су финансијски инструменти чија је вредност исказана у домаћој или страној валути, о чијој емисији, одлучује Влада или министар надлежан за послове финансија, које се емитују, преносе и евидентирају у облику електронског записа у информационом систему ЦРХоВ</w:t>
      </w:r>
      <w:r w:rsidR="000B5FAF" w:rsidRPr="00B30084">
        <w:rPr>
          <w:rFonts w:ascii="Times New Roman" w:hAnsi="Times New Roman" w:cs="Times New Roman"/>
          <w:sz w:val="24"/>
          <w:szCs w:val="24"/>
          <w:lang w:val="sr-Cyrl-RS"/>
        </w:rPr>
        <w:t>.</w:t>
      </w:r>
      <w:r w:rsidR="00D629AD" w:rsidRPr="00B30084">
        <w:rPr>
          <w:rFonts w:ascii="Times New Roman" w:hAnsi="Times New Roman" w:cs="Times New Roman"/>
          <w:sz w:val="24"/>
          <w:szCs w:val="24"/>
          <w:lang w:val="sr-Cyrl-RS"/>
        </w:rPr>
        <w:t xml:space="preserve"> </w:t>
      </w:r>
    </w:p>
    <w:p w14:paraId="06495D87" w14:textId="21CF040A" w:rsidR="00477670" w:rsidRPr="00B30084" w:rsidRDefault="00514563" w:rsidP="00275E1F">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Хартије од вредности</w:t>
      </w:r>
      <w:r w:rsidR="00B22D0B" w:rsidRPr="00B30084">
        <w:rPr>
          <w:rFonts w:ascii="Times New Roman" w:hAnsi="Times New Roman" w:cs="Times New Roman"/>
          <w:sz w:val="24"/>
          <w:szCs w:val="24"/>
          <w:lang w:val="sr-Cyrl-RS"/>
        </w:rPr>
        <w:t xml:space="preserve"> које емитује </w:t>
      </w:r>
      <w:r w:rsidR="00FD7D35">
        <w:rPr>
          <w:rFonts w:ascii="Times New Roman" w:hAnsi="Times New Roman" w:cs="Times New Roman"/>
          <w:sz w:val="24"/>
          <w:szCs w:val="24"/>
          <w:lang w:val="sr-Cyrl-RS"/>
        </w:rPr>
        <w:t>Република Србија</w:t>
      </w:r>
      <w:r w:rsidR="00B22D0B" w:rsidRPr="00B30084">
        <w:rPr>
          <w:rFonts w:ascii="Times New Roman" w:hAnsi="Times New Roman" w:cs="Times New Roman"/>
          <w:sz w:val="24"/>
          <w:szCs w:val="24"/>
          <w:lang w:val="sr-Cyrl-RS"/>
        </w:rPr>
        <w:t>/</w:t>
      </w:r>
      <w:proofErr w:type="spellStart"/>
      <w:r w:rsidR="00B22D0B" w:rsidRPr="00B30084">
        <w:rPr>
          <w:rFonts w:ascii="Times New Roman" w:hAnsi="Times New Roman" w:cs="Times New Roman"/>
          <w:sz w:val="24"/>
          <w:szCs w:val="24"/>
          <w:lang w:val="sr-Cyrl-RS"/>
        </w:rPr>
        <w:t>МФ</w:t>
      </w:r>
      <w:r w:rsidR="009B4EA3" w:rsidRPr="00B30084">
        <w:rPr>
          <w:rFonts w:ascii="Times New Roman" w:hAnsi="Times New Roman" w:cs="Times New Roman"/>
          <w:sz w:val="24"/>
          <w:szCs w:val="24"/>
          <w:lang w:val="sr-Cyrl-RS"/>
        </w:rPr>
        <w:t>ин</w:t>
      </w:r>
      <w:proofErr w:type="spellEnd"/>
      <w:r w:rsidR="00B22D0B" w:rsidRPr="00B30084">
        <w:rPr>
          <w:rFonts w:ascii="Times New Roman" w:hAnsi="Times New Roman" w:cs="Times New Roman"/>
          <w:sz w:val="24"/>
          <w:szCs w:val="24"/>
          <w:lang w:val="sr-Cyrl-RS"/>
        </w:rPr>
        <w:t xml:space="preserve"> могу бити дугорочне и краткорочне. Дугорочне државне хартије су </w:t>
      </w:r>
      <w:r w:rsidRPr="00B30084">
        <w:rPr>
          <w:rFonts w:ascii="Times New Roman" w:hAnsi="Times New Roman" w:cs="Times New Roman"/>
          <w:sz w:val="24"/>
          <w:szCs w:val="24"/>
          <w:lang w:val="sr-Cyrl-RS"/>
        </w:rPr>
        <w:t>хартије од вредности</w:t>
      </w:r>
      <w:r w:rsidR="00B22D0B" w:rsidRPr="00B30084">
        <w:rPr>
          <w:rFonts w:ascii="Times New Roman" w:hAnsi="Times New Roman" w:cs="Times New Roman"/>
          <w:sz w:val="24"/>
          <w:szCs w:val="24"/>
          <w:lang w:val="sr-Cyrl-RS"/>
        </w:rPr>
        <w:t xml:space="preserve"> са роком доспећа преко једне године о чијем емитовању одлучује Влада. Дугорочне државне хартије могу куповати сва домаћа и страна правна и физичка лица, преко овлашћених учесника. </w:t>
      </w:r>
      <w:r w:rsidR="00D629AD" w:rsidRPr="00B30084">
        <w:rPr>
          <w:rFonts w:ascii="Times New Roman" w:hAnsi="Times New Roman" w:cs="Times New Roman"/>
          <w:sz w:val="24"/>
          <w:szCs w:val="24"/>
          <w:lang w:val="sr-Cyrl-RS"/>
        </w:rPr>
        <w:t xml:space="preserve">Краткорочне државне </w:t>
      </w:r>
      <w:r w:rsidRPr="00B30084">
        <w:rPr>
          <w:rFonts w:ascii="Times New Roman" w:hAnsi="Times New Roman" w:cs="Times New Roman"/>
          <w:sz w:val="24"/>
          <w:szCs w:val="24"/>
          <w:lang w:val="sr-Cyrl-RS"/>
        </w:rPr>
        <w:t>хартије од вредности</w:t>
      </w:r>
      <w:r w:rsidR="00D629AD" w:rsidRPr="00B30084">
        <w:rPr>
          <w:rFonts w:ascii="Times New Roman" w:hAnsi="Times New Roman" w:cs="Times New Roman"/>
          <w:sz w:val="24"/>
          <w:szCs w:val="24"/>
          <w:lang w:val="sr-Cyrl-RS"/>
        </w:rPr>
        <w:t xml:space="preserve"> представљају </w:t>
      </w:r>
      <w:r w:rsidR="0006776A" w:rsidRPr="00B30084">
        <w:rPr>
          <w:rFonts w:ascii="Times New Roman" w:hAnsi="Times New Roman" w:cs="Times New Roman"/>
          <w:sz w:val="24"/>
          <w:szCs w:val="24"/>
          <w:lang w:val="sr-Cyrl-RS"/>
        </w:rPr>
        <w:t>хартије од вредности</w:t>
      </w:r>
      <w:r w:rsidR="00D629AD" w:rsidRPr="00B30084">
        <w:rPr>
          <w:rFonts w:ascii="Times New Roman" w:hAnsi="Times New Roman" w:cs="Times New Roman"/>
          <w:sz w:val="24"/>
          <w:szCs w:val="24"/>
          <w:lang w:val="sr-Cyrl-RS"/>
        </w:rPr>
        <w:t xml:space="preserve"> са роком доспећа до једне године, о чијем емитовању одлучује министар финансија или лице које он овласти, осим у случају када је датум доспећа у наредној буџетској години, када о емитовању одлучује Влад</w:t>
      </w:r>
      <w:r w:rsidR="00EF7549" w:rsidRPr="00B30084">
        <w:rPr>
          <w:rFonts w:ascii="Times New Roman" w:hAnsi="Times New Roman" w:cs="Times New Roman"/>
          <w:sz w:val="24"/>
          <w:szCs w:val="24"/>
          <w:lang w:val="sr-Cyrl-RS"/>
        </w:rPr>
        <w:t>а.</w:t>
      </w:r>
      <w:r w:rsidR="00D629AD" w:rsidRPr="00B30084">
        <w:rPr>
          <w:rFonts w:ascii="Times New Roman" w:hAnsi="Times New Roman" w:cs="Times New Roman"/>
          <w:sz w:val="24"/>
          <w:szCs w:val="24"/>
          <w:lang w:val="sr-Cyrl-RS"/>
        </w:rPr>
        <w:t xml:space="preserve"> Њихови емитенти могу бити различити – држава, њени органи, организације и агенције, локални органи власти, фирме, банке и друге финансијске институције.</w:t>
      </w:r>
      <w:r w:rsidR="00843F40" w:rsidRPr="00B30084">
        <w:rPr>
          <w:rFonts w:ascii="Times New Roman" w:hAnsi="Times New Roman" w:cs="Times New Roman"/>
          <w:sz w:val="24"/>
          <w:szCs w:val="24"/>
          <w:lang w:val="sr-Cyrl-RS"/>
        </w:rPr>
        <w:t xml:space="preserve"> Краткорочне државне хартије могу куповати само домаћа правна и физичка лица</w:t>
      </w:r>
      <w:r w:rsidR="006475C7" w:rsidRPr="00B30084">
        <w:rPr>
          <w:rStyle w:val="FootnoteReference"/>
          <w:rFonts w:ascii="Times New Roman" w:hAnsi="Times New Roman" w:cs="Times New Roman"/>
          <w:sz w:val="24"/>
          <w:szCs w:val="24"/>
          <w:lang w:val="sr-Cyrl-RS"/>
        </w:rPr>
        <w:footnoteReference w:id="33"/>
      </w:r>
      <w:r w:rsidR="00843F40" w:rsidRPr="00B30084">
        <w:rPr>
          <w:rFonts w:ascii="Times New Roman" w:hAnsi="Times New Roman" w:cs="Times New Roman"/>
          <w:sz w:val="24"/>
          <w:szCs w:val="24"/>
          <w:lang w:val="sr-Cyrl-RS"/>
        </w:rPr>
        <w:t>.</w:t>
      </w:r>
      <w:r w:rsidR="0036432C" w:rsidRPr="00B30084">
        <w:rPr>
          <w:rFonts w:ascii="Times New Roman" w:hAnsi="Times New Roman" w:cs="Times New Roman"/>
          <w:sz w:val="24"/>
          <w:szCs w:val="24"/>
          <w:lang w:val="sr-Cyrl-RS"/>
        </w:rPr>
        <w:t xml:space="preserve"> </w:t>
      </w:r>
    </w:p>
    <w:p w14:paraId="2559C317" w14:textId="04326424" w:rsidR="00FD69AB" w:rsidRPr="00B30084" w:rsidRDefault="006E428F" w:rsidP="00E50617">
      <w:pPr>
        <w:spacing w:line="276" w:lineRule="auto"/>
        <w:jc w:val="both"/>
        <w:rPr>
          <w:rFonts w:ascii="Times New Roman" w:hAnsi="Times New Roman" w:cs="Times New Roman"/>
          <w:sz w:val="24"/>
          <w:szCs w:val="24"/>
          <w:u w:val="single"/>
          <w:lang w:val="sr-Cyrl-RS"/>
        </w:rPr>
      </w:pPr>
      <w:r w:rsidRPr="00B30084">
        <w:rPr>
          <w:rFonts w:ascii="Times New Roman" w:hAnsi="Times New Roman" w:cs="Times New Roman"/>
          <w:sz w:val="24"/>
          <w:szCs w:val="24"/>
          <w:u w:val="single"/>
          <w:lang w:val="sr-Cyrl-RS"/>
        </w:rPr>
        <w:t>Привредна друштва</w:t>
      </w:r>
      <w:r w:rsidR="00477670" w:rsidRPr="00B30084">
        <w:rPr>
          <w:rFonts w:ascii="Times New Roman" w:hAnsi="Times New Roman" w:cs="Times New Roman"/>
          <w:sz w:val="24"/>
          <w:szCs w:val="24"/>
          <w:u w:val="single"/>
          <w:lang w:val="sr-Cyrl-RS"/>
        </w:rPr>
        <w:t xml:space="preserve"> у државном власништву</w:t>
      </w:r>
      <w:r w:rsidR="00211822" w:rsidRPr="00B30084">
        <w:rPr>
          <w:rFonts w:ascii="Times New Roman" w:hAnsi="Times New Roman" w:cs="Times New Roman"/>
          <w:sz w:val="24"/>
          <w:szCs w:val="24"/>
          <w:u w:val="single"/>
          <w:lang w:val="sr-Cyrl-RS"/>
        </w:rPr>
        <w:t xml:space="preserve"> </w:t>
      </w:r>
      <w:r w:rsidR="00E80384" w:rsidRPr="00B30084">
        <w:rPr>
          <w:rFonts w:ascii="Times New Roman" w:hAnsi="Times New Roman" w:cs="Times New Roman"/>
          <w:sz w:val="24"/>
          <w:szCs w:val="24"/>
          <w:u w:val="single"/>
          <w:lang w:val="sr-Cyrl-RS"/>
        </w:rPr>
        <w:t xml:space="preserve"> </w:t>
      </w:r>
    </w:p>
    <w:p w14:paraId="06C6F56B" w14:textId="7F56FCA4" w:rsidR="005265B9" w:rsidRPr="00B30084" w:rsidRDefault="005265B9" w:rsidP="00E50617">
      <w:pPr>
        <w:spacing w:line="276" w:lineRule="auto"/>
        <w:ind w:firstLine="720"/>
        <w:jc w:val="both"/>
        <w:rPr>
          <w:rFonts w:ascii="Times New Roman" w:hAnsi="Times New Roman" w:cs="Times New Roman"/>
          <w:sz w:val="24"/>
          <w:szCs w:val="24"/>
          <w:lang w:val="sr-Cyrl-RS"/>
        </w:rPr>
      </w:pPr>
      <w:r w:rsidRPr="00B30084">
        <w:rPr>
          <w:rFonts w:ascii="Times New Roman" w:eastAsia="Times New Roman" w:hAnsi="Times New Roman" w:cs="Times New Roman"/>
          <w:color w:val="202124"/>
          <w:sz w:val="24"/>
          <w:szCs w:val="24"/>
          <w:lang w:val="sr-Cyrl-RS"/>
        </w:rPr>
        <w:t>Током више разговора дошло се до закључка да је потребно сачинити тзв. листу „ледоломаца“</w:t>
      </w:r>
      <w:r w:rsidRPr="00B30084">
        <w:rPr>
          <w:rStyle w:val="FootnoteReference"/>
          <w:rFonts w:ascii="Times New Roman" w:hAnsi="Times New Roman" w:cs="Times New Roman"/>
          <w:sz w:val="24"/>
          <w:szCs w:val="24"/>
          <w:lang w:val="sr-Cyrl-RS"/>
        </w:rPr>
        <w:t xml:space="preserve"> </w:t>
      </w:r>
      <w:r w:rsidRPr="00B30084">
        <w:rPr>
          <w:rStyle w:val="FootnoteReference"/>
          <w:rFonts w:ascii="Times New Roman" w:hAnsi="Times New Roman" w:cs="Times New Roman"/>
          <w:sz w:val="24"/>
          <w:szCs w:val="24"/>
          <w:lang w:val="sr-Cyrl-RS"/>
        </w:rPr>
        <w:footnoteReference w:id="34"/>
      </w:r>
      <w:r w:rsidRPr="00B30084">
        <w:rPr>
          <w:rFonts w:ascii="Times New Roman" w:eastAsia="Times New Roman" w:hAnsi="Times New Roman" w:cs="Times New Roman"/>
          <w:color w:val="202124"/>
          <w:sz w:val="24"/>
          <w:szCs w:val="24"/>
          <w:lang w:val="sr-Cyrl-RS"/>
        </w:rPr>
        <w:t xml:space="preserve"> која би довела неколико квалитетних компанија на тржиште капитала и које могу привући интерес инвеститора, стварајући тако позитиван замах за даље издаваоце. </w:t>
      </w:r>
      <w:r w:rsidR="0068407C" w:rsidRPr="0068407C">
        <w:rPr>
          <w:rFonts w:ascii="Times New Roman" w:eastAsia="Times New Roman" w:hAnsi="Times New Roman" w:cs="Times New Roman"/>
          <w:color w:val="202124"/>
          <w:sz w:val="24"/>
          <w:szCs w:val="24"/>
          <w:lang w:val="sr-Cyrl-RS"/>
        </w:rPr>
        <w:t xml:space="preserve">Основни задатак би био да се процени која су то најперспективнија предузећа која би </w:t>
      </w:r>
      <w:r w:rsidR="0068407C" w:rsidRPr="0068407C">
        <w:rPr>
          <w:rFonts w:ascii="Times New Roman" w:hAnsi="Times New Roman" w:cs="Times New Roman"/>
          <w:sz w:val="24"/>
          <w:szCs w:val="24"/>
          <w:lang w:val="sr-Cyrl-RS"/>
        </w:rPr>
        <w:t>позитивно утицала на потенцијалне издаваоце да и они изађу на тржиште.</w:t>
      </w:r>
    </w:p>
    <w:p w14:paraId="742713AD" w14:textId="1F8F07AD" w:rsidR="005265B9" w:rsidRPr="00B30084" w:rsidRDefault="005265B9"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Обогаћивање понуде на Београдској берзи квалитетним финансијским </w:t>
      </w:r>
      <w:proofErr w:type="spellStart"/>
      <w:r w:rsidRPr="00B30084">
        <w:rPr>
          <w:rFonts w:ascii="Times New Roman" w:hAnsi="Times New Roman" w:cs="Times New Roman"/>
          <w:sz w:val="24"/>
          <w:szCs w:val="24"/>
          <w:lang w:val="sr-Cyrl-RS"/>
        </w:rPr>
        <w:t>инстурментима</w:t>
      </w:r>
      <w:proofErr w:type="spellEnd"/>
      <w:r w:rsidRPr="00B30084">
        <w:rPr>
          <w:rFonts w:ascii="Times New Roman" w:hAnsi="Times New Roman" w:cs="Times New Roman"/>
          <w:sz w:val="24"/>
          <w:szCs w:val="24"/>
          <w:lang w:val="sr-Cyrl-RS"/>
        </w:rPr>
        <w:t xml:space="preserve"> извршено је у августу 2010. године када је на </w:t>
      </w:r>
      <w:r w:rsidR="006E428F" w:rsidRPr="00B30084">
        <w:rPr>
          <w:rFonts w:ascii="Times New Roman" w:hAnsi="Times New Roman" w:cs="Times New Roman"/>
          <w:sz w:val="24"/>
          <w:szCs w:val="24"/>
          <w:lang w:val="sr-Cyrl-RS"/>
        </w:rPr>
        <w:t>„</w:t>
      </w:r>
      <w:r w:rsidR="006E428F" w:rsidRPr="00B30084">
        <w:rPr>
          <w:rFonts w:ascii="Times New Roman" w:hAnsi="Times New Roman" w:cs="Times New Roman"/>
          <w:sz w:val="24"/>
          <w:szCs w:val="24"/>
        </w:rPr>
        <w:t xml:space="preserve">prime </w:t>
      </w:r>
      <w:proofErr w:type="spellStart"/>
      <w:r w:rsidR="006E428F" w:rsidRPr="00B30084">
        <w:rPr>
          <w:rFonts w:ascii="Times New Roman" w:hAnsi="Times New Roman" w:cs="Times New Roman"/>
          <w:sz w:val="24"/>
          <w:szCs w:val="24"/>
        </w:rPr>
        <w:t>listingu</w:t>
      </w:r>
      <w:proofErr w:type="spellEnd"/>
      <w:r w:rsidR="006E428F" w:rsidRPr="00B30084">
        <w:rPr>
          <w:rFonts w:ascii="Times New Roman" w:hAnsi="Times New Roman" w:cs="Times New Roman"/>
          <w:sz w:val="24"/>
          <w:szCs w:val="24"/>
        </w:rPr>
        <w:t xml:space="preserve">” </w:t>
      </w:r>
      <w:r w:rsidR="006E428F" w:rsidRPr="00B30084">
        <w:rPr>
          <w:rFonts w:ascii="Times New Roman" w:hAnsi="Times New Roman" w:cs="Times New Roman"/>
          <w:sz w:val="24"/>
          <w:szCs w:val="24"/>
          <w:lang w:val="sr-Cyrl-RS"/>
        </w:rPr>
        <w:t>регулисаног тржишта</w:t>
      </w:r>
      <w:r w:rsidR="006E428F" w:rsidRPr="00B30084">
        <w:rPr>
          <w:rFonts w:ascii="Times New Roman" w:hAnsi="Times New Roman" w:cs="Times New Roman"/>
          <w:sz w:val="24"/>
          <w:szCs w:val="24"/>
        </w:rPr>
        <w:t xml:space="preserve"> </w:t>
      </w:r>
      <w:r w:rsidRPr="00B30084">
        <w:rPr>
          <w:rFonts w:ascii="Times New Roman" w:hAnsi="Times New Roman" w:cs="Times New Roman"/>
          <w:sz w:val="24"/>
          <w:szCs w:val="24"/>
          <w:lang w:val="sr-Cyrl-RS"/>
        </w:rPr>
        <w:t>почело трговање акцијама Нафтне индустрије Србије, да би неколико месеци касније започело и тргова</w:t>
      </w:r>
      <w:r w:rsidR="001C4FFD" w:rsidRPr="00B30084">
        <w:rPr>
          <w:rFonts w:ascii="Times New Roman" w:hAnsi="Times New Roman" w:cs="Times New Roman"/>
          <w:sz w:val="24"/>
          <w:szCs w:val="24"/>
          <w:lang w:val="sr-Cyrl-RS"/>
        </w:rPr>
        <w:t>њ</w:t>
      </w:r>
      <w:r w:rsidRPr="00B30084">
        <w:rPr>
          <w:rFonts w:ascii="Times New Roman" w:hAnsi="Times New Roman" w:cs="Times New Roman"/>
          <w:sz w:val="24"/>
          <w:szCs w:val="24"/>
          <w:lang w:val="sr-Cyrl-RS"/>
        </w:rPr>
        <w:t xml:space="preserve">е акцијама Аеродрома „Никола Тесла“. На овај начин је понуда домаћег тржишта капитала појачана за два предузећа са </w:t>
      </w:r>
      <w:proofErr w:type="spellStart"/>
      <w:r w:rsidRPr="00B30084">
        <w:rPr>
          <w:rFonts w:ascii="Times New Roman" w:hAnsi="Times New Roman" w:cs="Times New Roman"/>
          <w:sz w:val="24"/>
          <w:szCs w:val="24"/>
          <w:lang w:val="sr-Cyrl-RS"/>
        </w:rPr>
        <w:t>вишемилионским</w:t>
      </w:r>
      <w:proofErr w:type="spellEnd"/>
      <w:r w:rsidRPr="00B30084">
        <w:rPr>
          <w:rFonts w:ascii="Times New Roman" w:hAnsi="Times New Roman" w:cs="Times New Roman"/>
          <w:sz w:val="24"/>
          <w:szCs w:val="24"/>
          <w:lang w:val="sr-Cyrl-RS"/>
        </w:rPr>
        <w:t xml:space="preserve"> бројем акционара. Последице листирања акција ове две велике компаније се могу сагледати помоћу података са Београдске берзе где је видљив раст промета и број закључених трансакција на берзи услед одлуке великог броја акционара да уновче акције. На бази изнетог можемо закључити </w:t>
      </w:r>
      <w:r w:rsidRPr="00B30084">
        <w:rPr>
          <w:rFonts w:ascii="Times New Roman" w:hAnsi="Times New Roman" w:cs="Times New Roman"/>
          <w:sz w:val="24"/>
          <w:szCs w:val="24"/>
          <w:lang w:val="sr-Cyrl-RS"/>
        </w:rPr>
        <w:lastRenderedPageBreak/>
        <w:t xml:space="preserve">да је листирање акција великих јавних предузећа позитивно утицало на ликвидност тржишта.  Иако се акцијама великих јавних предузећа тргује само на </w:t>
      </w:r>
      <w:r w:rsidR="00DE6E82" w:rsidRPr="00B30084">
        <w:rPr>
          <w:rFonts w:ascii="Times New Roman" w:hAnsi="Times New Roman" w:cs="Times New Roman"/>
          <w:sz w:val="24"/>
          <w:szCs w:val="24"/>
          <w:lang w:val="sr-Cyrl-RS"/>
        </w:rPr>
        <w:t>„</w:t>
      </w:r>
      <w:r w:rsidR="00DE6E82" w:rsidRPr="00B30084">
        <w:rPr>
          <w:rFonts w:ascii="Times New Roman" w:hAnsi="Times New Roman" w:cs="Times New Roman"/>
          <w:sz w:val="24"/>
          <w:szCs w:val="24"/>
        </w:rPr>
        <w:t xml:space="preserve">prime </w:t>
      </w:r>
      <w:proofErr w:type="spellStart"/>
      <w:r w:rsidR="00DE6E82" w:rsidRPr="00B30084">
        <w:rPr>
          <w:rFonts w:ascii="Times New Roman" w:hAnsi="Times New Roman" w:cs="Times New Roman"/>
          <w:sz w:val="24"/>
          <w:szCs w:val="24"/>
        </w:rPr>
        <w:t>listingu</w:t>
      </w:r>
      <w:proofErr w:type="spellEnd"/>
      <w:r w:rsidR="00DE6E82" w:rsidRPr="00B30084">
        <w:rPr>
          <w:rFonts w:ascii="Times New Roman" w:hAnsi="Times New Roman" w:cs="Times New Roman"/>
          <w:sz w:val="24"/>
          <w:szCs w:val="24"/>
        </w:rPr>
        <w:t xml:space="preserve">” </w:t>
      </w:r>
      <w:r w:rsidR="00DE6E82">
        <w:rPr>
          <w:rFonts w:ascii="Times New Roman" w:hAnsi="Times New Roman" w:cs="Times New Roman"/>
          <w:sz w:val="24"/>
          <w:szCs w:val="24"/>
          <w:lang w:val="sr-Cyrl-RS"/>
        </w:rPr>
        <w:t xml:space="preserve"> тржишта</w:t>
      </w:r>
      <w:r w:rsidRPr="00B30084">
        <w:rPr>
          <w:rFonts w:ascii="Times New Roman" w:hAnsi="Times New Roman" w:cs="Times New Roman"/>
          <w:sz w:val="24"/>
          <w:szCs w:val="24"/>
          <w:lang w:val="sr-Cyrl-RS"/>
        </w:rPr>
        <w:t xml:space="preserve">, пораст обима је забележен и на </w:t>
      </w:r>
      <w:proofErr w:type="spellStart"/>
      <w:r w:rsidRPr="00B30084">
        <w:rPr>
          <w:rFonts w:ascii="Times New Roman" w:hAnsi="Times New Roman" w:cs="Times New Roman"/>
          <w:sz w:val="24"/>
          <w:szCs w:val="24"/>
          <w:lang w:val="sr-Cyrl-RS"/>
        </w:rPr>
        <w:t>ванберзанском</w:t>
      </w:r>
      <w:proofErr w:type="spellEnd"/>
      <w:r w:rsidRPr="00B30084">
        <w:rPr>
          <w:rFonts w:ascii="Times New Roman" w:hAnsi="Times New Roman" w:cs="Times New Roman"/>
          <w:sz w:val="24"/>
          <w:szCs w:val="24"/>
          <w:lang w:val="sr-Cyrl-RS"/>
        </w:rPr>
        <w:t xml:space="preserve"> тржишту</w:t>
      </w:r>
      <w:r w:rsidR="00D54A1B" w:rsidRPr="00B30084">
        <w:rPr>
          <w:rStyle w:val="FootnoteReference"/>
          <w:rFonts w:ascii="Times New Roman" w:hAnsi="Times New Roman" w:cs="Times New Roman"/>
          <w:sz w:val="24"/>
          <w:szCs w:val="24"/>
          <w:lang w:val="sr-Cyrl-RS"/>
        </w:rPr>
        <w:footnoteReference w:id="35"/>
      </w:r>
      <w:r w:rsidRPr="00B30084">
        <w:rPr>
          <w:rFonts w:ascii="Times New Roman" w:hAnsi="Times New Roman" w:cs="Times New Roman"/>
          <w:sz w:val="24"/>
          <w:szCs w:val="24"/>
          <w:lang w:val="sr-Cyrl-RS"/>
        </w:rPr>
        <w:t xml:space="preserve">. </w:t>
      </w:r>
    </w:p>
    <w:p w14:paraId="6FE0B88B" w14:textId="0E7DF04F" w:rsidR="00E50617" w:rsidRPr="00B30084" w:rsidRDefault="005265B9" w:rsidP="00275E1F">
      <w:pPr>
        <w:spacing w:line="276" w:lineRule="auto"/>
        <w:ind w:firstLine="720"/>
        <w:jc w:val="both"/>
        <w:rPr>
          <w:rFonts w:ascii="Times New Roman" w:eastAsia="Times New Roman" w:hAnsi="Times New Roman" w:cs="Times New Roman"/>
          <w:color w:val="202124"/>
          <w:sz w:val="24"/>
          <w:szCs w:val="24"/>
          <w:lang w:val="sr-Cyrl-RS"/>
        </w:rPr>
      </w:pPr>
      <w:r w:rsidRPr="00B30084">
        <w:rPr>
          <w:rFonts w:ascii="Times New Roman" w:eastAsia="Times New Roman" w:hAnsi="Times New Roman" w:cs="Times New Roman"/>
          <w:color w:val="202124"/>
          <w:sz w:val="24"/>
          <w:szCs w:val="24"/>
          <w:lang w:val="sr-Cyrl-RS"/>
        </w:rPr>
        <w:t>Сходно горе наведеном, једна од могућности јесте да се</w:t>
      </w:r>
      <w:r w:rsidR="006D277C" w:rsidRPr="00B30084">
        <w:rPr>
          <w:rFonts w:ascii="Times New Roman" w:eastAsia="Times New Roman" w:hAnsi="Times New Roman" w:cs="Times New Roman"/>
          <w:color w:val="202124"/>
          <w:sz w:val="24"/>
          <w:szCs w:val="24"/>
          <w:lang w:val="sr-Cyrl-RS"/>
        </w:rPr>
        <w:t>, у складу са и</w:t>
      </w:r>
      <w:r w:rsidR="000E3C22" w:rsidRPr="00B30084">
        <w:rPr>
          <w:rFonts w:ascii="Times New Roman" w:eastAsia="Times New Roman" w:hAnsi="Times New Roman" w:cs="Times New Roman"/>
          <w:color w:val="202124"/>
          <w:sz w:val="24"/>
          <w:szCs w:val="24"/>
          <w:lang w:val="sr-Cyrl-RS"/>
        </w:rPr>
        <w:t>сц</w:t>
      </w:r>
      <w:r w:rsidR="006D277C" w:rsidRPr="00B30084">
        <w:rPr>
          <w:rFonts w:ascii="Times New Roman" w:eastAsia="Times New Roman" w:hAnsi="Times New Roman" w:cs="Times New Roman"/>
          <w:color w:val="202124"/>
          <w:sz w:val="24"/>
          <w:szCs w:val="24"/>
          <w:lang w:val="sr-Cyrl-RS"/>
        </w:rPr>
        <w:t xml:space="preserve">рпном анализом портфолија јавних предузећа и компанија у </w:t>
      </w:r>
      <w:r w:rsidR="00E50617" w:rsidRPr="00B30084">
        <w:rPr>
          <w:rFonts w:ascii="Times New Roman" w:eastAsia="Times New Roman" w:hAnsi="Times New Roman" w:cs="Times New Roman"/>
          <w:color w:val="202124"/>
          <w:sz w:val="24"/>
          <w:szCs w:val="24"/>
          <w:lang w:val="sr-Cyrl-RS"/>
        </w:rPr>
        <w:t xml:space="preserve">већинском </w:t>
      </w:r>
      <w:r w:rsidR="006D277C" w:rsidRPr="00B30084">
        <w:rPr>
          <w:rFonts w:ascii="Times New Roman" w:eastAsia="Times New Roman" w:hAnsi="Times New Roman" w:cs="Times New Roman"/>
          <w:color w:val="202124"/>
          <w:sz w:val="24"/>
          <w:szCs w:val="24"/>
          <w:lang w:val="sr-Cyrl-RS"/>
        </w:rPr>
        <w:t xml:space="preserve">власништву Републике Србије, идентификују </w:t>
      </w:r>
      <w:r w:rsidRPr="00B30084">
        <w:rPr>
          <w:rFonts w:ascii="Times New Roman" w:eastAsia="Times New Roman" w:hAnsi="Times New Roman" w:cs="Times New Roman"/>
          <w:color w:val="202124"/>
          <w:sz w:val="24"/>
          <w:szCs w:val="24"/>
          <w:lang w:val="sr-Cyrl-RS"/>
        </w:rPr>
        <w:t xml:space="preserve"> </w:t>
      </w:r>
      <w:r w:rsidR="006D277C" w:rsidRPr="00B30084">
        <w:rPr>
          <w:rFonts w:ascii="Times New Roman" w:eastAsia="Times New Roman" w:hAnsi="Times New Roman" w:cs="Times New Roman"/>
          <w:color w:val="202124"/>
          <w:sz w:val="24"/>
          <w:szCs w:val="24"/>
          <w:lang w:val="sr-Cyrl-RS"/>
        </w:rPr>
        <w:t xml:space="preserve">предузећа која </w:t>
      </w:r>
      <w:r w:rsidR="00E50617" w:rsidRPr="00B30084">
        <w:rPr>
          <w:rFonts w:ascii="Times New Roman" w:eastAsia="Times New Roman" w:hAnsi="Times New Roman" w:cs="Times New Roman"/>
          <w:color w:val="202124"/>
          <w:sz w:val="24"/>
          <w:szCs w:val="24"/>
          <w:lang w:val="sr-Cyrl-RS"/>
        </w:rPr>
        <w:t>имају потенцијал и капацитет да изађу на тржиште капитала, као и дугорочна стратегија за ову активност</w:t>
      </w:r>
      <w:r w:rsidR="00F16294" w:rsidRPr="00B30084">
        <w:rPr>
          <w:rFonts w:ascii="Times New Roman" w:eastAsia="Times New Roman" w:hAnsi="Times New Roman" w:cs="Times New Roman"/>
          <w:color w:val="202124"/>
          <w:sz w:val="24"/>
          <w:szCs w:val="24"/>
          <w:lang w:val="sr-Cyrl-RS"/>
        </w:rPr>
        <w:t xml:space="preserve">. Овај потез би </w:t>
      </w:r>
      <w:r w:rsidR="00E50617" w:rsidRPr="00B30084">
        <w:rPr>
          <w:rFonts w:ascii="Times New Roman" w:eastAsia="Times New Roman" w:hAnsi="Times New Roman" w:cs="Times New Roman"/>
          <w:color w:val="202124"/>
          <w:sz w:val="24"/>
          <w:szCs w:val="24"/>
          <w:lang w:val="sr-Cyrl-RS"/>
        </w:rPr>
        <w:t>имао значајан, али не и пресудан</w:t>
      </w:r>
      <w:r w:rsidR="00F16294" w:rsidRPr="00B30084">
        <w:rPr>
          <w:rFonts w:ascii="Times New Roman" w:eastAsia="Times New Roman" w:hAnsi="Times New Roman" w:cs="Times New Roman"/>
          <w:color w:val="202124"/>
          <w:sz w:val="24"/>
          <w:szCs w:val="24"/>
          <w:lang w:val="sr-Cyrl-RS"/>
        </w:rPr>
        <w:t xml:space="preserve"> утицај</w:t>
      </w:r>
      <w:r w:rsidR="00477DE4" w:rsidRPr="00B30084">
        <w:rPr>
          <w:rFonts w:ascii="Times New Roman" w:eastAsia="Times New Roman" w:hAnsi="Times New Roman" w:cs="Times New Roman"/>
          <w:color w:val="202124"/>
          <w:sz w:val="24"/>
          <w:szCs w:val="24"/>
          <w:lang w:val="sr-Cyrl-RS"/>
        </w:rPr>
        <w:t xml:space="preserve"> на тржиште капитала</w:t>
      </w:r>
      <w:r w:rsidR="00F16294" w:rsidRPr="00B30084">
        <w:rPr>
          <w:rFonts w:ascii="Times New Roman" w:eastAsia="Times New Roman" w:hAnsi="Times New Roman" w:cs="Times New Roman"/>
          <w:color w:val="202124"/>
          <w:sz w:val="24"/>
          <w:szCs w:val="24"/>
          <w:lang w:val="sr-Cyrl-RS"/>
        </w:rPr>
        <w:t>.</w:t>
      </w:r>
      <w:r w:rsidR="00F16294" w:rsidRPr="00B30084">
        <w:rPr>
          <w:rFonts w:ascii="Times New Roman" w:hAnsi="Times New Roman" w:cs="Times New Roman"/>
          <w:color w:val="202124"/>
          <w:sz w:val="24"/>
          <w:szCs w:val="24"/>
          <w:lang w:val="sr-Cyrl-RS"/>
        </w:rPr>
        <w:t xml:space="preserve"> </w:t>
      </w:r>
      <w:r w:rsidR="004F294F" w:rsidRPr="00B30084">
        <w:rPr>
          <w:rFonts w:ascii="Times New Roman" w:hAnsi="Times New Roman" w:cs="Times New Roman"/>
          <w:color w:val="202124"/>
          <w:sz w:val="24"/>
          <w:szCs w:val="24"/>
          <w:lang w:val="sr-Cyrl-RS"/>
        </w:rPr>
        <w:t xml:space="preserve">Уколико спроведене анализе утврде да излазак ових предузећа на берзу није препоручљив, било би пожељно сагледати као алтернативу листирање </w:t>
      </w:r>
      <w:r w:rsidR="00FD69AB" w:rsidRPr="00B30084">
        <w:rPr>
          <w:rFonts w:ascii="Times New Roman" w:hAnsi="Times New Roman" w:cs="Times New Roman"/>
          <w:color w:val="202124"/>
          <w:sz w:val="24"/>
          <w:szCs w:val="24"/>
          <w:lang w:val="sr-Cyrl-RS"/>
        </w:rPr>
        <w:t xml:space="preserve">предузећа која су у делимичном власништву државе. </w:t>
      </w:r>
    </w:p>
    <w:p w14:paraId="61B73F27" w14:textId="79CAB077" w:rsidR="00EF7549" w:rsidRPr="00B30084" w:rsidRDefault="00E50617" w:rsidP="00E50617">
      <w:pPr>
        <w:spacing w:line="276" w:lineRule="auto"/>
        <w:jc w:val="both"/>
        <w:rPr>
          <w:rFonts w:ascii="Times New Roman" w:hAnsi="Times New Roman" w:cs="Times New Roman"/>
          <w:sz w:val="24"/>
          <w:szCs w:val="24"/>
          <w:u w:val="single"/>
          <w:lang w:val="sr-Cyrl-RS"/>
        </w:rPr>
      </w:pPr>
      <w:r w:rsidRPr="00B30084">
        <w:rPr>
          <w:rFonts w:ascii="Times New Roman" w:hAnsi="Times New Roman" w:cs="Times New Roman"/>
          <w:sz w:val="24"/>
          <w:szCs w:val="24"/>
          <w:u w:val="single"/>
          <w:lang w:val="sr-Cyrl-RS"/>
        </w:rPr>
        <w:t>Ј</w:t>
      </w:r>
      <w:r w:rsidR="00EF7549" w:rsidRPr="00B30084">
        <w:rPr>
          <w:rFonts w:ascii="Times New Roman" w:hAnsi="Times New Roman" w:cs="Times New Roman"/>
          <w:sz w:val="24"/>
          <w:szCs w:val="24"/>
          <w:u w:val="single"/>
          <w:lang w:val="sr-Cyrl-RS"/>
        </w:rPr>
        <w:t xml:space="preserve">единице локалне самоуправе </w:t>
      </w:r>
    </w:p>
    <w:p w14:paraId="747ED603" w14:textId="44641A52" w:rsidR="00D86A76" w:rsidRPr="00B30084" w:rsidRDefault="00D86A76" w:rsidP="00E50617">
      <w:pPr>
        <w:spacing w:line="276" w:lineRule="auto"/>
        <w:ind w:firstLine="720"/>
        <w:jc w:val="both"/>
        <w:rPr>
          <w:rFonts w:ascii="Times New Roman" w:hAnsi="Times New Roman" w:cs="Times New Roman"/>
          <w:sz w:val="24"/>
          <w:szCs w:val="24"/>
          <w:u w:val="single"/>
          <w:lang w:val="sr-Cyrl-RS"/>
        </w:rPr>
      </w:pPr>
      <w:r w:rsidRPr="00B30084">
        <w:rPr>
          <w:rFonts w:ascii="Times New Roman" w:hAnsi="Times New Roman" w:cs="Times New Roman"/>
          <w:sz w:val="24"/>
          <w:szCs w:val="24"/>
          <w:lang w:val="sr-Cyrl-RS"/>
        </w:rPr>
        <w:t>Начин финансирања јединице локалне само</w:t>
      </w:r>
      <w:r w:rsidR="00331A69">
        <w:rPr>
          <w:rFonts w:ascii="Times New Roman" w:hAnsi="Times New Roman" w:cs="Times New Roman"/>
          <w:sz w:val="24"/>
          <w:szCs w:val="24"/>
          <w:lang w:val="sr-Cyrl-RS"/>
        </w:rPr>
        <w:t>управе је регулисан прописима Републике</w:t>
      </w:r>
      <w:r w:rsidRPr="00B30084">
        <w:rPr>
          <w:rFonts w:ascii="Times New Roman" w:hAnsi="Times New Roman" w:cs="Times New Roman"/>
          <w:sz w:val="24"/>
          <w:szCs w:val="24"/>
          <w:lang w:val="sr-Cyrl-RS"/>
        </w:rPr>
        <w:t xml:space="preserve"> </w:t>
      </w:r>
      <w:r w:rsidR="00E50617" w:rsidRPr="00B30084">
        <w:rPr>
          <w:rFonts w:ascii="Times New Roman" w:hAnsi="Times New Roman" w:cs="Times New Roman"/>
          <w:sz w:val="24"/>
          <w:szCs w:val="24"/>
          <w:lang w:val="sr-Cyrl-RS"/>
        </w:rPr>
        <w:t>С</w:t>
      </w:r>
      <w:r w:rsidRPr="00B30084">
        <w:rPr>
          <w:rFonts w:ascii="Times New Roman" w:hAnsi="Times New Roman" w:cs="Times New Roman"/>
          <w:sz w:val="24"/>
          <w:szCs w:val="24"/>
          <w:lang w:val="sr-Cyrl-RS"/>
        </w:rPr>
        <w:t xml:space="preserve">рбије. Један од начина финансирања одређених интереса градова и општина је задуживање на финансијском тржишту. Овим субјектима је остављено да сами анализирају стање и кретање на финансијском тржишту и да одаберу један од два модела задуживања - кредитног задуживања код банака или емитовање </w:t>
      </w:r>
      <w:proofErr w:type="spellStart"/>
      <w:r w:rsidR="00236873" w:rsidRPr="00B30084">
        <w:rPr>
          <w:rFonts w:ascii="Times New Roman" w:hAnsi="Times New Roman" w:cs="Times New Roman"/>
          <w:sz w:val="24"/>
          <w:szCs w:val="24"/>
          <w:lang w:val="sr-Cyrl-RS"/>
        </w:rPr>
        <w:t>муниципалних</w:t>
      </w:r>
      <w:proofErr w:type="spellEnd"/>
      <w:r w:rsidRPr="00B30084">
        <w:rPr>
          <w:rFonts w:ascii="Times New Roman" w:hAnsi="Times New Roman" w:cs="Times New Roman"/>
          <w:sz w:val="24"/>
          <w:szCs w:val="24"/>
          <w:lang w:val="sr-Cyrl-RS"/>
        </w:rPr>
        <w:t xml:space="preserve"> обвезница као хартија од вредности. </w:t>
      </w:r>
    </w:p>
    <w:p w14:paraId="4C9D3EA6" w14:textId="7C65067A" w:rsidR="00BC4EDE" w:rsidRPr="00B30084" w:rsidRDefault="002A1983" w:rsidP="00E50617">
      <w:pPr>
        <w:spacing w:line="276" w:lineRule="auto"/>
        <w:ind w:firstLine="720"/>
        <w:jc w:val="both"/>
        <w:rPr>
          <w:rFonts w:ascii="Times New Roman" w:hAnsi="Times New Roman" w:cs="Times New Roman"/>
          <w:sz w:val="24"/>
          <w:szCs w:val="24"/>
          <w:lang w:val="sr-Cyrl-RS"/>
        </w:rPr>
      </w:pPr>
      <w:proofErr w:type="spellStart"/>
      <w:r w:rsidRPr="00B30084">
        <w:rPr>
          <w:rFonts w:ascii="Times New Roman" w:hAnsi="Times New Roman" w:cs="Times New Roman"/>
          <w:sz w:val="24"/>
          <w:szCs w:val="24"/>
          <w:lang w:val="sr-Cyrl-RS"/>
        </w:rPr>
        <w:t>Муниципалне</w:t>
      </w:r>
      <w:proofErr w:type="spellEnd"/>
      <w:r w:rsidRPr="00B30084">
        <w:rPr>
          <w:rFonts w:ascii="Times New Roman" w:hAnsi="Times New Roman" w:cs="Times New Roman"/>
          <w:sz w:val="24"/>
          <w:szCs w:val="24"/>
          <w:lang w:val="sr-Cyrl-RS"/>
        </w:rPr>
        <w:t xml:space="preserve"> обвезнице су хартије од вредности које издају јединице локалне самоуправе (општине и градови) ради прикупљања неопходних новчаних средстава,</w:t>
      </w:r>
      <w:r w:rsidR="00B16F75" w:rsidRPr="00B30084">
        <w:rPr>
          <w:rFonts w:ascii="Times New Roman" w:hAnsi="Times New Roman" w:cs="Times New Roman"/>
          <w:sz w:val="24"/>
          <w:szCs w:val="24"/>
          <w:lang w:val="sr-Cyrl-RS"/>
        </w:rPr>
        <w:t xml:space="preserve"> a у циљу </w:t>
      </w:r>
      <w:r w:rsidRPr="00B30084">
        <w:rPr>
          <w:rFonts w:ascii="Times New Roman" w:hAnsi="Times New Roman" w:cs="Times New Roman"/>
          <w:sz w:val="24"/>
          <w:szCs w:val="24"/>
          <w:lang w:val="sr-Cyrl-RS"/>
        </w:rPr>
        <w:t>реализациј</w:t>
      </w:r>
      <w:r w:rsidR="007830BD" w:rsidRPr="00B30084">
        <w:rPr>
          <w:rFonts w:ascii="Times New Roman" w:hAnsi="Times New Roman" w:cs="Times New Roman"/>
          <w:sz w:val="24"/>
          <w:szCs w:val="24"/>
          <w:lang w:val="sr-Cyrl-RS"/>
        </w:rPr>
        <w:t>е капиталних и других пројеката</w:t>
      </w:r>
      <w:r w:rsidRPr="00B30084">
        <w:rPr>
          <w:rFonts w:ascii="Times New Roman" w:hAnsi="Times New Roman" w:cs="Times New Roman"/>
          <w:sz w:val="24"/>
          <w:szCs w:val="24"/>
          <w:lang w:val="sr-Cyrl-RS"/>
        </w:rPr>
        <w:t>. Већи део научне јавности се приликом дефинисања ових обвезница руководи са два принципа: први, обвезници у улози емитента издају јединице локалне самоуправе; други, интенција емитента обвезница јесте да прикупљена новчана средства искористе за финансирање развојних и инфрас</w:t>
      </w:r>
      <w:r w:rsidR="007830BD" w:rsidRPr="00B30084">
        <w:rPr>
          <w:rFonts w:ascii="Times New Roman" w:hAnsi="Times New Roman" w:cs="Times New Roman"/>
          <w:sz w:val="24"/>
          <w:szCs w:val="24"/>
          <w:lang w:val="sr-Cyrl-RS"/>
        </w:rPr>
        <w:t>т</w:t>
      </w:r>
      <w:r w:rsidRPr="00B30084">
        <w:rPr>
          <w:rFonts w:ascii="Times New Roman" w:hAnsi="Times New Roman" w:cs="Times New Roman"/>
          <w:sz w:val="24"/>
          <w:szCs w:val="24"/>
          <w:lang w:val="sr-Cyrl-RS"/>
        </w:rPr>
        <w:t>руктурних пројеката.</w:t>
      </w:r>
      <w:r w:rsidR="00BC4EDE" w:rsidRPr="00B30084">
        <w:rPr>
          <w:rFonts w:ascii="Times New Roman" w:hAnsi="Times New Roman" w:cs="Times New Roman"/>
          <w:sz w:val="24"/>
          <w:szCs w:val="24"/>
          <w:lang w:val="sr-Cyrl-RS"/>
        </w:rPr>
        <w:t xml:space="preserve"> Привлачност инвестирања у овај тип обвезница на финансијском тржишту огледа се у чињеници да су оне често ослобођене плаћања пореза на капиталну добит (или неког другог порезног оптерећења у зависности од државе до државе), што за купце представља значајну чињеницу приликом одабира начина пласирања сопственог капитала</w:t>
      </w:r>
      <w:r w:rsidR="00697669" w:rsidRPr="00B30084">
        <w:rPr>
          <w:rStyle w:val="FootnoteReference"/>
          <w:rFonts w:ascii="Times New Roman" w:hAnsi="Times New Roman" w:cs="Times New Roman"/>
          <w:sz w:val="24"/>
          <w:szCs w:val="24"/>
          <w:lang w:val="sr-Cyrl-RS"/>
        </w:rPr>
        <w:footnoteReference w:id="36"/>
      </w:r>
      <w:r w:rsidR="00BC4EDE" w:rsidRPr="00B30084">
        <w:rPr>
          <w:rFonts w:ascii="Times New Roman" w:hAnsi="Times New Roman" w:cs="Times New Roman"/>
          <w:sz w:val="24"/>
          <w:szCs w:val="24"/>
          <w:lang w:val="sr-Cyrl-RS"/>
        </w:rPr>
        <w:t>.</w:t>
      </w:r>
    </w:p>
    <w:p w14:paraId="1E3E3873" w14:textId="294C8179" w:rsidR="003661AD" w:rsidRPr="00B30084" w:rsidRDefault="002B3DD7" w:rsidP="00275E1F">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У свету све више на значају добијају зелене обвезнице, чија емисија на српском тржишту капитала може имати позитиван утицај. У овој области је потребно одабрати праве кандидате и пројекте од значаја за државу, општине и градове. Такође је неопходно обезбедити и адекватан законски оквир за издавање овог типа обвезница од стране државе, општине или града.</w:t>
      </w:r>
    </w:p>
    <w:p w14:paraId="48283575" w14:textId="33F0E182" w:rsidR="00A37CF5" w:rsidRPr="00B30084" w:rsidRDefault="00347DE8" w:rsidP="000E3C22">
      <w:pPr>
        <w:pStyle w:val="Heading2"/>
        <w:numPr>
          <w:ilvl w:val="3"/>
          <w:numId w:val="30"/>
        </w:numPr>
      </w:pPr>
      <w:r w:rsidRPr="00B30084">
        <w:lastRenderedPageBreak/>
        <w:t xml:space="preserve">Образовање </w:t>
      </w:r>
    </w:p>
    <w:p w14:paraId="51931D75" w14:textId="77777777" w:rsidR="003661AD" w:rsidRPr="00B30084" w:rsidRDefault="006B0907" w:rsidP="00DF28E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Образовање друштва односно појединаца је кључни фактор за развој тржишта капитала у Србији. </w:t>
      </w:r>
      <w:r w:rsidR="00B64848" w:rsidRPr="00B30084">
        <w:rPr>
          <w:rFonts w:ascii="Times New Roman" w:hAnsi="Times New Roman" w:cs="Times New Roman"/>
          <w:sz w:val="24"/>
          <w:szCs w:val="24"/>
          <w:lang w:val="sr-Cyrl-RS"/>
        </w:rPr>
        <w:t>Финансијска писменост се данас препознаје као неопходна допуна финансијске заштите потрошача, финансијске инклузије, финансијске регулације и као подршка економској и финансијској стабилности и развоју (ОЕЦД, 2014).</w:t>
      </w:r>
      <w:r w:rsidR="00560086" w:rsidRPr="00B30084">
        <w:rPr>
          <w:rFonts w:ascii="Times New Roman" w:hAnsi="Times New Roman" w:cs="Times New Roman"/>
          <w:sz w:val="24"/>
          <w:szCs w:val="24"/>
          <w:lang w:val="sr-Cyrl-RS"/>
        </w:rPr>
        <w:t xml:space="preserve"> Препознајући значај финансијске писмености, велики број европских земаља је развио и спровео националне стратегије за финансијско образовање, а многе се спремају да то</w:t>
      </w:r>
      <w:r w:rsidR="003443FE" w:rsidRPr="00B30084">
        <w:rPr>
          <w:rFonts w:ascii="Times New Roman" w:hAnsi="Times New Roman" w:cs="Times New Roman"/>
          <w:sz w:val="24"/>
          <w:szCs w:val="24"/>
          <w:lang w:val="sr-Cyrl-RS"/>
        </w:rPr>
        <w:t xml:space="preserve"> </w:t>
      </w:r>
      <w:r w:rsidR="00560086" w:rsidRPr="00B30084">
        <w:rPr>
          <w:rFonts w:ascii="Times New Roman" w:hAnsi="Times New Roman" w:cs="Times New Roman"/>
          <w:sz w:val="24"/>
          <w:szCs w:val="24"/>
          <w:lang w:val="sr-Cyrl-RS"/>
        </w:rPr>
        <w:t xml:space="preserve">ураде. Један број </w:t>
      </w:r>
      <w:r w:rsidR="003443FE" w:rsidRPr="00B30084">
        <w:rPr>
          <w:rFonts w:ascii="Times New Roman" w:hAnsi="Times New Roman" w:cs="Times New Roman"/>
          <w:sz w:val="24"/>
          <w:szCs w:val="24"/>
          <w:lang w:val="sr-Cyrl-RS"/>
        </w:rPr>
        <w:t>е</w:t>
      </w:r>
      <w:r w:rsidR="00560086" w:rsidRPr="00B30084">
        <w:rPr>
          <w:rFonts w:ascii="Times New Roman" w:hAnsi="Times New Roman" w:cs="Times New Roman"/>
          <w:sz w:val="24"/>
          <w:szCs w:val="24"/>
          <w:lang w:val="sr-Cyrl-RS"/>
        </w:rPr>
        <w:t xml:space="preserve">вропских земаља </w:t>
      </w:r>
      <w:r w:rsidR="00D5067C" w:rsidRPr="00B30084">
        <w:rPr>
          <w:rFonts w:ascii="Times New Roman" w:hAnsi="Times New Roman" w:cs="Times New Roman"/>
          <w:sz w:val="24"/>
          <w:szCs w:val="24"/>
          <w:lang w:val="sr-Cyrl-RS"/>
        </w:rPr>
        <w:t>је ажурирао</w:t>
      </w:r>
      <w:r w:rsidR="00560086" w:rsidRPr="00B30084">
        <w:rPr>
          <w:rFonts w:ascii="Times New Roman" w:hAnsi="Times New Roman" w:cs="Times New Roman"/>
          <w:sz w:val="24"/>
          <w:szCs w:val="24"/>
          <w:lang w:val="sr-Cyrl-RS"/>
        </w:rPr>
        <w:t xml:space="preserve"> већ усвојене националне стратегије, трагајући за бољим решењима или суочавајући се са новим изазовима које доносе промене у образовној, економској, финансијској и социјалној сфери</w:t>
      </w:r>
      <w:r w:rsidR="00BD17F2" w:rsidRPr="00B30084">
        <w:rPr>
          <w:rStyle w:val="FootnoteReference"/>
          <w:rFonts w:ascii="Times New Roman" w:hAnsi="Times New Roman" w:cs="Times New Roman"/>
          <w:sz w:val="24"/>
          <w:szCs w:val="24"/>
          <w:lang w:val="sr-Cyrl-RS"/>
        </w:rPr>
        <w:footnoteReference w:id="37"/>
      </w:r>
      <w:r w:rsidR="00560086" w:rsidRPr="00B30084">
        <w:rPr>
          <w:rFonts w:ascii="Times New Roman" w:hAnsi="Times New Roman" w:cs="Times New Roman"/>
          <w:sz w:val="24"/>
          <w:szCs w:val="24"/>
          <w:lang w:val="sr-Cyrl-RS"/>
        </w:rPr>
        <w:t>.</w:t>
      </w:r>
    </w:p>
    <w:p w14:paraId="6DA50134" w14:textId="2F46FE36" w:rsidR="006A2611" w:rsidRPr="00A10670" w:rsidRDefault="006B0907" w:rsidP="00DF28E7">
      <w:pPr>
        <w:spacing w:line="276" w:lineRule="auto"/>
        <w:ind w:firstLine="720"/>
        <w:jc w:val="both"/>
        <w:rPr>
          <w:rFonts w:ascii="Times New Roman" w:hAnsi="Times New Roman" w:cs="Times New Roman"/>
          <w:sz w:val="24"/>
          <w:szCs w:val="24"/>
          <w:lang w:val="sr-Cyrl-RS"/>
        </w:rPr>
      </w:pPr>
      <w:r w:rsidRPr="00A10670">
        <w:rPr>
          <w:rFonts w:ascii="Times New Roman" w:hAnsi="Times New Roman" w:cs="Times New Roman"/>
          <w:sz w:val="24"/>
          <w:szCs w:val="24"/>
          <w:lang w:val="sr-Cyrl-RS"/>
        </w:rPr>
        <w:t>Према Глобалном индексу конкурентности</w:t>
      </w:r>
      <w:r w:rsidR="00291B6E" w:rsidRPr="00A10670">
        <w:rPr>
          <w:rStyle w:val="FootnoteReference"/>
          <w:rFonts w:ascii="Times New Roman" w:hAnsi="Times New Roman" w:cs="Times New Roman"/>
          <w:sz w:val="24"/>
          <w:szCs w:val="24"/>
          <w:lang w:val="sr-Cyrl-RS"/>
        </w:rPr>
        <w:footnoteReference w:id="38"/>
      </w:r>
      <w:r w:rsidRPr="00A10670">
        <w:rPr>
          <w:rFonts w:ascii="Times New Roman" w:hAnsi="Times New Roman" w:cs="Times New Roman"/>
          <w:sz w:val="24"/>
          <w:szCs w:val="24"/>
          <w:lang w:val="sr-Cyrl-RS"/>
        </w:rPr>
        <w:t xml:space="preserve">, у пилару који мери вештине Србија заузима 55. место (са скором од 68.2). У овој области најрелевантнији индикатори који су предуслови и за развој </w:t>
      </w:r>
      <w:r w:rsidR="006A2611" w:rsidRPr="00A10670">
        <w:rPr>
          <w:rFonts w:ascii="Times New Roman" w:hAnsi="Times New Roman" w:cs="Times New Roman"/>
          <w:sz w:val="24"/>
          <w:szCs w:val="24"/>
          <w:lang w:val="sr-Cyrl-RS"/>
        </w:rPr>
        <w:t xml:space="preserve">тржишта капитала су: </w:t>
      </w:r>
    </w:p>
    <w:p w14:paraId="616D3C89" w14:textId="67DD9748" w:rsidR="006A2611" w:rsidRPr="00B30084" w:rsidRDefault="006B0907" w:rsidP="00E50617">
      <w:pPr>
        <w:pStyle w:val="Default"/>
        <w:numPr>
          <w:ilvl w:val="0"/>
          <w:numId w:val="23"/>
        </w:numPr>
        <w:spacing w:line="276" w:lineRule="auto"/>
        <w:jc w:val="both"/>
        <w:rPr>
          <w:rFonts w:ascii="Times New Roman" w:hAnsi="Times New Roman" w:cs="Times New Roman"/>
          <w:lang w:val="sr-Cyrl-RS"/>
        </w:rPr>
      </w:pPr>
      <w:r w:rsidRPr="00A10670">
        <w:rPr>
          <w:rFonts w:ascii="Times New Roman" w:hAnsi="Times New Roman" w:cs="Times New Roman"/>
          <w:bCs/>
          <w:u w:val="single"/>
          <w:lang w:val="sr-Cyrl-RS"/>
        </w:rPr>
        <w:t>Вештине радне снаге</w:t>
      </w:r>
      <w:r w:rsidRPr="00A10670">
        <w:rPr>
          <w:rFonts w:ascii="Times New Roman" w:hAnsi="Times New Roman" w:cs="Times New Roman"/>
          <w:b/>
          <w:bCs/>
          <w:lang w:val="sr-Cyrl-RS"/>
        </w:rPr>
        <w:t xml:space="preserve"> - </w:t>
      </w:r>
      <w:r w:rsidR="00861427" w:rsidRPr="00A10670">
        <w:rPr>
          <w:rFonts w:ascii="Times New Roman" w:hAnsi="Times New Roman" w:cs="Times New Roman"/>
          <w:lang w:val="sr-Cyrl-RS"/>
        </w:rPr>
        <w:t>мери колико предузећа</w:t>
      </w:r>
      <w:r w:rsidRPr="00A10670">
        <w:rPr>
          <w:rFonts w:ascii="Times New Roman" w:hAnsi="Times New Roman" w:cs="Times New Roman"/>
          <w:lang w:val="sr-Cyrl-RS"/>
        </w:rPr>
        <w:t xml:space="preserve"> улажу у тренинге својих запослених. Подаци указују да се по питању улагања компанија у своје запослене ради стицања вештина, Србија налази на 104. позицији од 141 држава света (са скором од 43.6), на основу чега се може закључити да се приватни сектор</w:t>
      </w:r>
      <w:r w:rsidRPr="00B30084">
        <w:rPr>
          <w:rFonts w:ascii="Times New Roman" w:hAnsi="Times New Roman" w:cs="Times New Roman"/>
          <w:lang w:val="sr-Cyrl-RS"/>
        </w:rPr>
        <w:t xml:space="preserve"> искључиво ослања на</w:t>
      </w:r>
      <w:r w:rsidR="00861427" w:rsidRPr="00B30084">
        <w:rPr>
          <w:rFonts w:ascii="Times New Roman" w:hAnsi="Times New Roman" w:cs="Times New Roman"/>
          <w:lang w:val="sr-Cyrl-RS"/>
        </w:rPr>
        <w:t xml:space="preserve"> </w:t>
      </w:r>
      <w:r w:rsidRPr="00B30084">
        <w:rPr>
          <w:rFonts w:ascii="Times New Roman" w:hAnsi="Times New Roman" w:cs="Times New Roman"/>
          <w:lang w:val="sr-Cyrl-RS"/>
        </w:rPr>
        <w:t>формално образовање (школ</w:t>
      </w:r>
      <w:r w:rsidR="00861427" w:rsidRPr="00B30084">
        <w:rPr>
          <w:rFonts w:ascii="Times New Roman" w:hAnsi="Times New Roman" w:cs="Times New Roman"/>
          <w:lang w:val="sr-Cyrl-RS"/>
        </w:rPr>
        <w:t>а/</w:t>
      </w:r>
      <w:r w:rsidRPr="00B30084">
        <w:rPr>
          <w:rFonts w:ascii="Times New Roman" w:hAnsi="Times New Roman" w:cs="Times New Roman"/>
          <w:lang w:val="sr-Cyrl-RS"/>
        </w:rPr>
        <w:t xml:space="preserve">факултет) за стицање вештина или самостално ангажовање. Ово указује да је потребно више улагања у запослене, поготово кроз неформалне тренинге или едукације. </w:t>
      </w:r>
    </w:p>
    <w:p w14:paraId="199E3C02" w14:textId="77777777" w:rsidR="006A2611" w:rsidRPr="00B30084" w:rsidRDefault="006B0907" w:rsidP="00E50617">
      <w:pPr>
        <w:pStyle w:val="Default"/>
        <w:numPr>
          <w:ilvl w:val="0"/>
          <w:numId w:val="23"/>
        </w:numPr>
        <w:spacing w:line="276" w:lineRule="auto"/>
        <w:jc w:val="both"/>
        <w:rPr>
          <w:rFonts w:ascii="Times New Roman" w:hAnsi="Times New Roman" w:cs="Times New Roman"/>
          <w:lang w:val="sr-Cyrl-RS"/>
        </w:rPr>
      </w:pPr>
      <w:r w:rsidRPr="00B30084">
        <w:rPr>
          <w:rFonts w:ascii="Times New Roman" w:hAnsi="Times New Roman" w:cs="Times New Roman"/>
          <w:bCs/>
          <w:u w:val="single"/>
          <w:lang w:val="sr-Cyrl-RS"/>
        </w:rPr>
        <w:t>Вештине дипломаца</w:t>
      </w:r>
      <w:r w:rsidRPr="00B30084">
        <w:rPr>
          <w:rFonts w:ascii="Times New Roman" w:hAnsi="Times New Roman" w:cs="Times New Roman"/>
          <w:bCs/>
          <w:lang w:val="sr-Cyrl-RS"/>
        </w:rPr>
        <w:t xml:space="preserve"> - мери</w:t>
      </w:r>
      <w:r w:rsidRPr="00B30084">
        <w:rPr>
          <w:rFonts w:ascii="Times New Roman" w:hAnsi="Times New Roman" w:cs="Times New Roman"/>
          <w:b/>
          <w:bCs/>
          <w:lang w:val="sr-Cyrl-RS"/>
        </w:rPr>
        <w:t xml:space="preserve"> </w:t>
      </w:r>
      <w:r w:rsidRPr="00B30084">
        <w:rPr>
          <w:rFonts w:ascii="Times New Roman" w:hAnsi="Times New Roman" w:cs="Times New Roman"/>
          <w:lang w:val="sr-Cyrl-RS"/>
        </w:rPr>
        <w:t>колико вештине стечене након завршетка факултета и средње школе одговарају вештинама које су потребне за рад у привреди. Србија у овој области заузима 65. позицију глобално (са скором су 51.9), што није лош резултат и говори у прилог претходном податку да се привреда</w:t>
      </w:r>
      <w:r w:rsidR="006A2611" w:rsidRPr="00B30084">
        <w:rPr>
          <w:rFonts w:ascii="Times New Roman" w:hAnsi="Times New Roman" w:cs="Times New Roman"/>
          <w:lang w:val="sr-Cyrl-RS"/>
        </w:rPr>
        <w:t xml:space="preserve"> ослања на формално образовање.</w:t>
      </w:r>
    </w:p>
    <w:p w14:paraId="455FB319" w14:textId="7AA3E0AF" w:rsidR="00DF28E7" w:rsidRPr="00B30084" w:rsidRDefault="006B0907" w:rsidP="00275E1F">
      <w:pPr>
        <w:pStyle w:val="Default"/>
        <w:numPr>
          <w:ilvl w:val="0"/>
          <w:numId w:val="23"/>
        </w:numPr>
        <w:spacing w:after="240" w:line="276" w:lineRule="auto"/>
        <w:jc w:val="both"/>
        <w:rPr>
          <w:rFonts w:ascii="Times New Roman" w:hAnsi="Times New Roman" w:cs="Times New Roman"/>
          <w:lang w:val="sr-Cyrl-RS"/>
        </w:rPr>
      </w:pPr>
      <w:r w:rsidRPr="00B30084">
        <w:rPr>
          <w:rFonts w:ascii="Times New Roman" w:hAnsi="Times New Roman" w:cs="Times New Roman"/>
          <w:bCs/>
          <w:u w:val="single"/>
          <w:lang w:val="sr-Cyrl-RS"/>
        </w:rPr>
        <w:t>Вештине опште популације</w:t>
      </w:r>
      <w:r w:rsidRPr="00B30084">
        <w:rPr>
          <w:rFonts w:ascii="Times New Roman" w:hAnsi="Times New Roman" w:cs="Times New Roman"/>
          <w:b/>
          <w:bCs/>
          <w:lang w:val="sr-Cyrl-RS"/>
        </w:rPr>
        <w:t xml:space="preserve"> </w:t>
      </w:r>
      <w:r w:rsidRPr="00B30084">
        <w:rPr>
          <w:rFonts w:ascii="Times New Roman" w:hAnsi="Times New Roman" w:cs="Times New Roman"/>
          <w:lang w:val="sr-Cyrl-RS"/>
        </w:rPr>
        <w:t>- подразумевају способност грађана да прочитају дигиталне садржаје или да користе рачунар на елементарном нивоу. У овом сегменту, Србија заузима 77. позицију (са скором од 51.5). У овом сегменту постоји значајан простор за унап</w:t>
      </w:r>
      <w:r w:rsidR="00861427" w:rsidRPr="00B30084">
        <w:rPr>
          <w:rFonts w:ascii="Times New Roman" w:hAnsi="Times New Roman" w:cs="Times New Roman"/>
          <w:lang w:val="sr-Cyrl-RS"/>
        </w:rPr>
        <w:t>ређење и едукацију становништва</w:t>
      </w:r>
      <w:r w:rsidRPr="00B30084">
        <w:rPr>
          <w:rFonts w:ascii="Times New Roman" w:hAnsi="Times New Roman" w:cs="Times New Roman"/>
          <w:lang w:val="sr-Cyrl-RS"/>
        </w:rPr>
        <w:t xml:space="preserve">. </w:t>
      </w:r>
    </w:p>
    <w:p w14:paraId="36D20FDF" w14:textId="667B25E9" w:rsidR="009F3701" w:rsidRPr="00B30084" w:rsidRDefault="009F3701" w:rsidP="00DF28E7">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У неким земљама финансијско образовање постоји као посебан предмет, у другим као </w:t>
      </w:r>
      <w:proofErr w:type="spellStart"/>
      <w:r w:rsidRPr="00B30084">
        <w:rPr>
          <w:rFonts w:ascii="Times New Roman" w:hAnsi="Times New Roman" w:cs="Times New Roman"/>
          <w:bCs/>
          <w:color w:val="000000"/>
          <w:sz w:val="24"/>
          <w:szCs w:val="24"/>
          <w:lang w:val="sr-Cyrl-RS"/>
        </w:rPr>
        <w:t>међупредмета</w:t>
      </w:r>
      <w:proofErr w:type="spellEnd"/>
      <w:r w:rsidRPr="00B30084">
        <w:rPr>
          <w:rFonts w:ascii="Times New Roman" w:hAnsi="Times New Roman" w:cs="Times New Roman"/>
          <w:bCs/>
          <w:color w:val="000000"/>
          <w:sz w:val="24"/>
          <w:szCs w:val="24"/>
          <w:lang w:val="sr-Cyrl-RS"/>
        </w:rPr>
        <w:t xml:space="preserve"> компетенција. У Србији </w:t>
      </w:r>
      <w:r w:rsidR="004B1623" w:rsidRPr="00B30084">
        <w:rPr>
          <w:rFonts w:ascii="Times New Roman" w:hAnsi="Times New Roman" w:cs="Times New Roman"/>
          <w:bCs/>
          <w:color w:val="000000"/>
          <w:sz w:val="24"/>
          <w:szCs w:val="24"/>
          <w:lang w:val="sr-Cyrl-RS"/>
        </w:rPr>
        <w:t xml:space="preserve">је </w:t>
      </w:r>
      <w:r w:rsidRPr="00B30084">
        <w:rPr>
          <w:rFonts w:ascii="Times New Roman" w:hAnsi="Times New Roman" w:cs="Times New Roman"/>
          <w:bCs/>
          <w:color w:val="000000"/>
          <w:sz w:val="24"/>
          <w:szCs w:val="24"/>
          <w:lang w:val="sr-Cyrl-RS"/>
        </w:rPr>
        <w:t>током 2018/19 реализован пилот пројекат финансијског описмењавања под називом „</w:t>
      </w:r>
      <w:proofErr w:type="spellStart"/>
      <w:r w:rsidRPr="00B30084">
        <w:rPr>
          <w:rFonts w:ascii="Times New Roman" w:hAnsi="Times New Roman" w:cs="Times New Roman"/>
          <w:bCs/>
          <w:color w:val="000000"/>
          <w:sz w:val="24"/>
          <w:szCs w:val="24"/>
          <w:lang w:val="sr-Cyrl-RS"/>
        </w:rPr>
        <w:t>ФинПис</w:t>
      </w:r>
      <w:proofErr w:type="spellEnd"/>
      <w:r w:rsidRPr="00B30084">
        <w:rPr>
          <w:rFonts w:ascii="Times New Roman" w:hAnsi="Times New Roman" w:cs="Times New Roman"/>
          <w:bCs/>
          <w:color w:val="000000"/>
          <w:sz w:val="24"/>
          <w:szCs w:val="24"/>
          <w:lang w:val="sr-Cyrl-RS"/>
        </w:rPr>
        <w:t xml:space="preserve">“ у 34 основне школе, у оквиру којег су развијени приручници и збирке задатака. </w:t>
      </w:r>
      <w:r w:rsidR="00CE16A9" w:rsidRPr="00B30084">
        <w:rPr>
          <w:rFonts w:ascii="Times New Roman" w:hAnsi="Times New Roman" w:cs="Times New Roman"/>
          <w:bCs/>
          <w:color w:val="000000"/>
          <w:sz w:val="24"/>
          <w:szCs w:val="24"/>
          <w:lang w:val="sr-Cyrl-RS"/>
        </w:rPr>
        <w:t xml:space="preserve">Према информацији Завода за унапређење </w:t>
      </w:r>
      <w:r w:rsidR="00CE16A9" w:rsidRPr="00B30084">
        <w:rPr>
          <w:rFonts w:ascii="Times New Roman" w:hAnsi="Times New Roman" w:cs="Times New Roman"/>
          <w:bCs/>
          <w:color w:val="000000"/>
          <w:sz w:val="24"/>
          <w:szCs w:val="24"/>
          <w:lang w:val="sr-Cyrl-RS"/>
        </w:rPr>
        <w:lastRenderedPageBreak/>
        <w:t>образовања и васпитања</w:t>
      </w:r>
      <w:r w:rsidR="00A10670">
        <w:rPr>
          <w:rFonts w:ascii="Times New Roman" w:hAnsi="Times New Roman" w:cs="Times New Roman"/>
          <w:bCs/>
          <w:color w:val="000000"/>
          <w:sz w:val="24"/>
          <w:szCs w:val="24"/>
          <w:lang w:val="sr-Cyrl-RS"/>
        </w:rPr>
        <w:t>,</w:t>
      </w:r>
      <w:r w:rsidR="00CE16A9" w:rsidRPr="00B30084">
        <w:rPr>
          <w:rFonts w:ascii="Times New Roman" w:hAnsi="Times New Roman" w:cs="Times New Roman"/>
          <w:bCs/>
          <w:color w:val="000000"/>
          <w:sz w:val="24"/>
          <w:szCs w:val="24"/>
          <w:lang w:val="sr-Cyrl-RS"/>
        </w:rPr>
        <w:t xml:space="preserve"> развијање финансијске писмености је видљиво у програмима математике, почев од </w:t>
      </w:r>
      <w:r w:rsidR="004B1623" w:rsidRPr="00B30084">
        <w:rPr>
          <w:rFonts w:ascii="Times New Roman" w:hAnsi="Times New Roman" w:cs="Times New Roman"/>
          <w:bCs/>
          <w:color w:val="000000"/>
          <w:sz w:val="24"/>
          <w:szCs w:val="24"/>
          <w:lang w:val="sr-Cyrl-RS"/>
        </w:rPr>
        <w:t>првог</w:t>
      </w:r>
      <w:r w:rsidR="00CE16A9" w:rsidRPr="00B30084">
        <w:rPr>
          <w:rFonts w:ascii="Times New Roman" w:hAnsi="Times New Roman" w:cs="Times New Roman"/>
          <w:bCs/>
          <w:color w:val="000000"/>
          <w:sz w:val="24"/>
          <w:szCs w:val="24"/>
          <w:lang w:val="sr-Cyrl-RS"/>
        </w:rPr>
        <w:t xml:space="preserve"> разреда основне школе када се помињу задаци са новцем, а у каснијим разредима кроз решавање проблемских задатака са новцем. У првом разреду гимназије ученици се упознају са основним појмовима финансијске математике попут: шта је главница, кредит, каматна стопа, улагање, орочавање новца</w:t>
      </w:r>
      <w:r w:rsidR="00863EA0" w:rsidRPr="00B30084">
        <w:rPr>
          <w:rStyle w:val="FootnoteReference"/>
          <w:rFonts w:ascii="Times New Roman" w:hAnsi="Times New Roman" w:cs="Times New Roman"/>
          <w:sz w:val="24"/>
          <w:szCs w:val="24"/>
          <w:lang w:val="sr-Cyrl-RS"/>
        </w:rPr>
        <w:footnoteReference w:id="39"/>
      </w:r>
      <w:r w:rsidR="00CE16A9" w:rsidRPr="00B30084">
        <w:rPr>
          <w:rFonts w:ascii="Times New Roman" w:hAnsi="Times New Roman" w:cs="Times New Roman"/>
          <w:bCs/>
          <w:color w:val="000000"/>
          <w:sz w:val="24"/>
          <w:szCs w:val="24"/>
          <w:lang w:val="sr-Cyrl-RS"/>
        </w:rPr>
        <w:t xml:space="preserve">. </w:t>
      </w:r>
    </w:p>
    <w:p w14:paraId="73D7BECC" w14:textId="40BE3ECB" w:rsidR="004B1623" w:rsidRPr="00B30084" w:rsidRDefault="004B1623" w:rsidP="00DF28E7">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Међутим, према резултатима последњег циклуса ПИСА 2018</w:t>
      </w:r>
      <w:r w:rsidR="006B0787" w:rsidRPr="00B30084">
        <w:rPr>
          <w:rStyle w:val="FootnoteReference"/>
          <w:rFonts w:ascii="Times New Roman" w:hAnsi="Times New Roman" w:cs="Times New Roman"/>
          <w:sz w:val="24"/>
          <w:szCs w:val="24"/>
          <w:lang w:val="sr-Cyrl-RS"/>
        </w:rPr>
        <w:footnoteReference w:id="40"/>
      </w:r>
      <w:r w:rsidRPr="00B30084">
        <w:rPr>
          <w:rFonts w:ascii="Times New Roman" w:hAnsi="Times New Roman" w:cs="Times New Roman"/>
          <w:bCs/>
          <w:color w:val="000000"/>
          <w:sz w:val="24"/>
          <w:szCs w:val="24"/>
          <w:lang w:val="sr-Cyrl-RS"/>
        </w:rPr>
        <w:t xml:space="preserve"> истраживање указује да 1/3 учени</w:t>
      </w:r>
      <w:r w:rsidR="000E3C22" w:rsidRPr="00B30084">
        <w:rPr>
          <w:rFonts w:ascii="Times New Roman" w:hAnsi="Times New Roman" w:cs="Times New Roman"/>
          <w:bCs/>
          <w:color w:val="000000"/>
          <w:sz w:val="24"/>
          <w:szCs w:val="24"/>
          <w:lang w:val="sr-Cyrl-RS"/>
        </w:rPr>
        <w:t>к</w:t>
      </w:r>
      <w:r w:rsidRPr="00B30084">
        <w:rPr>
          <w:rFonts w:ascii="Times New Roman" w:hAnsi="Times New Roman" w:cs="Times New Roman"/>
          <w:bCs/>
          <w:color w:val="000000"/>
          <w:sz w:val="24"/>
          <w:szCs w:val="24"/>
          <w:lang w:val="sr-Cyrl-RS"/>
        </w:rPr>
        <w:t>а из Србије није достигл</w:t>
      </w:r>
      <w:r w:rsidR="00A10670">
        <w:rPr>
          <w:rFonts w:ascii="Times New Roman" w:hAnsi="Times New Roman" w:cs="Times New Roman"/>
          <w:bCs/>
          <w:color w:val="000000"/>
          <w:sz w:val="24"/>
          <w:szCs w:val="24"/>
          <w:lang w:val="sr-Cyrl-RS"/>
        </w:rPr>
        <w:t>а</w:t>
      </w:r>
      <w:r w:rsidRPr="00B30084">
        <w:rPr>
          <w:rFonts w:ascii="Times New Roman" w:hAnsi="Times New Roman" w:cs="Times New Roman"/>
          <w:bCs/>
          <w:color w:val="000000"/>
          <w:sz w:val="24"/>
          <w:szCs w:val="24"/>
          <w:lang w:val="sr-Cyrl-RS"/>
        </w:rPr>
        <w:t xml:space="preserve"> ниво функционалне писмености из финансијске писмености. У процени финансијске писмености учествовало је 20 земаља, а тест је решавало око 117.000 петнаестогодишњака. Збирни извештај указује да су најбољи резултат постигли ученици из Естоније, а надпросечна постигнућа имају ученици из Финске, канадских провинција, Пољске и Аустралије. Резултати су такође показали да велики број ученика као основни извор информисања о финансијској писмености наводи породицу, а не школу.  </w:t>
      </w:r>
    </w:p>
    <w:p w14:paraId="112CB1B4" w14:textId="2855FBEF" w:rsidR="002C2F47" w:rsidRPr="00B30084" w:rsidRDefault="002C2F47" w:rsidP="00DF28E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Савремено друштво се данас суочава са бројним изазовима који захтевају правовремене реакције. У том смислу нису изузетак ни изазови у области финансија. Концепт финансијске писмености захтева да појединац, поред финансијског знања, поседује и способност да примени своје знање односно да има финансијске вештине. У времену финансијске кризе посебно је значајно да становништво поседује што виши ниво финансијске писмености. Интересовање државе и појединаца за финансијско образовање подстакнуто је низом тенденција: преношење финансијских ризика са државе и послодаваца на појединца, изложеност бројним ризицима у вези са редовношћу финансијских прихода, повећана индивидуална одговорност у смислу доношења већег броја финансијских одлука, разноврснија понуда финансијских производа и услуга и повећана потражња за финансијским производима и услугама. Због тога што је неопходно да компетенције које се развијају у школи одговарају потребама времена у којем деца одрастају и у којем ће живети, финансијско описмењавање ученика у школи је неизоставно. C обзиром да је евидентан мањак финансијског знања код појединаца, не чуди ни незаинтересованост </w:t>
      </w:r>
      <w:r w:rsidR="00A10670">
        <w:rPr>
          <w:rFonts w:ascii="Times New Roman" w:hAnsi="Times New Roman" w:cs="Times New Roman"/>
          <w:sz w:val="24"/>
          <w:szCs w:val="24"/>
          <w:lang w:val="sr-Cyrl-RS"/>
        </w:rPr>
        <w:t>привредних друштава</w:t>
      </w:r>
      <w:r w:rsidRPr="00B30084">
        <w:rPr>
          <w:rFonts w:ascii="Times New Roman" w:hAnsi="Times New Roman" w:cs="Times New Roman"/>
          <w:sz w:val="24"/>
          <w:szCs w:val="24"/>
          <w:lang w:val="sr-Cyrl-RS"/>
        </w:rPr>
        <w:t xml:space="preserve"> да потребан капитал прибављају на тржишту капитала</w:t>
      </w:r>
      <w:r w:rsidR="009D4E94" w:rsidRPr="00B30084">
        <w:rPr>
          <w:rStyle w:val="FootnoteReference"/>
          <w:rFonts w:ascii="Times New Roman" w:hAnsi="Times New Roman" w:cs="Times New Roman"/>
          <w:sz w:val="24"/>
          <w:szCs w:val="24"/>
          <w:lang w:val="sr-Cyrl-RS"/>
        </w:rPr>
        <w:footnoteReference w:id="41"/>
      </w:r>
      <w:r w:rsidRPr="00B30084">
        <w:rPr>
          <w:rFonts w:ascii="Times New Roman" w:hAnsi="Times New Roman" w:cs="Times New Roman"/>
          <w:sz w:val="24"/>
          <w:szCs w:val="24"/>
          <w:lang w:val="sr-Cyrl-RS"/>
        </w:rPr>
        <w:t>.</w:t>
      </w:r>
    </w:p>
    <w:p w14:paraId="2338E8BE" w14:textId="78DA0FFA" w:rsidR="002C2F47" w:rsidRPr="00B30084" w:rsidRDefault="002C2F47" w:rsidP="00DF28E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Народна банка Србије је 2012. године иницирала израду Стратегије за финансијско образовање и план имплементације исте. На крају сваке године се израђује Извештај о процени активности. </w:t>
      </w:r>
      <w:r w:rsidR="00BD17F2" w:rsidRPr="00B30084">
        <w:rPr>
          <w:rFonts w:ascii="Times New Roman" w:hAnsi="Times New Roman" w:cs="Times New Roman"/>
          <w:sz w:val="24"/>
          <w:szCs w:val="24"/>
          <w:lang w:val="sr-Cyrl-RS"/>
        </w:rPr>
        <w:t>Народна банка Србије донела је Стратегију на пољу финансијске едукаци</w:t>
      </w:r>
      <w:r w:rsidR="00A10670">
        <w:rPr>
          <w:rFonts w:ascii="Times New Roman" w:hAnsi="Times New Roman" w:cs="Times New Roman"/>
          <w:sz w:val="24"/>
          <w:szCs w:val="24"/>
          <w:lang w:val="sr-Cyrl-RS"/>
        </w:rPr>
        <w:t xml:space="preserve">је за период 2012–2015. године и </w:t>
      </w:r>
      <w:r w:rsidR="00BD17F2" w:rsidRPr="00B30084">
        <w:rPr>
          <w:rFonts w:ascii="Times New Roman" w:hAnsi="Times New Roman" w:cs="Times New Roman"/>
          <w:sz w:val="24"/>
          <w:szCs w:val="24"/>
          <w:lang w:val="sr-Cyrl-RS"/>
        </w:rPr>
        <w:t xml:space="preserve">Стратегију НБС на пољу финансијског образовања за период 2016–2020 (доступно на www.nbs.rs). </w:t>
      </w:r>
    </w:p>
    <w:p w14:paraId="466B5E60" w14:textId="3C97F5E7" w:rsidR="006A4690" w:rsidRPr="00B30084" w:rsidRDefault="006A4690" w:rsidP="00DF28E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bCs/>
          <w:color w:val="000000"/>
          <w:sz w:val="24"/>
          <w:szCs w:val="24"/>
          <w:lang w:val="sr-Cyrl-RS"/>
        </w:rPr>
        <w:lastRenderedPageBreak/>
        <w:t>Такође</w:t>
      </w:r>
      <w:r w:rsidRPr="00B30084">
        <w:rPr>
          <w:rFonts w:ascii="Times New Roman" w:hAnsi="Times New Roman" w:cs="Times New Roman"/>
          <w:sz w:val="24"/>
          <w:szCs w:val="24"/>
          <w:lang w:val="sr-Cyrl-RS"/>
        </w:rPr>
        <w:t xml:space="preserve">, постоји скромна повезаност школа и факултета са предузећима која се баве пружањем финансијских услуга, као и државних </w:t>
      </w:r>
      <w:proofErr w:type="spellStart"/>
      <w:r w:rsidRPr="00B30084">
        <w:rPr>
          <w:rFonts w:ascii="Times New Roman" w:hAnsi="Times New Roman" w:cs="Times New Roman"/>
          <w:sz w:val="24"/>
          <w:szCs w:val="24"/>
          <w:lang w:val="sr-Cyrl-RS"/>
        </w:rPr>
        <w:t>инситуција</w:t>
      </w:r>
      <w:proofErr w:type="spellEnd"/>
      <w:r w:rsidRPr="00B30084">
        <w:rPr>
          <w:rFonts w:ascii="Times New Roman" w:hAnsi="Times New Roman" w:cs="Times New Roman"/>
          <w:sz w:val="24"/>
          <w:szCs w:val="24"/>
          <w:lang w:val="sr-Cyrl-RS"/>
        </w:rPr>
        <w:t xml:space="preserve"> у чијој надлежности је између осталог и тржиште капитала, као и слаба повезаност истих са привредним субјектима.</w:t>
      </w:r>
    </w:p>
    <w:p w14:paraId="18F49987" w14:textId="68C44314" w:rsidR="002C2F47" w:rsidRPr="00B30084" w:rsidRDefault="00A50A03" w:rsidP="004912F4">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bCs/>
          <w:color w:val="000000"/>
          <w:sz w:val="24"/>
          <w:szCs w:val="24"/>
          <w:lang w:val="sr-Cyrl-RS"/>
        </w:rPr>
        <w:t>Имајући</w:t>
      </w:r>
      <w:r w:rsidRPr="00B30084">
        <w:rPr>
          <w:rFonts w:ascii="Times New Roman" w:hAnsi="Times New Roman" w:cs="Times New Roman"/>
          <w:sz w:val="24"/>
          <w:szCs w:val="24"/>
          <w:lang w:val="sr-Cyrl-RS"/>
        </w:rPr>
        <w:t xml:space="preserve"> у виду све горе изнето, н</w:t>
      </w:r>
      <w:r w:rsidR="00F64ED3" w:rsidRPr="00B30084">
        <w:rPr>
          <w:rFonts w:ascii="Times New Roman" w:hAnsi="Times New Roman" w:cs="Times New Roman"/>
          <w:sz w:val="24"/>
          <w:szCs w:val="24"/>
          <w:lang w:val="sr-Cyrl-RS"/>
        </w:rPr>
        <w:t>еопходно је да се кроз Стратегију уложе додатни напори за унапређење образовања</w:t>
      </w:r>
      <w:r w:rsidRPr="00B30084">
        <w:rPr>
          <w:rFonts w:ascii="Times New Roman" w:hAnsi="Times New Roman" w:cs="Times New Roman"/>
          <w:sz w:val="24"/>
          <w:szCs w:val="24"/>
          <w:lang w:val="sr-Cyrl-RS"/>
        </w:rPr>
        <w:t xml:space="preserve"> појединаца</w:t>
      </w:r>
      <w:r w:rsidR="00F64ED3" w:rsidRPr="00B30084">
        <w:rPr>
          <w:rFonts w:ascii="Times New Roman" w:hAnsi="Times New Roman" w:cs="Times New Roman"/>
          <w:sz w:val="24"/>
          <w:szCs w:val="24"/>
          <w:lang w:val="sr-Cyrl-RS"/>
        </w:rPr>
        <w:t xml:space="preserve"> и модернизацију законске регулативе, а све у циљу подизања свести појединаца и значаја развоја тржишта капитала за привреду.</w:t>
      </w:r>
      <w:r w:rsidR="006A4690" w:rsidRPr="00B30084">
        <w:rPr>
          <w:rFonts w:ascii="Times New Roman" w:hAnsi="Times New Roman" w:cs="Times New Roman"/>
          <w:sz w:val="24"/>
          <w:szCs w:val="24"/>
          <w:lang w:val="sr-Cyrl-RS"/>
        </w:rPr>
        <w:t xml:space="preserve"> </w:t>
      </w:r>
    </w:p>
    <w:p w14:paraId="3182615C" w14:textId="2A07076D" w:rsidR="00824945" w:rsidRPr="00B30084" w:rsidRDefault="00522C0C" w:rsidP="00275E1F">
      <w:pPr>
        <w:pStyle w:val="Heading2"/>
      </w:pPr>
      <w:proofErr w:type="spellStart"/>
      <w:r w:rsidRPr="00B30084">
        <w:t>П</w:t>
      </w:r>
      <w:r w:rsidR="00801509" w:rsidRPr="00B30084">
        <w:t>oстојеће</w:t>
      </w:r>
      <w:proofErr w:type="spellEnd"/>
      <w:r w:rsidR="00801509" w:rsidRPr="00B30084">
        <w:t xml:space="preserve"> стање кључних предуслова за развој тржишта капитала </w:t>
      </w:r>
    </w:p>
    <w:p w14:paraId="570E8947" w14:textId="6490F2BE" w:rsidR="003120FA" w:rsidRPr="00B30084" w:rsidRDefault="003711BC" w:rsidP="004912F4">
      <w:pPr>
        <w:spacing w:line="276" w:lineRule="auto"/>
        <w:ind w:firstLine="720"/>
        <w:jc w:val="both"/>
        <w:rPr>
          <w:rFonts w:ascii="Times New Roman" w:hAnsi="Times New Roman" w:cs="Times New Roman"/>
          <w:sz w:val="24"/>
          <w:szCs w:val="24"/>
          <w:highlight w:val="yellow"/>
          <w:lang w:val="sr-Cyrl-RS"/>
        </w:rPr>
      </w:pPr>
      <w:r w:rsidRPr="00B30084">
        <w:rPr>
          <w:rFonts w:ascii="Times New Roman" w:hAnsi="Times New Roman" w:cs="Times New Roman"/>
          <w:sz w:val="24"/>
          <w:szCs w:val="24"/>
          <w:lang w:val="sr-Cyrl-RS"/>
        </w:rPr>
        <w:t>Осим стања у кључним секторима, наметнула се потреба и за сагледавањем стања у односу на кључне предуслове које је потребно обезбедити а који у</w:t>
      </w:r>
      <w:r w:rsidR="00522893" w:rsidRPr="00B30084">
        <w:rPr>
          <w:rFonts w:ascii="Times New Roman" w:hAnsi="Times New Roman" w:cs="Times New Roman"/>
          <w:sz w:val="24"/>
          <w:szCs w:val="24"/>
          <w:lang w:val="sr-Cyrl-RS"/>
        </w:rPr>
        <w:t>тичу на</w:t>
      </w:r>
      <w:r w:rsidRPr="00B30084">
        <w:rPr>
          <w:rFonts w:ascii="Times New Roman" w:hAnsi="Times New Roman" w:cs="Times New Roman"/>
          <w:sz w:val="24"/>
          <w:szCs w:val="24"/>
          <w:lang w:val="sr-Cyrl-RS"/>
        </w:rPr>
        <w:t xml:space="preserve"> развој </w:t>
      </w:r>
      <w:r w:rsidR="004912F4">
        <w:rPr>
          <w:rFonts w:ascii="Times New Roman" w:hAnsi="Times New Roman" w:cs="Times New Roman"/>
          <w:sz w:val="24"/>
          <w:szCs w:val="24"/>
          <w:lang w:val="sr-Cyrl-RS"/>
        </w:rPr>
        <w:t xml:space="preserve">тржишта капитала. </w:t>
      </w:r>
      <w:r w:rsidRPr="00B30084">
        <w:rPr>
          <w:rFonts w:ascii="Times New Roman" w:hAnsi="Times New Roman" w:cs="Times New Roman"/>
          <w:sz w:val="24"/>
          <w:szCs w:val="24"/>
          <w:lang w:val="sr-Cyrl-RS"/>
        </w:rPr>
        <w:t xml:space="preserve">То су пре свега постојање </w:t>
      </w:r>
      <w:r w:rsidR="00522893" w:rsidRPr="00B30084">
        <w:rPr>
          <w:rFonts w:ascii="Times New Roman" w:hAnsi="Times New Roman" w:cs="Times New Roman"/>
          <w:sz w:val="24"/>
          <w:szCs w:val="24"/>
          <w:lang w:val="sr-Cyrl-RS"/>
        </w:rPr>
        <w:t xml:space="preserve">адекватног правног оквира који ће обезбедити сигурност и ефикасност функционисања тржишта капитала, </w:t>
      </w:r>
      <w:r w:rsidR="004B1991" w:rsidRPr="00B30084">
        <w:rPr>
          <w:rFonts w:ascii="Times New Roman" w:hAnsi="Times New Roman" w:cs="Times New Roman"/>
          <w:sz w:val="24"/>
          <w:szCs w:val="24"/>
          <w:lang w:val="sr-Cyrl-RS"/>
        </w:rPr>
        <w:t xml:space="preserve">као и </w:t>
      </w:r>
      <w:r w:rsidRPr="00B30084">
        <w:rPr>
          <w:rFonts w:ascii="Times New Roman" w:hAnsi="Times New Roman" w:cs="Times New Roman"/>
          <w:sz w:val="24"/>
          <w:szCs w:val="24"/>
          <w:lang w:val="sr-Cyrl-RS"/>
        </w:rPr>
        <w:t>адекватн</w:t>
      </w:r>
      <w:r w:rsidR="00522893" w:rsidRPr="00B30084">
        <w:rPr>
          <w:rFonts w:ascii="Times New Roman" w:hAnsi="Times New Roman" w:cs="Times New Roman"/>
          <w:sz w:val="24"/>
          <w:szCs w:val="24"/>
          <w:lang w:val="sr-Cyrl-RS"/>
        </w:rPr>
        <w:t>е</w:t>
      </w:r>
      <w:r w:rsidR="00376B1A" w:rsidRPr="00B30084">
        <w:rPr>
          <w:rFonts w:ascii="Times New Roman" w:hAnsi="Times New Roman" w:cs="Times New Roman"/>
          <w:sz w:val="24"/>
          <w:szCs w:val="24"/>
          <w:lang w:val="sr-Cyrl-RS"/>
        </w:rPr>
        <w:t xml:space="preserve"> инфраструктуре.</w:t>
      </w:r>
    </w:p>
    <w:p w14:paraId="0979E73F" w14:textId="3FB4ECB6" w:rsidR="003369B9" w:rsidRPr="00B30084" w:rsidRDefault="003369B9" w:rsidP="000E3C22">
      <w:pPr>
        <w:pStyle w:val="Heading2"/>
        <w:numPr>
          <w:ilvl w:val="3"/>
          <w:numId w:val="30"/>
        </w:numPr>
      </w:pPr>
      <w:r w:rsidRPr="00B30084">
        <w:t>Регулаторни оквир</w:t>
      </w:r>
    </w:p>
    <w:p w14:paraId="1F8F4689" w14:textId="555B8CD0" w:rsidR="00DB631F" w:rsidRPr="00B30084" w:rsidRDefault="008A21CA" w:rsidP="00DF28E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Током последњих 5 година, Србија је била усредсређена на ревизију свог правног и регулаторног режима како би подржала своје планове за приступање </w:t>
      </w:r>
      <w:r w:rsidR="004912F4">
        <w:rPr>
          <w:rFonts w:ascii="Times New Roman" w:hAnsi="Times New Roman" w:cs="Times New Roman"/>
          <w:sz w:val="24"/>
          <w:szCs w:val="24"/>
          <w:lang w:val="sr-Cyrl-RS"/>
        </w:rPr>
        <w:t>Европској унији</w:t>
      </w:r>
      <w:r w:rsidRPr="00B30084">
        <w:rPr>
          <w:rFonts w:ascii="Times New Roman" w:hAnsi="Times New Roman" w:cs="Times New Roman"/>
          <w:sz w:val="24"/>
          <w:szCs w:val="24"/>
          <w:lang w:val="sr-Cyrl-RS"/>
        </w:rPr>
        <w:t xml:space="preserve">. </w:t>
      </w:r>
      <w:r w:rsidR="009A0673">
        <w:rPr>
          <w:rFonts w:ascii="Times New Roman" w:hAnsi="Times New Roman" w:cs="Times New Roman"/>
          <w:sz w:val="24"/>
          <w:szCs w:val="24"/>
          <w:lang w:val="sr-Cyrl-RS"/>
        </w:rPr>
        <w:t>С</w:t>
      </w:r>
      <w:r w:rsidRPr="00B30084">
        <w:rPr>
          <w:rFonts w:ascii="Times New Roman" w:hAnsi="Times New Roman" w:cs="Times New Roman"/>
          <w:sz w:val="24"/>
          <w:szCs w:val="24"/>
          <w:lang w:val="sr-Cyrl-RS"/>
        </w:rPr>
        <w:t xml:space="preserve">уштина ових промена вођена је „Преговарачком позицијом Републике Србије за </w:t>
      </w:r>
      <w:r w:rsidRPr="00B30084">
        <w:rPr>
          <w:rFonts w:ascii="Times New Roman" w:hAnsi="Times New Roman" w:cs="Times New Roman"/>
          <w:bCs/>
          <w:color w:val="000000"/>
          <w:sz w:val="24"/>
          <w:szCs w:val="24"/>
          <w:lang w:val="sr-Cyrl-RS"/>
        </w:rPr>
        <w:t>Међувладину</w:t>
      </w:r>
      <w:r w:rsidRPr="00B30084">
        <w:rPr>
          <w:rFonts w:ascii="Times New Roman" w:hAnsi="Times New Roman" w:cs="Times New Roman"/>
          <w:sz w:val="24"/>
          <w:szCs w:val="24"/>
          <w:lang w:val="sr-Cyrl-RS"/>
        </w:rPr>
        <w:t xml:space="preserve"> конференцију о приступању Републике Србије</w:t>
      </w:r>
      <w:r w:rsidR="009A0673">
        <w:rPr>
          <w:rFonts w:ascii="Times New Roman" w:hAnsi="Times New Roman" w:cs="Times New Roman"/>
          <w:sz w:val="24"/>
          <w:szCs w:val="24"/>
          <w:lang w:val="sr-Cyrl-RS"/>
        </w:rPr>
        <w:t xml:space="preserve"> Европској унији за Поглавље 9 - „</w:t>
      </w:r>
      <w:r w:rsidRPr="00B30084">
        <w:rPr>
          <w:rFonts w:ascii="Times New Roman" w:hAnsi="Times New Roman" w:cs="Times New Roman"/>
          <w:sz w:val="24"/>
          <w:szCs w:val="24"/>
          <w:lang w:val="sr-Cyrl-RS"/>
        </w:rPr>
        <w:t xml:space="preserve">Финансијске услуге “, </w:t>
      </w:r>
      <w:r w:rsidR="006E428F" w:rsidRPr="00B30084">
        <w:rPr>
          <w:rFonts w:ascii="Times New Roman" w:hAnsi="Times New Roman" w:cs="Times New Roman"/>
          <w:sz w:val="24"/>
          <w:szCs w:val="24"/>
          <w:lang w:val="sr-Cyrl-RS"/>
        </w:rPr>
        <w:t>коју је Влада Република Србије усвојила на седници одржаној 12. октобра 2017. године и к</w:t>
      </w:r>
      <w:r w:rsidR="004912F4">
        <w:rPr>
          <w:rFonts w:ascii="Times New Roman" w:hAnsi="Times New Roman" w:cs="Times New Roman"/>
          <w:sz w:val="24"/>
          <w:szCs w:val="24"/>
          <w:lang w:val="sr-Cyrl-RS"/>
        </w:rPr>
        <w:t>оју је Република Србија отворила</w:t>
      </w:r>
      <w:r w:rsidR="006E428F" w:rsidRPr="00B30084">
        <w:rPr>
          <w:rFonts w:ascii="Times New Roman" w:hAnsi="Times New Roman" w:cs="Times New Roman"/>
          <w:sz w:val="24"/>
          <w:szCs w:val="24"/>
          <w:lang w:val="sr-Cyrl-RS"/>
        </w:rPr>
        <w:t xml:space="preserve"> 27. јуна 2019. године на десетој Међувладиној конферен</w:t>
      </w:r>
      <w:r w:rsidR="004912F4">
        <w:rPr>
          <w:rFonts w:ascii="Times New Roman" w:hAnsi="Times New Roman" w:cs="Times New Roman"/>
          <w:sz w:val="24"/>
          <w:szCs w:val="24"/>
          <w:lang w:val="sr-Cyrl-RS"/>
        </w:rPr>
        <w:t>цији о приступању Европској унији</w:t>
      </w:r>
      <w:r w:rsidRPr="00B30084">
        <w:rPr>
          <w:rFonts w:ascii="Times New Roman" w:hAnsi="Times New Roman" w:cs="Times New Roman"/>
          <w:sz w:val="24"/>
          <w:szCs w:val="24"/>
          <w:lang w:val="sr-Cyrl-RS"/>
        </w:rPr>
        <w:t>.</w:t>
      </w:r>
    </w:p>
    <w:p w14:paraId="473F4A79" w14:textId="6256821C" w:rsidR="00DB631F" w:rsidRPr="00B30084" w:rsidRDefault="00DB631F" w:rsidP="00E5061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Гледајући унапред, у току су два </w:t>
      </w:r>
      <w:r w:rsidR="0024295B" w:rsidRPr="00B30084">
        <w:rPr>
          <w:rFonts w:ascii="Times New Roman" w:hAnsi="Times New Roman" w:cs="Times New Roman"/>
          <w:sz w:val="24"/>
          <w:szCs w:val="24"/>
          <w:lang w:val="sr-Cyrl-RS"/>
        </w:rPr>
        <w:t xml:space="preserve">актуелна питања </w:t>
      </w:r>
      <w:r w:rsidRPr="00B30084">
        <w:rPr>
          <w:rFonts w:ascii="Times New Roman" w:hAnsi="Times New Roman" w:cs="Times New Roman"/>
          <w:sz w:val="24"/>
          <w:szCs w:val="24"/>
          <w:lang w:val="sr-Cyrl-RS"/>
        </w:rPr>
        <w:t>која</w:t>
      </w:r>
      <w:r w:rsidR="0024295B" w:rsidRPr="00B30084">
        <w:rPr>
          <w:rFonts w:ascii="Times New Roman" w:hAnsi="Times New Roman" w:cs="Times New Roman"/>
          <w:sz w:val="24"/>
          <w:szCs w:val="24"/>
          <w:lang w:val="sr-Cyrl-RS"/>
        </w:rPr>
        <w:t xml:space="preserve"> ће утицати на тржиште капитала:</w:t>
      </w:r>
    </w:p>
    <w:p w14:paraId="2F517646" w14:textId="3AFF4C4B" w:rsidR="006C22D8" w:rsidRPr="00B30084" w:rsidRDefault="0024295B" w:rsidP="00E50617">
      <w:pPr>
        <w:pStyle w:val="ListParagraph"/>
        <w:numPr>
          <w:ilvl w:val="0"/>
          <w:numId w:val="23"/>
        </w:num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План је да </w:t>
      </w:r>
      <w:r w:rsidRPr="00050F17">
        <w:rPr>
          <w:rFonts w:ascii="Times New Roman" w:hAnsi="Times New Roman" w:cs="Times New Roman"/>
          <w:sz w:val="24"/>
          <w:szCs w:val="24"/>
          <w:lang w:val="sr-Cyrl-RS"/>
        </w:rPr>
        <w:t xml:space="preserve">се до краја </w:t>
      </w:r>
      <w:r w:rsidR="002F323F" w:rsidRPr="00050F17">
        <w:rPr>
          <w:rFonts w:ascii="Times New Roman" w:hAnsi="Times New Roman" w:cs="Times New Roman"/>
          <w:sz w:val="24"/>
          <w:szCs w:val="24"/>
          <w:lang w:val="sr-Cyrl-RS"/>
        </w:rPr>
        <w:t>првог</w:t>
      </w:r>
      <w:r w:rsidRPr="00050F17">
        <w:rPr>
          <w:rFonts w:ascii="Times New Roman" w:hAnsi="Times New Roman" w:cs="Times New Roman"/>
          <w:sz w:val="24"/>
          <w:szCs w:val="24"/>
          <w:lang w:val="sr-Cyrl-RS"/>
        </w:rPr>
        <w:t xml:space="preserve"> квартала </w:t>
      </w:r>
      <w:r w:rsidR="00492EC0" w:rsidRPr="00050F17">
        <w:rPr>
          <w:rFonts w:ascii="Times New Roman" w:hAnsi="Times New Roman" w:cs="Times New Roman"/>
          <w:sz w:val="24"/>
          <w:szCs w:val="24"/>
          <w:lang w:val="sr-Cyrl-RS"/>
        </w:rPr>
        <w:t>202</w:t>
      </w:r>
      <w:r w:rsidR="002F323F" w:rsidRPr="00050F17">
        <w:rPr>
          <w:rFonts w:ascii="Times New Roman" w:hAnsi="Times New Roman" w:cs="Times New Roman"/>
          <w:sz w:val="24"/>
          <w:szCs w:val="24"/>
          <w:lang w:val="sr-Cyrl-RS"/>
        </w:rPr>
        <w:t>2</w:t>
      </w:r>
      <w:r w:rsidR="00492EC0" w:rsidRPr="00050F17">
        <w:rPr>
          <w:rFonts w:ascii="Times New Roman" w:hAnsi="Times New Roman" w:cs="Times New Roman"/>
          <w:sz w:val="24"/>
          <w:szCs w:val="24"/>
          <w:lang w:val="sr-Cyrl-RS"/>
        </w:rPr>
        <w:t xml:space="preserve">. године </w:t>
      </w:r>
      <w:r w:rsidRPr="00050F17">
        <w:rPr>
          <w:rFonts w:ascii="Times New Roman" w:hAnsi="Times New Roman" w:cs="Times New Roman"/>
          <w:sz w:val="24"/>
          <w:szCs w:val="24"/>
          <w:lang w:val="sr-Cyrl-RS"/>
        </w:rPr>
        <w:t>изврши с</w:t>
      </w:r>
      <w:r w:rsidR="00DB631F" w:rsidRPr="00050F17">
        <w:rPr>
          <w:rFonts w:ascii="Times New Roman" w:hAnsi="Times New Roman" w:cs="Times New Roman"/>
          <w:sz w:val="24"/>
          <w:szCs w:val="24"/>
          <w:lang w:val="sr-Cyrl-RS"/>
        </w:rPr>
        <w:t>ет измена и допуна Закона о тржишт</w:t>
      </w:r>
      <w:r w:rsidRPr="00050F17">
        <w:rPr>
          <w:rFonts w:ascii="Times New Roman" w:hAnsi="Times New Roman" w:cs="Times New Roman"/>
          <w:sz w:val="24"/>
          <w:szCs w:val="24"/>
          <w:lang w:val="sr-Cyrl-RS"/>
        </w:rPr>
        <w:t>у</w:t>
      </w:r>
      <w:r w:rsidR="00DB631F" w:rsidRPr="00050F17">
        <w:rPr>
          <w:rFonts w:ascii="Times New Roman" w:hAnsi="Times New Roman" w:cs="Times New Roman"/>
          <w:sz w:val="24"/>
          <w:szCs w:val="24"/>
          <w:lang w:val="sr-Cyrl-RS"/>
        </w:rPr>
        <w:t xml:space="preserve"> капитала који имају за</w:t>
      </w:r>
      <w:r w:rsidR="00DB631F" w:rsidRPr="00B30084">
        <w:rPr>
          <w:rFonts w:ascii="Times New Roman" w:hAnsi="Times New Roman" w:cs="Times New Roman"/>
          <w:sz w:val="24"/>
          <w:szCs w:val="24"/>
          <w:lang w:val="sr-Cyrl-RS"/>
        </w:rPr>
        <w:t xml:space="preserve"> циљ потпуну хармонизацију са </w:t>
      </w:r>
      <w:r w:rsidRPr="00B30084">
        <w:rPr>
          <w:rFonts w:ascii="Times New Roman" w:hAnsi="Times New Roman" w:cs="Times New Roman"/>
          <w:sz w:val="24"/>
          <w:szCs w:val="24"/>
          <w:lang w:val="sr-Cyrl-RS"/>
        </w:rPr>
        <w:t>M</w:t>
      </w:r>
      <w:r w:rsidR="00870C3F" w:rsidRPr="00B30084">
        <w:rPr>
          <w:rFonts w:ascii="Times New Roman" w:hAnsi="Times New Roman" w:cs="Times New Roman"/>
          <w:sz w:val="24"/>
          <w:szCs w:val="24"/>
          <w:lang w:val="sr-Cyrl-RS"/>
        </w:rPr>
        <w:t>ИФИД</w:t>
      </w:r>
      <w:r w:rsidRPr="00B30084">
        <w:rPr>
          <w:rFonts w:ascii="Times New Roman" w:hAnsi="Times New Roman" w:cs="Times New Roman"/>
          <w:sz w:val="24"/>
          <w:szCs w:val="24"/>
          <w:lang w:val="sr-Cyrl-RS"/>
        </w:rPr>
        <w:t xml:space="preserve"> II</w:t>
      </w:r>
      <w:r w:rsidR="00DB631F" w:rsidRPr="00B30084">
        <w:rPr>
          <w:rFonts w:ascii="Times New Roman" w:hAnsi="Times New Roman" w:cs="Times New Roman"/>
          <w:sz w:val="24"/>
          <w:szCs w:val="24"/>
          <w:lang w:val="sr-Cyrl-RS"/>
        </w:rPr>
        <w:t xml:space="preserve"> </w:t>
      </w:r>
      <w:r w:rsidR="004B2432" w:rsidRPr="00B30084">
        <w:rPr>
          <w:rFonts w:ascii="Times New Roman" w:hAnsi="Times New Roman" w:cs="Times New Roman"/>
          <w:sz w:val="24"/>
          <w:szCs w:val="24"/>
          <w:lang w:val="sr-Cyrl-RS"/>
        </w:rPr>
        <w:t xml:space="preserve">у циљу постизања статуса </w:t>
      </w:r>
      <w:r w:rsidR="00D40C81" w:rsidRPr="00B30084">
        <w:rPr>
          <w:rFonts w:ascii="Times New Roman" w:hAnsi="Times New Roman" w:cs="Times New Roman"/>
          <w:sz w:val="24"/>
          <w:szCs w:val="24"/>
          <w:lang w:val="sr-Cyrl-RS"/>
        </w:rPr>
        <w:t>MИФИД тржишта</w:t>
      </w:r>
      <w:r w:rsidR="00D707D4" w:rsidRPr="00B30084">
        <w:rPr>
          <w:rFonts w:ascii="Times New Roman" w:hAnsi="Times New Roman" w:cs="Times New Roman"/>
          <w:sz w:val="24"/>
          <w:szCs w:val="24"/>
          <w:lang w:val="sr-Cyrl-RS"/>
        </w:rPr>
        <w:t>, као и измена и допуна Закона о преузимању акционарских друштава.</w:t>
      </w:r>
    </w:p>
    <w:p w14:paraId="7154AAE4" w14:textId="1C58AD6F" w:rsidR="00DB631F" w:rsidRPr="00B30084" w:rsidRDefault="000E3C22" w:rsidP="00E50617">
      <w:pPr>
        <w:pStyle w:val="ListParagraph"/>
        <w:numPr>
          <w:ilvl w:val="0"/>
          <w:numId w:val="23"/>
        </w:num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С</w:t>
      </w:r>
      <w:r w:rsidR="00DB631F" w:rsidRPr="00B30084">
        <w:rPr>
          <w:rFonts w:ascii="Times New Roman" w:hAnsi="Times New Roman" w:cs="Times New Roman"/>
          <w:sz w:val="24"/>
          <w:szCs w:val="24"/>
          <w:lang w:val="sr-Cyrl-RS"/>
        </w:rPr>
        <w:t xml:space="preserve">редином јануара ове године, Министарство </w:t>
      </w:r>
      <w:r w:rsidR="004B2432" w:rsidRPr="00B30084">
        <w:rPr>
          <w:rFonts w:ascii="Times New Roman" w:hAnsi="Times New Roman" w:cs="Times New Roman"/>
          <w:sz w:val="24"/>
          <w:szCs w:val="24"/>
          <w:lang w:val="sr-Cyrl-RS"/>
        </w:rPr>
        <w:t>привреде</w:t>
      </w:r>
      <w:r w:rsidR="00DB631F" w:rsidRPr="00B30084">
        <w:rPr>
          <w:rFonts w:ascii="Times New Roman" w:hAnsi="Times New Roman" w:cs="Times New Roman"/>
          <w:sz w:val="24"/>
          <w:szCs w:val="24"/>
          <w:lang w:val="sr-Cyrl-RS"/>
        </w:rPr>
        <w:t xml:space="preserve"> формирало је радну групу за израду измена и допуна Закона о </w:t>
      </w:r>
      <w:r w:rsidR="0001691A" w:rsidRPr="00B30084">
        <w:rPr>
          <w:rFonts w:ascii="Times New Roman" w:hAnsi="Times New Roman" w:cs="Times New Roman"/>
          <w:sz w:val="24"/>
          <w:szCs w:val="24"/>
          <w:lang w:val="sr-Cyrl-RS"/>
        </w:rPr>
        <w:t>привредним друштвима</w:t>
      </w:r>
      <w:r w:rsidR="00DB631F" w:rsidRPr="00B30084">
        <w:rPr>
          <w:rFonts w:ascii="Times New Roman" w:hAnsi="Times New Roman" w:cs="Times New Roman"/>
          <w:sz w:val="24"/>
          <w:szCs w:val="24"/>
          <w:lang w:val="sr-Cyrl-RS"/>
        </w:rPr>
        <w:t>, како би се побољшало рангирање Србије на листи Светске банке „</w:t>
      </w:r>
      <w:proofErr w:type="spellStart"/>
      <w:r w:rsidR="00492EC0" w:rsidRPr="00B30084">
        <w:rPr>
          <w:rFonts w:ascii="Times New Roman" w:hAnsi="Times New Roman" w:cs="Times New Roman"/>
          <w:sz w:val="24"/>
          <w:szCs w:val="24"/>
          <w:lang w:val="sr-Cyrl-RS"/>
        </w:rPr>
        <w:t>Doing</w:t>
      </w:r>
      <w:proofErr w:type="spellEnd"/>
      <w:r w:rsidR="00492EC0" w:rsidRPr="00B30084">
        <w:rPr>
          <w:rFonts w:ascii="Times New Roman" w:hAnsi="Times New Roman" w:cs="Times New Roman"/>
          <w:sz w:val="24"/>
          <w:szCs w:val="24"/>
          <w:lang w:val="sr-Cyrl-RS"/>
        </w:rPr>
        <w:t xml:space="preserve"> </w:t>
      </w:r>
      <w:proofErr w:type="spellStart"/>
      <w:r w:rsidR="00492EC0" w:rsidRPr="00B30084">
        <w:rPr>
          <w:rFonts w:ascii="Times New Roman" w:hAnsi="Times New Roman" w:cs="Times New Roman"/>
          <w:sz w:val="24"/>
          <w:szCs w:val="24"/>
          <w:lang w:val="sr-Cyrl-RS"/>
        </w:rPr>
        <w:t>business</w:t>
      </w:r>
      <w:proofErr w:type="spellEnd"/>
      <w:r w:rsidR="00DB631F" w:rsidRPr="00B30084">
        <w:rPr>
          <w:rFonts w:ascii="Times New Roman" w:hAnsi="Times New Roman" w:cs="Times New Roman"/>
          <w:sz w:val="24"/>
          <w:szCs w:val="24"/>
          <w:lang w:val="sr-Cyrl-RS"/>
        </w:rPr>
        <w:t>“. Ово има за циљ усклађивање закона са Директивом (ЕУ) 2017/828 у погледу подстицања дугорочног ангажовања акционара. Рок за израду релевантних амандмана одређен је до 30. јуна 2021. године.</w:t>
      </w:r>
    </w:p>
    <w:p w14:paraId="6BAEFADE" w14:textId="724BBC6E" w:rsidR="0019633E" w:rsidRDefault="00AD78AD" w:rsidP="00DF28E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Н</w:t>
      </w:r>
      <w:r w:rsidR="00DB631F" w:rsidRPr="00B30084">
        <w:rPr>
          <w:rFonts w:ascii="Times New Roman" w:hAnsi="Times New Roman" w:cs="Times New Roman"/>
          <w:sz w:val="24"/>
          <w:szCs w:val="24"/>
          <w:lang w:val="sr-Cyrl-RS"/>
        </w:rPr>
        <w:t xml:space="preserve">аставак рада на </w:t>
      </w:r>
      <w:r w:rsidR="004F470C" w:rsidRPr="00B30084">
        <w:rPr>
          <w:rFonts w:ascii="Times New Roman" w:hAnsi="Times New Roman" w:cs="Times New Roman"/>
          <w:sz w:val="24"/>
          <w:szCs w:val="24"/>
          <w:lang w:val="sr-Cyrl-RS"/>
        </w:rPr>
        <w:t>законском оквиру</w:t>
      </w:r>
      <w:r w:rsidR="00DB631F" w:rsidRPr="00B30084">
        <w:rPr>
          <w:rFonts w:ascii="Times New Roman" w:hAnsi="Times New Roman" w:cs="Times New Roman"/>
          <w:sz w:val="24"/>
          <w:szCs w:val="24"/>
          <w:lang w:val="sr-Cyrl-RS"/>
        </w:rPr>
        <w:t xml:space="preserve"> изузетно важан и треба</w:t>
      </w:r>
      <w:r w:rsidR="00C32131" w:rsidRPr="00B30084">
        <w:rPr>
          <w:rFonts w:ascii="Times New Roman" w:hAnsi="Times New Roman" w:cs="Times New Roman"/>
          <w:sz w:val="24"/>
          <w:szCs w:val="24"/>
          <w:lang w:val="sr-Cyrl-RS"/>
        </w:rPr>
        <w:t xml:space="preserve"> да буде у фокусу и у будућности</w:t>
      </w:r>
      <w:r w:rsidR="00DB631F" w:rsidRPr="00B30084">
        <w:rPr>
          <w:rFonts w:ascii="Times New Roman" w:hAnsi="Times New Roman" w:cs="Times New Roman"/>
          <w:sz w:val="24"/>
          <w:szCs w:val="24"/>
          <w:lang w:val="sr-Cyrl-RS"/>
        </w:rPr>
        <w:t>. Ово је светла тачка у оквиру укупних развојних напора</w:t>
      </w:r>
      <w:r w:rsidR="006C6B5C" w:rsidRPr="00B30084">
        <w:rPr>
          <w:rStyle w:val="FootnoteReference"/>
          <w:rFonts w:ascii="Times New Roman" w:hAnsi="Times New Roman" w:cs="Times New Roman"/>
          <w:sz w:val="24"/>
          <w:szCs w:val="24"/>
          <w:lang w:val="sr-Cyrl-RS"/>
        </w:rPr>
        <w:footnoteReference w:id="42"/>
      </w:r>
      <w:r w:rsidR="00136A0D" w:rsidRPr="00B30084">
        <w:rPr>
          <w:rFonts w:ascii="Times New Roman" w:hAnsi="Times New Roman" w:cs="Times New Roman"/>
          <w:sz w:val="24"/>
          <w:szCs w:val="24"/>
          <w:lang w:val="sr-Cyrl-RS"/>
        </w:rPr>
        <w:t xml:space="preserve"> у прилог чему иде и чињеница да су Закон о алтернативним инвестиционим фондовима и Закон о </w:t>
      </w:r>
      <w:r w:rsidR="007810AA" w:rsidRPr="00B30084">
        <w:rPr>
          <w:rFonts w:ascii="Times New Roman" w:hAnsi="Times New Roman" w:cs="Times New Roman"/>
          <w:sz w:val="24"/>
          <w:szCs w:val="24"/>
          <w:lang w:val="sr-Cyrl-RS"/>
        </w:rPr>
        <w:t xml:space="preserve">отвореним </w:t>
      </w:r>
      <w:r w:rsidR="007810AA" w:rsidRPr="00B30084">
        <w:rPr>
          <w:rFonts w:ascii="Times New Roman" w:hAnsi="Times New Roman" w:cs="Times New Roman"/>
          <w:sz w:val="24"/>
          <w:szCs w:val="24"/>
          <w:lang w:val="sr-Cyrl-RS"/>
        </w:rPr>
        <w:lastRenderedPageBreak/>
        <w:t>инвестиционим фондовима</w:t>
      </w:r>
      <w:r w:rsidR="006E428F" w:rsidRPr="00B30084">
        <w:rPr>
          <w:rFonts w:ascii="Times New Roman" w:hAnsi="Times New Roman" w:cs="Times New Roman"/>
          <w:sz w:val="24"/>
          <w:szCs w:val="24"/>
          <w:lang w:val="sr-Cyrl-RS"/>
        </w:rPr>
        <w:t xml:space="preserve"> са јавном понудом</w:t>
      </w:r>
      <w:r w:rsidR="007810AA" w:rsidRPr="00B30084">
        <w:rPr>
          <w:rFonts w:ascii="Times New Roman" w:hAnsi="Times New Roman" w:cs="Times New Roman"/>
          <w:sz w:val="24"/>
          <w:szCs w:val="24"/>
          <w:lang w:val="sr-Cyrl-RS"/>
        </w:rPr>
        <w:t xml:space="preserve"> усклађени са ЕУ Директив</w:t>
      </w:r>
      <w:r w:rsidR="009A0673">
        <w:rPr>
          <w:rFonts w:ascii="Times New Roman" w:hAnsi="Times New Roman" w:cs="Times New Roman"/>
          <w:sz w:val="24"/>
          <w:szCs w:val="24"/>
          <w:lang w:val="sr-Cyrl-RS"/>
        </w:rPr>
        <w:t>ама</w:t>
      </w:r>
      <w:r w:rsidR="00DB631F" w:rsidRPr="00B30084">
        <w:rPr>
          <w:rFonts w:ascii="Times New Roman" w:hAnsi="Times New Roman" w:cs="Times New Roman"/>
          <w:sz w:val="24"/>
          <w:szCs w:val="24"/>
          <w:lang w:val="sr-Cyrl-RS"/>
        </w:rPr>
        <w:t>.</w:t>
      </w:r>
      <w:r w:rsidR="00E73539" w:rsidRPr="00B30084">
        <w:rPr>
          <w:rFonts w:ascii="Times New Roman" w:hAnsi="Times New Roman" w:cs="Times New Roman"/>
          <w:sz w:val="24"/>
          <w:szCs w:val="24"/>
          <w:lang w:val="sr-Cyrl-RS"/>
        </w:rPr>
        <w:t xml:space="preserve"> Наредни кораци се односе на усклађивање пратећих подзаконских аката на нивоу свих релевантних институција (ЦРХоВ, КХоВ, Пореска Управа, </w:t>
      </w:r>
      <w:r w:rsidR="005849ED" w:rsidRPr="00B30084">
        <w:rPr>
          <w:rFonts w:ascii="Times New Roman" w:hAnsi="Times New Roman" w:cs="Times New Roman"/>
          <w:sz w:val="24"/>
          <w:szCs w:val="24"/>
          <w:lang w:val="sr-Cyrl-RS"/>
        </w:rPr>
        <w:t xml:space="preserve">Београдска берза, </w:t>
      </w:r>
      <w:r w:rsidR="00E73539" w:rsidRPr="00B30084">
        <w:rPr>
          <w:rFonts w:ascii="Times New Roman" w:hAnsi="Times New Roman" w:cs="Times New Roman"/>
          <w:sz w:val="24"/>
          <w:szCs w:val="24"/>
          <w:lang w:val="sr-Cyrl-RS"/>
        </w:rPr>
        <w:t>Управа за спречавање прања новца)</w:t>
      </w:r>
      <w:r w:rsidR="000F6158" w:rsidRPr="00B30084">
        <w:rPr>
          <w:rFonts w:ascii="Times New Roman" w:hAnsi="Times New Roman" w:cs="Times New Roman"/>
          <w:sz w:val="24"/>
          <w:szCs w:val="24"/>
          <w:lang w:val="sr-Cyrl-RS"/>
        </w:rPr>
        <w:t>.</w:t>
      </w:r>
    </w:p>
    <w:p w14:paraId="116256C1" w14:textId="107A8B86" w:rsidR="003369B9" w:rsidRPr="00B30084" w:rsidRDefault="003369B9" w:rsidP="000E3C22">
      <w:pPr>
        <w:pStyle w:val="Heading2"/>
        <w:numPr>
          <w:ilvl w:val="3"/>
          <w:numId w:val="30"/>
        </w:numPr>
      </w:pPr>
      <w:r w:rsidRPr="00B30084">
        <w:t>Инфраструктура</w:t>
      </w:r>
    </w:p>
    <w:p w14:paraId="1F1B9834" w14:textId="546FB227" w:rsidR="00FC7C8C" w:rsidRPr="00B30084" w:rsidRDefault="008F7041" w:rsidP="00DF28E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Поред економских и политичких околности и правне традиције одређене земље, значајно место заузима и адекватна инфраструктура тржишта капитала која не треба да обезбеди само заштиту интереса свих учесника, већ и изградњу поверења у финансијске токове и одржавање стабилности целокупног финансијског система. Прихватајући међународне стандарде, инфраструктура тржишта капитала, у већини земаља, уређена је на начин, да се успоставља посебно тело које регулише, надзире и унапређује токове на тржишту капитала</w:t>
      </w:r>
      <w:r w:rsidR="00FC7C8C" w:rsidRPr="00B30084">
        <w:rPr>
          <w:rFonts w:ascii="Times New Roman" w:hAnsi="Times New Roman" w:cs="Times New Roman"/>
          <w:sz w:val="24"/>
          <w:szCs w:val="24"/>
          <w:lang w:val="sr-Cyrl-RS"/>
        </w:rPr>
        <w:t xml:space="preserve">. У </w:t>
      </w:r>
      <w:r w:rsidR="001B422B">
        <w:rPr>
          <w:rFonts w:ascii="Times New Roman" w:hAnsi="Times New Roman" w:cs="Times New Roman"/>
          <w:sz w:val="24"/>
          <w:szCs w:val="24"/>
          <w:lang w:val="sr-Cyrl-RS"/>
        </w:rPr>
        <w:t>Републици Србији</w:t>
      </w:r>
      <w:r w:rsidR="00FC7C8C" w:rsidRPr="00B30084">
        <w:rPr>
          <w:rFonts w:ascii="Times New Roman" w:hAnsi="Times New Roman" w:cs="Times New Roman"/>
          <w:sz w:val="24"/>
          <w:szCs w:val="24"/>
          <w:lang w:val="sr-Cyrl-RS"/>
        </w:rPr>
        <w:t xml:space="preserve"> ову функцију има </w:t>
      </w:r>
      <w:r w:rsidRPr="00B30084">
        <w:rPr>
          <w:rFonts w:ascii="Times New Roman" w:hAnsi="Times New Roman" w:cs="Times New Roman"/>
          <w:sz w:val="24"/>
          <w:szCs w:val="24"/>
          <w:lang w:val="sr-Cyrl-RS"/>
        </w:rPr>
        <w:t xml:space="preserve">Комисија за хартије од вредности. </w:t>
      </w:r>
    </w:p>
    <w:p w14:paraId="09970E0A" w14:textId="6632D851" w:rsidR="00FC7C8C" w:rsidRPr="00B30084" w:rsidRDefault="00FC7C8C" w:rsidP="00DF28E7">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u w:val="single"/>
          <w:lang w:val="sr-Cyrl-RS"/>
        </w:rPr>
        <w:t>Комисија за хартије од вредности</w:t>
      </w:r>
      <w:r w:rsidRPr="00B30084">
        <w:rPr>
          <w:rFonts w:ascii="Times New Roman" w:hAnsi="Times New Roman" w:cs="Times New Roman"/>
          <w:sz w:val="24"/>
          <w:szCs w:val="24"/>
          <w:lang w:val="sr-Cyrl-RS"/>
        </w:rPr>
        <w:t xml:space="preserve"> је независна</w:t>
      </w:r>
      <w:r w:rsidR="001B422B">
        <w:rPr>
          <w:rFonts w:ascii="Times New Roman" w:hAnsi="Times New Roman" w:cs="Times New Roman"/>
          <w:sz w:val="24"/>
          <w:szCs w:val="24"/>
          <w:lang w:val="sr-Cyrl-RS"/>
        </w:rPr>
        <w:t xml:space="preserve"> и самостална</w:t>
      </w:r>
      <w:r w:rsidRPr="00B30084">
        <w:rPr>
          <w:rFonts w:ascii="Times New Roman" w:hAnsi="Times New Roman" w:cs="Times New Roman"/>
          <w:sz w:val="24"/>
          <w:szCs w:val="24"/>
          <w:lang w:val="sr-Cyrl-RS"/>
        </w:rPr>
        <w:t xml:space="preserve"> државна организација - регулатор тржишта капитала у Републици Србији. Основни задатак је легално, поштено и транспарентно функционисање тржишта капитала и заштита инвеститора. Поред своје регулаторне функције, надгледа актере на тржишту капитала: берзе, инвестицион</w:t>
      </w:r>
      <w:r w:rsidR="006E428F" w:rsidRPr="00B30084">
        <w:rPr>
          <w:rFonts w:ascii="Times New Roman" w:hAnsi="Times New Roman" w:cs="Times New Roman"/>
          <w:sz w:val="24"/>
          <w:szCs w:val="24"/>
          <w:lang w:val="sr-Cyrl-RS"/>
        </w:rPr>
        <w:t>а</w:t>
      </w:r>
      <w:r w:rsidRPr="00B30084">
        <w:rPr>
          <w:rFonts w:ascii="Times New Roman" w:hAnsi="Times New Roman" w:cs="Times New Roman"/>
          <w:sz w:val="24"/>
          <w:szCs w:val="24"/>
          <w:lang w:val="sr-Cyrl-RS"/>
        </w:rPr>
        <w:t xml:space="preserve"> </w:t>
      </w:r>
      <w:r w:rsidR="006E428F" w:rsidRPr="00B30084">
        <w:rPr>
          <w:rFonts w:ascii="Times New Roman" w:hAnsi="Times New Roman" w:cs="Times New Roman"/>
          <w:sz w:val="24"/>
          <w:szCs w:val="24"/>
          <w:lang w:val="sr-Cyrl-RS"/>
        </w:rPr>
        <w:t>друштва</w:t>
      </w:r>
      <w:r w:rsidRPr="00B30084">
        <w:rPr>
          <w:rFonts w:ascii="Times New Roman" w:hAnsi="Times New Roman" w:cs="Times New Roman"/>
          <w:sz w:val="24"/>
          <w:szCs w:val="24"/>
          <w:lang w:val="sr-Cyrl-RS"/>
        </w:rPr>
        <w:t xml:space="preserve"> (брокерско-</w:t>
      </w:r>
      <w:proofErr w:type="spellStart"/>
      <w:r w:rsidRPr="00B30084">
        <w:rPr>
          <w:rFonts w:ascii="Times New Roman" w:hAnsi="Times New Roman" w:cs="Times New Roman"/>
          <w:sz w:val="24"/>
          <w:szCs w:val="24"/>
          <w:lang w:val="sr-Cyrl-RS"/>
        </w:rPr>
        <w:t>дилерске</w:t>
      </w:r>
      <w:proofErr w:type="spellEnd"/>
      <w:r w:rsidRPr="00B30084">
        <w:rPr>
          <w:rFonts w:ascii="Times New Roman" w:hAnsi="Times New Roman" w:cs="Times New Roman"/>
          <w:sz w:val="24"/>
          <w:szCs w:val="24"/>
          <w:lang w:val="sr-Cyrl-RS"/>
        </w:rPr>
        <w:t xml:space="preserve"> компаније, овлашћене банке), </w:t>
      </w:r>
      <w:r w:rsidR="0094205C" w:rsidRPr="00B30084">
        <w:rPr>
          <w:rFonts w:ascii="Times New Roman" w:hAnsi="Times New Roman" w:cs="Times New Roman"/>
          <w:sz w:val="24"/>
          <w:szCs w:val="24"/>
          <w:lang w:val="sr-Cyrl-RS"/>
        </w:rPr>
        <w:t>друштва</w:t>
      </w:r>
      <w:r w:rsidRPr="00B30084">
        <w:rPr>
          <w:rFonts w:ascii="Times New Roman" w:hAnsi="Times New Roman" w:cs="Times New Roman"/>
          <w:sz w:val="24"/>
          <w:szCs w:val="24"/>
          <w:lang w:val="sr-Cyrl-RS"/>
        </w:rPr>
        <w:t xml:space="preserve"> за управљање инвестиционим фондовима, као и саме инвестиционе фондове.  </w:t>
      </w:r>
    </w:p>
    <w:p w14:paraId="2FC58BA4" w14:textId="6CBFC1F7" w:rsidR="00C97A7D" w:rsidRPr="00B30084" w:rsidRDefault="008F7041" w:rsidP="00DF28E7">
      <w:pPr>
        <w:spacing w:line="276" w:lineRule="auto"/>
        <w:ind w:firstLine="720"/>
        <w:jc w:val="both"/>
        <w:rPr>
          <w:rFonts w:ascii="Times New Roman" w:hAnsi="Times New Roman" w:cs="Times New Roman"/>
          <w:sz w:val="24"/>
          <w:szCs w:val="24"/>
          <w:lang w:val="sr-Cyrl-RS"/>
        </w:rPr>
      </w:pPr>
      <w:r w:rsidRPr="00336337">
        <w:rPr>
          <w:rFonts w:ascii="Times New Roman" w:hAnsi="Times New Roman" w:cs="Times New Roman"/>
          <w:sz w:val="24"/>
          <w:szCs w:val="24"/>
          <w:lang w:val="sr-Cyrl-RS"/>
        </w:rPr>
        <w:t xml:space="preserve">Посебно место у инфраструктури тржишта капитала, припада </w:t>
      </w:r>
      <w:r w:rsidRPr="00336337">
        <w:rPr>
          <w:rFonts w:ascii="Times New Roman" w:hAnsi="Times New Roman" w:cs="Times New Roman"/>
          <w:sz w:val="24"/>
          <w:szCs w:val="24"/>
          <w:u w:val="single"/>
          <w:lang w:val="sr-Cyrl-RS"/>
        </w:rPr>
        <w:t>Централном регистру</w:t>
      </w:r>
      <w:r w:rsidR="001B422B" w:rsidRPr="00336337">
        <w:rPr>
          <w:rFonts w:ascii="Times New Roman" w:hAnsi="Times New Roman" w:cs="Times New Roman"/>
          <w:sz w:val="24"/>
          <w:szCs w:val="24"/>
          <w:u w:val="single"/>
          <w:lang w:val="sr-Cyrl-RS"/>
        </w:rPr>
        <w:t>, депо и клирингу</w:t>
      </w:r>
      <w:r w:rsidRPr="00336337">
        <w:rPr>
          <w:rFonts w:ascii="Times New Roman" w:hAnsi="Times New Roman" w:cs="Times New Roman"/>
          <w:sz w:val="24"/>
          <w:szCs w:val="24"/>
          <w:u w:val="single"/>
          <w:lang w:val="sr-Cyrl-RS"/>
        </w:rPr>
        <w:t xml:space="preserve"> </w:t>
      </w:r>
      <w:r w:rsidR="001B422B" w:rsidRPr="00336337">
        <w:rPr>
          <w:rFonts w:ascii="Times New Roman" w:hAnsi="Times New Roman" w:cs="Times New Roman"/>
          <w:sz w:val="24"/>
          <w:szCs w:val="24"/>
          <w:u w:val="single"/>
          <w:lang w:val="sr-Cyrl-RS"/>
        </w:rPr>
        <w:t>хартија</w:t>
      </w:r>
      <w:r w:rsidRPr="00336337">
        <w:rPr>
          <w:rFonts w:ascii="Times New Roman" w:hAnsi="Times New Roman" w:cs="Times New Roman"/>
          <w:sz w:val="24"/>
          <w:szCs w:val="24"/>
          <w:u w:val="single"/>
          <w:lang w:val="sr-Cyrl-RS"/>
        </w:rPr>
        <w:t xml:space="preserve"> од вредности</w:t>
      </w:r>
      <w:r w:rsidRPr="00336337">
        <w:rPr>
          <w:rFonts w:ascii="Times New Roman" w:hAnsi="Times New Roman" w:cs="Times New Roman"/>
          <w:sz w:val="24"/>
          <w:szCs w:val="24"/>
          <w:lang w:val="sr-Cyrl-RS"/>
        </w:rPr>
        <w:t>, као посебној институцији која обезбеђује поузданост, поверљивост и</w:t>
      </w:r>
      <w:r w:rsidRPr="00B30084">
        <w:rPr>
          <w:rFonts w:ascii="Times New Roman" w:hAnsi="Times New Roman" w:cs="Times New Roman"/>
          <w:sz w:val="24"/>
          <w:szCs w:val="24"/>
          <w:lang w:val="sr-Cyrl-RS"/>
        </w:rPr>
        <w:t xml:space="preserve"> сигурност података о </w:t>
      </w:r>
      <w:r w:rsidR="006E428F" w:rsidRPr="00B30084">
        <w:rPr>
          <w:rFonts w:ascii="Times New Roman" w:hAnsi="Times New Roman" w:cs="Times New Roman"/>
          <w:sz w:val="24"/>
          <w:szCs w:val="24"/>
          <w:lang w:val="sr-Cyrl-RS"/>
        </w:rPr>
        <w:t>хартија</w:t>
      </w:r>
      <w:r w:rsidR="0094205C" w:rsidRPr="00B30084">
        <w:rPr>
          <w:rFonts w:ascii="Times New Roman" w:hAnsi="Times New Roman" w:cs="Times New Roman"/>
          <w:sz w:val="24"/>
          <w:szCs w:val="24"/>
          <w:lang w:val="sr-Cyrl-RS"/>
        </w:rPr>
        <w:t>ма</w:t>
      </w:r>
      <w:r w:rsidR="006E428F" w:rsidRPr="00B30084">
        <w:rPr>
          <w:rFonts w:ascii="Times New Roman" w:hAnsi="Times New Roman" w:cs="Times New Roman"/>
          <w:sz w:val="24"/>
          <w:szCs w:val="24"/>
          <w:lang w:val="sr-Cyrl-RS"/>
        </w:rPr>
        <w:t xml:space="preserve"> од вредности</w:t>
      </w:r>
      <w:r w:rsidRPr="00B30084">
        <w:rPr>
          <w:rFonts w:ascii="Times New Roman" w:hAnsi="Times New Roman" w:cs="Times New Roman"/>
          <w:sz w:val="24"/>
          <w:szCs w:val="24"/>
          <w:lang w:val="sr-Cyrl-RS"/>
        </w:rPr>
        <w:t>.</w:t>
      </w:r>
      <w:r w:rsidR="00B7384A" w:rsidRPr="00B30084">
        <w:rPr>
          <w:rFonts w:ascii="Times New Roman" w:hAnsi="Times New Roman" w:cs="Times New Roman"/>
          <w:sz w:val="24"/>
          <w:szCs w:val="24"/>
          <w:lang w:val="sr-Cyrl-RS"/>
        </w:rPr>
        <w:t xml:space="preserve"> ЦРХоВ је државна институција од великог значаја за функционисање тржиште капитала. Она води евиденцију о власништву над хартијама од вредности и ти подаци су јавног карактера (осим у случају </w:t>
      </w:r>
      <w:proofErr w:type="spellStart"/>
      <w:r w:rsidR="00B7384A" w:rsidRPr="00B30084">
        <w:rPr>
          <w:rFonts w:ascii="Times New Roman" w:hAnsi="Times New Roman" w:cs="Times New Roman"/>
          <w:sz w:val="24"/>
          <w:szCs w:val="24"/>
          <w:lang w:val="sr-Cyrl-RS"/>
        </w:rPr>
        <w:t>кастоди</w:t>
      </w:r>
      <w:proofErr w:type="spellEnd"/>
      <w:r w:rsidR="00B7384A" w:rsidRPr="00B30084">
        <w:rPr>
          <w:rFonts w:ascii="Times New Roman" w:hAnsi="Times New Roman" w:cs="Times New Roman"/>
          <w:sz w:val="24"/>
          <w:szCs w:val="24"/>
          <w:lang w:val="sr-Cyrl-RS"/>
        </w:rPr>
        <w:t xml:space="preserve"> рачуна када подаци о власницима хартија од вредности нису јавно доступни), обављање клиринга и салдирање финансијских инструмената и но</w:t>
      </w:r>
      <w:r w:rsidR="00336337">
        <w:rPr>
          <w:rFonts w:ascii="Times New Roman" w:hAnsi="Times New Roman" w:cs="Times New Roman"/>
          <w:sz w:val="24"/>
          <w:szCs w:val="24"/>
          <w:lang w:val="sr-Cyrl-RS"/>
        </w:rPr>
        <w:t>вца по основу трговања финансијс</w:t>
      </w:r>
      <w:r w:rsidR="00B7384A" w:rsidRPr="00B30084">
        <w:rPr>
          <w:rFonts w:ascii="Times New Roman" w:hAnsi="Times New Roman" w:cs="Times New Roman"/>
          <w:sz w:val="24"/>
          <w:szCs w:val="24"/>
          <w:lang w:val="sr-Cyrl-RS"/>
        </w:rPr>
        <w:t>ким инструментима. Код ЦРХоВ</w:t>
      </w:r>
      <w:r w:rsidR="00336337">
        <w:rPr>
          <w:rFonts w:ascii="Times New Roman" w:hAnsi="Times New Roman" w:cs="Times New Roman"/>
          <w:sz w:val="24"/>
          <w:szCs w:val="24"/>
          <w:lang w:val="sr-Cyrl-RS"/>
        </w:rPr>
        <w:t>-а</w:t>
      </w:r>
      <w:r w:rsidR="00B7384A" w:rsidRPr="00B30084">
        <w:rPr>
          <w:rFonts w:ascii="Times New Roman" w:hAnsi="Times New Roman" w:cs="Times New Roman"/>
          <w:sz w:val="24"/>
          <w:szCs w:val="24"/>
          <w:lang w:val="sr-Cyrl-RS"/>
        </w:rPr>
        <w:t xml:space="preserve"> није уочен значајан негативан тренд у пословању имајући у виду чињеницу да ова институција наплаћује накнаде не само за трансакције салдирања, већ  и за регистрацију </w:t>
      </w:r>
      <w:r w:rsidR="006E428F" w:rsidRPr="00B30084">
        <w:rPr>
          <w:rFonts w:ascii="Times New Roman" w:hAnsi="Times New Roman" w:cs="Times New Roman"/>
          <w:sz w:val="24"/>
          <w:szCs w:val="24"/>
          <w:lang w:val="sr-Cyrl-RS"/>
        </w:rPr>
        <w:t>хартија од вредности</w:t>
      </w:r>
      <w:r w:rsidR="00B7384A" w:rsidRPr="00B30084">
        <w:rPr>
          <w:rFonts w:ascii="Times New Roman" w:hAnsi="Times New Roman" w:cs="Times New Roman"/>
          <w:sz w:val="24"/>
          <w:szCs w:val="24"/>
          <w:lang w:val="sr-Cyrl-RS"/>
        </w:rPr>
        <w:t xml:space="preserve"> и власништво над истим. С обзиром да је ЦРХоВ развио софтвер</w:t>
      </w:r>
      <w:r w:rsidR="007B02AD" w:rsidRPr="00B30084">
        <w:rPr>
          <w:rFonts w:ascii="Times New Roman" w:hAnsi="Times New Roman" w:cs="Times New Roman"/>
          <w:sz w:val="24"/>
          <w:szCs w:val="24"/>
          <w:lang w:val="sr-Cyrl-RS"/>
        </w:rPr>
        <w:t xml:space="preserve"> „</w:t>
      </w:r>
      <w:proofErr w:type="spellStart"/>
      <w:r w:rsidR="007B02AD" w:rsidRPr="00B30084">
        <w:rPr>
          <w:rFonts w:ascii="Times New Roman" w:hAnsi="Times New Roman" w:cs="Times New Roman"/>
          <w:sz w:val="24"/>
          <w:szCs w:val="24"/>
          <w:lang w:val="sr-Cyrl-RS"/>
        </w:rPr>
        <w:t>in</w:t>
      </w:r>
      <w:proofErr w:type="spellEnd"/>
      <w:r w:rsidR="007B02AD" w:rsidRPr="00B30084">
        <w:rPr>
          <w:rFonts w:ascii="Times New Roman" w:hAnsi="Times New Roman" w:cs="Times New Roman"/>
          <w:sz w:val="24"/>
          <w:szCs w:val="24"/>
          <w:lang w:val="sr-Cyrl-RS"/>
        </w:rPr>
        <w:t xml:space="preserve"> </w:t>
      </w:r>
      <w:proofErr w:type="spellStart"/>
      <w:r w:rsidR="007B02AD" w:rsidRPr="00B30084">
        <w:rPr>
          <w:rFonts w:ascii="Times New Roman" w:hAnsi="Times New Roman" w:cs="Times New Roman"/>
          <w:sz w:val="24"/>
          <w:szCs w:val="24"/>
          <w:lang w:val="sr-Cyrl-RS"/>
        </w:rPr>
        <w:t>house</w:t>
      </w:r>
      <w:proofErr w:type="spellEnd"/>
      <w:r w:rsidR="0063612D" w:rsidRPr="00B30084">
        <w:rPr>
          <w:rFonts w:ascii="Times New Roman" w:hAnsi="Times New Roman" w:cs="Times New Roman"/>
          <w:sz w:val="24"/>
          <w:szCs w:val="24"/>
          <w:lang w:val="sr-Cyrl-RS"/>
        </w:rPr>
        <w:t>“</w:t>
      </w:r>
      <w:r w:rsidR="00B7384A" w:rsidRPr="00B30084">
        <w:rPr>
          <w:rFonts w:ascii="Times New Roman" w:hAnsi="Times New Roman" w:cs="Times New Roman"/>
          <w:sz w:val="24"/>
          <w:szCs w:val="24"/>
          <w:lang w:val="sr-Cyrl-RS"/>
        </w:rPr>
        <w:t xml:space="preserve"> за регистрацију/праћење промена по питању власништва над финансијским инструментима</w:t>
      </w:r>
      <w:r w:rsidR="00336337">
        <w:rPr>
          <w:rFonts w:ascii="Times New Roman" w:hAnsi="Times New Roman" w:cs="Times New Roman"/>
          <w:sz w:val="24"/>
          <w:szCs w:val="24"/>
          <w:lang w:val="sr-Cyrl-RS"/>
        </w:rPr>
        <w:t>,</w:t>
      </w:r>
      <w:r w:rsidR="00B7384A" w:rsidRPr="00B30084">
        <w:rPr>
          <w:rFonts w:ascii="Times New Roman" w:hAnsi="Times New Roman" w:cs="Times New Roman"/>
          <w:sz w:val="24"/>
          <w:szCs w:val="24"/>
          <w:lang w:val="sr-Cyrl-RS"/>
        </w:rPr>
        <w:t xml:space="preserve"> исти не може да одговори потребама за </w:t>
      </w:r>
      <w:proofErr w:type="spellStart"/>
      <w:r w:rsidR="00B7384A" w:rsidRPr="00B30084">
        <w:rPr>
          <w:rFonts w:ascii="Times New Roman" w:hAnsi="Times New Roman" w:cs="Times New Roman"/>
          <w:sz w:val="24"/>
          <w:szCs w:val="24"/>
          <w:lang w:val="sr-Cyrl-RS"/>
        </w:rPr>
        <w:t>услађивањем</w:t>
      </w:r>
      <w:proofErr w:type="spellEnd"/>
      <w:r w:rsidR="00B7384A" w:rsidRPr="00B30084">
        <w:rPr>
          <w:rFonts w:ascii="Times New Roman" w:hAnsi="Times New Roman" w:cs="Times New Roman"/>
          <w:sz w:val="24"/>
          <w:szCs w:val="24"/>
          <w:lang w:val="sr-Cyrl-RS"/>
        </w:rPr>
        <w:t xml:space="preserve"> са </w:t>
      </w:r>
      <w:proofErr w:type="spellStart"/>
      <w:r w:rsidR="00B7384A" w:rsidRPr="00B30084">
        <w:rPr>
          <w:rFonts w:ascii="Times New Roman" w:hAnsi="Times New Roman" w:cs="Times New Roman"/>
          <w:sz w:val="24"/>
          <w:szCs w:val="24"/>
          <w:lang w:val="sr-Cyrl-RS"/>
        </w:rPr>
        <w:t>МиФИД</w:t>
      </w:r>
      <w:proofErr w:type="spellEnd"/>
      <w:r w:rsidR="00B7384A" w:rsidRPr="00B30084">
        <w:rPr>
          <w:rFonts w:ascii="Times New Roman" w:hAnsi="Times New Roman" w:cs="Times New Roman"/>
          <w:sz w:val="24"/>
          <w:szCs w:val="24"/>
          <w:lang w:val="sr-Cyrl-RS"/>
        </w:rPr>
        <w:t xml:space="preserve"> </w:t>
      </w:r>
      <w:r w:rsidR="006E428F" w:rsidRPr="00B30084">
        <w:rPr>
          <w:rFonts w:ascii="Times New Roman" w:hAnsi="Times New Roman" w:cs="Times New Roman"/>
          <w:sz w:val="24"/>
          <w:szCs w:val="24"/>
        </w:rPr>
        <w:t>II</w:t>
      </w:r>
      <w:r w:rsidR="00B7384A" w:rsidRPr="00B30084">
        <w:rPr>
          <w:rFonts w:ascii="Times New Roman" w:hAnsi="Times New Roman" w:cs="Times New Roman"/>
          <w:sz w:val="24"/>
          <w:szCs w:val="24"/>
          <w:lang w:val="sr-Cyrl-RS"/>
        </w:rPr>
        <w:t xml:space="preserve"> и ЕУ регулативом</w:t>
      </w:r>
      <w:r w:rsidR="001C786B" w:rsidRPr="00B30084">
        <w:rPr>
          <w:rFonts w:ascii="Times New Roman" w:hAnsi="Times New Roman" w:cs="Times New Roman"/>
          <w:sz w:val="24"/>
          <w:szCs w:val="24"/>
          <w:lang w:val="sr-Cyrl-RS"/>
        </w:rPr>
        <w:t>, те је сходно томе извршена емисија акција</w:t>
      </w:r>
      <w:r w:rsidR="00F557A4" w:rsidRPr="00B30084">
        <w:rPr>
          <w:rFonts w:ascii="Times New Roman" w:hAnsi="Times New Roman" w:cs="Times New Roman"/>
          <w:sz w:val="24"/>
          <w:szCs w:val="24"/>
          <w:lang w:val="sr-Cyrl-RS"/>
        </w:rPr>
        <w:t xml:space="preserve"> </w:t>
      </w:r>
      <w:r w:rsidR="005F2184" w:rsidRPr="00B30084">
        <w:rPr>
          <w:rFonts w:ascii="Times New Roman" w:hAnsi="Times New Roman" w:cs="Times New Roman"/>
          <w:sz w:val="24"/>
          <w:szCs w:val="24"/>
          <w:lang w:val="sr-Cyrl-RS"/>
        </w:rPr>
        <w:t>у јануару</w:t>
      </w:r>
      <w:r w:rsidR="00B7384A" w:rsidRPr="00B30084">
        <w:rPr>
          <w:rFonts w:ascii="Times New Roman" w:hAnsi="Times New Roman" w:cs="Times New Roman"/>
          <w:sz w:val="24"/>
          <w:szCs w:val="24"/>
          <w:lang w:val="sr-Cyrl-RS"/>
        </w:rPr>
        <w:t xml:space="preserve"> 202</w:t>
      </w:r>
      <w:r w:rsidR="00DD15D2" w:rsidRPr="00B30084">
        <w:rPr>
          <w:rFonts w:ascii="Times New Roman" w:hAnsi="Times New Roman" w:cs="Times New Roman"/>
          <w:sz w:val="24"/>
          <w:szCs w:val="24"/>
          <w:lang w:val="sr-Cyrl-RS"/>
        </w:rPr>
        <w:t>1</w:t>
      </w:r>
      <w:r w:rsidR="00B7384A" w:rsidRPr="00B30084">
        <w:rPr>
          <w:rFonts w:ascii="Times New Roman" w:hAnsi="Times New Roman" w:cs="Times New Roman"/>
          <w:sz w:val="24"/>
          <w:szCs w:val="24"/>
          <w:lang w:val="sr-Cyrl-RS"/>
        </w:rPr>
        <w:t>.</w:t>
      </w:r>
      <w:r w:rsidR="006E428F" w:rsidRPr="00B30084">
        <w:rPr>
          <w:rFonts w:ascii="Times New Roman" w:hAnsi="Times New Roman" w:cs="Times New Roman"/>
          <w:sz w:val="24"/>
          <w:szCs w:val="24"/>
          <w:lang w:val="sr-Cyrl-RS"/>
        </w:rPr>
        <w:t xml:space="preserve"> године</w:t>
      </w:r>
      <w:r w:rsidR="00B7384A" w:rsidRPr="00B30084">
        <w:rPr>
          <w:rFonts w:ascii="Times New Roman" w:hAnsi="Times New Roman" w:cs="Times New Roman"/>
          <w:sz w:val="24"/>
          <w:szCs w:val="24"/>
          <w:lang w:val="sr-Cyrl-RS"/>
        </w:rPr>
        <w:t xml:space="preserve"> </w:t>
      </w:r>
      <w:r w:rsidR="007232A2" w:rsidRPr="00B30084">
        <w:rPr>
          <w:rFonts w:ascii="Times New Roman" w:hAnsi="Times New Roman" w:cs="Times New Roman"/>
          <w:sz w:val="24"/>
          <w:szCs w:val="24"/>
          <w:lang w:val="sr-Cyrl-RS"/>
        </w:rPr>
        <w:t xml:space="preserve">у вредности од РСД 100 милиона у циљу прикупљања капитала и ангажовања истог за потребе </w:t>
      </w:r>
      <w:r w:rsidR="00C352A7" w:rsidRPr="00B30084">
        <w:rPr>
          <w:rFonts w:ascii="Times New Roman" w:hAnsi="Times New Roman" w:cs="Times New Roman"/>
          <w:sz w:val="24"/>
          <w:szCs w:val="24"/>
          <w:lang w:val="sr-Cyrl-RS"/>
        </w:rPr>
        <w:t>развоја новог</w:t>
      </w:r>
      <w:r w:rsidR="00B7384A" w:rsidRPr="00B30084">
        <w:rPr>
          <w:rFonts w:ascii="Times New Roman" w:hAnsi="Times New Roman" w:cs="Times New Roman"/>
          <w:sz w:val="24"/>
          <w:szCs w:val="24"/>
          <w:lang w:val="sr-Cyrl-RS"/>
        </w:rPr>
        <w:t xml:space="preserve"> софтвера и прилаго</w:t>
      </w:r>
      <w:r w:rsidR="001761E0" w:rsidRPr="00B30084">
        <w:rPr>
          <w:rFonts w:ascii="Times New Roman" w:hAnsi="Times New Roman" w:cs="Times New Roman"/>
          <w:sz w:val="24"/>
          <w:szCs w:val="24"/>
          <w:lang w:val="sr-Cyrl-RS"/>
        </w:rPr>
        <w:t xml:space="preserve">ђавања </w:t>
      </w:r>
      <w:r w:rsidR="00B7384A" w:rsidRPr="00B30084">
        <w:rPr>
          <w:rFonts w:ascii="Times New Roman" w:hAnsi="Times New Roman" w:cs="Times New Roman"/>
          <w:sz w:val="24"/>
          <w:szCs w:val="24"/>
          <w:lang w:val="sr-Cyrl-RS"/>
        </w:rPr>
        <w:t>његов</w:t>
      </w:r>
      <w:r w:rsidR="001761E0" w:rsidRPr="00B30084">
        <w:rPr>
          <w:rFonts w:ascii="Times New Roman" w:hAnsi="Times New Roman" w:cs="Times New Roman"/>
          <w:sz w:val="24"/>
          <w:szCs w:val="24"/>
          <w:lang w:val="sr-Cyrl-RS"/>
        </w:rPr>
        <w:t>е</w:t>
      </w:r>
      <w:r w:rsidR="00B7384A" w:rsidRPr="00B30084">
        <w:rPr>
          <w:rFonts w:ascii="Times New Roman" w:hAnsi="Times New Roman" w:cs="Times New Roman"/>
          <w:sz w:val="24"/>
          <w:szCs w:val="24"/>
          <w:lang w:val="sr-Cyrl-RS"/>
        </w:rPr>
        <w:t xml:space="preserve"> функционалност</w:t>
      </w:r>
      <w:r w:rsidR="001761E0" w:rsidRPr="00B30084">
        <w:rPr>
          <w:rFonts w:ascii="Times New Roman" w:hAnsi="Times New Roman" w:cs="Times New Roman"/>
          <w:sz w:val="24"/>
          <w:szCs w:val="24"/>
          <w:lang w:val="sr-Cyrl-RS"/>
        </w:rPr>
        <w:t>и</w:t>
      </w:r>
      <w:r w:rsidR="00B7384A" w:rsidRPr="00B30084">
        <w:rPr>
          <w:rFonts w:ascii="Times New Roman" w:hAnsi="Times New Roman" w:cs="Times New Roman"/>
          <w:sz w:val="24"/>
          <w:szCs w:val="24"/>
          <w:lang w:val="sr-Cyrl-RS"/>
        </w:rPr>
        <w:t xml:space="preserve">. </w:t>
      </w:r>
      <w:r w:rsidR="00112AEB" w:rsidRPr="00B30084">
        <w:rPr>
          <w:rFonts w:ascii="Times New Roman" w:hAnsi="Times New Roman" w:cs="Times New Roman"/>
          <w:sz w:val="24"/>
          <w:szCs w:val="24"/>
          <w:lang w:val="sr-Cyrl-RS"/>
        </w:rPr>
        <w:t>Поред наведеног, овим ће се обезбедити и могућност повезивања са међународним и</w:t>
      </w:r>
      <w:r w:rsidR="006E428F" w:rsidRPr="00B30084">
        <w:rPr>
          <w:rFonts w:ascii="Times New Roman" w:hAnsi="Times New Roman" w:cs="Times New Roman"/>
          <w:sz w:val="24"/>
          <w:szCs w:val="24"/>
          <w:lang w:val="sr-Cyrl-RS"/>
        </w:rPr>
        <w:t xml:space="preserve"> иностраним </w:t>
      </w:r>
      <w:proofErr w:type="spellStart"/>
      <w:r w:rsidR="006E428F" w:rsidRPr="00B30084">
        <w:rPr>
          <w:rFonts w:ascii="Times New Roman" w:hAnsi="Times New Roman" w:cs="Times New Roman"/>
          <w:sz w:val="24"/>
          <w:szCs w:val="24"/>
          <w:lang w:val="sr-Cyrl-RS"/>
        </w:rPr>
        <w:t>депозитарима</w:t>
      </w:r>
      <w:proofErr w:type="spellEnd"/>
      <w:r w:rsidR="006E428F" w:rsidRPr="00B30084">
        <w:rPr>
          <w:rFonts w:ascii="Times New Roman" w:hAnsi="Times New Roman" w:cs="Times New Roman"/>
          <w:sz w:val="24"/>
          <w:szCs w:val="24"/>
          <w:lang w:val="sr-Cyrl-RS"/>
        </w:rPr>
        <w:t xml:space="preserve"> хартија од вредности</w:t>
      </w:r>
      <w:r w:rsidR="00112AEB" w:rsidRPr="00B30084">
        <w:rPr>
          <w:rFonts w:ascii="Times New Roman" w:hAnsi="Times New Roman" w:cs="Times New Roman"/>
          <w:sz w:val="24"/>
          <w:szCs w:val="24"/>
          <w:lang w:val="sr-Cyrl-RS"/>
        </w:rPr>
        <w:t xml:space="preserve">, чиме ће се додатно повећати атрактивност улагања у домаће </w:t>
      </w:r>
      <w:r w:rsidR="006E428F" w:rsidRPr="00B30084">
        <w:rPr>
          <w:rFonts w:ascii="Times New Roman" w:hAnsi="Times New Roman" w:cs="Times New Roman"/>
          <w:sz w:val="24"/>
          <w:szCs w:val="24"/>
          <w:lang w:val="sr-Cyrl-RS"/>
        </w:rPr>
        <w:t>хартије од вредности</w:t>
      </w:r>
      <w:r w:rsidR="00112AEB" w:rsidRPr="00B30084">
        <w:rPr>
          <w:rFonts w:ascii="Times New Roman" w:hAnsi="Times New Roman" w:cs="Times New Roman"/>
          <w:sz w:val="24"/>
          <w:szCs w:val="24"/>
          <w:lang w:val="sr-Cyrl-RS"/>
        </w:rPr>
        <w:t xml:space="preserve">. </w:t>
      </w:r>
      <w:r w:rsidR="00B7384A" w:rsidRPr="00B30084">
        <w:rPr>
          <w:rFonts w:ascii="Times New Roman" w:hAnsi="Times New Roman" w:cs="Times New Roman"/>
          <w:sz w:val="24"/>
          <w:szCs w:val="24"/>
          <w:lang w:val="sr-Cyrl-RS"/>
        </w:rPr>
        <w:t>За даљи развој ЦРХоВ</w:t>
      </w:r>
      <w:r w:rsidR="00336337">
        <w:rPr>
          <w:rFonts w:ascii="Times New Roman" w:hAnsi="Times New Roman" w:cs="Times New Roman"/>
          <w:sz w:val="24"/>
          <w:szCs w:val="24"/>
          <w:lang w:val="sr-Cyrl-RS"/>
        </w:rPr>
        <w:t>-а</w:t>
      </w:r>
      <w:r w:rsidR="00B7384A" w:rsidRPr="00B30084">
        <w:rPr>
          <w:rFonts w:ascii="Times New Roman" w:hAnsi="Times New Roman" w:cs="Times New Roman"/>
          <w:sz w:val="24"/>
          <w:szCs w:val="24"/>
          <w:lang w:val="sr-Cyrl-RS"/>
        </w:rPr>
        <w:t xml:space="preserve"> и тржишта капитала од значаја је поменути и потписивање Меморандума о разумевању са Euroclear. Намера РС је да омогући да се њеним обвезницама тргује путем Euroclear </w:t>
      </w:r>
      <w:r w:rsidR="00B7384A" w:rsidRPr="00B30084">
        <w:rPr>
          <w:rFonts w:ascii="Times New Roman" w:hAnsi="Times New Roman" w:cs="Times New Roman"/>
          <w:sz w:val="24"/>
          <w:szCs w:val="24"/>
          <w:lang w:val="sr-Cyrl-RS"/>
        </w:rPr>
        <w:lastRenderedPageBreak/>
        <w:t xml:space="preserve">платформе, што ће олакшати страним инвеститорима да имају приступ тржишту државних </w:t>
      </w:r>
      <w:r w:rsidR="006E428F" w:rsidRPr="00B30084">
        <w:rPr>
          <w:rFonts w:ascii="Times New Roman" w:hAnsi="Times New Roman" w:cs="Times New Roman"/>
          <w:sz w:val="24"/>
          <w:szCs w:val="24"/>
          <w:lang w:val="sr-Cyrl-RS"/>
        </w:rPr>
        <w:t>хартија од вредности</w:t>
      </w:r>
      <w:r w:rsidR="00B7384A" w:rsidRPr="00B30084">
        <w:rPr>
          <w:rFonts w:ascii="Times New Roman" w:hAnsi="Times New Roman" w:cs="Times New Roman"/>
          <w:sz w:val="24"/>
          <w:szCs w:val="24"/>
          <w:lang w:val="sr-Cyrl-RS"/>
        </w:rPr>
        <w:t xml:space="preserve">.  Тиме им се омогућава да домаћем тржишту приступе на сигурнији и </w:t>
      </w:r>
      <w:proofErr w:type="spellStart"/>
      <w:r w:rsidR="00B7384A" w:rsidRPr="00B30084">
        <w:rPr>
          <w:rFonts w:ascii="Times New Roman" w:hAnsi="Times New Roman" w:cs="Times New Roman"/>
          <w:sz w:val="24"/>
          <w:szCs w:val="24"/>
          <w:lang w:val="sr-Cyrl-RS"/>
        </w:rPr>
        <w:t>стандардизованији</w:t>
      </w:r>
      <w:proofErr w:type="spellEnd"/>
      <w:r w:rsidR="00B7384A" w:rsidRPr="00B30084">
        <w:rPr>
          <w:rFonts w:ascii="Times New Roman" w:hAnsi="Times New Roman" w:cs="Times New Roman"/>
          <w:sz w:val="24"/>
          <w:szCs w:val="24"/>
          <w:lang w:val="sr-Cyrl-RS"/>
        </w:rPr>
        <w:t xml:space="preserve"> начин, што ће резултирати повећањем капитала, већим обимом трговања и нижим стопама приноса на секундарном тржишту. </w:t>
      </w:r>
    </w:p>
    <w:p w14:paraId="483ACC06" w14:textId="0D376D6D" w:rsidR="0040480E" w:rsidRPr="00B30084" w:rsidRDefault="00C97A7D" w:rsidP="00E50617">
      <w:pPr>
        <w:spacing w:line="276" w:lineRule="auto"/>
        <w:ind w:firstLine="720"/>
        <w:jc w:val="both"/>
        <w:rPr>
          <w:rFonts w:ascii="Times New Roman" w:eastAsia="Times New Roman" w:hAnsi="Times New Roman" w:cs="Times New Roman"/>
          <w:sz w:val="24"/>
          <w:szCs w:val="24"/>
          <w:lang w:val="sr-Cyrl-RS"/>
        </w:rPr>
      </w:pPr>
      <w:r w:rsidRPr="00B30084">
        <w:rPr>
          <w:rFonts w:ascii="Times New Roman" w:hAnsi="Times New Roman" w:cs="Times New Roman"/>
          <w:bCs/>
          <w:color w:val="000000"/>
          <w:sz w:val="24"/>
          <w:szCs w:val="24"/>
          <w:lang w:val="sr-Cyrl-RS"/>
        </w:rPr>
        <w:t xml:space="preserve">Следећи значајан инфраструктурни учесник на тржишту капитала јесте </w:t>
      </w:r>
      <w:r w:rsidR="00AD78AD" w:rsidRPr="00B30084">
        <w:rPr>
          <w:rFonts w:ascii="Times New Roman" w:hAnsi="Times New Roman" w:cs="Times New Roman"/>
          <w:bCs/>
          <w:color w:val="000000"/>
          <w:sz w:val="24"/>
          <w:szCs w:val="24"/>
          <w:lang w:val="sr-Cyrl-RS"/>
        </w:rPr>
        <w:t>Б</w:t>
      </w:r>
      <w:r w:rsidR="00F312CC" w:rsidRPr="00B30084">
        <w:rPr>
          <w:rFonts w:ascii="Times New Roman" w:hAnsi="Times New Roman" w:cs="Times New Roman"/>
          <w:bCs/>
          <w:color w:val="000000"/>
          <w:sz w:val="24"/>
          <w:szCs w:val="24"/>
          <w:lang w:val="sr-Cyrl-RS"/>
        </w:rPr>
        <w:t>еоградск</w:t>
      </w:r>
      <w:r w:rsidRPr="00B30084">
        <w:rPr>
          <w:rFonts w:ascii="Times New Roman" w:hAnsi="Times New Roman" w:cs="Times New Roman"/>
          <w:bCs/>
          <w:color w:val="000000"/>
          <w:sz w:val="24"/>
          <w:szCs w:val="24"/>
          <w:lang w:val="sr-Cyrl-RS"/>
        </w:rPr>
        <w:t>а</w:t>
      </w:r>
      <w:r w:rsidR="00F312CC" w:rsidRPr="00B30084">
        <w:rPr>
          <w:rFonts w:ascii="Times New Roman" w:hAnsi="Times New Roman" w:cs="Times New Roman"/>
          <w:sz w:val="24"/>
          <w:szCs w:val="24"/>
          <w:u w:val="single"/>
          <w:lang w:val="sr-Cyrl-RS"/>
        </w:rPr>
        <w:t xml:space="preserve"> </w:t>
      </w:r>
      <w:r w:rsidR="00AD78AD" w:rsidRPr="00B30084">
        <w:rPr>
          <w:rFonts w:ascii="Times New Roman" w:hAnsi="Times New Roman" w:cs="Times New Roman"/>
          <w:sz w:val="24"/>
          <w:szCs w:val="24"/>
          <w:u w:val="single"/>
          <w:lang w:val="sr-Cyrl-RS"/>
        </w:rPr>
        <w:t>Б</w:t>
      </w:r>
      <w:r w:rsidR="00F312CC" w:rsidRPr="00B30084">
        <w:rPr>
          <w:rFonts w:ascii="Times New Roman" w:hAnsi="Times New Roman" w:cs="Times New Roman"/>
          <w:sz w:val="24"/>
          <w:szCs w:val="24"/>
          <w:u w:val="single"/>
          <w:lang w:val="sr-Cyrl-RS"/>
        </w:rPr>
        <w:t>ерз</w:t>
      </w:r>
      <w:r w:rsidRPr="00B30084">
        <w:rPr>
          <w:rFonts w:ascii="Times New Roman" w:hAnsi="Times New Roman" w:cs="Times New Roman"/>
          <w:sz w:val="24"/>
          <w:szCs w:val="24"/>
          <w:u w:val="single"/>
          <w:lang w:val="sr-Cyrl-RS"/>
        </w:rPr>
        <w:t>а</w:t>
      </w:r>
      <w:r w:rsidR="00212F33"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t>која</w:t>
      </w:r>
      <w:r w:rsidR="00685F6A" w:rsidRPr="00B30084">
        <w:rPr>
          <w:rFonts w:ascii="Times New Roman" w:hAnsi="Times New Roman" w:cs="Times New Roman"/>
          <w:sz w:val="24"/>
          <w:szCs w:val="24"/>
          <w:lang w:val="sr-Cyrl-RS"/>
        </w:rPr>
        <w:t xml:space="preserve"> представља регулисано и организовано тржиште финансијских инструмената са строго утврђеним правилима трговања, општим критеријумима за прихватање </w:t>
      </w:r>
      <w:proofErr w:type="spellStart"/>
      <w:r w:rsidR="00685F6A" w:rsidRPr="00B30084">
        <w:rPr>
          <w:rFonts w:ascii="Times New Roman" w:hAnsi="Times New Roman" w:cs="Times New Roman"/>
          <w:sz w:val="24"/>
          <w:szCs w:val="24"/>
          <w:lang w:val="sr-Cyrl-RS"/>
        </w:rPr>
        <w:t>финансијксих</w:t>
      </w:r>
      <w:proofErr w:type="spellEnd"/>
      <w:r w:rsidR="00685F6A" w:rsidRPr="00B30084">
        <w:rPr>
          <w:rFonts w:ascii="Times New Roman" w:hAnsi="Times New Roman" w:cs="Times New Roman"/>
          <w:sz w:val="24"/>
          <w:szCs w:val="24"/>
          <w:lang w:val="sr-Cyrl-RS"/>
        </w:rPr>
        <w:t xml:space="preserve"> инструмената којима ће се трговати, </w:t>
      </w:r>
      <w:r w:rsidR="00212F33" w:rsidRPr="00B30084">
        <w:rPr>
          <w:rFonts w:ascii="Times New Roman" w:hAnsi="Times New Roman" w:cs="Times New Roman"/>
          <w:sz w:val="24"/>
          <w:szCs w:val="24"/>
          <w:lang w:val="sr-Cyrl-RS"/>
        </w:rPr>
        <w:t>као</w:t>
      </w:r>
      <w:r w:rsidR="00685F6A" w:rsidRPr="00B30084">
        <w:rPr>
          <w:rFonts w:ascii="Times New Roman" w:hAnsi="Times New Roman" w:cs="Times New Roman"/>
          <w:sz w:val="24"/>
          <w:szCs w:val="24"/>
          <w:lang w:val="sr-Cyrl-RS"/>
        </w:rPr>
        <w:t xml:space="preserve"> и </w:t>
      </w:r>
      <w:r w:rsidR="00336337">
        <w:rPr>
          <w:rFonts w:ascii="Times New Roman" w:hAnsi="Times New Roman" w:cs="Times New Roman"/>
          <w:sz w:val="24"/>
          <w:szCs w:val="24"/>
          <w:lang w:val="sr-Cyrl-RS"/>
        </w:rPr>
        <w:t>условима</w:t>
      </w:r>
      <w:r w:rsidR="00685F6A" w:rsidRPr="00B30084">
        <w:rPr>
          <w:rFonts w:ascii="Times New Roman" w:hAnsi="Times New Roman" w:cs="Times New Roman"/>
          <w:sz w:val="24"/>
          <w:szCs w:val="24"/>
          <w:lang w:val="sr-Cyrl-RS"/>
        </w:rPr>
        <w:t xml:space="preserve"> за пријем у чланство берзе.</w:t>
      </w:r>
      <w:r w:rsidR="00212F33" w:rsidRPr="00B30084">
        <w:rPr>
          <w:rFonts w:ascii="Times New Roman" w:hAnsi="Times New Roman" w:cs="Times New Roman"/>
          <w:sz w:val="24"/>
          <w:szCs w:val="24"/>
          <w:lang w:val="sr-Cyrl-RS"/>
        </w:rPr>
        <w:t xml:space="preserve"> </w:t>
      </w:r>
      <w:r w:rsidR="00685F6A" w:rsidRPr="00B30084">
        <w:rPr>
          <w:rFonts w:ascii="Times New Roman" w:hAnsi="Times New Roman" w:cs="Times New Roman"/>
          <w:sz w:val="24"/>
          <w:szCs w:val="24"/>
          <w:lang w:val="sr-Cyrl-RS"/>
        </w:rPr>
        <w:t xml:space="preserve"> </w:t>
      </w:r>
      <w:proofErr w:type="spellStart"/>
      <w:r w:rsidR="0040480E" w:rsidRPr="00B30084">
        <w:rPr>
          <w:rFonts w:ascii="Times New Roman" w:hAnsi="Times New Roman" w:cs="Times New Roman"/>
          <w:sz w:val="24"/>
          <w:szCs w:val="24"/>
          <w:lang w:val="sr-Cyrl-RS"/>
        </w:rPr>
        <w:t>Београдск</w:t>
      </w:r>
      <w:r w:rsidR="00197276" w:rsidRPr="00B30084">
        <w:rPr>
          <w:rFonts w:ascii="Times New Roman" w:hAnsi="Times New Roman" w:cs="Times New Roman"/>
          <w:sz w:val="24"/>
          <w:szCs w:val="24"/>
          <w:lang w:val="sr-Cyrl-RS"/>
        </w:rPr>
        <w:t>a</w:t>
      </w:r>
      <w:proofErr w:type="spellEnd"/>
      <w:r w:rsidR="0040480E" w:rsidRPr="00B30084">
        <w:rPr>
          <w:rFonts w:ascii="Times New Roman" w:hAnsi="Times New Roman" w:cs="Times New Roman"/>
          <w:sz w:val="24"/>
          <w:szCs w:val="24"/>
          <w:lang w:val="sr-Cyrl-RS"/>
        </w:rPr>
        <w:t xml:space="preserve"> </w:t>
      </w:r>
      <w:proofErr w:type="spellStart"/>
      <w:r w:rsidR="0040480E" w:rsidRPr="00B30084">
        <w:rPr>
          <w:rFonts w:ascii="Times New Roman" w:hAnsi="Times New Roman" w:cs="Times New Roman"/>
          <w:sz w:val="24"/>
          <w:szCs w:val="24"/>
          <w:lang w:val="sr-Cyrl-RS"/>
        </w:rPr>
        <w:t>берз</w:t>
      </w:r>
      <w:r w:rsidR="00197276" w:rsidRPr="00B30084">
        <w:rPr>
          <w:rFonts w:ascii="Times New Roman" w:hAnsi="Times New Roman" w:cs="Times New Roman"/>
          <w:sz w:val="24"/>
          <w:szCs w:val="24"/>
          <w:lang w:val="sr-Cyrl-RS"/>
        </w:rPr>
        <w:t>a</w:t>
      </w:r>
      <w:proofErr w:type="spellEnd"/>
      <w:r w:rsidR="0040480E" w:rsidRPr="00B30084">
        <w:rPr>
          <w:rFonts w:ascii="Times New Roman" w:hAnsi="Times New Roman" w:cs="Times New Roman"/>
          <w:sz w:val="24"/>
          <w:szCs w:val="24"/>
          <w:lang w:val="sr-Cyrl-RS"/>
        </w:rPr>
        <w:t xml:space="preserve"> је основана 1895. године и она је на европском</w:t>
      </w:r>
      <w:r w:rsidR="0040480E" w:rsidRPr="00B30084">
        <w:rPr>
          <w:rFonts w:ascii="Times New Roman" w:eastAsia="Times New Roman" w:hAnsi="Times New Roman" w:cs="Times New Roman"/>
          <w:sz w:val="24"/>
          <w:szCs w:val="24"/>
          <w:lang w:val="sr-Cyrl-RS"/>
        </w:rPr>
        <w:t xml:space="preserve"> тржишту једна од десет најстаријих. Значајан период за Београдску берзу јесте 1988. година. </w:t>
      </w:r>
      <w:r w:rsidR="00205341">
        <w:rPr>
          <w:rFonts w:ascii="Times New Roman" w:eastAsia="Times New Roman" w:hAnsi="Times New Roman" w:cs="Times New Roman"/>
          <w:sz w:val="24"/>
          <w:szCs w:val="24"/>
          <w:lang w:val="sr-Cyrl-RS"/>
        </w:rPr>
        <w:t>када</w:t>
      </w:r>
      <w:r w:rsidR="0040480E" w:rsidRPr="00B30084">
        <w:rPr>
          <w:rFonts w:ascii="Times New Roman" w:eastAsia="Times New Roman" w:hAnsi="Times New Roman" w:cs="Times New Roman"/>
          <w:sz w:val="24"/>
          <w:szCs w:val="24"/>
          <w:lang w:val="sr-Cyrl-RS"/>
        </w:rPr>
        <w:t xml:space="preserve"> је усвојен нови закон који </w:t>
      </w:r>
      <w:r w:rsidR="00336337">
        <w:rPr>
          <w:rFonts w:ascii="Times New Roman" w:eastAsia="Times New Roman" w:hAnsi="Times New Roman" w:cs="Times New Roman"/>
          <w:sz w:val="24"/>
          <w:szCs w:val="24"/>
          <w:lang w:val="sr-Cyrl-RS"/>
        </w:rPr>
        <w:t>уређује</w:t>
      </w:r>
      <w:r w:rsidR="0040480E" w:rsidRPr="00B30084">
        <w:rPr>
          <w:rFonts w:ascii="Times New Roman" w:eastAsia="Times New Roman" w:hAnsi="Times New Roman" w:cs="Times New Roman"/>
          <w:sz w:val="24"/>
          <w:szCs w:val="24"/>
          <w:lang w:val="sr-Cyrl-RS"/>
        </w:rPr>
        <w:t xml:space="preserve"> предузећа </w:t>
      </w:r>
      <w:r w:rsidR="00336337">
        <w:rPr>
          <w:rFonts w:ascii="Times New Roman" w:eastAsia="Times New Roman" w:hAnsi="Times New Roman" w:cs="Times New Roman"/>
          <w:sz w:val="24"/>
          <w:szCs w:val="24"/>
          <w:lang w:val="sr-Cyrl-RS"/>
        </w:rPr>
        <w:t>и прописује</w:t>
      </w:r>
      <w:r w:rsidR="0040480E" w:rsidRPr="00B30084">
        <w:rPr>
          <w:rFonts w:ascii="Times New Roman" w:eastAsia="Times New Roman" w:hAnsi="Times New Roman" w:cs="Times New Roman"/>
          <w:sz w:val="24"/>
          <w:szCs w:val="24"/>
          <w:lang w:val="sr-Cyrl-RS"/>
        </w:rPr>
        <w:t xml:space="preserve"> да се иста могу оснивати у виду деоничарских друштава </w:t>
      </w:r>
      <w:r w:rsidR="00336337">
        <w:rPr>
          <w:rFonts w:ascii="Times New Roman" w:eastAsia="Times New Roman" w:hAnsi="Times New Roman" w:cs="Times New Roman"/>
          <w:sz w:val="24"/>
          <w:szCs w:val="24"/>
          <w:lang w:val="sr-Cyrl-RS"/>
        </w:rPr>
        <w:t>која</w:t>
      </w:r>
      <w:r w:rsidR="0040480E" w:rsidRPr="00B30084">
        <w:rPr>
          <w:rFonts w:ascii="Times New Roman" w:eastAsia="Times New Roman" w:hAnsi="Times New Roman" w:cs="Times New Roman"/>
          <w:sz w:val="24"/>
          <w:szCs w:val="24"/>
          <w:lang w:val="sr-Cyrl-RS"/>
        </w:rPr>
        <w:t xml:space="preserve"> неопходан новац обезбеђују емитовањем деоница. </w:t>
      </w:r>
      <w:r w:rsidR="00205341">
        <w:rPr>
          <w:rFonts w:ascii="Times New Roman" w:eastAsia="Times New Roman" w:hAnsi="Times New Roman" w:cs="Times New Roman"/>
          <w:sz w:val="24"/>
          <w:szCs w:val="24"/>
          <w:lang w:val="sr-Cyrl-RS"/>
        </w:rPr>
        <w:t xml:space="preserve">Доношењем овог закона </w:t>
      </w:r>
      <w:r w:rsidR="0040480E" w:rsidRPr="00B30084">
        <w:rPr>
          <w:rFonts w:ascii="Times New Roman" w:eastAsia="Times New Roman" w:hAnsi="Times New Roman" w:cs="Times New Roman"/>
          <w:sz w:val="24"/>
          <w:szCs w:val="24"/>
          <w:lang w:val="sr-Cyrl-RS"/>
        </w:rPr>
        <w:t xml:space="preserve">берза </w:t>
      </w:r>
      <w:r w:rsidR="00205341">
        <w:rPr>
          <w:rFonts w:ascii="Times New Roman" w:eastAsia="Times New Roman" w:hAnsi="Times New Roman" w:cs="Times New Roman"/>
          <w:sz w:val="24"/>
          <w:szCs w:val="24"/>
          <w:lang w:val="sr-Cyrl-RS"/>
        </w:rPr>
        <w:t>је поново</w:t>
      </w:r>
      <w:r w:rsidR="0040480E" w:rsidRPr="00B30084">
        <w:rPr>
          <w:rFonts w:ascii="Times New Roman" w:eastAsia="Times New Roman" w:hAnsi="Times New Roman" w:cs="Times New Roman"/>
          <w:sz w:val="24"/>
          <w:szCs w:val="24"/>
          <w:lang w:val="sr-Cyrl-RS"/>
        </w:rPr>
        <w:t xml:space="preserve"> отпочела своје трговање у контексту организованог тржишта </w:t>
      </w:r>
      <w:r w:rsidR="006E428F" w:rsidRPr="00B30084">
        <w:rPr>
          <w:rFonts w:ascii="Times New Roman" w:eastAsia="Times New Roman" w:hAnsi="Times New Roman" w:cs="Times New Roman"/>
          <w:sz w:val="24"/>
          <w:szCs w:val="24"/>
          <w:lang w:val="sr-Cyrl-RS"/>
        </w:rPr>
        <w:t>хартија од вредности</w:t>
      </w:r>
      <w:r w:rsidR="0040480E" w:rsidRPr="00B30084">
        <w:rPr>
          <w:rFonts w:ascii="Times New Roman" w:eastAsia="Times New Roman" w:hAnsi="Times New Roman" w:cs="Times New Roman"/>
          <w:sz w:val="24"/>
          <w:szCs w:val="24"/>
          <w:lang w:val="sr-Cyrl-RS"/>
        </w:rPr>
        <w:t xml:space="preserve">. Након </w:t>
      </w:r>
      <w:r w:rsidR="00205341">
        <w:rPr>
          <w:rFonts w:ascii="Times New Roman" w:eastAsia="Times New Roman" w:hAnsi="Times New Roman" w:cs="Times New Roman"/>
          <w:sz w:val="24"/>
          <w:szCs w:val="24"/>
          <w:lang w:val="sr-Cyrl-RS"/>
        </w:rPr>
        <w:t xml:space="preserve">почетка </w:t>
      </w:r>
      <w:r w:rsidR="0040480E" w:rsidRPr="00B30084">
        <w:rPr>
          <w:rFonts w:ascii="Times New Roman" w:eastAsia="Times New Roman" w:hAnsi="Times New Roman" w:cs="Times New Roman"/>
          <w:sz w:val="24"/>
          <w:szCs w:val="24"/>
          <w:lang w:val="sr-Cyrl-RS"/>
        </w:rPr>
        <w:t xml:space="preserve">поновног функционисања донет је сет закона до 1990. године којим су послови на берзи регулисани, те је берза у складу са истим постала модерна берза. </w:t>
      </w:r>
      <w:r w:rsidR="00BB7E7C">
        <w:rPr>
          <w:rFonts w:ascii="Times New Roman" w:eastAsia="Times New Roman" w:hAnsi="Times New Roman" w:cs="Times New Roman"/>
          <w:sz w:val="24"/>
          <w:szCs w:val="24"/>
          <w:lang w:val="sr-Cyrl-RS"/>
        </w:rPr>
        <w:t>Један п</w:t>
      </w:r>
      <w:r w:rsidR="0040480E" w:rsidRPr="00B30084">
        <w:rPr>
          <w:rFonts w:ascii="Times New Roman" w:eastAsia="Times New Roman" w:hAnsi="Times New Roman" w:cs="Times New Roman"/>
          <w:sz w:val="24"/>
          <w:szCs w:val="24"/>
          <w:lang w:val="sr-Cyrl-RS"/>
        </w:rPr>
        <w:t xml:space="preserve">ериод који је уследио </w:t>
      </w:r>
      <w:r w:rsidR="00205341" w:rsidRPr="00BB7E7C">
        <w:rPr>
          <w:rFonts w:ascii="Times New Roman" w:eastAsia="Times New Roman" w:hAnsi="Times New Roman" w:cs="Times New Roman"/>
          <w:sz w:val="24"/>
          <w:szCs w:val="24"/>
          <w:lang w:val="sr-Cyrl-RS"/>
        </w:rPr>
        <w:t xml:space="preserve">после тога, </w:t>
      </w:r>
      <w:r w:rsidR="0040480E" w:rsidRPr="00BB7E7C">
        <w:rPr>
          <w:rFonts w:ascii="Times New Roman" w:eastAsia="Times New Roman" w:hAnsi="Times New Roman" w:cs="Times New Roman"/>
          <w:sz w:val="24"/>
          <w:szCs w:val="24"/>
          <w:lang w:val="sr-Cyrl-RS"/>
        </w:rPr>
        <w:t xml:space="preserve">није </w:t>
      </w:r>
      <w:r w:rsidR="00205341" w:rsidRPr="00BB7E7C">
        <w:rPr>
          <w:rFonts w:ascii="Times New Roman" w:eastAsia="Times New Roman" w:hAnsi="Times New Roman" w:cs="Times New Roman"/>
          <w:sz w:val="24"/>
          <w:szCs w:val="24"/>
          <w:lang w:val="sr-Cyrl-RS"/>
        </w:rPr>
        <w:t>био</w:t>
      </w:r>
      <w:r w:rsidR="0040480E" w:rsidRPr="00BB7E7C">
        <w:rPr>
          <w:rFonts w:ascii="Times New Roman" w:eastAsia="Times New Roman" w:hAnsi="Times New Roman" w:cs="Times New Roman"/>
          <w:sz w:val="24"/>
          <w:szCs w:val="24"/>
          <w:lang w:val="sr-Cyrl-RS"/>
        </w:rPr>
        <w:t xml:space="preserve"> повољ</w:t>
      </w:r>
      <w:r w:rsidR="00205341" w:rsidRPr="00BB7E7C">
        <w:rPr>
          <w:rFonts w:ascii="Times New Roman" w:eastAsia="Times New Roman" w:hAnsi="Times New Roman" w:cs="Times New Roman"/>
          <w:sz w:val="24"/>
          <w:szCs w:val="24"/>
          <w:lang w:val="sr-Cyrl-RS"/>
        </w:rPr>
        <w:t>а</w:t>
      </w:r>
      <w:r w:rsidR="0040480E" w:rsidRPr="00BB7E7C">
        <w:rPr>
          <w:rFonts w:ascii="Times New Roman" w:eastAsia="Times New Roman" w:hAnsi="Times New Roman" w:cs="Times New Roman"/>
          <w:sz w:val="24"/>
          <w:szCs w:val="24"/>
          <w:lang w:val="sr-Cyrl-RS"/>
        </w:rPr>
        <w:t xml:space="preserve">н </w:t>
      </w:r>
      <w:r w:rsidR="00205341" w:rsidRPr="00BB7E7C">
        <w:rPr>
          <w:rFonts w:ascii="Times New Roman" w:eastAsia="Times New Roman" w:hAnsi="Times New Roman" w:cs="Times New Roman"/>
          <w:sz w:val="24"/>
          <w:szCs w:val="24"/>
          <w:lang w:val="sr-Cyrl-RS"/>
        </w:rPr>
        <w:t>за</w:t>
      </w:r>
      <w:r w:rsidR="00BB7E7C" w:rsidRPr="00BB7E7C">
        <w:rPr>
          <w:rFonts w:ascii="Times New Roman" w:eastAsia="Times New Roman" w:hAnsi="Times New Roman" w:cs="Times New Roman"/>
          <w:sz w:val="24"/>
          <w:szCs w:val="24"/>
          <w:lang w:val="sr-Cyrl-RS"/>
        </w:rPr>
        <w:t xml:space="preserve"> берзу</w:t>
      </w:r>
      <w:r w:rsidR="0040480E" w:rsidRPr="00BB7E7C">
        <w:rPr>
          <w:rFonts w:ascii="Times New Roman" w:eastAsia="Times New Roman" w:hAnsi="Times New Roman" w:cs="Times New Roman"/>
          <w:sz w:val="24"/>
          <w:szCs w:val="24"/>
          <w:lang w:val="sr-Cyrl-RS"/>
        </w:rPr>
        <w:t xml:space="preserve"> </w:t>
      </w:r>
      <w:r w:rsidR="00BB7E7C" w:rsidRPr="00BB7E7C">
        <w:rPr>
          <w:rFonts w:ascii="Times New Roman" w:eastAsia="Times New Roman" w:hAnsi="Times New Roman" w:cs="Times New Roman"/>
          <w:sz w:val="24"/>
          <w:szCs w:val="24"/>
          <w:lang w:val="sr-Cyrl-RS"/>
        </w:rPr>
        <w:t>и</w:t>
      </w:r>
      <w:r w:rsidR="0040480E" w:rsidRPr="00BB7E7C">
        <w:rPr>
          <w:rFonts w:ascii="Times New Roman" w:eastAsia="Times New Roman" w:hAnsi="Times New Roman" w:cs="Times New Roman"/>
          <w:sz w:val="24"/>
          <w:szCs w:val="24"/>
          <w:lang w:val="sr-Cyrl-RS"/>
        </w:rPr>
        <w:t xml:space="preserve"> није могла ефикасно да спроводи своје основне функције</w:t>
      </w:r>
      <w:r w:rsidR="002B27FB" w:rsidRPr="00BB7E7C">
        <w:rPr>
          <w:rStyle w:val="FootnoteReference"/>
          <w:rFonts w:ascii="Times New Roman" w:hAnsi="Times New Roman" w:cs="Times New Roman"/>
          <w:sz w:val="24"/>
          <w:szCs w:val="24"/>
          <w:lang w:val="sr-Cyrl-RS"/>
        </w:rPr>
        <w:footnoteReference w:id="43"/>
      </w:r>
      <w:r w:rsidR="0040480E" w:rsidRPr="00BB7E7C">
        <w:rPr>
          <w:rFonts w:ascii="Times New Roman" w:eastAsia="Times New Roman" w:hAnsi="Times New Roman" w:cs="Times New Roman"/>
          <w:sz w:val="24"/>
          <w:szCs w:val="24"/>
          <w:lang w:val="sr-Cyrl-RS"/>
        </w:rPr>
        <w:t xml:space="preserve">. </w:t>
      </w:r>
      <w:r w:rsidR="00BB7E7C">
        <w:rPr>
          <w:rFonts w:ascii="Times New Roman" w:eastAsia="Times New Roman" w:hAnsi="Times New Roman" w:cs="Times New Roman"/>
          <w:sz w:val="24"/>
          <w:szCs w:val="24"/>
          <w:lang w:val="sr-Cyrl-RS"/>
        </w:rPr>
        <w:t>Међутим, к</w:t>
      </w:r>
      <w:r w:rsidR="00167B5A" w:rsidRPr="00BB7E7C">
        <w:rPr>
          <w:rFonts w:ascii="Times New Roman" w:hAnsi="Times New Roman" w:cs="Times New Roman"/>
          <w:sz w:val="24"/>
          <w:szCs w:val="24"/>
          <w:lang w:val="sr-Cyrl-RS"/>
        </w:rPr>
        <w:t xml:space="preserve">ада је Закон о приватизацији усвојен (2001. године) преко 800 предузећа је по сили закона постало акционарско друштво. Уместо </w:t>
      </w:r>
      <w:proofErr w:type="spellStart"/>
      <w:r w:rsidR="00167B5A" w:rsidRPr="00BB7E7C">
        <w:rPr>
          <w:rFonts w:ascii="Times New Roman" w:hAnsi="Times New Roman" w:cs="Times New Roman"/>
          <w:sz w:val="24"/>
          <w:szCs w:val="24"/>
          <w:lang w:val="sr-Cyrl-RS"/>
        </w:rPr>
        <w:t>ваучерске</w:t>
      </w:r>
      <w:proofErr w:type="spellEnd"/>
      <w:r w:rsidR="00167B5A" w:rsidRPr="00BB7E7C">
        <w:rPr>
          <w:rFonts w:ascii="Times New Roman" w:hAnsi="Times New Roman" w:cs="Times New Roman"/>
          <w:sz w:val="24"/>
          <w:szCs w:val="24"/>
          <w:lang w:val="sr-Cyrl-RS"/>
        </w:rPr>
        <w:t xml:space="preserve"> приватизације, спроведена је бесплатна подела акција где акције нису доживљене као имовина. </w:t>
      </w:r>
      <w:r w:rsidR="00516577" w:rsidRPr="00BB7E7C">
        <w:rPr>
          <w:rFonts w:ascii="Times New Roman" w:hAnsi="Times New Roman" w:cs="Times New Roman"/>
          <w:sz w:val="24"/>
          <w:szCs w:val="24"/>
          <w:lang w:val="sr-Cyrl-RS"/>
        </w:rPr>
        <w:t xml:space="preserve">Годину дана касније акције из поступка приватизације су уведене на берзу. </w:t>
      </w:r>
      <w:r w:rsidR="00B11338" w:rsidRPr="00BB7E7C">
        <w:rPr>
          <w:rFonts w:ascii="Times New Roman" w:hAnsi="Times New Roman" w:cs="Times New Roman"/>
          <w:sz w:val="24"/>
          <w:szCs w:val="24"/>
          <w:lang w:val="sr-Cyrl-RS"/>
        </w:rPr>
        <w:t xml:space="preserve">Процес приватизације у </w:t>
      </w:r>
      <w:r w:rsidR="00BB7E7C">
        <w:rPr>
          <w:rFonts w:ascii="Times New Roman" w:hAnsi="Times New Roman" w:cs="Times New Roman"/>
          <w:sz w:val="24"/>
          <w:szCs w:val="24"/>
          <w:lang w:val="sr-Cyrl-RS"/>
        </w:rPr>
        <w:t>Републици Србији</w:t>
      </w:r>
      <w:r w:rsidR="00B11338" w:rsidRPr="00BB7E7C">
        <w:rPr>
          <w:rFonts w:ascii="Times New Roman" w:hAnsi="Times New Roman" w:cs="Times New Roman"/>
          <w:sz w:val="24"/>
          <w:szCs w:val="24"/>
          <w:lang w:val="sr-Cyrl-RS"/>
        </w:rPr>
        <w:t xml:space="preserve"> за резултат је имао структурну трансформацију предузећа која су друштвеног и државног карактера у акционарска друштва која су отвореног карактера. </w:t>
      </w:r>
      <w:r w:rsidR="00516577" w:rsidRPr="00BB7E7C">
        <w:rPr>
          <w:rFonts w:ascii="Times New Roman" w:hAnsi="Times New Roman" w:cs="Times New Roman"/>
          <w:sz w:val="24"/>
          <w:szCs w:val="24"/>
          <w:lang w:val="sr-Cyrl-RS"/>
        </w:rPr>
        <w:t xml:space="preserve">Међутим до сада је била само једна </w:t>
      </w:r>
      <w:r w:rsidR="00B72698">
        <w:rPr>
          <w:rFonts w:ascii="Times New Roman" w:hAnsi="Times New Roman" w:cs="Times New Roman"/>
          <w:sz w:val="24"/>
          <w:szCs w:val="24"/>
          <w:lang w:val="sr-Cyrl-RS"/>
        </w:rPr>
        <w:t>иницијална</w:t>
      </w:r>
      <w:r w:rsidR="00516577" w:rsidRPr="00B30084">
        <w:rPr>
          <w:rFonts w:ascii="Times New Roman" w:hAnsi="Times New Roman" w:cs="Times New Roman"/>
          <w:sz w:val="24"/>
          <w:szCs w:val="24"/>
          <w:lang w:val="sr-Cyrl-RS"/>
        </w:rPr>
        <w:t xml:space="preserve"> продаја акција</w:t>
      </w:r>
      <w:r w:rsidR="00C352A7" w:rsidRPr="00B30084">
        <w:rPr>
          <w:rFonts w:ascii="Times New Roman" w:hAnsi="Times New Roman" w:cs="Times New Roman"/>
          <w:sz w:val="24"/>
          <w:szCs w:val="24"/>
          <w:lang w:val="sr-Cyrl-RS"/>
        </w:rPr>
        <w:t xml:space="preserve"> (IPO – </w:t>
      </w:r>
      <w:proofErr w:type="spellStart"/>
      <w:r w:rsidR="00C352A7" w:rsidRPr="00B30084">
        <w:rPr>
          <w:rFonts w:ascii="Times New Roman" w:hAnsi="Times New Roman" w:cs="Times New Roman"/>
          <w:sz w:val="24"/>
          <w:szCs w:val="24"/>
          <w:lang w:val="sr-Cyrl-RS"/>
        </w:rPr>
        <w:t>Initial</w:t>
      </w:r>
      <w:proofErr w:type="spellEnd"/>
      <w:r w:rsidR="00C352A7" w:rsidRPr="00B30084">
        <w:rPr>
          <w:rFonts w:ascii="Times New Roman" w:hAnsi="Times New Roman" w:cs="Times New Roman"/>
          <w:sz w:val="24"/>
          <w:szCs w:val="24"/>
          <w:lang w:val="sr-Cyrl-RS"/>
        </w:rPr>
        <w:t xml:space="preserve"> </w:t>
      </w:r>
      <w:proofErr w:type="spellStart"/>
      <w:r w:rsidR="00C352A7" w:rsidRPr="00B30084">
        <w:rPr>
          <w:rFonts w:ascii="Times New Roman" w:hAnsi="Times New Roman" w:cs="Times New Roman"/>
          <w:sz w:val="24"/>
          <w:szCs w:val="24"/>
          <w:lang w:val="sr-Cyrl-RS"/>
        </w:rPr>
        <w:t>Public</w:t>
      </w:r>
      <w:proofErr w:type="spellEnd"/>
      <w:r w:rsidR="00C352A7" w:rsidRPr="00B30084">
        <w:rPr>
          <w:rFonts w:ascii="Times New Roman" w:hAnsi="Times New Roman" w:cs="Times New Roman"/>
          <w:sz w:val="24"/>
          <w:szCs w:val="24"/>
          <w:lang w:val="sr-Cyrl-RS"/>
        </w:rPr>
        <w:t xml:space="preserve"> </w:t>
      </w:r>
      <w:proofErr w:type="spellStart"/>
      <w:r w:rsidR="00C352A7" w:rsidRPr="00B30084">
        <w:rPr>
          <w:rFonts w:ascii="Times New Roman" w:hAnsi="Times New Roman" w:cs="Times New Roman"/>
          <w:sz w:val="24"/>
          <w:szCs w:val="24"/>
          <w:lang w:val="sr-Cyrl-RS"/>
        </w:rPr>
        <w:t>Offering</w:t>
      </w:r>
      <w:proofErr w:type="spellEnd"/>
      <w:r w:rsidR="00C352A7" w:rsidRPr="00B30084">
        <w:rPr>
          <w:rFonts w:ascii="Times New Roman" w:hAnsi="Times New Roman" w:cs="Times New Roman"/>
          <w:sz w:val="24"/>
          <w:szCs w:val="24"/>
          <w:lang w:val="sr-Cyrl-RS"/>
        </w:rPr>
        <w:t>)</w:t>
      </w:r>
      <w:r w:rsidR="00516577" w:rsidRPr="00B30084">
        <w:rPr>
          <w:rFonts w:ascii="Times New Roman" w:hAnsi="Times New Roman" w:cs="Times New Roman"/>
          <w:sz w:val="24"/>
          <w:szCs w:val="24"/>
          <w:lang w:val="sr-Cyrl-RS"/>
        </w:rPr>
        <w:t xml:space="preserve"> и то у 2019. (док је у ЕУ исте године спроведено 700 </w:t>
      </w:r>
      <w:r w:rsidR="003C5B19">
        <w:rPr>
          <w:rFonts w:ascii="Times New Roman" w:hAnsi="Times New Roman" w:cs="Times New Roman"/>
          <w:sz w:val="24"/>
          <w:szCs w:val="24"/>
          <w:lang w:val="sr-Cyrl-RS"/>
        </w:rPr>
        <w:t xml:space="preserve">иницијалних </w:t>
      </w:r>
      <w:r w:rsidR="00516577" w:rsidRPr="00B30084">
        <w:rPr>
          <w:rFonts w:ascii="Times New Roman" w:hAnsi="Times New Roman" w:cs="Times New Roman"/>
          <w:sz w:val="24"/>
          <w:szCs w:val="24"/>
          <w:lang w:val="sr-Cyrl-RS"/>
        </w:rPr>
        <w:t xml:space="preserve">продаја акција), те берза није </w:t>
      </w:r>
      <w:r w:rsidR="00EE1C6C">
        <w:rPr>
          <w:rFonts w:ascii="Times New Roman" w:hAnsi="Times New Roman" w:cs="Times New Roman"/>
          <w:sz w:val="24"/>
          <w:szCs w:val="24"/>
          <w:lang w:val="sr-Cyrl-RS"/>
        </w:rPr>
        <w:t xml:space="preserve">у потпуности </w:t>
      </w:r>
      <w:r w:rsidR="00516577" w:rsidRPr="00B30084">
        <w:rPr>
          <w:rFonts w:ascii="Times New Roman" w:hAnsi="Times New Roman" w:cs="Times New Roman"/>
          <w:sz w:val="24"/>
          <w:szCs w:val="24"/>
          <w:lang w:val="sr-Cyrl-RS"/>
        </w:rPr>
        <w:t>испунила своју улогу а то је да прикупља капитал</w:t>
      </w:r>
      <w:r w:rsidR="00431445" w:rsidRPr="00B30084">
        <w:rPr>
          <w:rStyle w:val="FootnoteReference"/>
          <w:rFonts w:ascii="Times New Roman" w:hAnsi="Times New Roman" w:cs="Times New Roman"/>
          <w:sz w:val="24"/>
          <w:szCs w:val="24"/>
          <w:lang w:val="sr-Cyrl-RS"/>
        </w:rPr>
        <w:footnoteReference w:id="44"/>
      </w:r>
      <w:r w:rsidR="00516577" w:rsidRPr="00B30084">
        <w:rPr>
          <w:rFonts w:ascii="Times New Roman" w:hAnsi="Times New Roman" w:cs="Times New Roman"/>
          <w:sz w:val="24"/>
          <w:szCs w:val="24"/>
          <w:lang w:val="sr-Cyrl-RS"/>
        </w:rPr>
        <w:t>.</w:t>
      </w:r>
    </w:p>
    <w:p w14:paraId="0418ABFB" w14:textId="54F5E186" w:rsidR="00657915" w:rsidRPr="00B30084" w:rsidRDefault="00516577" w:rsidP="00DF28E7">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Данас имамо </w:t>
      </w:r>
      <w:r w:rsidR="00F312CC" w:rsidRPr="00B30084">
        <w:rPr>
          <w:rFonts w:ascii="Times New Roman" w:hAnsi="Times New Roman" w:cs="Times New Roman"/>
          <w:bCs/>
          <w:color w:val="000000"/>
          <w:sz w:val="24"/>
          <w:szCs w:val="24"/>
          <w:lang w:val="sr-Cyrl-RS"/>
        </w:rPr>
        <w:t xml:space="preserve">само 4 </w:t>
      </w:r>
      <w:r w:rsidR="0094205C" w:rsidRPr="00B30084">
        <w:rPr>
          <w:rFonts w:ascii="Times New Roman" w:hAnsi="Times New Roman" w:cs="Times New Roman"/>
          <w:bCs/>
          <w:color w:val="000000"/>
          <w:sz w:val="24"/>
          <w:szCs w:val="24"/>
          <w:lang w:val="sr-Cyrl-RS"/>
        </w:rPr>
        <w:t>јавна акционарска</w:t>
      </w:r>
      <w:r w:rsidR="005F5C51" w:rsidRPr="00B30084">
        <w:rPr>
          <w:rFonts w:ascii="Times New Roman" w:hAnsi="Times New Roman" w:cs="Times New Roman"/>
          <w:bCs/>
          <w:color w:val="000000"/>
          <w:sz w:val="24"/>
          <w:szCs w:val="24"/>
          <w:lang w:val="sr-Cyrl-RS"/>
        </w:rPr>
        <w:t xml:space="preserve"> друштва</w:t>
      </w:r>
      <w:r w:rsidRPr="00B30084">
        <w:rPr>
          <w:rFonts w:ascii="Times New Roman" w:hAnsi="Times New Roman" w:cs="Times New Roman"/>
          <w:bCs/>
          <w:color w:val="000000"/>
          <w:sz w:val="24"/>
          <w:szCs w:val="24"/>
          <w:lang w:val="sr-Cyrl-RS"/>
        </w:rPr>
        <w:t xml:space="preserve"> која</w:t>
      </w:r>
      <w:r w:rsidR="00F312CC" w:rsidRPr="00B30084">
        <w:rPr>
          <w:rFonts w:ascii="Times New Roman" w:hAnsi="Times New Roman" w:cs="Times New Roman"/>
          <w:bCs/>
          <w:color w:val="000000"/>
          <w:sz w:val="24"/>
          <w:szCs w:val="24"/>
          <w:lang w:val="sr-Cyrl-RS"/>
        </w:rPr>
        <w:t xml:space="preserve"> су листирана на „</w:t>
      </w:r>
      <w:proofErr w:type="spellStart"/>
      <w:r w:rsidR="00F312CC" w:rsidRPr="00B30084">
        <w:rPr>
          <w:rFonts w:ascii="Times New Roman" w:hAnsi="Times New Roman" w:cs="Times New Roman"/>
          <w:bCs/>
          <w:color w:val="000000"/>
          <w:sz w:val="24"/>
          <w:szCs w:val="24"/>
          <w:lang w:val="sr-Cyrl-RS"/>
        </w:rPr>
        <w:t>Prime</w:t>
      </w:r>
      <w:proofErr w:type="spellEnd"/>
      <w:r w:rsidR="00F312CC" w:rsidRPr="00B30084">
        <w:rPr>
          <w:rFonts w:ascii="Times New Roman" w:hAnsi="Times New Roman" w:cs="Times New Roman"/>
          <w:bCs/>
          <w:color w:val="000000"/>
          <w:sz w:val="24"/>
          <w:szCs w:val="24"/>
          <w:lang w:val="sr-Cyrl-RS"/>
        </w:rPr>
        <w:t xml:space="preserve"> </w:t>
      </w:r>
      <w:proofErr w:type="spellStart"/>
      <w:r w:rsidR="00F312CC" w:rsidRPr="00B30084">
        <w:rPr>
          <w:rFonts w:ascii="Times New Roman" w:hAnsi="Times New Roman" w:cs="Times New Roman"/>
          <w:bCs/>
          <w:color w:val="000000"/>
          <w:sz w:val="24"/>
          <w:szCs w:val="24"/>
          <w:lang w:val="sr-Cyrl-RS"/>
        </w:rPr>
        <w:t>listingˮ</w:t>
      </w:r>
      <w:proofErr w:type="spellEnd"/>
      <w:r w:rsidR="00F312CC" w:rsidRPr="00B30084">
        <w:rPr>
          <w:rFonts w:ascii="Times New Roman" w:hAnsi="Times New Roman" w:cs="Times New Roman"/>
          <w:bCs/>
          <w:color w:val="000000"/>
          <w:sz w:val="24"/>
          <w:szCs w:val="24"/>
          <w:lang w:val="sr-Cyrl-RS"/>
        </w:rPr>
        <w:t xml:space="preserve">, 3 </w:t>
      </w:r>
      <w:r w:rsidR="00FC6151" w:rsidRPr="00B30084">
        <w:rPr>
          <w:rFonts w:ascii="Times New Roman" w:hAnsi="Times New Roman" w:cs="Times New Roman"/>
          <w:bCs/>
          <w:color w:val="000000"/>
          <w:sz w:val="24"/>
          <w:szCs w:val="24"/>
          <w:lang w:val="sr-Cyrl-RS"/>
        </w:rPr>
        <w:t>акционарска</w:t>
      </w:r>
      <w:r w:rsidR="005F5C51" w:rsidRPr="00B30084">
        <w:rPr>
          <w:rFonts w:ascii="Times New Roman" w:hAnsi="Times New Roman" w:cs="Times New Roman"/>
          <w:bCs/>
          <w:color w:val="000000"/>
          <w:sz w:val="24"/>
          <w:szCs w:val="24"/>
          <w:lang w:val="sr-Cyrl-RS"/>
        </w:rPr>
        <w:t xml:space="preserve"> друштва</w:t>
      </w:r>
      <w:r w:rsidR="00F312CC" w:rsidRPr="00B30084">
        <w:rPr>
          <w:rFonts w:ascii="Times New Roman" w:hAnsi="Times New Roman" w:cs="Times New Roman"/>
          <w:bCs/>
          <w:color w:val="000000"/>
          <w:sz w:val="24"/>
          <w:szCs w:val="24"/>
          <w:lang w:val="sr-Cyrl-RS"/>
        </w:rPr>
        <w:t xml:space="preserve"> на „Standard </w:t>
      </w:r>
      <w:proofErr w:type="spellStart"/>
      <w:r w:rsidR="00F312CC" w:rsidRPr="00B30084">
        <w:rPr>
          <w:rFonts w:ascii="Times New Roman" w:hAnsi="Times New Roman" w:cs="Times New Roman"/>
          <w:bCs/>
          <w:color w:val="000000"/>
          <w:sz w:val="24"/>
          <w:szCs w:val="24"/>
          <w:lang w:val="sr-Cyrl-RS"/>
        </w:rPr>
        <w:t>listingˮ</w:t>
      </w:r>
      <w:proofErr w:type="spellEnd"/>
      <w:r w:rsidR="00F312CC" w:rsidRPr="00B30084">
        <w:rPr>
          <w:rFonts w:ascii="Times New Roman" w:hAnsi="Times New Roman" w:cs="Times New Roman"/>
          <w:bCs/>
          <w:color w:val="000000"/>
          <w:sz w:val="24"/>
          <w:szCs w:val="24"/>
          <w:lang w:val="sr-Cyrl-RS"/>
        </w:rPr>
        <w:t xml:space="preserve"> и 13 на „Open </w:t>
      </w:r>
      <w:proofErr w:type="spellStart"/>
      <w:r w:rsidR="00F312CC" w:rsidRPr="00B30084">
        <w:rPr>
          <w:rFonts w:ascii="Times New Roman" w:hAnsi="Times New Roman" w:cs="Times New Roman"/>
          <w:bCs/>
          <w:color w:val="000000"/>
          <w:sz w:val="24"/>
          <w:szCs w:val="24"/>
          <w:lang w:val="sr-Cyrl-RS"/>
        </w:rPr>
        <w:t>marketˮ</w:t>
      </w:r>
      <w:proofErr w:type="spellEnd"/>
      <w:r w:rsidR="008B0576" w:rsidRPr="00B30084">
        <w:rPr>
          <w:rFonts w:ascii="Times New Roman" w:hAnsi="Times New Roman" w:cs="Times New Roman"/>
          <w:bCs/>
          <w:color w:val="000000"/>
          <w:sz w:val="24"/>
          <w:szCs w:val="24"/>
          <w:lang w:val="sr-Cyrl-RS"/>
        </w:rPr>
        <w:t>. О</w:t>
      </w:r>
      <w:r w:rsidR="00076A78" w:rsidRPr="00B30084">
        <w:rPr>
          <w:rFonts w:ascii="Times New Roman" w:hAnsi="Times New Roman" w:cs="Times New Roman"/>
          <w:bCs/>
          <w:color w:val="000000"/>
          <w:sz w:val="24"/>
          <w:szCs w:val="24"/>
          <w:lang w:val="sr-Cyrl-RS"/>
        </w:rPr>
        <w:t xml:space="preserve">бим трговања хартијама од вредности бележи негативан тренд последњих година, </w:t>
      </w:r>
      <w:r w:rsidR="008B0576" w:rsidRPr="00B30084">
        <w:rPr>
          <w:rFonts w:ascii="Times New Roman" w:hAnsi="Times New Roman" w:cs="Times New Roman"/>
          <w:bCs/>
          <w:color w:val="000000"/>
          <w:sz w:val="24"/>
          <w:szCs w:val="24"/>
          <w:lang w:val="sr-Cyrl-RS"/>
        </w:rPr>
        <w:t xml:space="preserve">те је тако </w:t>
      </w:r>
      <w:r w:rsidR="00076A78" w:rsidRPr="00B30084">
        <w:rPr>
          <w:rFonts w:ascii="Times New Roman" w:hAnsi="Times New Roman" w:cs="Times New Roman"/>
          <w:bCs/>
          <w:color w:val="000000"/>
          <w:sz w:val="24"/>
          <w:szCs w:val="24"/>
          <w:lang w:val="sr-Cyrl-RS"/>
        </w:rPr>
        <w:t>беогр</w:t>
      </w:r>
      <w:r w:rsidR="008B0576" w:rsidRPr="00B30084">
        <w:rPr>
          <w:rFonts w:ascii="Times New Roman" w:hAnsi="Times New Roman" w:cs="Times New Roman"/>
          <w:bCs/>
          <w:color w:val="000000"/>
          <w:sz w:val="24"/>
          <w:szCs w:val="24"/>
          <w:lang w:val="sr-Cyrl-RS"/>
        </w:rPr>
        <w:t>ад</w:t>
      </w:r>
      <w:r w:rsidR="00076A78" w:rsidRPr="00B30084">
        <w:rPr>
          <w:rFonts w:ascii="Times New Roman" w:hAnsi="Times New Roman" w:cs="Times New Roman"/>
          <w:bCs/>
          <w:color w:val="000000"/>
          <w:sz w:val="24"/>
          <w:szCs w:val="24"/>
          <w:lang w:val="sr-Cyrl-RS"/>
        </w:rPr>
        <w:t xml:space="preserve">ска берза </w:t>
      </w:r>
      <w:r w:rsidR="008B0576" w:rsidRPr="00B30084">
        <w:rPr>
          <w:rFonts w:ascii="Times New Roman" w:hAnsi="Times New Roman" w:cs="Times New Roman"/>
          <w:bCs/>
          <w:color w:val="000000"/>
          <w:sz w:val="24"/>
          <w:szCs w:val="24"/>
          <w:lang w:val="sr-Cyrl-RS"/>
        </w:rPr>
        <w:t>у 2020. забележила нето губитак</w:t>
      </w:r>
      <w:r w:rsidR="0021500C" w:rsidRPr="00B30084">
        <w:rPr>
          <w:rFonts w:ascii="Times New Roman" w:hAnsi="Times New Roman" w:cs="Times New Roman"/>
          <w:bCs/>
          <w:color w:val="000000"/>
          <w:sz w:val="24"/>
          <w:szCs w:val="24"/>
          <w:lang w:val="sr-Cyrl-RS"/>
        </w:rPr>
        <w:t xml:space="preserve"> из пословања</w:t>
      </w:r>
      <w:r w:rsidR="008B0576" w:rsidRPr="00B30084">
        <w:rPr>
          <w:rFonts w:ascii="Times New Roman" w:hAnsi="Times New Roman" w:cs="Times New Roman"/>
          <w:bCs/>
          <w:color w:val="000000"/>
          <w:sz w:val="24"/>
          <w:szCs w:val="24"/>
          <w:lang w:val="sr-Cyrl-RS"/>
        </w:rPr>
        <w:t>. На ов</w:t>
      </w:r>
      <w:r w:rsidR="00C449B8" w:rsidRPr="00B30084">
        <w:rPr>
          <w:rFonts w:ascii="Times New Roman" w:hAnsi="Times New Roman" w:cs="Times New Roman"/>
          <w:bCs/>
          <w:color w:val="000000"/>
          <w:sz w:val="24"/>
          <w:szCs w:val="24"/>
          <w:lang w:val="sr-Cyrl-RS"/>
        </w:rPr>
        <w:t>акво</w:t>
      </w:r>
      <w:r w:rsidR="008B0576" w:rsidRPr="00B30084">
        <w:rPr>
          <w:rFonts w:ascii="Times New Roman" w:hAnsi="Times New Roman" w:cs="Times New Roman"/>
          <w:bCs/>
          <w:color w:val="000000"/>
          <w:sz w:val="24"/>
          <w:szCs w:val="24"/>
          <w:lang w:val="sr-Cyrl-RS"/>
        </w:rPr>
        <w:t xml:space="preserve"> стање је свакако додатан негативан утицај имала и пандемија болести Covid – 19. </w:t>
      </w:r>
      <w:r w:rsidR="00774AD3" w:rsidRPr="00B30084">
        <w:rPr>
          <w:rFonts w:ascii="Times New Roman" w:hAnsi="Times New Roman" w:cs="Times New Roman"/>
          <w:bCs/>
          <w:color w:val="000000"/>
          <w:sz w:val="24"/>
          <w:szCs w:val="24"/>
          <w:lang w:val="sr-Cyrl-RS"/>
        </w:rPr>
        <w:t xml:space="preserve">Сходно наведеном потребно је да се повећа број </w:t>
      </w:r>
      <w:r w:rsidR="005F5C51" w:rsidRPr="00B30084">
        <w:rPr>
          <w:rFonts w:ascii="Times New Roman" w:hAnsi="Times New Roman" w:cs="Times New Roman"/>
          <w:bCs/>
          <w:color w:val="000000"/>
          <w:sz w:val="24"/>
          <w:szCs w:val="24"/>
          <w:lang w:val="sr-Cyrl-RS"/>
        </w:rPr>
        <w:t>привредних друштава</w:t>
      </w:r>
      <w:r w:rsidR="00774AD3" w:rsidRPr="00B30084">
        <w:rPr>
          <w:rFonts w:ascii="Times New Roman" w:hAnsi="Times New Roman" w:cs="Times New Roman"/>
          <w:bCs/>
          <w:color w:val="000000"/>
          <w:sz w:val="24"/>
          <w:szCs w:val="24"/>
          <w:lang w:val="sr-Cyrl-RS"/>
        </w:rPr>
        <w:t xml:space="preserve"> која се котирају на берзи као и вредност обима трговања, али исто тако да се уведу и нови инструменти трговања који би били занимљиви са стране улагача (нпр. </w:t>
      </w:r>
      <w:r w:rsidR="0021500C" w:rsidRPr="00B30084">
        <w:rPr>
          <w:rFonts w:ascii="Times New Roman" w:hAnsi="Times New Roman" w:cs="Times New Roman"/>
          <w:bCs/>
          <w:color w:val="000000"/>
          <w:sz w:val="24"/>
          <w:szCs w:val="24"/>
          <w:lang w:val="sr-Cyrl-RS"/>
        </w:rPr>
        <w:t>д</w:t>
      </w:r>
      <w:r w:rsidR="006A73E8" w:rsidRPr="00B30084">
        <w:rPr>
          <w:rFonts w:ascii="Times New Roman" w:hAnsi="Times New Roman" w:cs="Times New Roman"/>
          <w:bCs/>
          <w:color w:val="000000"/>
          <w:sz w:val="24"/>
          <w:szCs w:val="24"/>
          <w:lang w:val="sr-Cyrl-RS"/>
        </w:rPr>
        <w:t>игитална имовина</w:t>
      </w:r>
      <w:r w:rsidR="00774AD3" w:rsidRPr="00B30084">
        <w:rPr>
          <w:rFonts w:ascii="Times New Roman" w:hAnsi="Times New Roman" w:cs="Times New Roman"/>
          <w:bCs/>
          <w:color w:val="000000"/>
          <w:sz w:val="24"/>
          <w:szCs w:val="24"/>
          <w:lang w:val="sr-Cyrl-RS"/>
        </w:rPr>
        <w:t xml:space="preserve">). </w:t>
      </w:r>
    </w:p>
    <w:p w14:paraId="3524932A" w14:textId="77777777" w:rsidR="00B95513" w:rsidRPr="00B30084" w:rsidRDefault="00D55675" w:rsidP="00B95513">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Током августа 2021. године Атинска берза је удружила снаге са Београдском берзом како би заједно искористили пословне могућности у ери убрзане глобализације.</w:t>
      </w:r>
      <w:r w:rsidR="00B95513" w:rsidRPr="00B30084">
        <w:rPr>
          <w:rFonts w:ascii="Times New Roman" w:hAnsi="Times New Roman" w:cs="Times New Roman"/>
          <w:bCs/>
          <w:color w:val="000000"/>
          <w:sz w:val="24"/>
          <w:szCs w:val="24"/>
          <w:lang w:val="sr-Cyrl-RS"/>
        </w:rPr>
        <w:t xml:space="preserve"> У том </w:t>
      </w:r>
      <w:r w:rsidR="00B95513" w:rsidRPr="00B30084">
        <w:rPr>
          <w:rFonts w:ascii="Times New Roman" w:hAnsi="Times New Roman" w:cs="Times New Roman"/>
          <w:bCs/>
          <w:color w:val="000000"/>
          <w:sz w:val="24"/>
          <w:szCs w:val="24"/>
          <w:lang w:val="sr-Cyrl-RS"/>
        </w:rPr>
        <w:lastRenderedPageBreak/>
        <w:t>контексту, Атинска берза је извршила све потребне радње и добила сагласност Комисије за хартије од вредности Републике Србије за стицање 10,24% од укупног броја акција Београдске берзе.</w:t>
      </w:r>
    </w:p>
    <w:p w14:paraId="58CD958B" w14:textId="657F6F5B" w:rsidR="00D55675" w:rsidRPr="00B30084" w:rsidRDefault="00D55675" w:rsidP="00D55675">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Ова сарадња се заснива на два принципа: заједничко уверење да би одговарајућа тржишта требало да имају кључну улогу у обезбеђивању одрживог економског раста локалних економија и заједничка визија да само заједничк</w:t>
      </w:r>
      <w:r w:rsidR="005A46DF">
        <w:rPr>
          <w:rFonts w:ascii="Times New Roman" w:hAnsi="Times New Roman" w:cs="Times New Roman"/>
          <w:bCs/>
          <w:color w:val="000000"/>
          <w:sz w:val="24"/>
          <w:szCs w:val="24"/>
          <w:lang w:val="sr-Cyrl-RS"/>
        </w:rPr>
        <w:t>им снагама</w:t>
      </w:r>
      <w:r w:rsidRPr="00B30084">
        <w:rPr>
          <w:rFonts w:ascii="Times New Roman" w:hAnsi="Times New Roman" w:cs="Times New Roman"/>
          <w:bCs/>
          <w:color w:val="000000"/>
          <w:sz w:val="24"/>
          <w:szCs w:val="24"/>
          <w:lang w:val="sr-Cyrl-RS"/>
        </w:rPr>
        <w:t xml:space="preserve"> могу ефикасно решити растуће проблеме и боље служити потребама </w:t>
      </w:r>
      <w:r w:rsidRPr="005A46DF">
        <w:rPr>
          <w:rFonts w:ascii="Times New Roman" w:hAnsi="Times New Roman" w:cs="Times New Roman"/>
          <w:bCs/>
          <w:color w:val="000000"/>
          <w:sz w:val="24"/>
          <w:szCs w:val="24"/>
          <w:lang w:val="sr-Cyrl-RS"/>
        </w:rPr>
        <w:t>издава</w:t>
      </w:r>
      <w:r w:rsidR="005A46DF" w:rsidRPr="005A46DF">
        <w:rPr>
          <w:rFonts w:ascii="Times New Roman" w:hAnsi="Times New Roman" w:cs="Times New Roman"/>
          <w:bCs/>
          <w:color w:val="000000"/>
          <w:sz w:val="24"/>
          <w:szCs w:val="24"/>
          <w:lang w:val="sr-Cyrl-RS"/>
        </w:rPr>
        <w:t>лаца</w:t>
      </w:r>
      <w:r w:rsidR="00FB03D3">
        <w:rPr>
          <w:rFonts w:ascii="Times New Roman" w:hAnsi="Times New Roman" w:cs="Times New Roman"/>
          <w:bCs/>
          <w:color w:val="000000"/>
          <w:sz w:val="24"/>
          <w:szCs w:val="24"/>
          <w:lang w:val="sr-Cyrl-RS"/>
        </w:rPr>
        <w:t xml:space="preserve"> из ЕУ, односно </w:t>
      </w:r>
      <w:r w:rsidRPr="00B30084">
        <w:rPr>
          <w:rFonts w:ascii="Times New Roman" w:hAnsi="Times New Roman" w:cs="Times New Roman"/>
          <w:bCs/>
          <w:color w:val="000000"/>
          <w:sz w:val="24"/>
          <w:szCs w:val="24"/>
          <w:lang w:val="sr-Cyrl-RS"/>
        </w:rPr>
        <w:t>из међународног окружења.</w:t>
      </w:r>
    </w:p>
    <w:p w14:paraId="252CBE88" w14:textId="77777777" w:rsidR="00D55675" w:rsidRPr="00B30084" w:rsidRDefault="00D55675" w:rsidP="00D55675">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У исто време, Београдска берза је, као организатор тржишта, одлучила да побољша своју трговачку платформу и мигрира трговачке активности на трговачку платформу Атинске берзе, побољшавајући тако ликвидност и спектар услуга заједничке трговачке платформе. Сви учесници на тржишту ће имати прилику да профитирају од проширења и продубљивања тржишта капитала и унакрсног трговања.</w:t>
      </w:r>
    </w:p>
    <w:p w14:paraId="40963269" w14:textId="4FEBFEC6" w:rsidR="00D55675" w:rsidRPr="00B30084" w:rsidRDefault="00D55675" w:rsidP="00D55675">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У следећој фази, Београдска и Атинска берза ће блиско сарађивати са Владом Републике Србије - Министарством финансија у правцу даљег стратешког развоја српског тржишта капитала, а кроз увође</w:t>
      </w:r>
      <w:r w:rsidR="004223FF">
        <w:rPr>
          <w:rFonts w:ascii="Times New Roman" w:hAnsi="Times New Roman" w:cs="Times New Roman"/>
          <w:bCs/>
          <w:color w:val="000000"/>
          <w:sz w:val="24"/>
          <w:szCs w:val="24"/>
          <w:lang w:val="sr-Cyrl-RS"/>
        </w:rPr>
        <w:t>ње нових производа и услуга који</w:t>
      </w:r>
      <w:r w:rsidRPr="00B30084">
        <w:rPr>
          <w:rFonts w:ascii="Times New Roman" w:hAnsi="Times New Roman" w:cs="Times New Roman"/>
          <w:bCs/>
          <w:color w:val="000000"/>
          <w:sz w:val="24"/>
          <w:szCs w:val="24"/>
          <w:lang w:val="sr-Cyrl-RS"/>
        </w:rPr>
        <w:t xml:space="preserve"> ће подржати прилив капитала од домаћих и страних инвеститора на Београдској берзи</w:t>
      </w:r>
      <w:r w:rsidR="007161FB" w:rsidRPr="00B30084">
        <w:rPr>
          <w:rStyle w:val="FootnoteReference"/>
          <w:rFonts w:ascii="Times New Roman" w:hAnsi="Times New Roman" w:cs="Times New Roman"/>
          <w:sz w:val="24"/>
          <w:szCs w:val="24"/>
          <w:lang w:val="sr-Cyrl-RS"/>
        </w:rPr>
        <w:footnoteReference w:id="45"/>
      </w:r>
      <w:r w:rsidRPr="00B30084">
        <w:rPr>
          <w:rFonts w:ascii="Times New Roman" w:hAnsi="Times New Roman" w:cs="Times New Roman"/>
          <w:bCs/>
          <w:color w:val="000000"/>
          <w:sz w:val="24"/>
          <w:szCs w:val="24"/>
          <w:lang w:val="sr-Cyrl-RS"/>
        </w:rPr>
        <w:t>.</w:t>
      </w:r>
    </w:p>
    <w:p w14:paraId="639219C0" w14:textId="4270DC6A" w:rsidR="005D079A" w:rsidRPr="00B30084" w:rsidRDefault="004B77CC" w:rsidP="000C2231">
      <w:pPr>
        <w:spacing w:line="276" w:lineRule="auto"/>
        <w:ind w:firstLine="720"/>
        <w:jc w:val="both"/>
        <w:rPr>
          <w:rFonts w:ascii="Times New Roman" w:hAnsi="Times New Roman" w:cs="Times New Roman"/>
          <w:b/>
          <w:sz w:val="24"/>
          <w:szCs w:val="24"/>
          <w:lang w:val="sr-Cyrl-RS"/>
        </w:rPr>
      </w:pPr>
      <w:r w:rsidRPr="00B30084">
        <w:rPr>
          <w:rFonts w:ascii="Times New Roman" w:hAnsi="Times New Roman" w:cs="Times New Roman"/>
          <w:bCs/>
          <w:color w:val="000000"/>
          <w:sz w:val="24"/>
          <w:szCs w:val="24"/>
          <w:lang w:val="sr-Cyrl-RS"/>
        </w:rPr>
        <w:t xml:space="preserve">Смањен обим трговања </w:t>
      </w:r>
      <w:r w:rsidR="00516577" w:rsidRPr="00B30084">
        <w:rPr>
          <w:rFonts w:ascii="Times New Roman" w:hAnsi="Times New Roman" w:cs="Times New Roman"/>
          <w:bCs/>
          <w:color w:val="000000"/>
          <w:sz w:val="24"/>
          <w:szCs w:val="24"/>
          <w:lang w:val="sr-Cyrl-RS"/>
        </w:rPr>
        <w:t xml:space="preserve">финансијским </w:t>
      </w:r>
      <w:proofErr w:type="spellStart"/>
      <w:r w:rsidR="00516577" w:rsidRPr="00B30084">
        <w:rPr>
          <w:rFonts w:ascii="Times New Roman" w:hAnsi="Times New Roman" w:cs="Times New Roman"/>
          <w:bCs/>
          <w:color w:val="000000"/>
          <w:sz w:val="24"/>
          <w:szCs w:val="24"/>
          <w:lang w:val="sr-Cyrl-RS"/>
        </w:rPr>
        <w:t>инструметима</w:t>
      </w:r>
      <w:proofErr w:type="spellEnd"/>
      <w:r w:rsidRPr="00B30084">
        <w:rPr>
          <w:rFonts w:ascii="Times New Roman" w:hAnsi="Times New Roman" w:cs="Times New Roman"/>
          <w:bCs/>
          <w:color w:val="000000"/>
          <w:sz w:val="24"/>
          <w:szCs w:val="24"/>
          <w:lang w:val="sr-Cyrl-RS"/>
        </w:rPr>
        <w:t xml:space="preserve"> се негативно одразио и на</w:t>
      </w:r>
      <w:r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u w:val="single"/>
          <w:lang w:val="sr-Cyrl-RS"/>
        </w:rPr>
        <w:t>брокер</w:t>
      </w:r>
      <w:r w:rsidR="00DC4EF5" w:rsidRPr="00B30084">
        <w:rPr>
          <w:rFonts w:ascii="Times New Roman" w:hAnsi="Times New Roman" w:cs="Times New Roman"/>
          <w:sz w:val="24"/>
          <w:szCs w:val="24"/>
          <w:u w:val="single"/>
          <w:lang w:val="sr-Cyrl-RS"/>
        </w:rPr>
        <w:t>ско-</w:t>
      </w:r>
      <w:proofErr w:type="spellStart"/>
      <w:r w:rsidR="00DC4EF5" w:rsidRPr="00B30084">
        <w:rPr>
          <w:rFonts w:ascii="Times New Roman" w:hAnsi="Times New Roman" w:cs="Times New Roman"/>
          <w:sz w:val="24"/>
          <w:szCs w:val="24"/>
          <w:u w:val="single"/>
          <w:lang w:val="sr-Cyrl-RS"/>
        </w:rPr>
        <w:t>дилерска</w:t>
      </w:r>
      <w:proofErr w:type="spellEnd"/>
      <w:r w:rsidR="00DC4EF5" w:rsidRPr="00B30084">
        <w:rPr>
          <w:rFonts w:ascii="Times New Roman" w:hAnsi="Times New Roman" w:cs="Times New Roman"/>
          <w:sz w:val="24"/>
          <w:szCs w:val="24"/>
          <w:u w:val="single"/>
          <w:lang w:val="sr-Cyrl-RS"/>
        </w:rPr>
        <w:t xml:space="preserve"> друштва</w:t>
      </w:r>
      <w:r w:rsidR="00DC4EF5"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t>те је дошло до затварања многих (у 2020. је пословало 15 брокерско-</w:t>
      </w:r>
      <w:proofErr w:type="spellStart"/>
      <w:r w:rsidRPr="00B30084">
        <w:rPr>
          <w:rFonts w:ascii="Times New Roman" w:hAnsi="Times New Roman" w:cs="Times New Roman"/>
          <w:sz w:val="24"/>
          <w:szCs w:val="24"/>
          <w:lang w:val="sr-Cyrl-RS"/>
        </w:rPr>
        <w:t>дилерских</w:t>
      </w:r>
      <w:proofErr w:type="spellEnd"/>
      <w:r w:rsidRPr="00B30084">
        <w:rPr>
          <w:rFonts w:ascii="Times New Roman" w:hAnsi="Times New Roman" w:cs="Times New Roman"/>
          <w:sz w:val="24"/>
          <w:szCs w:val="24"/>
          <w:lang w:val="sr-Cyrl-RS"/>
        </w:rPr>
        <w:t xml:space="preserve"> друштава, док их је у 2010. години било преко 60). </w:t>
      </w:r>
      <w:r w:rsidR="00387EA0" w:rsidRPr="00B30084">
        <w:rPr>
          <w:rFonts w:ascii="Times New Roman" w:hAnsi="Times New Roman" w:cs="Times New Roman"/>
          <w:sz w:val="24"/>
          <w:szCs w:val="24"/>
          <w:lang w:val="sr-Cyrl-RS"/>
        </w:rPr>
        <w:t xml:space="preserve">Оно што је важно када говоримо о перспективи брокерских друштава јесте настојање ширења истих а која нису </w:t>
      </w:r>
      <w:proofErr w:type="spellStart"/>
      <w:r w:rsidR="00387EA0" w:rsidRPr="00B30084">
        <w:rPr>
          <w:rFonts w:ascii="Times New Roman" w:hAnsi="Times New Roman" w:cs="Times New Roman"/>
          <w:sz w:val="24"/>
          <w:szCs w:val="24"/>
          <w:lang w:val="sr-Cyrl-RS"/>
        </w:rPr>
        <w:t>субсидијари</w:t>
      </w:r>
      <w:proofErr w:type="spellEnd"/>
      <w:r w:rsidR="00387EA0" w:rsidRPr="00B30084">
        <w:rPr>
          <w:rFonts w:ascii="Times New Roman" w:hAnsi="Times New Roman" w:cs="Times New Roman"/>
          <w:sz w:val="24"/>
          <w:szCs w:val="24"/>
          <w:lang w:val="sr-Cyrl-RS"/>
        </w:rPr>
        <w:t xml:space="preserve"> банака. </w:t>
      </w:r>
    </w:p>
    <w:p w14:paraId="03177027" w14:textId="7BD4886C" w:rsidR="00823F7A" w:rsidRPr="00B30084" w:rsidRDefault="00823F7A" w:rsidP="00F72A43">
      <w:pPr>
        <w:pStyle w:val="Heading1"/>
        <w:widowControl w:val="0"/>
        <w:numPr>
          <w:ilvl w:val="0"/>
          <w:numId w:val="30"/>
        </w:numPr>
        <w:snapToGrid w:val="0"/>
        <w:spacing w:before="120" w:after="120" w:line="276" w:lineRule="auto"/>
        <w:jc w:val="both"/>
        <w:rPr>
          <w:sz w:val="24"/>
          <w:szCs w:val="24"/>
          <w:lang w:val="sr-Cyrl-RS"/>
        </w:rPr>
      </w:pPr>
      <w:r w:rsidRPr="00B30084">
        <w:rPr>
          <w:sz w:val="24"/>
          <w:szCs w:val="24"/>
          <w:lang w:val="sr-Cyrl-RS"/>
        </w:rPr>
        <w:t>Шта желимо постићи</w:t>
      </w:r>
    </w:p>
    <w:p w14:paraId="23829A36" w14:textId="65CEF4A2" w:rsidR="00823F7A" w:rsidRPr="00B30084" w:rsidRDefault="00823F7A" w:rsidP="00823F7A">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Предвиђено је да ће Република Србија развити конкурентно, високо ефикасно, </w:t>
      </w:r>
      <w:r w:rsidR="00C74AA8" w:rsidRPr="00B30084">
        <w:rPr>
          <w:rFonts w:ascii="Times New Roman" w:hAnsi="Times New Roman" w:cs="Times New Roman"/>
          <w:sz w:val="24"/>
          <w:szCs w:val="24"/>
          <w:lang w:val="sr-Cyrl-RS"/>
        </w:rPr>
        <w:t>транспарентно</w:t>
      </w:r>
      <w:r w:rsidRPr="00B30084">
        <w:rPr>
          <w:rFonts w:ascii="Times New Roman" w:hAnsi="Times New Roman" w:cs="Times New Roman"/>
          <w:sz w:val="24"/>
          <w:szCs w:val="24"/>
          <w:lang w:val="sr-Cyrl-RS"/>
        </w:rPr>
        <w:t xml:space="preserve"> и продуктивно тржиште капитала које ће српским инвеститорима и емитентима пружити широк спектар производа и услуга упоредиво са водећим регионалним и европским финансијским центрима. Истовремено, Србија такође мора да креира и континуирано снажно развија дубину и ширину свих сегмената и услуга које се нуде на домаћем тржишту капитала у циљу креирања додане вредности за домаће и међународне учеснике у складу са </w:t>
      </w:r>
      <w:r w:rsidR="007505A4">
        <w:rPr>
          <w:rFonts w:ascii="Times New Roman" w:hAnsi="Times New Roman" w:cs="Times New Roman"/>
          <w:sz w:val="24"/>
          <w:szCs w:val="24"/>
          <w:lang w:val="sr-Cyrl-RS"/>
        </w:rPr>
        <w:t>конкурентним</w:t>
      </w:r>
      <w:r w:rsidRPr="00B30084">
        <w:rPr>
          <w:rFonts w:ascii="Times New Roman" w:hAnsi="Times New Roman" w:cs="Times New Roman"/>
          <w:sz w:val="24"/>
          <w:szCs w:val="24"/>
          <w:lang w:val="sr-Cyrl-RS"/>
        </w:rPr>
        <w:t xml:space="preserve"> предностима Републике Србије и њене привреде.</w:t>
      </w:r>
    </w:p>
    <w:p w14:paraId="2306C3AA" w14:textId="5B6338A5" w:rsidR="00823F7A" w:rsidRPr="00B30084" w:rsidRDefault="00C74AA8" w:rsidP="00A41F04">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У складу са наведеним, желимо да постигнемо следеће</w:t>
      </w:r>
      <w:r w:rsidR="00823F7A" w:rsidRPr="00B30084">
        <w:rPr>
          <w:rFonts w:ascii="Times New Roman" w:hAnsi="Times New Roman" w:cs="Times New Roman"/>
          <w:sz w:val="24"/>
          <w:szCs w:val="24"/>
          <w:lang w:val="sr-Cyrl-RS"/>
        </w:rPr>
        <w:t>:</w:t>
      </w:r>
    </w:p>
    <w:p w14:paraId="6B5DA967" w14:textId="56F31188" w:rsidR="00A41F04" w:rsidRPr="00B30084" w:rsidRDefault="00A41F04" w:rsidP="00A41F04">
      <w:pPr>
        <w:pStyle w:val="Default"/>
        <w:numPr>
          <w:ilvl w:val="0"/>
          <w:numId w:val="32"/>
        </w:numPr>
        <w:spacing w:line="276" w:lineRule="auto"/>
        <w:jc w:val="both"/>
        <w:rPr>
          <w:rFonts w:ascii="Times New Roman" w:hAnsi="Times New Roman" w:cs="Times New Roman"/>
          <w:color w:val="auto"/>
          <w:lang w:val="sr-Cyrl-RS"/>
        </w:rPr>
      </w:pPr>
      <w:r w:rsidRPr="00B30084">
        <w:rPr>
          <w:rFonts w:ascii="Times New Roman" w:hAnsi="Times New Roman" w:cs="Times New Roman"/>
          <w:color w:val="auto"/>
          <w:lang w:val="sr-Cyrl-RS"/>
        </w:rPr>
        <w:t>Оптимизациј</w:t>
      </w:r>
      <w:r w:rsidR="00C74AA8" w:rsidRPr="00B30084">
        <w:rPr>
          <w:rFonts w:ascii="Times New Roman" w:hAnsi="Times New Roman" w:cs="Times New Roman"/>
          <w:color w:val="auto"/>
          <w:lang w:val="sr-Cyrl-RS"/>
        </w:rPr>
        <w:t>у</w:t>
      </w:r>
      <w:r w:rsidRPr="00B30084">
        <w:rPr>
          <w:rFonts w:ascii="Times New Roman" w:hAnsi="Times New Roman" w:cs="Times New Roman"/>
          <w:color w:val="auto"/>
          <w:lang w:val="sr-Cyrl-RS"/>
        </w:rPr>
        <w:t xml:space="preserve"> регулаторног система за подршку већем учешћу</w:t>
      </w:r>
      <w:r w:rsidR="009D5C3B" w:rsidRPr="00B30084">
        <w:rPr>
          <w:rFonts w:ascii="Times New Roman" w:hAnsi="Times New Roman" w:cs="Times New Roman"/>
          <w:color w:val="auto"/>
          <w:lang w:val="sr-Cyrl-RS"/>
        </w:rPr>
        <w:t xml:space="preserve"> на тржишту капитала</w:t>
      </w:r>
      <w:r w:rsidRPr="00B30084">
        <w:rPr>
          <w:rFonts w:ascii="Times New Roman" w:hAnsi="Times New Roman" w:cs="Times New Roman"/>
          <w:color w:val="auto"/>
          <w:lang w:val="sr-Cyrl-RS"/>
        </w:rPr>
        <w:t>;</w:t>
      </w:r>
    </w:p>
    <w:p w14:paraId="20580096" w14:textId="678F3FA5" w:rsidR="00A41F04" w:rsidRPr="00B30084" w:rsidRDefault="00A41F04" w:rsidP="00A41F04">
      <w:pPr>
        <w:pStyle w:val="Default"/>
        <w:numPr>
          <w:ilvl w:val="0"/>
          <w:numId w:val="32"/>
        </w:numPr>
        <w:spacing w:line="276" w:lineRule="auto"/>
        <w:jc w:val="both"/>
        <w:rPr>
          <w:rFonts w:ascii="Times New Roman" w:hAnsi="Times New Roman" w:cs="Times New Roman"/>
          <w:color w:val="auto"/>
          <w:lang w:val="sr-Cyrl-RS"/>
        </w:rPr>
      </w:pPr>
      <w:r w:rsidRPr="00B30084">
        <w:rPr>
          <w:rFonts w:ascii="Times New Roman" w:hAnsi="Times New Roman" w:cs="Times New Roman"/>
          <w:color w:val="auto"/>
          <w:lang w:val="sr-Cyrl-RS"/>
        </w:rPr>
        <w:t>Повећање квалитета, атрактивности и доступности инвестиционих производа и</w:t>
      </w:r>
      <w:r w:rsidR="00C74AA8" w:rsidRPr="00B30084">
        <w:rPr>
          <w:rFonts w:ascii="Times New Roman" w:hAnsi="Times New Roman" w:cs="Times New Roman"/>
          <w:color w:val="auto"/>
          <w:lang w:val="sr-Cyrl-RS"/>
        </w:rPr>
        <w:t xml:space="preserve"> повећање броја</w:t>
      </w:r>
      <w:r w:rsidRPr="00B30084">
        <w:rPr>
          <w:rFonts w:ascii="Times New Roman" w:hAnsi="Times New Roman" w:cs="Times New Roman"/>
          <w:color w:val="auto"/>
          <w:lang w:val="sr-Cyrl-RS"/>
        </w:rPr>
        <w:t xml:space="preserve"> издава</w:t>
      </w:r>
      <w:r w:rsidR="000C2231">
        <w:rPr>
          <w:rFonts w:ascii="Times New Roman" w:hAnsi="Times New Roman" w:cs="Times New Roman"/>
          <w:color w:val="auto"/>
          <w:lang w:val="sr-Cyrl-RS"/>
        </w:rPr>
        <w:t>лаца</w:t>
      </w:r>
      <w:r w:rsidRPr="00B30084">
        <w:rPr>
          <w:rFonts w:ascii="Times New Roman" w:hAnsi="Times New Roman" w:cs="Times New Roman"/>
          <w:color w:val="auto"/>
          <w:lang w:val="sr-Cyrl-RS"/>
        </w:rPr>
        <w:t xml:space="preserve"> у систему;</w:t>
      </w:r>
    </w:p>
    <w:p w14:paraId="0F239939" w14:textId="2A4CE9FB" w:rsidR="00A41F04" w:rsidRPr="00B30084" w:rsidRDefault="00A41F04" w:rsidP="00A41F04">
      <w:pPr>
        <w:pStyle w:val="Default"/>
        <w:numPr>
          <w:ilvl w:val="0"/>
          <w:numId w:val="32"/>
        </w:numPr>
        <w:spacing w:line="276" w:lineRule="auto"/>
        <w:jc w:val="both"/>
        <w:rPr>
          <w:rFonts w:ascii="Times New Roman" w:hAnsi="Times New Roman" w:cs="Times New Roman"/>
          <w:color w:val="auto"/>
          <w:lang w:val="sr-Cyrl-RS"/>
        </w:rPr>
      </w:pPr>
      <w:r w:rsidRPr="00B30084">
        <w:rPr>
          <w:rFonts w:ascii="Times New Roman" w:hAnsi="Times New Roman" w:cs="Times New Roman"/>
          <w:color w:val="auto"/>
          <w:lang w:val="sr-Cyrl-RS"/>
        </w:rPr>
        <w:lastRenderedPageBreak/>
        <w:t xml:space="preserve">Привлачење </w:t>
      </w:r>
      <w:r w:rsidR="00C74AA8" w:rsidRPr="00B30084">
        <w:rPr>
          <w:rFonts w:ascii="Times New Roman" w:hAnsi="Times New Roman" w:cs="Times New Roman"/>
          <w:color w:val="auto"/>
          <w:lang w:val="sr-Cyrl-RS"/>
        </w:rPr>
        <w:t xml:space="preserve">домаћих и међународних </w:t>
      </w:r>
      <w:r w:rsidRPr="00B30084">
        <w:rPr>
          <w:rFonts w:ascii="Times New Roman" w:hAnsi="Times New Roman" w:cs="Times New Roman"/>
          <w:color w:val="auto"/>
          <w:lang w:val="sr-Cyrl-RS"/>
        </w:rPr>
        <w:t>инвеститора;</w:t>
      </w:r>
    </w:p>
    <w:p w14:paraId="63B9D760" w14:textId="761EFE00" w:rsidR="00A41F04" w:rsidRPr="00B30084" w:rsidRDefault="00A41F04" w:rsidP="00A41F04">
      <w:pPr>
        <w:pStyle w:val="Default"/>
        <w:numPr>
          <w:ilvl w:val="0"/>
          <w:numId w:val="32"/>
        </w:numPr>
        <w:spacing w:line="276" w:lineRule="auto"/>
        <w:jc w:val="both"/>
        <w:rPr>
          <w:rFonts w:ascii="Times New Roman" w:hAnsi="Times New Roman" w:cs="Times New Roman"/>
          <w:color w:val="auto"/>
          <w:lang w:val="sr-Cyrl-RS"/>
        </w:rPr>
      </w:pPr>
      <w:r w:rsidRPr="00B30084">
        <w:rPr>
          <w:rFonts w:ascii="Times New Roman" w:hAnsi="Times New Roman" w:cs="Times New Roman"/>
          <w:color w:val="auto"/>
          <w:lang w:val="sr-Cyrl-RS"/>
        </w:rPr>
        <w:t>Креирање подстицајног и ефикасног институци</w:t>
      </w:r>
      <w:r w:rsidR="00942D7E">
        <w:rPr>
          <w:rFonts w:ascii="Times New Roman" w:hAnsi="Times New Roman" w:cs="Times New Roman"/>
          <w:color w:val="auto"/>
          <w:lang w:val="sr-Cyrl-RS"/>
        </w:rPr>
        <w:t>оналног</w:t>
      </w:r>
      <w:r w:rsidRPr="00B30084">
        <w:rPr>
          <w:rFonts w:ascii="Times New Roman" w:hAnsi="Times New Roman" w:cs="Times New Roman"/>
          <w:color w:val="auto"/>
          <w:lang w:val="sr-Cyrl-RS"/>
        </w:rPr>
        <w:t xml:space="preserve"> оквира;</w:t>
      </w:r>
    </w:p>
    <w:p w14:paraId="6E1D39A7" w14:textId="62A76C29" w:rsidR="00A41F04" w:rsidRPr="00B30084" w:rsidRDefault="00A41F04" w:rsidP="00A41F04">
      <w:pPr>
        <w:pStyle w:val="Default"/>
        <w:numPr>
          <w:ilvl w:val="0"/>
          <w:numId w:val="32"/>
        </w:numPr>
        <w:spacing w:line="276" w:lineRule="auto"/>
        <w:jc w:val="both"/>
        <w:rPr>
          <w:rFonts w:ascii="Times New Roman" w:hAnsi="Times New Roman" w:cs="Times New Roman"/>
          <w:color w:val="auto"/>
          <w:lang w:val="sr-Cyrl-RS"/>
        </w:rPr>
      </w:pPr>
      <w:r w:rsidRPr="00B30084">
        <w:rPr>
          <w:rFonts w:ascii="Times New Roman" w:hAnsi="Times New Roman" w:cs="Times New Roman"/>
          <w:color w:val="auto"/>
          <w:lang w:val="sr-Cyrl-RS"/>
        </w:rPr>
        <w:t>Јачање институционалних капацитета у погледу технологије и људских ресурса;</w:t>
      </w:r>
    </w:p>
    <w:p w14:paraId="27939DAE" w14:textId="37DA6770" w:rsidR="00A41F04" w:rsidRPr="00B30084" w:rsidRDefault="00A41F04" w:rsidP="00A41F04">
      <w:pPr>
        <w:pStyle w:val="Default"/>
        <w:numPr>
          <w:ilvl w:val="0"/>
          <w:numId w:val="32"/>
        </w:numPr>
        <w:spacing w:line="276" w:lineRule="auto"/>
        <w:jc w:val="both"/>
        <w:rPr>
          <w:rFonts w:ascii="Times New Roman" w:hAnsi="Times New Roman" w:cs="Times New Roman"/>
          <w:color w:val="auto"/>
          <w:lang w:val="sr-Cyrl-RS"/>
        </w:rPr>
      </w:pPr>
      <w:r w:rsidRPr="00B30084">
        <w:rPr>
          <w:rFonts w:ascii="Times New Roman" w:hAnsi="Times New Roman" w:cs="Times New Roman"/>
          <w:color w:val="auto"/>
          <w:lang w:val="sr-Cyrl-RS"/>
        </w:rPr>
        <w:t>Промоција и финансијска едукација учесника на тржишту.</w:t>
      </w:r>
    </w:p>
    <w:p w14:paraId="12D86115" w14:textId="64266737" w:rsidR="00E07A52" w:rsidRPr="00B30084" w:rsidRDefault="00A41F04" w:rsidP="00F72A43">
      <w:pPr>
        <w:pStyle w:val="Heading1"/>
        <w:widowControl w:val="0"/>
        <w:numPr>
          <w:ilvl w:val="0"/>
          <w:numId w:val="30"/>
        </w:numPr>
        <w:snapToGrid w:val="0"/>
        <w:spacing w:before="120" w:after="120" w:line="276" w:lineRule="auto"/>
        <w:jc w:val="both"/>
        <w:rPr>
          <w:sz w:val="24"/>
          <w:szCs w:val="24"/>
          <w:lang w:val="sr-Cyrl-RS"/>
        </w:rPr>
      </w:pPr>
      <w:r w:rsidRPr="00B30084">
        <w:rPr>
          <w:sz w:val="24"/>
          <w:szCs w:val="24"/>
          <w:lang w:val="sr-Cyrl-RS"/>
        </w:rPr>
        <w:t>Циљеви Стратегије</w:t>
      </w:r>
      <w:r w:rsidR="00C86A6E" w:rsidRPr="00B30084">
        <w:rPr>
          <w:sz w:val="24"/>
          <w:szCs w:val="24"/>
          <w:lang w:val="sr-Cyrl-RS"/>
        </w:rPr>
        <w:t xml:space="preserve"> </w:t>
      </w:r>
    </w:p>
    <w:p w14:paraId="0B3B0CE5" w14:textId="606ED82F" w:rsidR="003A24AA" w:rsidRPr="00B30084" w:rsidRDefault="00A41F04" w:rsidP="00A41F04">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bCs/>
          <w:color w:val="000000"/>
          <w:sz w:val="24"/>
          <w:szCs w:val="24"/>
          <w:lang w:val="sr-Cyrl-RS"/>
        </w:rPr>
        <w:t xml:space="preserve">Општи циљ Стратегије је </w:t>
      </w:r>
      <w:r w:rsidR="00275E1F" w:rsidRPr="00B30084">
        <w:rPr>
          <w:rFonts w:ascii="Times New Roman" w:hAnsi="Times New Roman" w:cs="Times New Roman"/>
          <w:bCs/>
          <w:color w:val="000000"/>
          <w:sz w:val="24"/>
          <w:szCs w:val="24"/>
          <w:lang w:val="sr-Cyrl-RS"/>
        </w:rPr>
        <w:t xml:space="preserve">активирање тржишта капитала </w:t>
      </w:r>
      <w:r w:rsidRPr="00B30084">
        <w:rPr>
          <w:rFonts w:ascii="Times New Roman" w:hAnsi="Times New Roman" w:cs="Times New Roman"/>
          <w:bCs/>
          <w:color w:val="000000"/>
          <w:sz w:val="24"/>
          <w:szCs w:val="24"/>
          <w:lang w:val="sr-Cyrl-RS"/>
        </w:rPr>
        <w:t>у функцији економског раста, зап</w:t>
      </w:r>
      <w:r w:rsidR="000C2231">
        <w:rPr>
          <w:rFonts w:ascii="Times New Roman" w:hAnsi="Times New Roman" w:cs="Times New Roman"/>
          <w:bCs/>
          <w:color w:val="000000"/>
          <w:sz w:val="24"/>
          <w:szCs w:val="24"/>
          <w:lang w:val="sr-Cyrl-RS"/>
        </w:rPr>
        <w:t xml:space="preserve">ошљавања и квалитетнијег живота </w:t>
      </w:r>
      <w:r w:rsidR="00275E1F" w:rsidRPr="00B30084">
        <w:rPr>
          <w:rFonts w:ascii="Times New Roman" w:hAnsi="Times New Roman" w:cs="Times New Roman"/>
          <w:sz w:val="24"/>
          <w:szCs w:val="24"/>
          <w:lang w:val="sr-Cyrl-RS"/>
        </w:rPr>
        <w:t>грађана</w:t>
      </w:r>
      <w:r w:rsidR="003A24AA" w:rsidRPr="00B30084">
        <w:rPr>
          <w:rFonts w:ascii="Times New Roman" w:hAnsi="Times New Roman" w:cs="Times New Roman"/>
          <w:sz w:val="24"/>
          <w:szCs w:val="24"/>
          <w:lang w:val="sr-Cyrl-RS"/>
        </w:rPr>
        <w:t xml:space="preserve">. </w:t>
      </w:r>
    </w:p>
    <w:p w14:paraId="4A4C0A51" w14:textId="198426A8" w:rsidR="008507EC" w:rsidRPr="00B30084" w:rsidRDefault="00275E1F" w:rsidP="00A41F04">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Посебни циљеви стратегије су следећи</w:t>
      </w:r>
      <w:r w:rsidR="006A5925" w:rsidRPr="00B30084">
        <w:rPr>
          <w:rFonts w:ascii="Times New Roman" w:hAnsi="Times New Roman" w:cs="Times New Roman"/>
          <w:sz w:val="24"/>
          <w:szCs w:val="24"/>
          <w:lang w:val="sr-Cyrl-RS"/>
        </w:rPr>
        <w:t>:</w:t>
      </w:r>
    </w:p>
    <w:p w14:paraId="54322361" w14:textId="7BBB13DA" w:rsidR="00842F37" w:rsidRPr="001C64AD" w:rsidRDefault="00842F37" w:rsidP="00842F37">
      <w:pPr>
        <w:pStyle w:val="CommentText"/>
        <w:rPr>
          <w:rFonts w:ascii="Times New Roman" w:hAnsi="Times New Roman" w:cs="Times New Roman"/>
          <w:sz w:val="24"/>
          <w:szCs w:val="24"/>
          <w:lang w:val="sr-Cyrl-RS"/>
        </w:rPr>
      </w:pPr>
      <w:r w:rsidRPr="000C2231">
        <w:rPr>
          <w:rFonts w:ascii="Times New Roman" w:hAnsi="Times New Roman" w:cs="Times New Roman"/>
          <w:sz w:val="22"/>
          <w:szCs w:val="22"/>
          <w:lang w:val="sr-Cyrl-RS"/>
        </w:rPr>
        <w:t xml:space="preserve">ПЦ 1 </w:t>
      </w:r>
      <w:r w:rsidRPr="001C64AD">
        <w:rPr>
          <w:rFonts w:ascii="Times New Roman" w:hAnsi="Times New Roman" w:cs="Times New Roman"/>
          <w:sz w:val="24"/>
          <w:szCs w:val="24"/>
          <w:lang w:val="sr-Cyrl-RS"/>
        </w:rPr>
        <w:t>Унапређен институционални оквир и законска регулатива</w:t>
      </w:r>
      <w:r w:rsidR="00CE1ACC" w:rsidRPr="001C64AD">
        <w:rPr>
          <w:rFonts w:ascii="Times New Roman" w:hAnsi="Times New Roman" w:cs="Times New Roman"/>
          <w:sz w:val="24"/>
          <w:szCs w:val="24"/>
          <w:lang w:val="sr-Cyrl-RS"/>
        </w:rPr>
        <w:t xml:space="preserve"> као предуслов за привлачење домаћих и међународних институционалних инвеститора, и боље, транспарентније и ефикасније тржиште капитала</w:t>
      </w:r>
    </w:p>
    <w:p w14:paraId="5650D508" w14:textId="62F5F151" w:rsidR="00842F37" w:rsidRPr="00B30084" w:rsidRDefault="00842F37" w:rsidP="00842F37">
      <w:pPr>
        <w:pStyle w:val="CommentText"/>
        <w:rPr>
          <w:rFonts w:ascii="Times New Roman" w:hAnsi="Times New Roman" w:cs="Times New Roman"/>
          <w:lang w:val="sr-Cyrl-RS"/>
        </w:rPr>
      </w:pPr>
      <w:r w:rsidRPr="00B30084">
        <w:rPr>
          <w:rFonts w:ascii="Times New Roman" w:hAnsi="Times New Roman" w:cs="Times New Roman"/>
          <w:lang w:val="sr-Cyrl-RS"/>
        </w:rPr>
        <w:t>Мере:</w:t>
      </w:r>
    </w:p>
    <w:p w14:paraId="3BB1B898" w14:textId="63AF2128" w:rsidR="00842F37" w:rsidRPr="00B30084" w:rsidRDefault="00693ECC" w:rsidP="00842F37">
      <w:pPr>
        <w:pStyle w:val="CommentText"/>
        <w:rPr>
          <w:rFonts w:ascii="Times New Roman" w:hAnsi="Times New Roman" w:cs="Times New Roman"/>
          <w:lang w:val="sr-Cyrl-RS"/>
        </w:rPr>
      </w:pPr>
      <w:r w:rsidRPr="00B30084">
        <w:rPr>
          <w:rFonts w:ascii="Times New Roman" w:hAnsi="Times New Roman" w:cs="Times New Roman"/>
          <w:lang w:val="sr-Cyrl-RS"/>
        </w:rPr>
        <w:t>1</w:t>
      </w:r>
      <w:r w:rsidR="00842F37" w:rsidRPr="00B30084">
        <w:rPr>
          <w:rFonts w:ascii="Times New Roman" w:hAnsi="Times New Roman" w:cs="Times New Roman"/>
          <w:lang w:val="sr-Cyrl-RS"/>
        </w:rPr>
        <w:t xml:space="preserve">.1. Унапређење регулаторног оквира </w:t>
      </w:r>
      <w:r w:rsidR="00CE1ACC" w:rsidRPr="00B30084">
        <w:rPr>
          <w:rFonts w:ascii="Times New Roman" w:hAnsi="Times New Roman" w:cs="Times New Roman"/>
          <w:lang w:val="sr-Cyrl-RS"/>
        </w:rPr>
        <w:t>за даљи развој тржишта капитала</w:t>
      </w:r>
      <w:r w:rsidR="00F3603E">
        <w:rPr>
          <w:rFonts w:ascii="Times New Roman" w:hAnsi="Times New Roman" w:cs="Times New Roman"/>
          <w:lang w:val="sr-Cyrl-RS"/>
        </w:rPr>
        <w:t xml:space="preserve"> </w:t>
      </w:r>
      <w:r w:rsidR="00842F37" w:rsidRPr="00B30084">
        <w:rPr>
          <w:rFonts w:ascii="Times New Roman" w:hAnsi="Times New Roman" w:cs="Times New Roman"/>
          <w:lang w:val="sr-Cyrl-RS"/>
        </w:rPr>
        <w:t xml:space="preserve">(активности ове мере су у табели од </w:t>
      </w:r>
    </w:p>
    <w:tbl>
      <w:tblPr>
        <w:tblStyle w:val="TableGrid"/>
        <w:tblW w:w="5382" w:type="pct"/>
        <w:tblInd w:w="-465" w:type="dxa"/>
        <w:tblLayout w:type="fixed"/>
        <w:tblLook w:val="04A0" w:firstRow="1" w:lastRow="0" w:firstColumn="1" w:lastColumn="0" w:noHBand="0" w:noVBand="1"/>
      </w:tblPr>
      <w:tblGrid>
        <w:gridCol w:w="3136"/>
        <w:gridCol w:w="1683"/>
        <w:gridCol w:w="1685"/>
        <w:gridCol w:w="1572"/>
        <w:gridCol w:w="2027"/>
      </w:tblGrid>
      <w:tr w:rsidR="00195194" w:rsidRPr="00B30084" w14:paraId="720F6526" w14:textId="77777777" w:rsidTr="00B12AD9">
        <w:trPr>
          <w:trHeight w:val="230"/>
        </w:trPr>
        <w:tc>
          <w:tcPr>
            <w:tcW w:w="1552" w:type="pct"/>
            <w:vMerge w:val="restart"/>
            <w:tcBorders>
              <w:top w:val="double" w:sz="4" w:space="0" w:color="auto"/>
              <w:left w:val="double" w:sz="4" w:space="0" w:color="auto"/>
            </w:tcBorders>
            <w:shd w:val="clear" w:color="auto" w:fill="FFF2CC" w:themeFill="accent4" w:themeFillTint="33"/>
          </w:tcPr>
          <w:p w14:paraId="12ED1FAC" w14:textId="17E5F0A1" w:rsidR="00195194" w:rsidRPr="00B30084" w:rsidRDefault="00195194" w:rsidP="00195194">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Назив активности:</w:t>
            </w:r>
          </w:p>
        </w:tc>
        <w:tc>
          <w:tcPr>
            <w:tcW w:w="833" w:type="pct"/>
            <w:vMerge w:val="restart"/>
            <w:tcBorders>
              <w:top w:val="double" w:sz="4" w:space="0" w:color="auto"/>
            </w:tcBorders>
            <w:shd w:val="clear" w:color="auto" w:fill="FFF2CC" w:themeFill="accent4" w:themeFillTint="33"/>
          </w:tcPr>
          <w:p w14:paraId="2DE4C1C2" w14:textId="77777777" w:rsidR="00195194" w:rsidRPr="00B30084" w:rsidRDefault="00195194"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Орган који спроводи меру</w:t>
            </w:r>
          </w:p>
        </w:tc>
        <w:tc>
          <w:tcPr>
            <w:tcW w:w="834" w:type="pct"/>
            <w:vMerge w:val="restart"/>
            <w:tcBorders>
              <w:top w:val="double" w:sz="4" w:space="0" w:color="auto"/>
            </w:tcBorders>
            <w:shd w:val="clear" w:color="auto" w:fill="FFF2CC" w:themeFill="accent4" w:themeFillTint="33"/>
          </w:tcPr>
          <w:p w14:paraId="3BE9F2C3" w14:textId="77777777" w:rsidR="00195194" w:rsidRPr="00B30084" w:rsidRDefault="00195194"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Органи партнери у спровођењу </w:t>
            </w:r>
          </w:p>
        </w:tc>
        <w:tc>
          <w:tcPr>
            <w:tcW w:w="778" w:type="pct"/>
            <w:vMerge w:val="restart"/>
            <w:tcBorders>
              <w:top w:val="double" w:sz="4" w:space="0" w:color="auto"/>
            </w:tcBorders>
            <w:shd w:val="clear" w:color="auto" w:fill="FFF2CC" w:themeFill="accent4" w:themeFillTint="33"/>
          </w:tcPr>
          <w:p w14:paraId="19130107" w14:textId="77777777" w:rsidR="00195194" w:rsidRPr="00B30084" w:rsidRDefault="00195194"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Рок за завршетак мере</w:t>
            </w:r>
          </w:p>
        </w:tc>
        <w:tc>
          <w:tcPr>
            <w:tcW w:w="1003" w:type="pct"/>
            <w:vMerge w:val="restart"/>
            <w:tcBorders>
              <w:top w:val="double" w:sz="4" w:space="0" w:color="auto"/>
            </w:tcBorders>
            <w:shd w:val="clear" w:color="auto" w:fill="FFF2CC" w:themeFill="accent4" w:themeFillTint="33"/>
          </w:tcPr>
          <w:p w14:paraId="091B2963" w14:textId="77777777" w:rsidR="00195194" w:rsidRPr="00B30084" w:rsidRDefault="00195194" w:rsidP="00B12AD9">
            <w:pPr>
              <w:ind w:left="90"/>
              <w:jc w:val="center"/>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финансирања</w:t>
            </w:r>
          </w:p>
        </w:tc>
      </w:tr>
      <w:tr w:rsidR="00195194" w:rsidRPr="00B30084" w14:paraId="118710A7" w14:textId="77777777" w:rsidTr="00B12AD9">
        <w:trPr>
          <w:trHeight w:val="322"/>
        </w:trPr>
        <w:tc>
          <w:tcPr>
            <w:tcW w:w="1552" w:type="pct"/>
            <w:vMerge/>
            <w:tcBorders>
              <w:left w:val="double" w:sz="4" w:space="0" w:color="auto"/>
            </w:tcBorders>
            <w:shd w:val="clear" w:color="auto" w:fill="FFF2CC" w:themeFill="accent4" w:themeFillTint="33"/>
          </w:tcPr>
          <w:p w14:paraId="53A846C2" w14:textId="77777777" w:rsidR="00195194" w:rsidRPr="00B30084" w:rsidRDefault="00195194" w:rsidP="00B12AD9">
            <w:pPr>
              <w:ind w:left="90"/>
              <w:rPr>
                <w:rFonts w:ascii="Times New Roman" w:hAnsi="Times New Roman" w:cs="Times New Roman"/>
                <w:sz w:val="20"/>
                <w:szCs w:val="20"/>
                <w:lang w:val="sr-Cyrl-RS"/>
              </w:rPr>
            </w:pPr>
          </w:p>
        </w:tc>
        <w:tc>
          <w:tcPr>
            <w:tcW w:w="833" w:type="pct"/>
            <w:vMerge/>
            <w:shd w:val="clear" w:color="auto" w:fill="FFF2CC" w:themeFill="accent4" w:themeFillTint="33"/>
          </w:tcPr>
          <w:p w14:paraId="79AF664D" w14:textId="77777777" w:rsidR="00195194" w:rsidRPr="00B30084" w:rsidRDefault="00195194" w:rsidP="00B12AD9">
            <w:pPr>
              <w:ind w:left="90"/>
              <w:rPr>
                <w:rFonts w:ascii="Times New Roman" w:hAnsi="Times New Roman" w:cs="Times New Roman"/>
                <w:sz w:val="20"/>
                <w:szCs w:val="20"/>
                <w:lang w:val="sr-Cyrl-RS"/>
              </w:rPr>
            </w:pPr>
          </w:p>
        </w:tc>
        <w:tc>
          <w:tcPr>
            <w:tcW w:w="834" w:type="pct"/>
            <w:vMerge/>
            <w:shd w:val="clear" w:color="auto" w:fill="FFF2CC" w:themeFill="accent4" w:themeFillTint="33"/>
          </w:tcPr>
          <w:p w14:paraId="58F49268" w14:textId="77777777" w:rsidR="00195194" w:rsidRPr="00B30084" w:rsidRDefault="00195194" w:rsidP="00B12AD9">
            <w:pPr>
              <w:ind w:left="90"/>
              <w:rPr>
                <w:rFonts w:ascii="Times New Roman" w:hAnsi="Times New Roman" w:cs="Times New Roman"/>
                <w:sz w:val="20"/>
                <w:szCs w:val="20"/>
                <w:lang w:val="sr-Cyrl-RS"/>
              </w:rPr>
            </w:pPr>
          </w:p>
        </w:tc>
        <w:tc>
          <w:tcPr>
            <w:tcW w:w="778" w:type="pct"/>
            <w:vMerge/>
            <w:shd w:val="clear" w:color="auto" w:fill="FFF2CC" w:themeFill="accent4" w:themeFillTint="33"/>
          </w:tcPr>
          <w:p w14:paraId="39A17221" w14:textId="77777777" w:rsidR="00195194" w:rsidRPr="00B30084" w:rsidRDefault="00195194" w:rsidP="00B12AD9">
            <w:pPr>
              <w:ind w:left="90"/>
              <w:jc w:val="center"/>
              <w:rPr>
                <w:rFonts w:ascii="Times New Roman" w:hAnsi="Times New Roman" w:cs="Times New Roman"/>
                <w:sz w:val="20"/>
                <w:szCs w:val="20"/>
                <w:lang w:val="sr-Cyrl-RS"/>
              </w:rPr>
            </w:pPr>
          </w:p>
        </w:tc>
        <w:tc>
          <w:tcPr>
            <w:tcW w:w="1003" w:type="pct"/>
            <w:vMerge/>
            <w:shd w:val="clear" w:color="auto" w:fill="FFF2CC" w:themeFill="accent4" w:themeFillTint="33"/>
          </w:tcPr>
          <w:p w14:paraId="01A4275F" w14:textId="77777777" w:rsidR="00195194" w:rsidRPr="00B30084" w:rsidRDefault="00195194" w:rsidP="00B12AD9">
            <w:pPr>
              <w:ind w:left="90"/>
              <w:jc w:val="center"/>
              <w:rPr>
                <w:rFonts w:ascii="Times New Roman" w:hAnsi="Times New Roman" w:cs="Times New Roman"/>
                <w:sz w:val="20"/>
                <w:szCs w:val="20"/>
                <w:lang w:val="sr-Cyrl-RS"/>
              </w:rPr>
            </w:pPr>
          </w:p>
        </w:tc>
      </w:tr>
      <w:tr w:rsidR="00195194" w:rsidRPr="00B30084" w14:paraId="336345C1" w14:textId="77777777" w:rsidTr="00B12AD9">
        <w:trPr>
          <w:trHeight w:val="1471"/>
        </w:trPr>
        <w:tc>
          <w:tcPr>
            <w:tcW w:w="1552" w:type="pct"/>
            <w:tcBorders>
              <w:left w:val="double" w:sz="4" w:space="0" w:color="auto"/>
            </w:tcBorders>
          </w:tcPr>
          <w:p w14:paraId="05967F6F" w14:textId="6773A792" w:rsidR="00195194"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 xml:space="preserve">.1.1. Доношење новог Закона о тржишту капитала, у циљу усклађивања са правним тековинама ЕУ и постизања статуса МИФИД </w:t>
            </w:r>
            <w:r w:rsidR="00195194" w:rsidRPr="00B30084">
              <w:rPr>
                <w:rFonts w:ascii="Times New Roman" w:hAnsi="Times New Roman" w:cs="Times New Roman"/>
                <w:sz w:val="20"/>
                <w:szCs w:val="20"/>
              </w:rPr>
              <w:t xml:space="preserve">II </w:t>
            </w:r>
            <w:r w:rsidR="00195194" w:rsidRPr="00B30084">
              <w:rPr>
                <w:rFonts w:ascii="Times New Roman" w:hAnsi="Times New Roman" w:cs="Times New Roman"/>
                <w:sz w:val="20"/>
                <w:szCs w:val="20"/>
                <w:lang w:val="sr-Cyrl-RS"/>
              </w:rPr>
              <w:t>налик тржишта</w:t>
            </w:r>
          </w:p>
        </w:tc>
        <w:tc>
          <w:tcPr>
            <w:tcW w:w="833" w:type="pct"/>
          </w:tcPr>
          <w:p w14:paraId="79A37D1B"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p w14:paraId="10036AB6"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p>
        </w:tc>
        <w:tc>
          <w:tcPr>
            <w:tcW w:w="834" w:type="pct"/>
          </w:tcPr>
          <w:p w14:paraId="6E218794"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КХоВ, ЦРХоВ, </w:t>
            </w:r>
            <w:proofErr w:type="spellStart"/>
            <w:r w:rsidRPr="00B30084">
              <w:rPr>
                <w:rFonts w:ascii="Times New Roman" w:hAnsi="Times New Roman" w:cs="Times New Roman"/>
                <w:sz w:val="20"/>
                <w:szCs w:val="20"/>
                <w:lang w:val="sr-Cyrl-RS"/>
              </w:rPr>
              <w:t>Мприв</w:t>
            </w:r>
            <w:proofErr w:type="spellEnd"/>
            <w:r w:rsidRPr="00B30084">
              <w:rPr>
                <w:rFonts w:ascii="Times New Roman" w:hAnsi="Times New Roman" w:cs="Times New Roman"/>
                <w:sz w:val="20"/>
                <w:szCs w:val="20"/>
                <w:lang w:val="sr-Cyrl-RS"/>
              </w:rPr>
              <w:t>, УЈД, ББ, НБС</w:t>
            </w:r>
          </w:p>
        </w:tc>
        <w:tc>
          <w:tcPr>
            <w:tcW w:w="778" w:type="pct"/>
          </w:tcPr>
          <w:p w14:paraId="175B3334" w14:textId="77777777" w:rsidR="00195194" w:rsidRPr="00EC249E" w:rsidRDefault="00195194" w:rsidP="00B12AD9">
            <w:pPr>
              <w:shd w:val="clear" w:color="auto" w:fill="FFFFFF" w:themeFill="background1"/>
              <w:rPr>
                <w:rFonts w:ascii="Times New Roman" w:hAnsi="Times New Roman" w:cs="Times New Roman"/>
                <w:sz w:val="20"/>
                <w:szCs w:val="20"/>
                <w:lang w:val="sr-Cyrl-RS"/>
              </w:rPr>
            </w:pPr>
            <w:r w:rsidRPr="00EC249E">
              <w:rPr>
                <w:rFonts w:ascii="Times New Roman" w:hAnsi="Times New Roman" w:cs="Times New Roman"/>
                <w:sz w:val="20"/>
                <w:szCs w:val="20"/>
                <w:lang w:val="sr-Cyrl-RS"/>
              </w:rPr>
              <w:t>31/03/22</w:t>
            </w:r>
          </w:p>
        </w:tc>
        <w:tc>
          <w:tcPr>
            <w:tcW w:w="1003" w:type="pct"/>
          </w:tcPr>
          <w:p w14:paraId="20C7FDE0"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r>
      <w:tr w:rsidR="00195194" w:rsidRPr="00B30084" w14:paraId="6D54F01C" w14:textId="77777777" w:rsidTr="00B12AD9">
        <w:trPr>
          <w:trHeight w:val="1246"/>
        </w:trPr>
        <w:tc>
          <w:tcPr>
            <w:tcW w:w="1552" w:type="pct"/>
            <w:tcBorders>
              <w:left w:val="double" w:sz="4" w:space="0" w:color="auto"/>
            </w:tcBorders>
          </w:tcPr>
          <w:p w14:paraId="0277CC9E" w14:textId="47765691" w:rsidR="00195194"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.1.2.  Доношење новог Закона о преузимању акционарских друштава</w:t>
            </w:r>
          </w:p>
        </w:tc>
        <w:tc>
          <w:tcPr>
            <w:tcW w:w="833" w:type="pct"/>
          </w:tcPr>
          <w:p w14:paraId="48F17229"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w:t>
            </w:r>
          </w:p>
        </w:tc>
        <w:tc>
          <w:tcPr>
            <w:tcW w:w="834" w:type="pct"/>
          </w:tcPr>
          <w:p w14:paraId="71B5618A"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778" w:type="pct"/>
          </w:tcPr>
          <w:p w14:paraId="566BE963" w14:textId="77777777" w:rsidR="00195194" w:rsidRPr="00EC249E" w:rsidRDefault="00195194" w:rsidP="00B12AD9">
            <w:pPr>
              <w:shd w:val="clear" w:color="auto" w:fill="FFFFFF" w:themeFill="background1"/>
              <w:rPr>
                <w:rFonts w:ascii="Times New Roman" w:hAnsi="Times New Roman" w:cs="Times New Roman"/>
                <w:sz w:val="20"/>
                <w:szCs w:val="20"/>
                <w:lang w:val="sr-Cyrl-RS"/>
              </w:rPr>
            </w:pPr>
            <w:r w:rsidRPr="00EC249E">
              <w:rPr>
                <w:rFonts w:ascii="Times New Roman" w:hAnsi="Times New Roman" w:cs="Times New Roman"/>
                <w:sz w:val="20"/>
                <w:szCs w:val="20"/>
                <w:lang w:val="sr-Cyrl-RS"/>
              </w:rPr>
              <w:t>31/03/22</w:t>
            </w:r>
          </w:p>
        </w:tc>
        <w:tc>
          <w:tcPr>
            <w:tcW w:w="1003" w:type="pct"/>
          </w:tcPr>
          <w:p w14:paraId="04E5575B"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r>
      <w:tr w:rsidR="00195194" w:rsidRPr="00B30084" w14:paraId="6CEDD342" w14:textId="77777777" w:rsidTr="00B12AD9">
        <w:trPr>
          <w:trHeight w:val="156"/>
        </w:trPr>
        <w:tc>
          <w:tcPr>
            <w:tcW w:w="1552" w:type="pct"/>
            <w:tcBorders>
              <w:left w:val="double" w:sz="4" w:space="0" w:color="auto"/>
            </w:tcBorders>
          </w:tcPr>
          <w:p w14:paraId="6E8C48E5" w14:textId="5733CAF2" w:rsidR="00195194"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 xml:space="preserve">.1.3. Измене и допуне Закона о привредним друштвима </w:t>
            </w:r>
          </w:p>
        </w:tc>
        <w:tc>
          <w:tcPr>
            <w:tcW w:w="833" w:type="pct"/>
          </w:tcPr>
          <w:p w14:paraId="16D57A98"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proofErr w:type="spellStart"/>
            <w:r w:rsidRPr="00B30084">
              <w:rPr>
                <w:rFonts w:ascii="Times New Roman" w:hAnsi="Times New Roman" w:cs="Times New Roman"/>
                <w:sz w:val="20"/>
                <w:szCs w:val="20"/>
                <w:lang w:val="sr-Cyrl-RS"/>
              </w:rPr>
              <w:t>Мприв</w:t>
            </w:r>
            <w:proofErr w:type="spellEnd"/>
          </w:p>
        </w:tc>
        <w:tc>
          <w:tcPr>
            <w:tcW w:w="834" w:type="pct"/>
          </w:tcPr>
          <w:p w14:paraId="16CCE75F"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778" w:type="pct"/>
          </w:tcPr>
          <w:p w14:paraId="4DD4EC4C"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31/12/21</w:t>
            </w:r>
          </w:p>
        </w:tc>
        <w:tc>
          <w:tcPr>
            <w:tcW w:w="1003" w:type="pct"/>
          </w:tcPr>
          <w:p w14:paraId="7C79EFB4"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r>
      <w:tr w:rsidR="00195194" w:rsidRPr="00B30084" w14:paraId="44637868" w14:textId="77777777" w:rsidTr="00B12AD9">
        <w:trPr>
          <w:trHeight w:val="156"/>
        </w:trPr>
        <w:tc>
          <w:tcPr>
            <w:tcW w:w="1552" w:type="pct"/>
            <w:tcBorders>
              <w:left w:val="double" w:sz="4" w:space="0" w:color="auto"/>
            </w:tcBorders>
          </w:tcPr>
          <w:p w14:paraId="7ACE8961" w14:textId="01CDBE46" w:rsidR="00195194"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 xml:space="preserve">.1.4. Измене и допуне Закона о </w:t>
            </w:r>
            <w:proofErr w:type="spellStart"/>
            <w:r w:rsidR="00195194" w:rsidRPr="00B30084">
              <w:rPr>
                <w:rFonts w:ascii="Times New Roman" w:hAnsi="Times New Roman" w:cs="Times New Roman"/>
                <w:sz w:val="20"/>
                <w:szCs w:val="20"/>
                <w:lang w:val="sr-Cyrl-RS"/>
              </w:rPr>
              <w:t>факторингу</w:t>
            </w:r>
            <w:proofErr w:type="spellEnd"/>
            <w:r w:rsidR="00195194" w:rsidRPr="00B30084">
              <w:rPr>
                <w:rFonts w:ascii="Times New Roman" w:hAnsi="Times New Roman" w:cs="Times New Roman"/>
                <w:sz w:val="20"/>
                <w:szCs w:val="20"/>
                <w:lang w:val="sr-Cyrl-RS"/>
              </w:rPr>
              <w:t xml:space="preserve"> </w:t>
            </w:r>
          </w:p>
        </w:tc>
        <w:tc>
          <w:tcPr>
            <w:tcW w:w="833" w:type="pct"/>
          </w:tcPr>
          <w:p w14:paraId="6079388F"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257BBC90"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НБС</w:t>
            </w:r>
          </w:p>
        </w:tc>
        <w:tc>
          <w:tcPr>
            <w:tcW w:w="778" w:type="pct"/>
          </w:tcPr>
          <w:p w14:paraId="16FDA865"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31/03/22</w:t>
            </w:r>
          </w:p>
        </w:tc>
        <w:tc>
          <w:tcPr>
            <w:tcW w:w="1003" w:type="pct"/>
          </w:tcPr>
          <w:p w14:paraId="1C31FA7E"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r>
      <w:tr w:rsidR="00195194" w:rsidRPr="00B30084" w14:paraId="5B3C00DD" w14:textId="77777777" w:rsidTr="00B12AD9">
        <w:trPr>
          <w:trHeight w:val="156"/>
        </w:trPr>
        <w:tc>
          <w:tcPr>
            <w:tcW w:w="1552" w:type="pct"/>
            <w:tcBorders>
              <w:left w:val="double" w:sz="4" w:space="0" w:color="auto"/>
            </w:tcBorders>
          </w:tcPr>
          <w:p w14:paraId="370F164F" w14:textId="4DD67194" w:rsidR="00195194" w:rsidRPr="00B30084" w:rsidRDefault="00693ECC" w:rsidP="00B12AD9">
            <w:pPr>
              <w:shd w:val="clear" w:color="auto" w:fill="FFFFFF" w:themeFill="background1"/>
              <w:rPr>
                <w:rFonts w:ascii="Times New Roman" w:hAnsi="Times New Roman" w:cs="Times New Roman"/>
                <w:sz w:val="20"/>
                <w:szCs w:val="20"/>
                <w:lang w:val="sr-Latn-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 xml:space="preserve">.1.5. Доношење Закона о групном финансирању </w:t>
            </w:r>
          </w:p>
        </w:tc>
        <w:tc>
          <w:tcPr>
            <w:tcW w:w="833" w:type="pct"/>
          </w:tcPr>
          <w:p w14:paraId="58D79716"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НБС</w:t>
            </w:r>
          </w:p>
        </w:tc>
        <w:tc>
          <w:tcPr>
            <w:tcW w:w="834" w:type="pct"/>
          </w:tcPr>
          <w:p w14:paraId="61CBFE48"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Мфин, </w:t>
            </w:r>
            <w:proofErr w:type="spellStart"/>
            <w:r w:rsidRPr="00B30084">
              <w:rPr>
                <w:rFonts w:ascii="Times New Roman" w:hAnsi="Times New Roman" w:cs="Times New Roman"/>
                <w:sz w:val="20"/>
                <w:szCs w:val="20"/>
                <w:lang w:val="sr-Cyrl-RS"/>
              </w:rPr>
              <w:t>Мприв</w:t>
            </w:r>
            <w:proofErr w:type="spellEnd"/>
          </w:p>
        </w:tc>
        <w:tc>
          <w:tcPr>
            <w:tcW w:w="778" w:type="pct"/>
          </w:tcPr>
          <w:p w14:paraId="69E70172"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30/06/22</w:t>
            </w:r>
          </w:p>
        </w:tc>
        <w:tc>
          <w:tcPr>
            <w:tcW w:w="1003" w:type="pct"/>
          </w:tcPr>
          <w:p w14:paraId="5E2F64D4"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r>
      <w:tr w:rsidR="00195194" w:rsidRPr="00B30084" w14:paraId="61EF0C84" w14:textId="77777777" w:rsidTr="00B12AD9">
        <w:trPr>
          <w:trHeight w:val="156"/>
        </w:trPr>
        <w:tc>
          <w:tcPr>
            <w:tcW w:w="1552" w:type="pct"/>
            <w:tcBorders>
              <w:left w:val="double" w:sz="4" w:space="0" w:color="auto"/>
            </w:tcBorders>
          </w:tcPr>
          <w:p w14:paraId="27FA150C" w14:textId="157303C4" w:rsidR="00195194"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.1.6. Израда анализе ефеката увођења мултилатералног поравнања у Републици Србији</w:t>
            </w:r>
          </w:p>
        </w:tc>
        <w:tc>
          <w:tcPr>
            <w:tcW w:w="833" w:type="pct"/>
          </w:tcPr>
          <w:p w14:paraId="40064361"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4B53A7CB"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c>
          <w:tcPr>
            <w:tcW w:w="778" w:type="pct"/>
          </w:tcPr>
          <w:p w14:paraId="6359027E"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31/12/21</w:t>
            </w:r>
          </w:p>
        </w:tc>
        <w:tc>
          <w:tcPr>
            <w:tcW w:w="1003" w:type="pct"/>
          </w:tcPr>
          <w:p w14:paraId="68C17D41"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w:t>
            </w:r>
          </w:p>
        </w:tc>
      </w:tr>
      <w:tr w:rsidR="00195194" w:rsidRPr="00B30084" w14:paraId="00D92C72" w14:textId="77777777" w:rsidTr="00B12AD9">
        <w:trPr>
          <w:trHeight w:val="156"/>
        </w:trPr>
        <w:tc>
          <w:tcPr>
            <w:tcW w:w="1552" w:type="pct"/>
            <w:tcBorders>
              <w:left w:val="double" w:sz="4" w:space="0" w:color="auto"/>
            </w:tcBorders>
          </w:tcPr>
          <w:p w14:paraId="2ABFFEFE" w14:textId="74A62683" w:rsidR="00195194" w:rsidRPr="00B30084" w:rsidRDefault="00693ECC" w:rsidP="00B12AD9">
            <w:pPr>
              <w:shd w:val="clear" w:color="auto" w:fill="FFFFFF" w:themeFill="background1"/>
              <w:rPr>
                <w:rFonts w:ascii="Times New Roman" w:hAnsi="Times New Roman" w:cs="Times New Roman"/>
                <w:sz w:val="20"/>
                <w:szCs w:val="20"/>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.1.7. Усклађивање свих осталих закона на које утичу измене</w:t>
            </w:r>
          </w:p>
        </w:tc>
        <w:tc>
          <w:tcPr>
            <w:tcW w:w="833" w:type="pct"/>
          </w:tcPr>
          <w:p w14:paraId="22A6245A"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5ACD4E83"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proofErr w:type="spellStart"/>
            <w:r w:rsidRPr="00B30084">
              <w:rPr>
                <w:rFonts w:ascii="Times New Roman" w:hAnsi="Times New Roman" w:cs="Times New Roman"/>
                <w:sz w:val="20"/>
                <w:szCs w:val="20"/>
                <w:lang w:val="sr-Cyrl-RS"/>
              </w:rPr>
              <w:t>Мприв</w:t>
            </w:r>
            <w:proofErr w:type="spellEnd"/>
            <w:r w:rsidRPr="00B30084">
              <w:rPr>
                <w:rFonts w:ascii="Times New Roman" w:hAnsi="Times New Roman" w:cs="Times New Roman"/>
                <w:sz w:val="20"/>
                <w:szCs w:val="20"/>
                <w:lang w:val="sr-Cyrl-RS"/>
              </w:rPr>
              <w:t>, НБС, КХоВ, ЦРХоВ, УЈД, и други</w:t>
            </w:r>
          </w:p>
        </w:tc>
        <w:tc>
          <w:tcPr>
            <w:tcW w:w="778" w:type="pct"/>
          </w:tcPr>
          <w:p w14:paraId="1149CBD0"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31/03/21</w:t>
            </w:r>
          </w:p>
        </w:tc>
        <w:tc>
          <w:tcPr>
            <w:tcW w:w="1003" w:type="pct"/>
          </w:tcPr>
          <w:p w14:paraId="571CA455"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r>
    </w:tbl>
    <w:p w14:paraId="71CBBB1F" w14:textId="77777777" w:rsidR="00F3603E" w:rsidRDefault="00F3603E" w:rsidP="00693ECC">
      <w:pPr>
        <w:spacing w:line="276" w:lineRule="auto"/>
        <w:ind w:firstLine="720"/>
        <w:jc w:val="both"/>
        <w:rPr>
          <w:rFonts w:ascii="Times New Roman" w:hAnsi="Times New Roman" w:cs="Times New Roman"/>
          <w:sz w:val="24"/>
          <w:szCs w:val="24"/>
          <w:lang w:val="sr-Cyrl-RS"/>
        </w:rPr>
      </w:pPr>
    </w:p>
    <w:p w14:paraId="41910C73" w14:textId="30555DB4"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Регулаторни оквир који се односи на тржиште капитала пролази кроз свеобухватно унапређивање, </w:t>
      </w:r>
      <w:r w:rsidRPr="00B30084">
        <w:rPr>
          <w:rFonts w:ascii="Times New Roman" w:hAnsi="Times New Roman" w:cs="Times New Roman"/>
          <w:bCs/>
          <w:color w:val="000000"/>
          <w:sz w:val="24"/>
          <w:szCs w:val="24"/>
          <w:lang w:val="sr-Cyrl-RS"/>
        </w:rPr>
        <w:t>јер</w:t>
      </w:r>
      <w:r w:rsidRPr="00B30084">
        <w:rPr>
          <w:rFonts w:ascii="Times New Roman" w:hAnsi="Times New Roman" w:cs="Times New Roman"/>
          <w:sz w:val="24"/>
          <w:szCs w:val="24"/>
          <w:lang w:val="sr-Cyrl-RS"/>
        </w:rPr>
        <w:t xml:space="preserve"> је у поступку хармонизације са </w:t>
      </w:r>
      <w:r w:rsidR="00F3603E">
        <w:rPr>
          <w:rFonts w:ascii="Times New Roman" w:hAnsi="Times New Roman" w:cs="Times New Roman"/>
          <w:sz w:val="24"/>
          <w:szCs w:val="24"/>
          <w:lang w:val="sr-Cyrl-RS"/>
        </w:rPr>
        <w:t>регулативом</w:t>
      </w:r>
      <w:r w:rsidRPr="00B30084">
        <w:rPr>
          <w:rFonts w:ascii="Times New Roman" w:hAnsi="Times New Roman" w:cs="Times New Roman"/>
          <w:sz w:val="24"/>
          <w:szCs w:val="24"/>
          <w:lang w:val="sr-Cyrl-RS"/>
        </w:rPr>
        <w:t xml:space="preserve"> ЕУ. Циљ свих активности </w:t>
      </w:r>
      <w:r w:rsidR="003A5B17">
        <w:rPr>
          <w:rFonts w:ascii="Times New Roman" w:hAnsi="Times New Roman" w:cs="Times New Roman"/>
          <w:sz w:val="24"/>
          <w:szCs w:val="24"/>
          <w:lang w:val="sr-Cyrl-RS"/>
        </w:rPr>
        <w:t>у вези са</w:t>
      </w:r>
      <w:r w:rsidRPr="00B30084">
        <w:rPr>
          <w:rFonts w:ascii="Times New Roman" w:hAnsi="Times New Roman" w:cs="Times New Roman"/>
          <w:sz w:val="24"/>
          <w:szCs w:val="24"/>
          <w:lang w:val="sr-Cyrl-RS"/>
        </w:rPr>
        <w:t xml:space="preserve"> </w:t>
      </w:r>
      <w:r w:rsidR="003A5B17">
        <w:rPr>
          <w:rFonts w:ascii="Times New Roman" w:hAnsi="Times New Roman" w:cs="Times New Roman"/>
          <w:sz w:val="24"/>
          <w:szCs w:val="24"/>
          <w:lang w:val="sr-Cyrl-RS"/>
        </w:rPr>
        <w:t>унапређењем</w:t>
      </w:r>
      <w:r w:rsidRPr="00B30084">
        <w:rPr>
          <w:rFonts w:ascii="Times New Roman" w:hAnsi="Times New Roman" w:cs="Times New Roman"/>
          <w:sz w:val="24"/>
          <w:szCs w:val="24"/>
          <w:lang w:val="sr-Cyrl-RS"/>
        </w:rPr>
        <w:t xml:space="preserve"> регулаторног оквира јесте постиза</w:t>
      </w:r>
      <w:r w:rsidR="003A5B17">
        <w:rPr>
          <w:rFonts w:ascii="Times New Roman" w:hAnsi="Times New Roman" w:cs="Times New Roman"/>
          <w:sz w:val="24"/>
          <w:szCs w:val="24"/>
          <w:lang w:val="sr-Cyrl-RS"/>
        </w:rPr>
        <w:t>њ</w:t>
      </w:r>
      <w:r w:rsidRPr="00B30084">
        <w:rPr>
          <w:rFonts w:ascii="Times New Roman" w:hAnsi="Times New Roman" w:cs="Times New Roman"/>
          <w:sz w:val="24"/>
          <w:szCs w:val="24"/>
          <w:lang w:val="sr-Cyrl-RS"/>
        </w:rPr>
        <w:t xml:space="preserve">е статуса МИФИД </w:t>
      </w:r>
      <w:r w:rsidRPr="00B30084">
        <w:rPr>
          <w:rFonts w:ascii="Times New Roman" w:hAnsi="Times New Roman" w:cs="Times New Roman"/>
          <w:sz w:val="24"/>
          <w:szCs w:val="24"/>
        </w:rPr>
        <w:t xml:space="preserve">II </w:t>
      </w:r>
      <w:r w:rsidRPr="00B30084">
        <w:rPr>
          <w:rFonts w:ascii="Times New Roman" w:hAnsi="Times New Roman" w:cs="Times New Roman"/>
          <w:sz w:val="24"/>
          <w:szCs w:val="24"/>
          <w:lang w:val="sr-Cyrl-RS"/>
        </w:rPr>
        <w:t xml:space="preserve">тржишта, које </w:t>
      </w:r>
      <w:r w:rsidRPr="00B30084">
        <w:rPr>
          <w:rFonts w:ascii="Times New Roman" w:hAnsi="Times New Roman" w:cs="Times New Roman"/>
          <w:sz w:val="24"/>
          <w:szCs w:val="24"/>
          <w:lang w:val="sr-Cyrl-RS"/>
        </w:rPr>
        <w:lastRenderedPageBreak/>
        <w:t xml:space="preserve">је предуслов за привлачење домаћих и међународних институционалних инвеститора, и боље, транспарентније и ефикасније </w:t>
      </w:r>
      <w:proofErr w:type="spellStart"/>
      <w:r w:rsidR="00F3603E">
        <w:rPr>
          <w:rFonts w:ascii="Times New Roman" w:hAnsi="Times New Roman" w:cs="Times New Roman"/>
          <w:sz w:val="24"/>
          <w:szCs w:val="24"/>
          <w:lang w:val="sr-Cyrl-RS"/>
        </w:rPr>
        <w:t>фунционисање</w:t>
      </w:r>
      <w:proofErr w:type="spellEnd"/>
      <w:r w:rsidR="00F3603E">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t>тржишт</w:t>
      </w:r>
      <w:r w:rsidR="00F3603E">
        <w:rPr>
          <w:rFonts w:ascii="Times New Roman" w:hAnsi="Times New Roman" w:cs="Times New Roman"/>
          <w:sz w:val="24"/>
          <w:szCs w:val="24"/>
          <w:lang w:val="sr-Cyrl-RS"/>
        </w:rPr>
        <w:t>а</w:t>
      </w:r>
      <w:r w:rsidRPr="00B30084">
        <w:rPr>
          <w:rFonts w:ascii="Times New Roman" w:hAnsi="Times New Roman" w:cs="Times New Roman"/>
          <w:sz w:val="24"/>
          <w:szCs w:val="24"/>
          <w:lang w:val="sr-Cyrl-RS"/>
        </w:rPr>
        <w:t xml:space="preserve"> капита</w:t>
      </w:r>
      <w:r w:rsidR="006A5925" w:rsidRPr="00B30084">
        <w:rPr>
          <w:rFonts w:ascii="Times New Roman" w:hAnsi="Times New Roman" w:cs="Times New Roman"/>
          <w:sz w:val="24"/>
          <w:szCs w:val="24"/>
          <w:lang w:val="sr-Cyrl-RS"/>
        </w:rPr>
        <w:t>л</w:t>
      </w:r>
      <w:r w:rsidRPr="00B30084">
        <w:rPr>
          <w:rFonts w:ascii="Times New Roman" w:hAnsi="Times New Roman" w:cs="Times New Roman"/>
          <w:sz w:val="24"/>
          <w:szCs w:val="24"/>
          <w:lang w:val="sr-Cyrl-RS"/>
        </w:rPr>
        <w:t>а. Поред наведеног, Стратегија предвиђа и доношење сета закона који ће омогућити алтернатив</w:t>
      </w:r>
      <w:r w:rsidR="00942D7E">
        <w:rPr>
          <w:rFonts w:ascii="Times New Roman" w:hAnsi="Times New Roman" w:cs="Times New Roman"/>
          <w:sz w:val="24"/>
          <w:szCs w:val="24"/>
          <w:lang w:val="sr-Cyrl-RS"/>
        </w:rPr>
        <w:t>н</w:t>
      </w:r>
      <w:r w:rsidRPr="00B30084">
        <w:rPr>
          <w:rFonts w:ascii="Times New Roman" w:hAnsi="Times New Roman" w:cs="Times New Roman"/>
          <w:sz w:val="24"/>
          <w:szCs w:val="24"/>
          <w:lang w:val="sr-Cyrl-RS"/>
        </w:rPr>
        <w:t xml:space="preserve">е изворе финансирања привредним субјектима у развоју, у циљу </w:t>
      </w:r>
      <w:r w:rsidR="00E90631">
        <w:rPr>
          <w:rFonts w:ascii="Times New Roman" w:hAnsi="Times New Roman" w:cs="Times New Roman"/>
          <w:sz w:val="24"/>
          <w:szCs w:val="24"/>
          <w:lang w:val="sr-Cyrl-RS"/>
        </w:rPr>
        <w:t>увођења</w:t>
      </w:r>
      <w:r w:rsidRPr="00B30084">
        <w:rPr>
          <w:rFonts w:ascii="Times New Roman" w:hAnsi="Times New Roman" w:cs="Times New Roman"/>
          <w:sz w:val="24"/>
          <w:szCs w:val="24"/>
          <w:lang w:val="sr-Cyrl-RS"/>
        </w:rPr>
        <w:t xml:space="preserve"> новог тржишног материјала. </w:t>
      </w:r>
    </w:p>
    <w:p w14:paraId="1197415F" w14:textId="77777777" w:rsidR="00195194" w:rsidRPr="00B30084" w:rsidRDefault="00195194" w:rsidP="00842F37">
      <w:pPr>
        <w:pStyle w:val="CommentText"/>
        <w:rPr>
          <w:rFonts w:ascii="Times New Roman" w:hAnsi="Times New Roman" w:cs="Times New Roman"/>
          <w:lang w:val="sr-Cyrl-RS"/>
        </w:rPr>
      </w:pPr>
    </w:p>
    <w:p w14:paraId="7DE28CAD" w14:textId="50614272" w:rsidR="00842F37" w:rsidRPr="00B30084" w:rsidRDefault="00693ECC" w:rsidP="00842F37">
      <w:pPr>
        <w:pStyle w:val="CommentText"/>
        <w:rPr>
          <w:rFonts w:ascii="Times New Roman" w:hAnsi="Times New Roman" w:cs="Times New Roman"/>
          <w:lang w:val="sr-Cyrl-RS"/>
        </w:rPr>
      </w:pPr>
      <w:r w:rsidRPr="00B30084">
        <w:rPr>
          <w:rFonts w:ascii="Times New Roman" w:hAnsi="Times New Roman" w:cs="Times New Roman"/>
          <w:lang w:val="sr-Cyrl-RS"/>
        </w:rPr>
        <w:t>1</w:t>
      </w:r>
      <w:r w:rsidR="00842F37" w:rsidRPr="00B30084">
        <w:rPr>
          <w:rFonts w:ascii="Times New Roman" w:hAnsi="Times New Roman" w:cs="Times New Roman"/>
          <w:lang w:val="sr-Cyrl-RS"/>
        </w:rPr>
        <w:t>.2. Унапређење институционалног оквира</w:t>
      </w:r>
    </w:p>
    <w:tbl>
      <w:tblPr>
        <w:tblStyle w:val="TableGrid"/>
        <w:tblW w:w="5382" w:type="pct"/>
        <w:tblInd w:w="-465" w:type="dxa"/>
        <w:tblLayout w:type="fixed"/>
        <w:tblLook w:val="04A0" w:firstRow="1" w:lastRow="0" w:firstColumn="1" w:lastColumn="0" w:noHBand="0" w:noVBand="1"/>
      </w:tblPr>
      <w:tblGrid>
        <w:gridCol w:w="3136"/>
        <w:gridCol w:w="1683"/>
        <w:gridCol w:w="1685"/>
        <w:gridCol w:w="1572"/>
        <w:gridCol w:w="2027"/>
      </w:tblGrid>
      <w:tr w:rsidR="00195194" w:rsidRPr="00B30084" w14:paraId="35D05DCE" w14:textId="77777777" w:rsidTr="00B12AD9">
        <w:trPr>
          <w:trHeight w:val="230"/>
        </w:trPr>
        <w:tc>
          <w:tcPr>
            <w:tcW w:w="1552" w:type="pct"/>
            <w:vMerge w:val="restart"/>
            <w:tcBorders>
              <w:top w:val="double" w:sz="4" w:space="0" w:color="auto"/>
              <w:left w:val="double" w:sz="4" w:space="0" w:color="auto"/>
            </w:tcBorders>
            <w:shd w:val="clear" w:color="auto" w:fill="FFF2CC" w:themeFill="accent4" w:themeFillTint="33"/>
          </w:tcPr>
          <w:p w14:paraId="56BA9DD4" w14:textId="4D5C98AD" w:rsidR="00195194" w:rsidRPr="00B30084" w:rsidRDefault="00195194" w:rsidP="00195194">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Назив активности:</w:t>
            </w:r>
          </w:p>
        </w:tc>
        <w:tc>
          <w:tcPr>
            <w:tcW w:w="833" w:type="pct"/>
            <w:vMerge w:val="restart"/>
            <w:tcBorders>
              <w:top w:val="double" w:sz="4" w:space="0" w:color="auto"/>
            </w:tcBorders>
            <w:shd w:val="clear" w:color="auto" w:fill="FFF2CC" w:themeFill="accent4" w:themeFillTint="33"/>
          </w:tcPr>
          <w:p w14:paraId="5045B51E" w14:textId="77777777" w:rsidR="00195194" w:rsidRPr="00B30084" w:rsidRDefault="00195194"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Орган који спроводи меру</w:t>
            </w:r>
          </w:p>
        </w:tc>
        <w:tc>
          <w:tcPr>
            <w:tcW w:w="834" w:type="pct"/>
            <w:vMerge w:val="restart"/>
            <w:tcBorders>
              <w:top w:val="double" w:sz="4" w:space="0" w:color="auto"/>
            </w:tcBorders>
            <w:shd w:val="clear" w:color="auto" w:fill="FFF2CC" w:themeFill="accent4" w:themeFillTint="33"/>
          </w:tcPr>
          <w:p w14:paraId="1D421758" w14:textId="77777777" w:rsidR="00195194" w:rsidRPr="00B30084" w:rsidRDefault="00195194"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Органи партнери у спровођењу </w:t>
            </w:r>
          </w:p>
        </w:tc>
        <w:tc>
          <w:tcPr>
            <w:tcW w:w="778" w:type="pct"/>
            <w:vMerge w:val="restart"/>
            <w:tcBorders>
              <w:top w:val="double" w:sz="4" w:space="0" w:color="auto"/>
            </w:tcBorders>
            <w:shd w:val="clear" w:color="auto" w:fill="FFF2CC" w:themeFill="accent4" w:themeFillTint="33"/>
          </w:tcPr>
          <w:p w14:paraId="0B863D79" w14:textId="77777777" w:rsidR="00195194" w:rsidRPr="00B30084" w:rsidRDefault="00195194"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Рок за завршетак мере</w:t>
            </w:r>
          </w:p>
        </w:tc>
        <w:tc>
          <w:tcPr>
            <w:tcW w:w="1003" w:type="pct"/>
            <w:vMerge w:val="restart"/>
            <w:tcBorders>
              <w:top w:val="double" w:sz="4" w:space="0" w:color="auto"/>
            </w:tcBorders>
            <w:shd w:val="clear" w:color="auto" w:fill="FFF2CC" w:themeFill="accent4" w:themeFillTint="33"/>
          </w:tcPr>
          <w:p w14:paraId="37F10EC5" w14:textId="77777777" w:rsidR="00195194" w:rsidRPr="00B30084" w:rsidRDefault="00195194" w:rsidP="00B12AD9">
            <w:pPr>
              <w:ind w:left="90"/>
              <w:jc w:val="center"/>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финансирања</w:t>
            </w:r>
          </w:p>
        </w:tc>
      </w:tr>
      <w:tr w:rsidR="00195194" w:rsidRPr="00B30084" w14:paraId="2758F8A4" w14:textId="77777777" w:rsidTr="00B12AD9">
        <w:trPr>
          <w:trHeight w:val="322"/>
        </w:trPr>
        <w:tc>
          <w:tcPr>
            <w:tcW w:w="1552" w:type="pct"/>
            <w:vMerge/>
            <w:tcBorders>
              <w:left w:val="double" w:sz="4" w:space="0" w:color="auto"/>
            </w:tcBorders>
            <w:shd w:val="clear" w:color="auto" w:fill="FFF2CC" w:themeFill="accent4" w:themeFillTint="33"/>
          </w:tcPr>
          <w:p w14:paraId="15AB7132" w14:textId="77777777" w:rsidR="00195194" w:rsidRPr="00B30084" w:rsidRDefault="00195194" w:rsidP="00B12AD9">
            <w:pPr>
              <w:ind w:left="90"/>
              <w:rPr>
                <w:rFonts w:ascii="Times New Roman" w:hAnsi="Times New Roman" w:cs="Times New Roman"/>
                <w:sz w:val="20"/>
                <w:szCs w:val="20"/>
                <w:lang w:val="sr-Cyrl-RS"/>
              </w:rPr>
            </w:pPr>
          </w:p>
        </w:tc>
        <w:tc>
          <w:tcPr>
            <w:tcW w:w="833" w:type="pct"/>
            <w:vMerge/>
            <w:shd w:val="clear" w:color="auto" w:fill="FFF2CC" w:themeFill="accent4" w:themeFillTint="33"/>
          </w:tcPr>
          <w:p w14:paraId="6D2237F8" w14:textId="77777777" w:rsidR="00195194" w:rsidRPr="00B30084" w:rsidRDefault="00195194" w:rsidP="00B12AD9">
            <w:pPr>
              <w:ind w:left="90"/>
              <w:rPr>
                <w:rFonts w:ascii="Times New Roman" w:hAnsi="Times New Roman" w:cs="Times New Roman"/>
                <w:sz w:val="20"/>
                <w:szCs w:val="20"/>
                <w:lang w:val="sr-Cyrl-RS"/>
              </w:rPr>
            </w:pPr>
          </w:p>
        </w:tc>
        <w:tc>
          <w:tcPr>
            <w:tcW w:w="834" w:type="pct"/>
            <w:vMerge/>
            <w:shd w:val="clear" w:color="auto" w:fill="FFF2CC" w:themeFill="accent4" w:themeFillTint="33"/>
          </w:tcPr>
          <w:p w14:paraId="54CA16C2" w14:textId="77777777" w:rsidR="00195194" w:rsidRPr="00B30084" w:rsidRDefault="00195194" w:rsidP="00B12AD9">
            <w:pPr>
              <w:ind w:left="90"/>
              <w:rPr>
                <w:rFonts w:ascii="Times New Roman" w:hAnsi="Times New Roman" w:cs="Times New Roman"/>
                <w:sz w:val="20"/>
                <w:szCs w:val="20"/>
                <w:lang w:val="sr-Cyrl-RS"/>
              </w:rPr>
            </w:pPr>
          </w:p>
        </w:tc>
        <w:tc>
          <w:tcPr>
            <w:tcW w:w="778" w:type="pct"/>
            <w:vMerge/>
            <w:shd w:val="clear" w:color="auto" w:fill="FFF2CC" w:themeFill="accent4" w:themeFillTint="33"/>
          </w:tcPr>
          <w:p w14:paraId="67D7FF71" w14:textId="77777777" w:rsidR="00195194" w:rsidRPr="00B30084" w:rsidRDefault="00195194" w:rsidP="00B12AD9">
            <w:pPr>
              <w:ind w:left="90"/>
              <w:jc w:val="center"/>
              <w:rPr>
                <w:rFonts w:ascii="Times New Roman" w:hAnsi="Times New Roman" w:cs="Times New Roman"/>
                <w:sz w:val="20"/>
                <w:szCs w:val="20"/>
                <w:lang w:val="sr-Cyrl-RS"/>
              </w:rPr>
            </w:pPr>
          </w:p>
        </w:tc>
        <w:tc>
          <w:tcPr>
            <w:tcW w:w="1003" w:type="pct"/>
            <w:vMerge/>
            <w:shd w:val="clear" w:color="auto" w:fill="FFF2CC" w:themeFill="accent4" w:themeFillTint="33"/>
          </w:tcPr>
          <w:p w14:paraId="646F92A0" w14:textId="77777777" w:rsidR="00195194" w:rsidRPr="00B30084" w:rsidRDefault="00195194" w:rsidP="00B12AD9">
            <w:pPr>
              <w:ind w:left="90"/>
              <w:jc w:val="center"/>
              <w:rPr>
                <w:rFonts w:ascii="Times New Roman" w:hAnsi="Times New Roman" w:cs="Times New Roman"/>
                <w:sz w:val="20"/>
                <w:szCs w:val="20"/>
                <w:lang w:val="sr-Cyrl-RS"/>
              </w:rPr>
            </w:pPr>
          </w:p>
        </w:tc>
      </w:tr>
      <w:tr w:rsidR="00195194" w:rsidRPr="00B30084" w14:paraId="06079C5B" w14:textId="77777777" w:rsidTr="00B12AD9">
        <w:trPr>
          <w:trHeight w:val="265"/>
        </w:trPr>
        <w:tc>
          <w:tcPr>
            <w:tcW w:w="1552" w:type="pct"/>
            <w:tcBorders>
              <w:left w:val="double" w:sz="4" w:space="0" w:color="auto"/>
            </w:tcBorders>
          </w:tcPr>
          <w:p w14:paraId="1B47705D" w14:textId="2DDFA009" w:rsidR="00195194" w:rsidRPr="00B30084" w:rsidRDefault="00693ECC" w:rsidP="00E8743A">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 xml:space="preserve">.2.1. Свеобухватна анализа пореских прописа и поступака, извештавања, дуплирање пореза, порез на репо и осигуране зајмове, одступања у третману сличних финансијских производа. </w:t>
            </w:r>
          </w:p>
        </w:tc>
        <w:tc>
          <w:tcPr>
            <w:tcW w:w="833" w:type="pct"/>
          </w:tcPr>
          <w:p w14:paraId="1EAE6FE3"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2507119C"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ПУ</w:t>
            </w:r>
          </w:p>
        </w:tc>
        <w:tc>
          <w:tcPr>
            <w:tcW w:w="778" w:type="pct"/>
          </w:tcPr>
          <w:p w14:paraId="1B3B65B7" w14:textId="77777777" w:rsidR="00195194" w:rsidRPr="00EC249E" w:rsidRDefault="00195194" w:rsidP="00B12AD9">
            <w:pPr>
              <w:shd w:val="clear" w:color="auto" w:fill="FFFFFF" w:themeFill="background1"/>
              <w:rPr>
                <w:rFonts w:ascii="Times New Roman" w:hAnsi="Times New Roman" w:cs="Times New Roman"/>
                <w:sz w:val="20"/>
                <w:szCs w:val="20"/>
                <w:highlight w:val="yellow"/>
                <w:lang w:val="sr-Cyrl-RS"/>
              </w:rPr>
            </w:pPr>
            <w:r w:rsidRPr="00EC249E">
              <w:rPr>
                <w:rFonts w:ascii="Times New Roman" w:hAnsi="Times New Roman" w:cs="Times New Roman"/>
                <w:sz w:val="20"/>
                <w:szCs w:val="20"/>
                <w:highlight w:val="yellow"/>
                <w:lang w:val="sr-Cyrl-RS"/>
              </w:rPr>
              <w:t>30/03/22</w:t>
            </w:r>
          </w:p>
        </w:tc>
        <w:tc>
          <w:tcPr>
            <w:tcW w:w="1003" w:type="pct"/>
          </w:tcPr>
          <w:p w14:paraId="50B9E15D" w14:textId="30B2E689" w:rsidR="00195194" w:rsidRPr="00B30084" w:rsidRDefault="00655D3F" w:rsidP="00B12AD9">
            <w:pPr>
              <w:shd w:val="clear" w:color="auto" w:fill="FFFFFF" w:themeFill="background1"/>
              <w:rPr>
                <w:rFonts w:ascii="Times New Roman" w:hAnsi="Times New Roman" w:cs="Times New Roman"/>
                <w:sz w:val="20"/>
                <w:szCs w:val="20"/>
                <w:lang w:val="sr-Cyrl-RS"/>
              </w:rPr>
            </w:pPr>
            <w:r>
              <w:rPr>
                <w:rFonts w:ascii="Times New Roman" w:hAnsi="Times New Roman" w:cs="Times New Roman"/>
                <w:sz w:val="20"/>
                <w:szCs w:val="20"/>
                <w:lang w:val="sr-Cyrl-RS"/>
              </w:rPr>
              <w:t>Донаторска средства</w:t>
            </w:r>
          </w:p>
        </w:tc>
      </w:tr>
      <w:tr w:rsidR="00195194" w:rsidRPr="00B30084" w14:paraId="41DF2ADE" w14:textId="77777777" w:rsidTr="00B12AD9">
        <w:trPr>
          <w:trHeight w:val="355"/>
        </w:trPr>
        <w:tc>
          <w:tcPr>
            <w:tcW w:w="1552" w:type="pct"/>
            <w:tcBorders>
              <w:left w:val="double" w:sz="4" w:space="0" w:color="auto"/>
            </w:tcBorders>
          </w:tcPr>
          <w:p w14:paraId="6D06144A" w14:textId="191D5547" w:rsidR="00195194"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 xml:space="preserve">.2.2. Усвајање свих релевантних подзаконских аката у циљу ефикасне имплементације закона усвојених под тачком 6.1. </w:t>
            </w:r>
          </w:p>
        </w:tc>
        <w:tc>
          <w:tcPr>
            <w:tcW w:w="833" w:type="pct"/>
          </w:tcPr>
          <w:p w14:paraId="1D4554CB"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07D2B79B"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 ЦРХоВ, УЈД, ББ, НБС, ПУ, Агенција за спречавање прања новца и финансирање тероризма</w:t>
            </w:r>
          </w:p>
        </w:tc>
        <w:tc>
          <w:tcPr>
            <w:tcW w:w="778" w:type="pct"/>
          </w:tcPr>
          <w:p w14:paraId="39DA7034" w14:textId="77777777" w:rsidR="00195194" w:rsidRPr="00EC249E" w:rsidRDefault="00195194" w:rsidP="00B12AD9">
            <w:pPr>
              <w:shd w:val="clear" w:color="auto" w:fill="FFFFFF" w:themeFill="background1"/>
              <w:rPr>
                <w:rFonts w:ascii="Times New Roman" w:hAnsi="Times New Roman" w:cs="Times New Roman"/>
                <w:sz w:val="20"/>
                <w:szCs w:val="20"/>
                <w:highlight w:val="yellow"/>
                <w:lang w:val="sr-Cyrl-RS"/>
              </w:rPr>
            </w:pPr>
            <w:r w:rsidRPr="00EC249E">
              <w:rPr>
                <w:rFonts w:ascii="Times New Roman" w:hAnsi="Times New Roman" w:cs="Times New Roman"/>
                <w:sz w:val="20"/>
                <w:szCs w:val="20"/>
                <w:highlight w:val="yellow"/>
                <w:lang w:val="sr-Cyrl-RS"/>
              </w:rPr>
              <w:t>30/09/22</w:t>
            </w:r>
          </w:p>
        </w:tc>
        <w:tc>
          <w:tcPr>
            <w:tcW w:w="1003" w:type="pct"/>
          </w:tcPr>
          <w:p w14:paraId="0C0F4BE4"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r>
      <w:tr w:rsidR="00195194" w:rsidRPr="00B30084" w14:paraId="499E20E5" w14:textId="77777777" w:rsidTr="00B12AD9">
        <w:trPr>
          <w:trHeight w:val="156"/>
        </w:trPr>
        <w:tc>
          <w:tcPr>
            <w:tcW w:w="1552" w:type="pct"/>
            <w:tcBorders>
              <w:left w:val="double" w:sz="4" w:space="0" w:color="auto"/>
            </w:tcBorders>
          </w:tcPr>
          <w:p w14:paraId="297C539A" w14:textId="422FC496" w:rsidR="00195194"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1</w:t>
            </w:r>
            <w:r w:rsidR="00195194" w:rsidRPr="00B30084">
              <w:rPr>
                <w:rFonts w:ascii="Times New Roman" w:hAnsi="Times New Roman" w:cs="Times New Roman"/>
                <w:sz w:val="20"/>
                <w:szCs w:val="20"/>
                <w:lang w:val="sr-Cyrl-RS"/>
              </w:rPr>
              <w:t xml:space="preserve">.2.3. Успостављање посебне јединице за тржиште капитала у циљу праћења реализације стратегије, спровођења не-регулаторних активности, координације </w:t>
            </w:r>
            <w:proofErr w:type="spellStart"/>
            <w:r w:rsidR="00195194" w:rsidRPr="00B30084">
              <w:rPr>
                <w:rFonts w:ascii="Times New Roman" w:hAnsi="Times New Roman" w:cs="Times New Roman"/>
                <w:sz w:val="20"/>
                <w:szCs w:val="20"/>
                <w:lang w:val="sr-Cyrl-RS"/>
              </w:rPr>
              <w:t>међуинституционалне</w:t>
            </w:r>
            <w:proofErr w:type="spellEnd"/>
            <w:r w:rsidR="00195194" w:rsidRPr="00B30084">
              <w:rPr>
                <w:rFonts w:ascii="Times New Roman" w:hAnsi="Times New Roman" w:cs="Times New Roman"/>
                <w:sz w:val="20"/>
                <w:szCs w:val="20"/>
                <w:lang w:val="sr-Cyrl-RS"/>
              </w:rPr>
              <w:t xml:space="preserve"> сарадње, вођења веб платформе, и пружања централизоване подршке учесницима на тржишту </w:t>
            </w:r>
          </w:p>
        </w:tc>
        <w:tc>
          <w:tcPr>
            <w:tcW w:w="833" w:type="pct"/>
          </w:tcPr>
          <w:p w14:paraId="21A00354"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12AC72D4"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 УЈД</w:t>
            </w:r>
          </w:p>
        </w:tc>
        <w:tc>
          <w:tcPr>
            <w:tcW w:w="778" w:type="pct"/>
          </w:tcPr>
          <w:p w14:paraId="7CBDE32A" w14:textId="77777777" w:rsidR="00195194" w:rsidRPr="00B30084" w:rsidRDefault="00195194"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30/09/22</w:t>
            </w:r>
          </w:p>
        </w:tc>
        <w:tc>
          <w:tcPr>
            <w:tcW w:w="1003" w:type="pct"/>
          </w:tcPr>
          <w:p w14:paraId="1BC0AC49" w14:textId="2A8FA5BC" w:rsidR="00195194" w:rsidRPr="00B30084" w:rsidRDefault="00655D3F" w:rsidP="00B12AD9">
            <w:pPr>
              <w:shd w:val="clear" w:color="auto" w:fill="FFFFFF" w:themeFill="background1"/>
              <w:rPr>
                <w:rFonts w:ascii="Times New Roman" w:hAnsi="Times New Roman" w:cs="Times New Roman"/>
                <w:sz w:val="20"/>
                <w:szCs w:val="20"/>
                <w:lang w:val="sr-Cyrl-RS"/>
              </w:rPr>
            </w:pPr>
            <w:r>
              <w:rPr>
                <w:rFonts w:ascii="Times New Roman" w:hAnsi="Times New Roman" w:cs="Times New Roman"/>
                <w:sz w:val="20"/>
                <w:szCs w:val="20"/>
                <w:lang w:val="sr-Cyrl-RS"/>
              </w:rPr>
              <w:t>Донаторска средства</w:t>
            </w:r>
          </w:p>
        </w:tc>
      </w:tr>
    </w:tbl>
    <w:p w14:paraId="27D4F8BD" w14:textId="2AA4C1E3" w:rsidR="00842F37" w:rsidRPr="00B30084" w:rsidRDefault="00842F37" w:rsidP="00842F37">
      <w:pPr>
        <w:pStyle w:val="CommentText"/>
        <w:rPr>
          <w:rFonts w:ascii="Times New Roman" w:hAnsi="Times New Roman" w:cs="Times New Roman"/>
          <w:lang w:val="sr-Cyrl-RS"/>
        </w:rPr>
      </w:pPr>
    </w:p>
    <w:p w14:paraId="16EC199E" w14:textId="77777777" w:rsidR="00CA687B" w:rsidRPr="00B30084" w:rsidRDefault="00CA687B" w:rsidP="00CA687B">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Намера </w:t>
      </w:r>
      <w:r w:rsidRPr="00B30084">
        <w:rPr>
          <w:rFonts w:ascii="Times New Roman" w:hAnsi="Times New Roman" w:cs="Times New Roman"/>
          <w:bCs/>
          <w:color w:val="000000"/>
          <w:sz w:val="24"/>
          <w:szCs w:val="24"/>
          <w:lang w:val="sr-Cyrl-RS"/>
        </w:rPr>
        <w:t>овог</w:t>
      </w:r>
      <w:r w:rsidRPr="00B30084">
        <w:rPr>
          <w:rFonts w:ascii="Times New Roman" w:hAnsi="Times New Roman" w:cs="Times New Roman"/>
          <w:sz w:val="24"/>
          <w:szCs w:val="24"/>
          <w:lang w:val="sr-Cyrl-RS"/>
        </w:rPr>
        <w:t xml:space="preserve"> документа је да осигура да се развије ефикасан</w:t>
      </w:r>
      <w:r>
        <w:rPr>
          <w:rFonts w:ascii="Times New Roman" w:hAnsi="Times New Roman" w:cs="Times New Roman"/>
          <w:sz w:val="24"/>
          <w:szCs w:val="24"/>
          <w:lang w:val="sr-Latn-RS"/>
        </w:rPr>
        <w:t>,</w:t>
      </w:r>
      <w:r w:rsidRPr="00B30084">
        <w:rPr>
          <w:rFonts w:ascii="Times New Roman" w:hAnsi="Times New Roman" w:cs="Times New Roman"/>
          <w:sz w:val="24"/>
          <w:szCs w:val="24"/>
          <w:lang w:val="sr-Cyrl-RS"/>
        </w:rPr>
        <w:t xml:space="preserve"> конкурентан </w:t>
      </w:r>
      <w:r>
        <w:rPr>
          <w:rFonts w:ascii="Times New Roman" w:hAnsi="Times New Roman" w:cs="Times New Roman"/>
          <w:sz w:val="24"/>
          <w:szCs w:val="24"/>
          <w:lang w:val="sr-Cyrl-RS"/>
        </w:rPr>
        <w:t>и подстицајан</w:t>
      </w:r>
      <w:r>
        <w:rPr>
          <w:rFonts w:ascii="Times New Roman" w:hAnsi="Times New Roman" w:cs="Times New Roman"/>
          <w:sz w:val="24"/>
          <w:szCs w:val="24"/>
          <w:lang w:val="sr-Latn-RS"/>
        </w:rPr>
        <w:t xml:space="preserve"> </w:t>
      </w:r>
      <w:r w:rsidRPr="00B30084">
        <w:rPr>
          <w:rFonts w:ascii="Times New Roman" w:hAnsi="Times New Roman" w:cs="Times New Roman"/>
          <w:sz w:val="24"/>
          <w:szCs w:val="24"/>
          <w:lang w:val="sr-Cyrl-RS"/>
        </w:rPr>
        <w:t>институционални оквир.</w:t>
      </w:r>
    </w:p>
    <w:p w14:paraId="0C01DC6D" w14:textId="2530EDC3"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Најчешћа жалба </w:t>
      </w:r>
      <w:r w:rsidR="00F3603E">
        <w:rPr>
          <w:rFonts w:ascii="Times New Roman" w:hAnsi="Times New Roman" w:cs="Times New Roman"/>
          <w:sz w:val="24"/>
          <w:szCs w:val="24"/>
          <w:lang w:val="sr-Cyrl-RS"/>
        </w:rPr>
        <w:t>привредника</w:t>
      </w:r>
      <w:r w:rsidRPr="00B30084">
        <w:rPr>
          <w:rFonts w:ascii="Times New Roman" w:hAnsi="Times New Roman" w:cs="Times New Roman"/>
          <w:sz w:val="24"/>
          <w:szCs w:val="24"/>
          <w:lang w:val="sr-Cyrl-RS"/>
        </w:rPr>
        <w:t xml:space="preserve"> у </w:t>
      </w:r>
      <w:r w:rsidR="00F3603E">
        <w:rPr>
          <w:rFonts w:ascii="Times New Roman" w:hAnsi="Times New Roman" w:cs="Times New Roman"/>
          <w:sz w:val="24"/>
          <w:szCs w:val="24"/>
          <w:lang w:val="sr-Cyrl-RS"/>
        </w:rPr>
        <w:t>области пореске политике</w:t>
      </w:r>
      <w:r w:rsidRPr="00B30084">
        <w:rPr>
          <w:rFonts w:ascii="Times New Roman" w:hAnsi="Times New Roman" w:cs="Times New Roman"/>
          <w:sz w:val="24"/>
          <w:szCs w:val="24"/>
          <w:lang w:val="sr-Cyrl-RS"/>
        </w:rPr>
        <w:t xml:space="preserve"> односи се на потешкоће које страни инвеститори имају у верификацији плаћања важећег пореза на капиталну добит како би могли да </w:t>
      </w:r>
      <w:r w:rsidRPr="00B30084">
        <w:rPr>
          <w:rFonts w:ascii="Times New Roman" w:hAnsi="Times New Roman" w:cs="Times New Roman"/>
          <w:bCs/>
          <w:color w:val="000000"/>
          <w:sz w:val="24"/>
          <w:szCs w:val="24"/>
          <w:lang w:val="sr-Cyrl-RS"/>
        </w:rPr>
        <w:t>врате</w:t>
      </w:r>
      <w:r w:rsidRPr="00B30084">
        <w:rPr>
          <w:rFonts w:ascii="Times New Roman" w:hAnsi="Times New Roman" w:cs="Times New Roman"/>
          <w:sz w:val="24"/>
          <w:szCs w:val="24"/>
          <w:lang w:val="sr-Cyrl-RS"/>
        </w:rPr>
        <w:t xml:space="preserve"> средства након продаје хартија од вредности. Сваки страни инвеститор мора да задржи локалног пореског агента ради подношења свих потребних доказа о уплати. То чини процес </w:t>
      </w:r>
      <w:proofErr w:type="spellStart"/>
      <w:r w:rsidRPr="00B30084">
        <w:rPr>
          <w:rFonts w:ascii="Times New Roman" w:hAnsi="Times New Roman" w:cs="Times New Roman"/>
          <w:sz w:val="24"/>
          <w:szCs w:val="24"/>
          <w:lang w:val="sr-Cyrl-RS"/>
        </w:rPr>
        <w:t>комликованим</w:t>
      </w:r>
      <w:proofErr w:type="spellEnd"/>
      <w:r w:rsidRPr="00B30084">
        <w:rPr>
          <w:rFonts w:ascii="Times New Roman" w:hAnsi="Times New Roman" w:cs="Times New Roman"/>
          <w:sz w:val="24"/>
          <w:szCs w:val="24"/>
          <w:lang w:val="sr-Cyrl-RS"/>
        </w:rPr>
        <w:t xml:space="preserve"> и спорим, а представља предуслов за ослобађање средстава.</w:t>
      </w:r>
    </w:p>
    <w:p w14:paraId="3E71E6B0" w14:textId="7460BCE5" w:rsidR="00693ECC" w:rsidRPr="00B30084" w:rsidRDefault="00D17732" w:rsidP="00693ECC">
      <w:pPr>
        <w:spacing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Претходно наведено</w:t>
      </w:r>
      <w:r w:rsidR="00693ECC" w:rsidRPr="00B30084">
        <w:rPr>
          <w:rFonts w:ascii="Times New Roman" w:hAnsi="Times New Roman" w:cs="Times New Roman"/>
          <w:sz w:val="24"/>
          <w:szCs w:val="24"/>
          <w:lang w:val="sr-Cyrl-RS"/>
        </w:rPr>
        <w:t xml:space="preserve"> може оставити негативан утисак на стране инвеститоре који одлуче да дођу на српско тржиште, али не могу благовремено да приступе свом новцу. Дакле, тржиште мора да понуди ефикасан механизам за улазак и излазак из инвестиција и </w:t>
      </w:r>
      <w:r w:rsidR="00693ECC" w:rsidRPr="00B30084">
        <w:rPr>
          <w:rFonts w:ascii="Times New Roman" w:hAnsi="Times New Roman" w:cs="Times New Roman"/>
          <w:sz w:val="24"/>
          <w:szCs w:val="24"/>
          <w:lang w:val="sr-Cyrl-RS"/>
        </w:rPr>
        <w:lastRenderedPageBreak/>
        <w:t>приступ средствима у случа</w:t>
      </w:r>
      <w:r w:rsidR="00942D7E">
        <w:rPr>
          <w:rFonts w:ascii="Times New Roman" w:hAnsi="Times New Roman" w:cs="Times New Roman"/>
          <w:sz w:val="24"/>
          <w:szCs w:val="24"/>
          <w:lang w:val="sr-Cyrl-RS"/>
        </w:rPr>
        <w:t>ју</w:t>
      </w:r>
      <w:r w:rsidR="00693ECC" w:rsidRPr="00B30084">
        <w:rPr>
          <w:rFonts w:ascii="Times New Roman" w:hAnsi="Times New Roman" w:cs="Times New Roman"/>
          <w:sz w:val="24"/>
          <w:szCs w:val="24"/>
          <w:lang w:val="sr-Cyrl-RS"/>
        </w:rPr>
        <w:t xml:space="preserve"> када су све обавезе испуњене, тако да учешће страног инвеститора на тржишту Републике Србије не би било једнократно искуство.</w:t>
      </w:r>
    </w:p>
    <w:p w14:paraId="32ABC468" w14:textId="77777777" w:rsidR="00693ECC" w:rsidRPr="00B30084" w:rsidRDefault="00693ECC" w:rsidP="00693ECC">
      <w:pPr>
        <w:spacing w:line="276" w:lineRule="auto"/>
        <w:ind w:firstLine="720"/>
        <w:jc w:val="both"/>
        <w:rPr>
          <w:rFonts w:ascii="Times New Roman" w:hAnsi="Times New Roman" w:cs="Times New Roman"/>
          <w:color w:val="000000"/>
          <w:sz w:val="24"/>
          <w:szCs w:val="24"/>
          <w:u w:val="single"/>
          <w:lang w:val="sr-Cyrl-RS"/>
        </w:rPr>
      </w:pPr>
      <w:r w:rsidRPr="00B30084">
        <w:rPr>
          <w:rFonts w:ascii="Times New Roman" w:hAnsi="Times New Roman" w:cs="Times New Roman"/>
          <w:sz w:val="24"/>
          <w:szCs w:val="24"/>
          <w:lang w:val="sr-Cyrl-RS"/>
        </w:rPr>
        <w:t>Друг</w:t>
      </w:r>
      <w:r w:rsidRPr="00B30084">
        <w:rPr>
          <w:rFonts w:ascii="Times New Roman" w:hAnsi="Times New Roman" w:cs="Times New Roman"/>
          <w:sz w:val="24"/>
          <w:szCs w:val="24"/>
          <w:lang w:val="sr-Latn-RS"/>
        </w:rPr>
        <w:t>o</w:t>
      </w:r>
      <w:r w:rsidRPr="00B30084">
        <w:rPr>
          <w:rFonts w:ascii="Times New Roman" w:hAnsi="Times New Roman" w:cs="Times New Roman"/>
          <w:sz w:val="24"/>
          <w:szCs w:val="24"/>
          <w:lang w:val="sr-Cyrl-RS"/>
        </w:rPr>
        <w:t xml:space="preserve"> питање односи се на опорезивање јединствених производа осигурања. Индустрија осигурања </w:t>
      </w:r>
      <w:r w:rsidRPr="00B30084">
        <w:rPr>
          <w:rFonts w:ascii="Times New Roman" w:hAnsi="Times New Roman" w:cs="Times New Roman"/>
          <w:bCs/>
          <w:color w:val="000000"/>
          <w:sz w:val="24"/>
          <w:szCs w:val="24"/>
          <w:lang w:val="sr-Cyrl-RS"/>
        </w:rPr>
        <w:t>примећује</w:t>
      </w:r>
      <w:r w:rsidRPr="00B30084">
        <w:rPr>
          <w:rFonts w:ascii="Times New Roman" w:hAnsi="Times New Roman" w:cs="Times New Roman"/>
          <w:sz w:val="24"/>
          <w:szCs w:val="24"/>
          <w:lang w:val="sr-Cyrl-RS"/>
        </w:rPr>
        <w:t xml:space="preserve"> да се приход од улагања у портфеље који подржавају производе повезане са јединицама опорезује на нивоу „фонда“ и поново опорезује по расподели власнику полисе. То је у супротности са најбољом праксом и требало би га побољшати. Тежња међу развијеним тржиштима је опорезивање индиректних инвеститора једнако као и директних инвеститора. </w:t>
      </w:r>
    </w:p>
    <w:p w14:paraId="029A94CA" w14:textId="1CEB7F11"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Још једно истакнуто питање је да камате примљене од државних обвезница нису опорезиве, док се камате на корпоративне обвезнице опорезују. Ово представља једну врсту субвенција за државне </w:t>
      </w:r>
      <w:r w:rsidRPr="00B30084">
        <w:rPr>
          <w:rFonts w:ascii="Times New Roman" w:hAnsi="Times New Roman" w:cs="Times New Roman"/>
          <w:bCs/>
          <w:color w:val="000000"/>
          <w:sz w:val="24"/>
          <w:szCs w:val="24"/>
          <w:lang w:val="sr-Cyrl-RS"/>
        </w:rPr>
        <w:t>обвезнице</w:t>
      </w:r>
      <w:r w:rsidRPr="00B30084">
        <w:rPr>
          <w:rFonts w:ascii="Times New Roman" w:hAnsi="Times New Roman" w:cs="Times New Roman"/>
          <w:sz w:val="24"/>
          <w:szCs w:val="24"/>
          <w:lang w:val="sr-Cyrl-RS"/>
        </w:rPr>
        <w:t xml:space="preserve"> и отежава процес доношења одлука</w:t>
      </w:r>
      <w:r w:rsidR="00D17732">
        <w:rPr>
          <w:rFonts w:ascii="Times New Roman" w:hAnsi="Times New Roman" w:cs="Times New Roman"/>
          <w:sz w:val="24"/>
          <w:szCs w:val="24"/>
          <w:lang w:val="sr-Cyrl-RS"/>
        </w:rPr>
        <w:t xml:space="preserve"> да се</w:t>
      </w:r>
      <w:r w:rsidRPr="00B30084">
        <w:rPr>
          <w:rFonts w:ascii="Times New Roman" w:hAnsi="Times New Roman" w:cs="Times New Roman"/>
          <w:sz w:val="24"/>
          <w:szCs w:val="24"/>
          <w:lang w:val="sr-Cyrl-RS"/>
        </w:rPr>
        <w:t xml:space="preserve"> инвести</w:t>
      </w:r>
      <w:r w:rsidR="00D17732">
        <w:rPr>
          <w:rFonts w:ascii="Times New Roman" w:hAnsi="Times New Roman" w:cs="Times New Roman"/>
          <w:sz w:val="24"/>
          <w:szCs w:val="24"/>
          <w:lang w:val="sr-Cyrl-RS"/>
        </w:rPr>
        <w:t>ра у корпоративне обвезнице</w:t>
      </w:r>
      <w:r w:rsidRPr="00B30084">
        <w:rPr>
          <w:rFonts w:ascii="Times New Roman" w:hAnsi="Times New Roman" w:cs="Times New Roman"/>
          <w:sz w:val="24"/>
          <w:szCs w:val="24"/>
          <w:lang w:val="sr-Cyrl-RS"/>
        </w:rPr>
        <w:t>.</w:t>
      </w:r>
    </w:p>
    <w:p w14:paraId="7F4AB609" w14:textId="77777777"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Аргумент против изузимања камата из корпоративних обвезница је губитак пореског </w:t>
      </w:r>
      <w:r w:rsidRPr="00B30084">
        <w:rPr>
          <w:rFonts w:ascii="Times New Roman" w:hAnsi="Times New Roman" w:cs="Times New Roman"/>
          <w:bCs/>
          <w:color w:val="000000"/>
          <w:sz w:val="24"/>
          <w:szCs w:val="24"/>
          <w:lang w:val="sr-Cyrl-RS"/>
        </w:rPr>
        <w:t>прихода</w:t>
      </w:r>
      <w:r w:rsidRPr="00B30084">
        <w:rPr>
          <w:rFonts w:ascii="Times New Roman" w:hAnsi="Times New Roman" w:cs="Times New Roman"/>
          <w:sz w:val="24"/>
          <w:szCs w:val="24"/>
          <w:lang w:val="sr-Cyrl-RS"/>
        </w:rPr>
        <w:t xml:space="preserve">. Не постоји начин да се тај приступ учини </w:t>
      </w:r>
      <w:proofErr w:type="spellStart"/>
      <w:r w:rsidRPr="00B30084">
        <w:rPr>
          <w:rFonts w:ascii="Times New Roman" w:hAnsi="Times New Roman" w:cs="Times New Roman"/>
          <w:sz w:val="24"/>
          <w:szCs w:val="24"/>
          <w:lang w:val="sr-Cyrl-RS"/>
        </w:rPr>
        <w:t>приходно</w:t>
      </w:r>
      <w:proofErr w:type="spellEnd"/>
      <w:r w:rsidRPr="00B30084">
        <w:rPr>
          <w:rFonts w:ascii="Times New Roman" w:hAnsi="Times New Roman" w:cs="Times New Roman"/>
          <w:sz w:val="24"/>
          <w:szCs w:val="24"/>
          <w:lang w:val="sr-Cyrl-RS"/>
        </w:rPr>
        <w:t xml:space="preserve"> неутралним.</w:t>
      </w:r>
    </w:p>
    <w:p w14:paraId="0DAEEC06" w14:textId="004617A6" w:rsidR="00693ECC" w:rsidRPr="00B30084" w:rsidRDefault="006308C0" w:rsidP="00E90631">
      <w:pPr>
        <w:spacing w:line="276" w:lineRule="auto"/>
        <w:ind w:firstLine="720"/>
        <w:jc w:val="both"/>
        <w:rPr>
          <w:rFonts w:ascii="Times New Roman" w:hAnsi="Times New Roman" w:cs="Times New Roman"/>
          <w:lang w:val="sr-Cyrl-RS"/>
        </w:rPr>
      </w:pPr>
      <w:r>
        <w:rPr>
          <w:rFonts w:ascii="Times New Roman" w:hAnsi="Times New Roman" w:cs="Times New Roman"/>
          <w:sz w:val="24"/>
          <w:szCs w:val="24"/>
          <w:lang w:val="sr-Cyrl-RS"/>
        </w:rPr>
        <w:t>Т</w:t>
      </w:r>
      <w:r w:rsidR="00693ECC" w:rsidRPr="00B30084">
        <w:rPr>
          <w:rFonts w:ascii="Times New Roman" w:hAnsi="Times New Roman" w:cs="Times New Roman"/>
          <w:sz w:val="24"/>
          <w:szCs w:val="24"/>
          <w:lang w:val="sr-Cyrl-RS"/>
        </w:rPr>
        <w:t xml:space="preserve">ренутна политика субвенционише трезорске хартије од вредности и чини </w:t>
      </w:r>
      <w:r w:rsidR="00693ECC" w:rsidRPr="00B30084">
        <w:rPr>
          <w:rFonts w:ascii="Times New Roman" w:hAnsi="Times New Roman" w:cs="Times New Roman"/>
          <w:bCs/>
          <w:color w:val="000000"/>
          <w:sz w:val="24"/>
          <w:szCs w:val="24"/>
          <w:lang w:val="sr-Cyrl-RS"/>
        </w:rPr>
        <w:t>их</w:t>
      </w:r>
      <w:r w:rsidR="00693ECC" w:rsidRPr="00B30084">
        <w:rPr>
          <w:rFonts w:ascii="Times New Roman" w:hAnsi="Times New Roman" w:cs="Times New Roman"/>
          <w:sz w:val="24"/>
          <w:szCs w:val="24"/>
          <w:lang w:val="sr-Cyrl-RS"/>
        </w:rPr>
        <w:t xml:space="preserve"> привлачнијим за инвеститоре од </w:t>
      </w:r>
      <w:r w:rsidR="008F7A0A">
        <w:rPr>
          <w:rFonts w:ascii="Times New Roman" w:hAnsi="Times New Roman" w:cs="Times New Roman"/>
          <w:sz w:val="24"/>
          <w:szCs w:val="24"/>
          <w:lang w:val="sr-Cyrl-RS"/>
        </w:rPr>
        <w:t>улагања у привредна друштва</w:t>
      </w:r>
      <w:r w:rsidR="00693ECC" w:rsidRPr="00B30084">
        <w:rPr>
          <w:rFonts w:ascii="Times New Roman" w:hAnsi="Times New Roman" w:cs="Times New Roman"/>
          <w:sz w:val="24"/>
          <w:szCs w:val="24"/>
          <w:lang w:val="sr-Cyrl-RS"/>
        </w:rPr>
        <w:t xml:space="preserve"> (</w:t>
      </w:r>
      <w:r w:rsidR="00AC7BD2">
        <w:rPr>
          <w:rFonts w:ascii="Times New Roman" w:hAnsi="Times New Roman" w:cs="Times New Roman"/>
          <w:sz w:val="24"/>
          <w:szCs w:val="24"/>
          <w:lang w:val="sr-Cyrl-RS"/>
        </w:rPr>
        <w:t>у</w:t>
      </w:r>
      <w:r w:rsidR="00693ECC" w:rsidRPr="00B30084">
        <w:rPr>
          <w:rFonts w:ascii="Times New Roman" w:hAnsi="Times New Roman" w:cs="Times New Roman"/>
          <w:sz w:val="24"/>
          <w:szCs w:val="24"/>
          <w:lang w:val="sr-Cyrl-RS"/>
        </w:rPr>
        <w:t xml:space="preserve"> основи без ризика). То такође значи да се трошкови издаваоца подижу ефективном пореском стопом инвеститора, а затим прилагођавају ризику.</w:t>
      </w:r>
    </w:p>
    <w:p w14:paraId="04B5854B" w14:textId="30A5930D" w:rsidR="00693ECC" w:rsidRPr="00E90631" w:rsidRDefault="00693ECC" w:rsidP="00693ECC">
      <w:pPr>
        <w:pStyle w:val="CommentText"/>
        <w:rPr>
          <w:rFonts w:ascii="Times New Roman" w:hAnsi="Times New Roman" w:cs="Times New Roman"/>
          <w:sz w:val="22"/>
          <w:szCs w:val="22"/>
          <w:lang w:val="sr-Cyrl-RS"/>
        </w:rPr>
      </w:pPr>
      <w:r w:rsidRPr="00E90631">
        <w:rPr>
          <w:rFonts w:ascii="Times New Roman" w:hAnsi="Times New Roman" w:cs="Times New Roman"/>
          <w:sz w:val="22"/>
          <w:szCs w:val="22"/>
          <w:lang w:val="sr-Cyrl-RS"/>
        </w:rPr>
        <w:t xml:space="preserve">ПЦ 2 </w:t>
      </w:r>
      <w:r w:rsidR="00CE1ACC" w:rsidRPr="00E90631">
        <w:rPr>
          <w:rFonts w:ascii="Times New Roman" w:hAnsi="Times New Roman" w:cs="Times New Roman"/>
          <w:sz w:val="22"/>
          <w:szCs w:val="22"/>
          <w:lang w:val="sr-Cyrl-RS"/>
        </w:rPr>
        <w:t xml:space="preserve">Измењена </w:t>
      </w:r>
      <w:proofErr w:type="spellStart"/>
      <w:r w:rsidR="00CE1ACC" w:rsidRPr="00E90631">
        <w:rPr>
          <w:rFonts w:ascii="Times New Roman" w:hAnsi="Times New Roman" w:cs="Times New Roman"/>
          <w:sz w:val="22"/>
          <w:szCs w:val="22"/>
          <w:lang w:val="sr-Cyrl-RS"/>
        </w:rPr>
        <w:t>струкутра</w:t>
      </w:r>
      <w:proofErr w:type="spellEnd"/>
      <w:r w:rsidR="00CE1ACC" w:rsidRPr="00E90631">
        <w:rPr>
          <w:rFonts w:ascii="Times New Roman" w:hAnsi="Times New Roman" w:cs="Times New Roman"/>
          <w:sz w:val="22"/>
          <w:szCs w:val="22"/>
          <w:lang w:val="sr-Cyrl-RS"/>
        </w:rPr>
        <w:t xml:space="preserve"> и проширен спектар услуга на домаћем тржишту капитала</w:t>
      </w:r>
    </w:p>
    <w:p w14:paraId="5BD765E1" w14:textId="093B3729" w:rsidR="00693ECC" w:rsidRPr="00B30084" w:rsidRDefault="00693ECC" w:rsidP="00693ECC">
      <w:pPr>
        <w:pStyle w:val="CommentText"/>
        <w:rPr>
          <w:rFonts w:ascii="Times New Roman" w:hAnsi="Times New Roman" w:cs="Times New Roman"/>
          <w:lang w:val="sr-Cyrl-RS"/>
        </w:rPr>
      </w:pPr>
      <w:r w:rsidRPr="00B30084">
        <w:rPr>
          <w:rFonts w:ascii="Times New Roman" w:hAnsi="Times New Roman" w:cs="Times New Roman"/>
          <w:lang w:val="sr-Cyrl-RS"/>
        </w:rPr>
        <w:t xml:space="preserve">Мере: </w:t>
      </w:r>
    </w:p>
    <w:p w14:paraId="3FBFCC7A" w14:textId="71BDDC8D" w:rsidR="00693ECC" w:rsidRPr="00B30084" w:rsidRDefault="00693ECC" w:rsidP="00693ECC">
      <w:pPr>
        <w:pStyle w:val="CommentText"/>
        <w:rPr>
          <w:rFonts w:ascii="Times New Roman" w:hAnsi="Times New Roman" w:cs="Times New Roman"/>
          <w:lang w:val="sr-Cyrl-RS"/>
        </w:rPr>
      </w:pPr>
      <w:r w:rsidRPr="00B30084">
        <w:rPr>
          <w:rFonts w:ascii="Times New Roman" w:hAnsi="Times New Roman" w:cs="Times New Roman"/>
          <w:lang w:val="sr-Cyrl-RS"/>
        </w:rPr>
        <w:t xml:space="preserve">2.1. </w:t>
      </w:r>
      <w:r w:rsidR="00CE1ACC" w:rsidRPr="00B30084">
        <w:rPr>
          <w:rFonts w:ascii="Times New Roman" w:hAnsi="Times New Roman" w:cs="Times New Roman"/>
          <w:lang w:val="sr-Cyrl-RS"/>
        </w:rPr>
        <w:t>Увођење нових инвестиционих производа и издавача на домаћем тржишту капитала</w:t>
      </w:r>
      <w:r w:rsidR="00CE1ACC" w:rsidRPr="00B30084" w:rsidDel="00CE1ACC">
        <w:rPr>
          <w:rFonts w:ascii="Times New Roman" w:hAnsi="Times New Roman" w:cs="Times New Roman"/>
        </w:rPr>
        <w:t xml:space="preserve"> </w:t>
      </w:r>
    </w:p>
    <w:tbl>
      <w:tblPr>
        <w:tblStyle w:val="TableGrid"/>
        <w:tblW w:w="5382" w:type="pct"/>
        <w:tblInd w:w="-465" w:type="dxa"/>
        <w:tblLayout w:type="fixed"/>
        <w:tblLook w:val="04A0" w:firstRow="1" w:lastRow="0" w:firstColumn="1" w:lastColumn="0" w:noHBand="0" w:noVBand="1"/>
      </w:tblPr>
      <w:tblGrid>
        <w:gridCol w:w="3136"/>
        <w:gridCol w:w="1683"/>
        <w:gridCol w:w="1685"/>
        <w:gridCol w:w="1572"/>
        <w:gridCol w:w="2027"/>
      </w:tblGrid>
      <w:tr w:rsidR="00693ECC" w:rsidRPr="00B30084" w14:paraId="35C21C2C" w14:textId="77777777" w:rsidTr="00B12AD9">
        <w:trPr>
          <w:trHeight w:val="230"/>
        </w:trPr>
        <w:tc>
          <w:tcPr>
            <w:tcW w:w="1552" w:type="pct"/>
            <w:vMerge w:val="restart"/>
            <w:tcBorders>
              <w:top w:val="double" w:sz="4" w:space="0" w:color="auto"/>
              <w:left w:val="double" w:sz="4" w:space="0" w:color="auto"/>
            </w:tcBorders>
            <w:shd w:val="clear" w:color="auto" w:fill="FFF2CC" w:themeFill="accent4" w:themeFillTint="33"/>
          </w:tcPr>
          <w:p w14:paraId="46AE8412" w14:textId="15B58F9E" w:rsidR="00693ECC" w:rsidRPr="00B30084" w:rsidRDefault="00693ECC"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Назив активности:</w:t>
            </w:r>
          </w:p>
        </w:tc>
        <w:tc>
          <w:tcPr>
            <w:tcW w:w="833" w:type="pct"/>
            <w:vMerge w:val="restart"/>
            <w:tcBorders>
              <w:top w:val="double" w:sz="4" w:space="0" w:color="auto"/>
            </w:tcBorders>
            <w:shd w:val="clear" w:color="auto" w:fill="FFF2CC" w:themeFill="accent4" w:themeFillTint="33"/>
          </w:tcPr>
          <w:p w14:paraId="300D7511" w14:textId="77777777" w:rsidR="00693ECC" w:rsidRPr="00B30084" w:rsidRDefault="00693ECC"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Орган који спроводи меру</w:t>
            </w:r>
          </w:p>
        </w:tc>
        <w:tc>
          <w:tcPr>
            <w:tcW w:w="834" w:type="pct"/>
            <w:vMerge w:val="restart"/>
            <w:tcBorders>
              <w:top w:val="double" w:sz="4" w:space="0" w:color="auto"/>
            </w:tcBorders>
            <w:shd w:val="clear" w:color="auto" w:fill="FFF2CC" w:themeFill="accent4" w:themeFillTint="33"/>
          </w:tcPr>
          <w:p w14:paraId="0F50CE71" w14:textId="77777777" w:rsidR="00693ECC" w:rsidRPr="00B30084" w:rsidRDefault="00693ECC"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Органи партнери у спровођењу </w:t>
            </w:r>
          </w:p>
        </w:tc>
        <w:tc>
          <w:tcPr>
            <w:tcW w:w="778" w:type="pct"/>
            <w:vMerge w:val="restart"/>
            <w:tcBorders>
              <w:top w:val="double" w:sz="4" w:space="0" w:color="auto"/>
            </w:tcBorders>
            <w:shd w:val="clear" w:color="auto" w:fill="FFF2CC" w:themeFill="accent4" w:themeFillTint="33"/>
          </w:tcPr>
          <w:p w14:paraId="2A0C808C" w14:textId="77777777" w:rsidR="00693ECC" w:rsidRPr="00B30084" w:rsidRDefault="00693ECC"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Рок за завршетак мере</w:t>
            </w:r>
          </w:p>
        </w:tc>
        <w:tc>
          <w:tcPr>
            <w:tcW w:w="1003" w:type="pct"/>
            <w:vMerge w:val="restart"/>
            <w:tcBorders>
              <w:top w:val="double" w:sz="4" w:space="0" w:color="auto"/>
            </w:tcBorders>
            <w:shd w:val="clear" w:color="auto" w:fill="FFF2CC" w:themeFill="accent4" w:themeFillTint="33"/>
          </w:tcPr>
          <w:p w14:paraId="3CAC36E1" w14:textId="77777777" w:rsidR="00693ECC" w:rsidRPr="00B30084" w:rsidRDefault="00693ECC" w:rsidP="00B12AD9">
            <w:pPr>
              <w:ind w:left="90"/>
              <w:jc w:val="center"/>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финансирања</w:t>
            </w:r>
          </w:p>
        </w:tc>
      </w:tr>
      <w:tr w:rsidR="00693ECC" w:rsidRPr="00B30084" w14:paraId="5AF02619" w14:textId="77777777" w:rsidTr="00B12AD9">
        <w:trPr>
          <w:trHeight w:val="322"/>
        </w:trPr>
        <w:tc>
          <w:tcPr>
            <w:tcW w:w="1552" w:type="pct"/>
            <w:vMerge/>
            <w:tcBorders>
              <w:left w:val="double" w:sz="4" w:space="0" w:color="auto"/>
            </w:tcBorders>
            <w:shd w:val="clear" w:color="auto" w:fill="FFF2CC" w:themeFill="accent4" w:themeFillTint="33"/>
          </w:tcPr>
          <w:p w14:paraId="72BF93EE" w14:textId="77777777" w:rsidR="00693ECC" w:rsidRPr="00B30084" w:rsidRDefault="00693ECC" w:rsidP="00B12AD9">
            <w:pPr>
              <w:ind w:left="90"/>
              <w:rPr>
                <w:rFonts w:ascii="Times New Roman" w:hAnsi="Times New Roman" w:cs="Times New Roman"/>
                <w:sz w:val="20"/>
                <w:szCs w:val="20"/>
                <w:lang w:val="sr-Cyrl-RS"/>
              </w:rPr>
            </w:pPr>
          </w:p>
        </w:tc>
        <w:tc>
          <w:tcPr>
            <w:tcW w:w="833" w:type="pct"/>
            <w:vMerge/>
            <w:shd w:val="clear" w:color="auto" w:fill="FFF2CC" w:themeFill="accent4" w:themeFillTint="33"/>
          </w:tcPr>
          <w:p w14:paraId="3A9B0A65" w14:textId="77777777" w:rsidR="00693ECC" w:rsidRPr="00B30084" w:rsidRDefault="00693ECC" w:rsidP="00B12AD9">
            <w:pPr>
              <w:ind w:left="90"/>
              <w:rPr>
                <w:rFonts w:ascii="Times New Roman" w:hAnsi="Times New Roman" w:cs="Times New Roman"/>
                <w:sz w:val="20"/>
                <w:szCs w:val="20"/>
                <w:lang w:val="sr-Cyrl-RS"/>
              </w:rPr>
            </w:pPr>
          </w:p>
        </w:tc>
        <w:tc>
          <w:tcPr>
            <w:tcW w:w="834" w:type="pct"/>
            <w:vMerge/>
            <w:shd w:val="clear" w:color="auto" w:fill="FFF2CC" w:themeFill="accent4" w:themeFillTint="33"/>
          </w:tcPr>
          <w:p w14:paraId="68EAA51F" w14:textId="77777777" w:rsidR="00693ECC" w:rsidRPr="00B30084" w:rsidRDefault="00693ECC" w:rsidP="00B12AD9">
            <w:pPr>
              <w:ind w:left="90"/>
              <w:rPr>
                <w:rFonts w:ascii="Times New Roman" w:hAnsi="Times New Roman" w:cs="Times New Roman"/>
                <w:sz w:val="20"/>
                <w:szCs w:val="20"/>
                <w:lang w:val="sr-Cyrl-RS"/>
              </w:rPr>
            </w:pPr>
          </w:p>
        </w:tc>
        <w:tc>
          <w:tcPr>
            <w:tcW w:w="778" w:type="pct"/>
            <w:vMerge/>
            <w:shd w:val="clear" w:color="auto" w:fill="FFF2CC" w:themeFill="accent4" w:themeFillTint="33"/>
          </w:tcPr>
          <w:p w14:paraId="0CCD8DB3" w14:textId="77777777" w:rsidR="00693ECC" w:rsidRPr="00B30084" w:rsidRDefault="00693ECC" w:rsidP="00B12AD9">
            <w:pPr>
              <w:ind w:left="90"/>
              <w:jc w:val="center"/>
              <w:rPr>
                <w:rFonts w:ascii="Times New Roman" w:hAnsi="Times New Roman" w:cs="Times New Roman"/>
                <w:sz w:val="20"/>
                <w:szCs w:val="20"/>
                <w:lang w:val="sr-Cyrl-RS"/>
              </w:rPr>
            </w:pPr>
          </w:p>
        </w:tc>
        <w:tc>
          <w:tcPr>
            <w:tcW w:w="1003" w:type="pct"/>
            <w:vMerge/>
            <w:shd w:val="clear" w:color="auto" w:fill="FFF2CC" w:themeFill="accent4" w:themeFillTint="33"/>
          </w:tcPr>
          <w:p w14:paraId="44C1D409" w14:textId="77777777" w:rsidR="00693ECC" w:rsidRPr="00B30084" w:rsidRDefault="00693ECC" w:rsidP="00B12AD9">
            <w:pPr>
              <w:ind w:left="90"/>
              <w:jc w:val="center"/>
              <w:rPr>
                <w:rFonts w:ascii="Times New Roman" w:hAnsi="Times New Roman" w:cs="Times New Roman"/>
                <w:sz w:val="20"/>
                <w:szCs w:val="20"/>
                <w:lang w:val="sr-Cyrl-RS"/>
              </w:rPr>
            </w:pPr>
          </w:p>
        </w:tc>
      </w:tr>
      <w:tr w:rsidR="00693ECC" w:rsidRPr="00B30084" w14:paraId="767B30CE" w14:textId="77777777" w:rsidTr="00B12AD9">
        <w:trPr>
          <w:trHeight w:val="1201"/>
        </w:trPr>
        <w:tc>
          <w:tcPr>
            <w:tcW w:w="1552" w:type="pct"/>
            <w:tcBorders>
              <w:left w:val="double" w:sz="4" w:space="0" w:color="auto"/>
            </w:tcBorders>
          </w:tcPr>
          <w:p w14:paraId="49F27C33" w14:textId="20F03EED" w:rsidR="00693ECC" w:rsidRPr="00B30084" w:rsidRDefault="00693ECC" w:rsidP="00B12AD9">
            <w:pPr>
              <w:shd w:val="clear" w:color="auto" w:fill="FFFFFF" w:themeFill="background1"/>
              <w:rPr>
                <w:rFonts w:ascii="Times New Roman" w:hAnsi="Times New Roman" w:cs="Times New Roman"/>
                <w:sz w:val="20"/>
                <w:szCs w:val="20"/>
                <w:lang w:val="sr-Latn-RS"/>
              </w:rPr>
            </w:pPr>
            <w:r w:rsidRPr="00B30084">
              <w:rPr>
                <w:rFonts w:ascii="Times New Roman" w:hAnsi="Times New Roman" w:cs="Times New Roman"/>
                <w:sz w:val="20"/>
                <w:szCs w:val="20"/>
                <w:lang w:val="sr-Cyrl-RS"/>
              </w:rPr>
              <w:t>2.</w:t>
            </w:r>
            <w:r w:rsidRPr="00B30084">
              <w:rPr>
                <w:rFonts w:ascii="Times New Roman" w:hAnsi="Times New Roman" w:cs="Times New Roman"/>
                <w:sz w:val="20"/>
                <w:szCs w:val="20"/>
              </w:rPr>
              <w:t>1</w:t>
            </w:r>
            <w:r w:rsidRPr="00B30084">
              <w:rPr>
                <w:rFonts w:ascii="Times New Roman" w:hAnsi="Times New Roman" w:cs="Times New Roman"/>
                <w:sz w:val="20"/>
                <w:szCs w:val="20"/>
                <w:lang w:val="sr-Cyrl-RS"/>
              </w:rPr>
              <w:t>.1. Анализа ИПО ГО програма ББ у циљу сагледавања научених лекција које су резултирале у неуспеху овог програма</w:t>
            </w:r>
          </w:p>
        </w:tc>
        <w:tc>
          <w:tcPr>
            <w:tcW w:w="833" w:type="pct"/>
          </w:tcPr>
          <w:p w14:paraId="769398AD"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ББ</w:t>
            </w:r>
          </w:p>
        </w:tc>
        <w:tc>
          <w:tcPr>
            <w:tcW w:w="834" w:type="pct"/>
          </w:tcPr>
          <w:p w14:paraId="1755111F"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778" w:type="pct"/>
          </w:tcPr>
          <w:p w14:paraId="357E97DF"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30/11/21</w:t>
            </w:r>
          </w:p>
        </w:tc>
        <w:tc>
          <w:tcPr>
            <w:tcW w:w="1003" w:type="pct"/>
          </w:tcPr>
          <w:p w14:paraId="54951609"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w:t>
            </w:r>
          </w:p>
        </w:tc>
      </w:tr>
      <w:tr w:rsidR="00693ECC" w:rsidRPr="00B30084" w14:paraId="4D889261" w14:textId="77777777" w:rsidTr="00B12AD9">
        <w:trPr>
          <w:trHeight w:val="1246"/>
        </w:trPr>
        <w:tc>
          <w:tcPr>
            <w:tcW w:w="1552" w:type="pct"/>
            <w:tcBorders>
              <w:left w:val="double" w:sz="4" w:space="0" w:color="auto"/>
            </w:tcBorders>
          </w:tcPr>
          <w:p w14:paraId="6F0C515C" w14:textId="253760A2"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2.</w:t>
            </w:r>
            <w:r w:rsidRPr="00B30084">
              <w:rPr>
                <w:rFonts w:ascii="Times New Roman" w:hAnsi="Times New Roman" w:cs="Times New Roman"/>
                <w:sz w:val="20"/>
                <w:szCs w:val="20"/>
              </w:rPr>
              <w:t>2</w:t>
            </w:r>
            <w:r w:rsidRPr="00B30084">
              <w:rPr>
                <w:rFonts w:ascii="Times New Roman" w:hAnsi="Times New Roman" w:cs="Times New Roman"/>
                <w:sz w:val="20"/>
                <w:szCs w:val="20"/>
                <w:lang w:val="sr-Cyrl-RS"/>
              </w:rPr>
              <w:t xml:space="preserve">.2.  Успостављање академије за емитенте корпоративних обвезница и других хартија од вредности у Републици Србији у циљу повећања броја емисија </w:t>
            </w:r>
          </w:p>
        </w:tc>
        <w:tc>
          <w:tcPr>
            <w:tcW w:w="833" w:type="pct"/>
          </w:tcPr>
          <w:p w14:paraId="469A2072"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21DB9028" w14:textId="0B8833E6"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 ББ, ЦРХоВ</w:t>
            </w:r>
          </w:p>
        </w:tc>
        <w:tc>
          <w:tcPr>
            <w:tcW w:w="778" w:type="pct"/>
          </w:tcPr>
          <w:p w14:paraId="7F3600BB"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30/09/22</w:t>
            </w:r>
          </w:p>
        </w:tc>
        <w:tc>
          <w:tcPr>
            <w:tcW w:w="1003" w:type="pct"/>
          </w:tcPr>
          <w:p w14:paraId="55C6FA99" w14:textId="4751D55F" w:rsidR="00693ECC" w:rsidRPr="00B30084" w:rsidRDefault="00655D3F" w:rsidP="00B12AD9">
            <w:pPr>
              <w:shd w:val="clear" w:color="auto" w:fill="FFFFFF" w:themeFill="background1"/>
              <w:rPr>
                <w:rFonts w:ascii="Times New Roman" w:hAnsi="Times New Roman" w:cs="Times New Roman"/>
                <w:sz w:val="20"/>
                <w:szCs w:val="20"/>
                <w:lang w:val="sr-Cyrl-RS"/>
              </w:rPr>
            </w:pPr>
            <w:r>
              <w:rPr>
                <w:rFonts w:ascii="Times New Roman" w:hAnsi="Times New Roman" w:cs="Times New Roman"/>
                <w:sz w:val="20"/>
                <w:szCs w:val="20"/>
                <w:lang w:val="sr-Cyrl-RS"/>
              </w:rPr>
              <w:t>Донаторска средства</w:t>
            </w:r>
          </w:p>
        </w:tc>
      </w:tr>
      <w:tr w:rsidR="00693ECC" w:rsidRPr="00B30084" w14:paraId="4E4F3546" w14:textId="77777777" w:rsidTr="00B12AD9">
        <w:trPr>
          <w:trHeight w:val="156"/>
        </w:trPr>
        <w:tc>
          <w:tcPr>
            <w:tcW w:w="1552" w:type="pct"/>
            <w:tcBorders>
              <w:left w:val="double" w:sz="4" w:space="0" w:color="auto"/>
            </w:tcBorders>
          </w:tcPr>
          <w:p w14:paraId="0B646211" w14:textId="691A5AF3"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2.</w:t>
            </w:r>
            <w:r w:rsidRPr="00B30084">
              <w:rPr>
                <w:rFonts w:ascii="Times New Roman" w:hAnsi="Times New Roman" w:cs="Times New Roman"/>
                <w:sz w:val="20"/>
                <w:szCs w:val="20"/>
              </w:rPr>
              <w:t>2</w:t>
            </w:r>
            <w:r w:rsidRPr="00B30084">
              <w:rPr>
                <w:rFonts w:ascii="Times New Roman" w:hAnsi="Times New Roman" w:cs="Times New Roman"/>
                <w:sz w:val="20"/>
                <w:szCs w:val="20"/>
                <w:lang w:val="sr-Cyrl-RS"/>
              </w:rPr>
              <w:t>.3. Свеобухватна анализа и тржишно поређење трошкова и административног процеса за издавање, одржавање и трговање свим хартијама од вредности које су фокус стратегије, у циљу развоја јединствене трошковне политике на нивоу свих учесника и институција</w:t>
            </w:r>
          </w:p>
        </w:tc>
        <w:tc>
          <w:tcPr>
            <w:tcW w:w="833" w:type="pct"/>
          </w:tcPr>
          <w:p w14:paraId="2512DCF3"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5FB327A6"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 ББ, ЦРХоВ, НБС, ПКС</w:t>
            </w:r>
          </w:p>
        </w:tc>
        <w:tc>
          <w:tcPr>
            <w:tcW w:w="778" w:type="pct"/>
          </w:tcPr>
          <w:p w14:paraId="7704EF2E"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30/03/22</w:t>
            </w:r>
          </w:p>
        </w:tc>
        <w:tc>
          <w:tcPr>
            <w:tcW w:w="1003" w:type="pct"/>
          </w:tcPr>
          <w:p w14:paraId="1358BCC9"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w:t>
            </w:r>
          </w:p>
        </w:tc>
      </w:tr>
      <w:tr w:rsidR="00693ECC" w:rsidRPr="00B30084" w14:paraId="4EF3619A" w14:textId="77777777" w:rsidTr="00B12AD9">
        <w:trPr>
          <w:trHeight w:val="156"/>
        </w:trPr>
        <w:tc>
          <w:tcPr>
            <w:tcW w:w="1552" w:type="pct"/>
            <w:tcBorders>
              <w:left w:val="double" w:sz="4" w:space="0" w:color="auto"/>
            </w:tcBorders>
          </w:tcPr>
          <w:p w14:paraId="4FBB987E" w14:textId="2F144DBF"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lastRenderedPageBreak/>
              <w:t>2.</w:t>
            </w:r>
            <w:r w:rsidRPr="00B30084">
              <w:rPr>
                <w:rFonts w:ascii="Times New Roman" w:hAnsi="Times New Roman" w:cs="Times New Roman"/>
                <w:sz w:val="20"/>
                <w:szCs w:val="20"/>
              </w:rPr>
              <w:t>2</w:t>
            </w:r>
            <w:r w:rsidRPr="00B30084">
              <w:rPr>
                <w:rFonts w:ascii="Times New Roman" w:hAnsi="Times New Roman" w:cs="Times New Roman"/>
                <w:sz w:val="20"/>
                <w:szCs w:val="20"/>
                <w:lang w:val="sr-Cyrl-RS"/>
              </w:rPr>
              <w:t>.4. Имплементације јединствене трошковне политике на нивоу свих учесника и институција</w:t>
            </w:r>
          </w:p>
        </w:tc>
        <w:tc>
          <w:tcPr>
            <w:tcW w:w="833" w:type="pct"/>
          </w:tcPr>
          <w:p w14:paraId="6AD60059"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2ED849B9"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 ББ, ЦРХоВ, НБС, ПКС</w:t>
            </w:r>
          </w:p>
        </w:tc>
        <w:tc>
          <w:tcPr>
            <w:tcW w:w="778" w:type="pct"/>
          </w:tcPr>
          <w:p w14:paraId="3A910D8F"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30/06/22</w:t>
            </w:r>
          </w:p>
        </w:tc>
        <w:tc>
          <w:tcPr>
            <w:tcW w:w="1003" w:type="pct"/>
          </w:tcPr>
          <w:p w14:paraId="69C1E822"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w:t>
            </w:r>
          </w:p>
        </w:tc>
      </w:tr>
      <w:tr w:rsidR="00693ECC" w:rsidRPr="00B30084" w14:paraId="2CF63826" w14:textId="77777777" w:rsidTr="00B12AD9">
        <w:trPr>
          <w:trHeight w:val="156"/>
        </w:trPr>
        <w:tc>
          <w:tcPr>
            <w:tcW w:w="1552" w:type="pct"/>
            <w:tcBorders>
              <w:left w:val="double" w:sz="4" w:space="0" w:color="auto"/>
            </w:tcBorders>
          </w:tcPr>
          <w:p w14:paraId="69F43772" w14:textId="28AF10D4" w:rsidR="00693ECC" w:rsidRPr="00B30084" w:rsidRDefault="00693ECC" w:rsidP="00B12AD9">
            <w:pPr>
              <w:shd w:val="clear" w:color="auto" w:fill="FFFFFF" w:themeFill="background1"/>
              <w:rPr>
                <w:rFonts w:ascii="Times New Roman" w:hAnsi="Times New Roman" w:cs="Times New Roman"/>
                <w:sz w:val="20"/>
                <w:szCs w:val="20"/>
                <w:lang w:val="sr-Latn-RS"/>
              </w:rPr>
            </w:pPr>
            <w:r w:rsidRPr="00B30084">
              <w:rPr>
                <w:rFonts w:ascii="Times New Roman" w:hAnsi="Times New Roman" w:cs="Times New Roman"/>
                <w:sz w:val="20"/>
                <w:szCs w:val="20"/>
                <w:lang w:val="sr-Cyrl-RS"/>
              </w:rPr>
              <w:t>2.</w:t>
            </w:r>
            <w:r w:rsidRPr="00B30084">
              <w:rPr>
                <w:rFonts w:ascii="Times New Roman" w:hAnsi="Times New Roman" w:cs="Times New Roman"/>
                <w:sz w:val="20"/>
                <w:szCs w:val="20"/>
              </w:rPr>
              <w:t>2</w:t>
            </w:r>
            <w:r w:rsidRPr="00B30084">
              <w:rPr>
                <w:rFonts w:ascii="Times New Roman" w:hAnsi="Times New Roman" w:cs="Times New Roman"/>
                <w:sz w:val="20"/>
                <w:szCs w:val="20"/>
                <w:lang w:val="sr-Cyrl-RS"/>
              </w:rPr>
              <w:t>.5. Анализа најбоље праксе и правног оквира за увођење инструмента покривених обвезница у Републици Србији</w:t>
            </w:r>
          </w:p>
        </w:tc>
        <w:tc>
          <w:tcPr>
            <w:tcW w:w="833" w:type="pct"/>
          </w:tcPr>
          <w:p w14:paraId="58FFFCD6"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6F937136"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НБС</w:t>
            </w:r>
          </w:p>
        </w:tc>
        <w:tc>
          <w:tcPr>
            <w:tcW w:w="778" w:type="pct"/>
          </w:tcPr>
          <w:p w14:paraId="066B0BCC"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30/03/23</w:t>
            </w:r>
          </w:p>
        </w:tc>
        <w:tc>
          <w:tcPr>
            <w:tcW w:w="1003" w:type="pct"/>
          </w:tcPr>
          <w:p w14:paraId="53B0493B"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w:t>
            </w:r>
          </w:p>
        </w:tc>
      </w:tr>
      <w:tr w:rsidR="00693ECC" w:rsidRPr="00B30084" w14:paraId="21F4995A" w14:textId="77777777" w:rsidTr="00B12AD9">
        <w:trPr>
          <w:trHeight w:val="156"/>
        </w:trPr>
        <w:tc>
          <w:tcPr>
            <w:tcW w:w="1552" w:type="pct"/>
            <w:tcBorders>
              <w:left w:val="double" w:sz="4" w:space="0" w:color="auto"/>
            </w:tcBorders>
          </w:tcPr>
          <w:p w14:paraId="7CD4C9DD" w14:textId="33EEE015"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2.</w:t>
            </w:r>
            <w:r w:rsidRPr="00B30084">
              <w:rPr>
                <w:rFonts w:ascii="Times New Roman" w:hAnsi="Times New Roman" w:cs="Times New Roman"/>
                <w:sz w:val="20"/>
                <w:szCs w:val="20"/>
              </w:rPr>
              <w:t>2</w:t>
            </w:r>
            <w:r w:rsidRPr="00B30084">
              <w:rPr>
                <w:rFonts w:ascii="Times New Roman" w:hAnsi="Times New Roman" w:cs="Times New Roman"/>
                <w:sz w:val="20"/>
                <w:szCs w:val="20"/>
                <w:lang w:val="sr-Cyrl-RS"/>
              </w:rPr>
              <w:t xml:space="preserve">.6. Анализа изазова и препрека за издавање </w:t>
            </w:r>
            <w:proofErr w:type="spellStart"/>
            <w:r w:rsidRPr="00B30084">
              <w:rPr>
                <w:rFonts w:ascii="Times New Roman" w:hAnsi="Times New Roman" w:cs="Times New Roman"/>
                <w:sz w:val="20"/>
                <w:szCs w:val="20"/>
                <w:lang w:val="sr-Cyrl-RS"/>
              </w:rPr>
              <w:t>муниципалних</w:t>
            </w:r>
            <w:proofErr w:type="spellEnd"/>
            <w:r w:rsidRPr="00B30084">
              <w:rPr>
                <w:rFonts w:ascii="Times New Roman" w:hAnsi="Times New Roman" w:cs="Times New Roman"/>
                <w:sz w:val="20"/>
                <w:szCs w:val="20"/>
                <w:lang w:val="sr-Cyrl-RS"/>
              </w:rPr>
              <w:t xml:space="preserve"> обвезница и зелених </w:t>
            </w:r>
            <w:proofErr w:type="spellStart"/>
            <w:r w:rsidRPr="00B30084">
              <w:rPr>
                <w:rFonts w:ascii="Times New Roman" w:hAnsi="Times New Roman" w:cs="Times New Roman"/>
                <w:sz w:val="20"/>
                <w:szCs w:val="20"/>
                <w:lang w:val="sr-Cyrl-RS"/>
              </w:rPr>
              <w:t>муниципалних</w:t>
            </w:r>
            <w:proofErr w:type="spellEnd"/>
            <w:r w:rsidRPr="00B30084">
              <w:rPr>
                <w:rFonts w:ascii="Times New Roman" w:hAnsi="Times New Roman" w:cs="Times New Roman"/>
                <w:sz w:val="20"/>
                <w:szCs w:val="20"/>
                <w:lang w:val="sr-Cyrl-RS"/>
              </w:rPr>
              <w:t xml:space="preserve"> обвезница у циљу развоја програма подршке за њихову емисију</w:t>
            </w:r>
          </w:p>
        </w:tc>
        <w:tc>
          <w:tcPr>
            <w:tcW w:w="833" w:type="pct"/>
          </w:tcPr>
          <w:p w14:paraId="0A512F1B"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6788D02F"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МДУЛС</w:t>
            </w:r>
          </w:p>
        </w:tc>
        <w:tc>
          <w:tcPr>
            <w:tcW w:w="778" w:type="pct"/>
          </w:tcPr>
          <w:p w14:paraId="06A78FD1"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30/09/22</w:t>
            </w:r>
          </w:p>
        </w:tc>
        <w:tc>
          <w:tcPr>
            <w:tcW w:w="1003" w:type="pct"/>
          </w:tcPr>
          <w:p w14:paraId="6544F840"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proofErr w:type="spellStart"/>
            <w:r w:rsidRPr="00B30084">
              <w:rPr>
                <w:rFonts w:ascii="Times New Roman" w:hAnsi="Times New Roman" w:cs="Times New Roman"/>
                <w:sz w:val="20"/>
                <w:szCs w:val="20"/>
                <w:lang w:val="sr-Cyrl-RS"/>
              </w:rPr>
              <w:t>Донатроска</w:t>
            </w:r>
            <w:proofErr w:type="spellEnd"/>
            <w:r w:rsidRPr="00B30084">
              <w:rPr>
                <w:rFonts w:ascii="Times New Roman" w:hAnsi="Times New Roman" w:cs="Times New Roman"/>
                <w:sz w:val="20"/>
                <w:szCs w:val="20"/>
                <w:lang w:val="sr-Cyrl-RS"/>
              </w:rPr>
              <w:t xml:space="preserve"> средства</w:t>
            </w:r>
          </w:p>
        </w:tc>
      </w:tr>
      <w:tr w:rsidR="00693ECC" w:rsidRPr="00B30084" w14:paraId="0DA0FD03" w14:textId="77777777" w:rsidTr="00B12AD9">
        <w:trPr>
          <w:trHeight w:val="156"/>
        </w:trPr>
        <w:tc>
          <w:tcPr>
            <w:tcW w:w="1552" w:type="pct"/>
            <w:tcBorders>
              <w:left w:val="double" w:sz="4" w:space="0" w:color="auto"/>
            </w:tcBorders>
          </w:tcPr>
          <w:p w14:paraId="3FABCCF7" w14:textId="21268EEC" w:rsidR="00693ECC" w:rsidRPr="00B30084" w:rsidRDefault="00693ECC" w:rsidP="00B12AD9">
            <w:pPr>
              <w:shd w:val="clear" w:color="auto" w:fill="FFFFFF" w:themeFill="background1"/>
              <w:rPr>
                <w:rFonts w:ascii="Times New Roman" w:hAnsi="Times New Roman" w:cs="Times New Roman"/>
                <w:sz w:val="20"/>
                <w:szCs w:val="20"/>
              </w:rPr>
            </w:pPr>
            <w:r w:rsidRPr="00B30084">
              <w:rPr>
                <w:rFonts w:ascii="Times New Roman" w:hAnsi="Times New Roman" w:cs="Times New Roman"/>
                <w:sz w:val="20"/>
                <w:szCs w:val="20"/>
                <w:lang w:val="sr-Cyrl-RS"/>
              </w:rPr>
              <w:t>2.</w:t>
            </w:r>
            <w:r w:rsidRPr="00B30084">
              <w:rPr>
                <w:rFonts w:ascii="Times New Roman" w:hAnsi="Times New Roman" w:cs="Times New Roman"/>
                <w:sz w:val="20"/>
                <w:szCs w:val="20"/>
              </w:rPr>
              <w:t>2</w:t>
            </w:r>
            <w:r w:rsidRPr="00B30084">
              <w:rPr>
                <w:rFonts w:ascii="Times New Roman" w:hAnsi="Times New Roman" w:cs="Times New Roman"/>
                <w:sz w:val="20"/>
                <w:szCs w:val="20"/>
                <w:lang w:val="sr-Cyrl-RS"/>
              </w:rPr>
              <w:t xml:space="preserve">.7. Имплементација програма за издавање </w:t>
            </w:r>
            <w:proofErr w:type="spellStart"/>
            <w:r w:rsidRPr="00B30084">
              <w:rPr>
                <w:rFonts w:ascii="Times New Roman" w:hAnsi="Times New Roman" w:cs="Times New Roman"/>
                <w:sz w:val="20"/>
                <w:szCs w:val="20"/>
                <w:lang w:val="sr-Cyrl-RS"/>
              </w:rPr>
              <w:t>муниципалних</w:t>
            </w:r>
            <w:proofErr w:type="spellEnd"/>
            <w:r w:rsidRPr="00B30084">
              <w:rPr>
                <w:rFonts w:ascii="Times New Roman" w:hAnsi="Times New Roman" w:cs="Times New Roman"/>
                <w:sz w:val="20"/>
                <w:szCs w:val="20"/>
                <w:lang w:val="sr-Cyrl-RS"/>
              </w:rPr>
              <w:t xml:space="preserve"> обвезница и зелених </w:t>
            </w:r>
            <w:proofErr w:type="spellStart"/>
            <w:r w:rsidRPr="00B30084">
              <w:rPr>
                <w:rFonts w:ascii="Times New Roman" w:hAnsi="Times New Roman" w:cs="Times New Roman"/>
                <w:sz w:val="20"/>
                <w:szCs w:val="20"/>
                <w:lang w:val="sr-Cyrl-RS"/>
              </w:rPr>
              <w:t>муниципалних</w:t>
            </w:r>
            <w:proofErr w:type="spellEnd"/>
            <w:r w:rsidRPr="00B30084">
              <w:rPr>
                <w:rFonts w:ascii="Times New Roman" w:hAnsi="Times New Roman" w:cs="Times New Roman"/>
                <w:sz w:val="20"/>
                <w:szCs w:val="20"/>
                <w:lang w:val="sr-Cyrl-RS"/>
              </w:rPr>
              <w:t xml:space="preserve"> </w:t>
            </w:r>
            <w:proofErr w:type="spellStart"/>
            <w:r w:rsidRPr="00B30084">
              <w:rPr>
                <w:rFonts w:ascii="Times New Roman" w:hAnsi="Times New Roman" w:cs="Times New Roman"/>
                <w:sz w:val="20"/>
                <w:szCs w:val="20"/>
                <w:lang w:val="sr-Cyrl-RS"/>
              </w:rPr>
              <w:t>обезница</w:t>
            </w:r>
            <w:proofErr w:type="spellEnd"/>
          </w:p>
        </w:tc>
        <w:tc>
          <w:tcPr>
            <w:tcW w:w="833" w:type="pct"/>
          </w:tcPr>
          <w:p w14:paraId="3CE2ED35"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68B2DD0C"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МДУЛС</w:t>
            </w:r>
          </w:p>
        </w:tc>
        <w:tc>
          <w:tcPr>
            <w:tcW w:w="778" w:type="pct"/>
          </w:tcPr>
          <w:p w14:paraId="30D70A8C"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30/03/23</w:t>
            </w:r>
          </w:p>
        </w:tc>
        <w:tc>
          <w:tcPr>
            <w:tcW w:w="1003" w:type="pct"/>
          </w:tcPr>
          <w:p w14:paraId="44BC79FF"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Донаторска средства </w:t>
            </w:r>
          </w:p>
        </w:tc>
      </w:tr>
      <w:tr w:rsidR="00693ECC" w:rsidRPr="00B30084" w14:paraId="1138DFC9" w14:textId="77777777" w:rsidTr="00B12AD9">
        <w:trPr>
          <w:trHeight w:val="156"/>
        </w:trPr>
        <w:tc>
          <w:tcPr>
            <w:tcW w:w="1552" w:type="pct"/>
            <w:tcBorders>
              <w:left w:val="double" w:sz="4" w:space="0" w:color="auto"/>
            </w:tcBorders>
          </w:tcPr>
          <w:p w14:paraId="7417199A" w14:textId="19EEA3E4"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2.2.8. Анализа комплетног портфолија привредних друштава у државном власништву, у циљу припреме за учествовање у </w:t>
            </w:r>
            <w:proofErr w:type="spellStart"/>
            <w:r w:rsidRPr="00B30084">
              <w:rPr>
                <w:rFonts w:ascii="Times New Roman" w:hAnsi="Times New Roman" w:cs="Times New Roman"/>
                <w:sz w:val="20"/>
                <w:szCs w:val="20"/>
                <w:lang w:val="sr-Cyrl-RS"/>
              </w:rPr>
              <w:t>тршишту</w:t>
            </w:r>
            <w:proofErr w:type="spellEnd"/>
            <w:r w:rsidRPr="00B30084">
              <w:rPr>
                <w:rFonts w:ascii="Times New Roman" w:hAnsi="Times New Roman" w:cs="Times New Roman"/>
                <w:sz w:val="20"/>
                <w:szCs w:val="20"/>
                <w:lang w:val="sr-Cyrl-RS"/>
              </w:rPr>
              <w:t xml:space="preserve"> капитала </w:t>
            </w:r>
          </w:p>
        </w:tc>
        <w:tc>
          <w:tcPr>
            <w:tcW w:w="833" w:type="pct"/>
          </w:tcPr>
          <w:p w14:paraId="353E2E05"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2D784012"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proofErr w:type="spellStart"/>
            <w:r w:rsidRPr="00B30084">
              <w:rPr>
                <w:rFonts w:ascii="Times New Roman" w:hAnsi="Times New Roman" w:cs="Times New Roman"/>
                <w:sz w:val="20"/>
                <w:szCs w:val="20"/>
                <w:lang w:val="sr-Cyrl-RS"/>
              </w:rPr>
              <w:t>Мприв</w:t>
            </w:r>
            <w:proofErr w:type="spellEnd"/>
          </w:p>
        </w:tc>
        <w:tc>
          <w:tcPr>
            <w:tcW w:w="778" w:type="pct"/>
          </w:tcPr>
          <w:p w14:paraId="793ECC9A"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31/12/22</w:t>
            </w:r>
          </w:p>
        </w:tc>
        <w:tc>
          <w:tcPr>
            <w:tcW w:w="1003" w:type="pct"/>
          </w:tcPr>
          <w:p w14:paraId="793C1685"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 / Буџет РС</w:t>
            </w:r>
          </w:p>
        </w:tc>
      </w:tr>
    </w:tbl>
    <w:p w14:paraId="1410D68F" w14:textId="77777777" w:rsidR="0032590D" w:rsidRDefault="0032590D" w:rsidP="00693ECC">
      <w:pPr>
        <w:spacing w:line="276" w:lineRule="auto"/>
        <w:ind w:firstLine="720"/>
        <w:jc w:val="both"/>
        <w:rPr>
          <w:rFonts w:ascii="Times New Roman" w:hAnsi="Times New Roman" w:cs="Times New Roman"/>
          <w:bCs/>
          <w:color w:val="000000"/>
          <w:sz w:val="24"/>
          <w:szCs w:val="24"/>
          <w:lang w:val="sr-Cyrl-RS"/>
        </w:rPr>
      </w:pPr>
    </w:p>
    <w:p w14:paraId="045331DC" w14:textId="3EC12E0F"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Постоји широк спектар инструмената који се могу укључити на тржиште капитала Републике Србије. Неки инструменти већ данас постоје, друге би требало развити. Према обављеним разговорима са учесницима на тржишту капи</w:t>
      </w:r>
      <w:r w:rsidR="001869B6">
        <w:rPr>
          <w:rFonts w:ascii="Times New Roman" w:hAnsi="Times New Roman" w:cs="Times New Roman"/>
          <w:bCs/>
          <w:color w:val="000000"/>
          <w:sz w:val="24"/>
          <w:szCs w:val="24"/>
          <w:lang w:val="sr-Cyrl-RS"/>
        </w:rPr>
        <w:t>т</w:t>
      </w:r>
      <w:r w:rsidRPr="00B30084">
        <w:rPr>
          <w:rFonts w:ascii="Times New Roman" w:hAnsi="Times New Roman" w:cs="Times New Roman"/>
          <w:bCs/>
          <w:color w:val="000000"/>
          <w:sz w:val="24"/>
          <w:szCs w:val="24"/>
          <w:lang w:val="sr-Cyrl-RS"/>
        </w:rPr>
        <w:t>ал</w:t>
      </w:r>
      <w:r w:rsidR="001869B6">
        <w:rPr>
          <w:rFonts w:ascii="Times New Roman" w:hAnsi="Times New Roman" w:cs="Times New Roman"/>
          <w:bCs/>
          <w:color w:val="000000"/>
          <w:sz w:val="24"/>
          <w:szCs w:val="24"/>
          <w:lang w:val="sr-Cyrl-RS"/>
        </w:rPr>
        <w:t>а</w:t>
      </w:r>
      <w:r w:rsidRPr="00B30084">
        <w:rPr>
          <w:rFonts w:ascii="Times New Roman" w:hAnsi="Times New Roman" w:cs="Times New Roman"/>
          <w:bCs/>
          <w:color w:val="000000"/>
          <w:sz w:val="24"/>
          <w:szCs w:val="24"/>
          <w:lang w:val="sr-Cyrl-RS"/>
        </w:rPr>
        <w:t>, фокус је на једноставнијим врстама инструмената. Успех код напреднијих врста захтеваће значајну додатну финансијску едукацију учесника на тржишту.</w:t>
      </w:r>
    </w:p>
    <w:p w14:paraId="06AC81C4" w14:textId="77777777"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
          <w:color w:val="000000"/>
          <w:sz w:val="24"/>
          <w:szCs w:val="24"/>
          <w:lang w:val="sr-Cyrl-RS"/>
        </w:rPr>
        <w:t xml:space="preserve">Обичне акције </w:t>
      </w:r>
    </w:p>
    <w:p w14:paraId="22FB0290" w14:textId="77777777"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Обичне акције су најосновнији инструмент тржишта капитала. У широкој су употреби у Републици Србији. Обичне акције представљају део капитала акционарског друштва изражен кроз инструмент обезбеђења. То је заправо основна врста акција која власницима пружа одређена права попут управљања, учешћа у добити, права прече куповине акција, отуђења акција или права гласа на главној скупштини акционара, као и учешће у ликвидацији друштва након измирења свих обавеза привредног друштва  према повериоцима. Свака обична акција даје акционару исто право.</w:t>
      </w:r>
    </w:p>
    <w:p w14:paraId="129E174C" w14:textId="71FF257D"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Права и обавезе по основу обичних акција регулисани су Законом о привредним друштвима и Законом о тржишт</w:t>
      </w:r>
      <w:r w:rsidR="00942D7E">
        <w:rPr>
          <w:rFonts w:ascii="Times New Roman" w:hAnsi="Times New Roman" w:cs="Times New Roman"/>
          <w:bCs/>
          <w:color w:val="000000"/>
          <w:sz w:val="24"/>
          <w:szCs w:val="24"/>
          <w:lang w:val="sr-Cyrl-RS"/>
        </w:rPr>
        <w:t>у</w:t>
      </w:r>
      <w:r w:rsidRPr="00B30084">
        <w:rPr>
          <w:rFonts w:ascii="Times New Roman" w:hAnsi="Times New Roman" w:cs="Times New Roman"/>
          <w:bCs/>
          <w:color w:val="000000"/>
          <w:sz w:val="24"/>
          <w:szCs w:val="24"/>
          <w:lang w:val="sr-Cyrl-RS"/>
        </w:rPr>
        <w:t xml:space="preserve"> капитала.</w:t>
      </w:r>
    </w:p>
    <w:p w14:paraId="53233247" w14:textId="4377EC30" w:rsidR="00865533"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Cs/>
          <w:color w:val="000000"/>
          <w:sz w:val="24"/>
          <w:szCs w:val="24"/>
          <w:lang w:val="sr-Cyrl-RS"/>
        </w:rPr>
        <w:t>У складу са разговорима обављеним са учесницима на тржишту капитала Републике Србије, постоји неколико практичних недостат</w:t>
      </w:r>
      <w:r w:rsidR="00AE74EF">
        <w:rPr>
          <w:rFonts w:ascii="Times New Roman" w:hAnsi="Times New Roman" w:cs="Times New Roman"/>
          <w:bCs/>
          <w:color w:val="000000"/>
          <w:sz w:val="24"/>
          <w:szCs w:val="24"/>
          <w:lang w:val="sr-Cyrl-RS"/>
        </w:rPr>
        <w:t xml:space="preserve">ака у погледу исплате дивиденди, на чему ће </w:t>
      </w:r>
      <w:r w:rsidR="004435DE">
        <w:rPr>
          <w:rFonts w:ascii="Times New Roman" w:hAnsi="Times New Roman" w:cs="Times New Roman"/>
          <w:bCs/>
          <w:color w:val="000000"/>
          <w:sz w:val="24"/>
          <w:szCs w:val="24"/>
          <w:lang w:val="sr-Cyrl-RS"/>
        </w:rPr>
        <w:t>бити један од фокуса</w:t>
      </w:r>
      <w:r w:rsidR="00AE74EF">
        <w:rPr>
          <w:rFonts w:ascii="Times New Roman" w:hAnsi="Times New Roman" w:cs="Times New Roman"/>
          <w:bCs/>
          <w:color w:val="000000"/>
          <w:sz w:val="24"/>
          <w:szCs w:val="24"/>
          <w:lang w:val="sr-Cyrl-RS"/>
        </w:rPr>
        <w:t xml:space="preserve"> у наредном периоду.</w:t>
      </w:r>
    </w:p>
    <w:p w14:paraId="06C0F3BE" w14:textId="77777777" w:rsidR="00EC3297" w:rsidRDefault="00EC3297" w:rsidP="00693ECC">
      <w:pPr>
        <w:spacing w:line="276" w:lineRule="auto"/>
        <w:ind w:firstLine="720"/>
        <w:jc w:val="both"/>
        <w:rPr>
          <w:rFonts w:ascii="Times New Roman" w:hAnsi="Times New Roman" w:cs="Times New Roman"/>
          <w:b/>
          <w:color w:val="000000"/>
          <w:sz w:val="24"/>
          <w:szCs w:val="24"/>
          <w:lang w:val="sr-Cyrl-RS"/>
        </w:rPr>
      </w:pPr>
    </w:p>
    <w:p w14:paraId="779F06BE" w14:textId="77777777" w:rsidR="00EC3297" w:rsidRDefault="00EC3297" w:rsidP="00693ECC">
      <w:pPr>
        <w:spacing w:line="276" w:lineRule="auto"/>
        <w:ind w:firstLine="720"/>
        <w:jc w:val="both"/>
        <w:rPr>
          <w:rFonts w:ascii="Times New Roman" w:hAnsi="Times New Roman" w:cs="Times New Roman"/>
          <w:b/>
          <w:color w:val="000000"/>
          <w:sz w:val="24"/>
          <w:szCs w:val="24"/>
          <w:lang w:val="sr-Cyrl-RS"/>
        </w:rPr>
      </w:pPr>
    </w:p>
    <w:p w14:paraId="03DCCD1A" w14:textId="36947025"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
          <w:color w:val="000000"/>
          <w:sz w:val="24"/>
          <w:szCs w:val="24"/>
          <w:lang w:val="sr-Cyrl-RS"/>
        </w:rPr>
        <w:t>Преференцијалне акције</w:t>
      </w:r>
    </w:p>
    <w:p w14:paraId="48B4FEBD" w14:textId="0822EC91"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П</w:t>
      </w:r>
      <w:r w:rsidR="0032590D">
        <w:rPr>
          <w:rFonts w:ascii="Times New Roman" w:hAnsi="Times New Roman" w:cs="Times New Roman"/>
          <w:bCs/>
          <w:color w:val="000000"/>
          <w:sz w:val="24"/>
          <w:szCs w:val="24"/>
          <w:lang w:val="sr-Cyrl-RS"/>
        </w:rPr>
        <w:t>референцијалне</w:t>
      </w:r>
      <w:r w:rsidRPr="00B30084">
        <w:rPr>
          <w:rFonts w:ascii="Times New Roman" w:hAnsi="Times New Roman" w:cs="Times New Roman"/>
          <w:bCs/>
          <w:color w:val="000000"/>
          <w:sz w:val="24"/>
          <w:szCs w:val="24"/>
          <w:lang w:val="sr-Cyrl-RS"/>
        </w:rPr>
        <w:t xml:space="preserve"> акције су облик капитала, </w:t>
      </w:r>
      <w:r w:rsidR="0032590D">
        <w:rPr>
          <w:rFonts w:ascii="Times New Roman" w:hAnsi="Times New Roman" w:cs="Times New Roman"/>
          <w:bCs/>
          <w:color w:val="000000"/>
          <w:sz w:val="24"/>
          <w:szCs w:val="24"/>
          <w:lang w:val="sr-Cyrl-RS"/>
        </w:rPr>
        <w:t xml:space="preserve">које </w:t>
      </w:r>
      <w:r w:rsidRPr="00B30084">
        <w:rPr>
          <w:rFonts w:ascii="Times New Roman" w:hAnsi="Times New Roman" w:cs="Times New Roman"/>
          <w:bCs/>
          <w:color w:val="000000"/>
          <w:sz w:val="24"/>
          <w:szCs w:val="24"/>
          <w:lang w:val="sr-Cyrl-RS"/>
        </w:rPr>
        <w:t xml:space="preserve">се разликују од обичних акција у три главна аспекта (1) не носе гласачка права, осим у одређеним случајевима, (2) дивиденда је утврђена унапред утврђеном формулом и (3) приоритетни акционари имају предност над </w:t>
      </w:r>
      <w:r w:rsidR="0032590D">
        <w:rPr>
          <w:rFonts w:ascii="Times New Roman" w:hAnsi="Times New Roman" w:cs="Times New Roman"/>
          <w:bCs/>
          <w:color w:val="000000"/>
          <w:sz w:val="24"/>
          <w:szCs w:val="24"/>
          <w:lang w:val="sr-Cyrl-RS"/>
        </w:rPr>
        <w:t xml:space="preserve">власницима обичних акција </w:t>
      </w:r>
      <w:r w:rsidRPr="00B30084">
        <w:rPr>
          <w:rFonts w:ascii="Times New Roman" w:hAnsi="Times New Roman" w:cs="Times New Roman"/>
          <w:bCs/>
          <w:color w:val="000000"/>
          <w:sz w:val="24"/>
          <w:szCs w:val="24"/>
          <w:lang w:val="sr-Cyrl-RS"/>
        </w:rPr>
        <w:t xml:space="preserve">по ликвидацији привредног друштва. </w:t>
      </w:r>
    </w:p>
    <w:p w14:paraId="629D7D83" w14:textId="4D8B0AD2"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Кључна предност издавања преференцијалних акција је у томе што повећава капитал компаније без утицаја на гласање. Главни недостатак издавања преференцијалних акција је тај што исплаћене дивиденде нису издатак који се одбија од пореза јер представљају повраћај капитала. Према томе, у поређењу са дугом предузећа, приоритетне акције су скупљи капитал.</w:t>
      </w:r>
    </w:p>
    <w:p w14:paraId="4EE4F729" w14:textId="63FCBF2B"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С обзиром на то да Закон о привредним друштвима садржи само широку покривеност ове теме, чини се да преиспитивање и дорађивање покрива Комисија за хартије од вредности.</w:t>
      </w:r>
    </w:p>
    <w:p w14:paraId="40EAC14D" w14:textId="77777777"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За Србију је најперспективнији аспект преференцијалних акција идеја „учешћа у повлашћеним акцијама“ која је одобрена чланом 253. Закона о привредним друштвима. То су преференцијалне акције које носе наведену дивиденду, али такође учествују у добити компаније. Да будемо прецизнији, компанија може створити класу повлашћених акција које носе само номиналну „фиксну“ дивиденду, али такође треба навести да свака повлашћена акција добија исту дивиденду као и свака обична акција. Ово у основи раздваја економске користи од гласачких права обичних акција и ствара класу акција једнаку обичним. Ово би могло бити изузетно драгоцено у контексту приватизације државних предузећа у којима постоји страх од губитка контроле, али инвеститори ипак  траже равноправну економску основу са државним власником.</w:t>
      </w:r>
    </w:p>
    <w:p w14:paraId="090685E9" w14:textId="77777777"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
          <w:color w:val="000000"/>
          <w:sz w:val="24"/>
          <w:szCs w:val="24"/>
          <w:lang w:val="sr-Cyrl-RS"/>
        </w:rPr>
        <w:t>Корпоративне обвезнице</w:t>
      </w:r>
    </w:p>
    <w:p w14:paraId="5A4BF470" w14:textId="23B1EAD0" w:rsidR="00693ECC" w:rsidRPr="00B30084" w:rsidRDefault="001869B6" w:rsidP="00693ECC">
      <w:pPr>
        <w:spacing w:line="276"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У теорији могу бити класичне или прилагођене</w:t>
      </w:r>
      <w:r w:rsidR="00693ECC" w:rsidRPr="00B30084">
        <w:rPr>
          <w:rFonts w:ascii="Times New Roman" w:hAnsi="Times New Roman" w:cs="Times New Roman"/>
          <w:bCs/>
          <w:color w:val="000000"/>
          <w:sz w:val="24"/>
          <w:szCs w:val="24"/>
          <w:lang w:val="sr-Cyrl-RS"/>
        </w:rPr>
        <w:t>. У пракси су корпоративне обвезнице издате у Србији више класичне него прилагођене.</w:t>
      </w:r>
    </w:p>
    <w:p w14:paraId="2EED60C1" w14:textId="77777777"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Корпоративне обвезнице су у Републици Србији у ограниченој употреби. Два су основна разлога за то.</w:t>
      </w:r>
    </w:p>
    <w:p w14:paraId="63A58D73" w14:textId="093A0151"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Прво, привредна друштва пре</w:t>
      </w:r>
      <w:r w:rsidR="00EB2AEB">
        <w:rPr>
          <w:rFonts w:ascii="Times New Roman" w:hAnsi="Times New Roman" w:cs="Times New Roman"/>
          <w:bCs/>
          <w:color w:val="000000"/>
          <w:sz w:val="24"/>
          <w:szCs w:val="24"/>
          <w:lang w:val="sr-Cyrl-RS"/>
        </w:rPr>
        <w:t>ферирају задуживање код банака у односу на издавање</w:t>
      </w:r>
      <w:r w:rsidRPr="00B30084">
        <w:rPr>
          <w:rFonts w:ascii="Times New Roman" w:hAnsi="Times New Roman" w:cs="Times New Roman"/>
          <w:bCs/>
          <w:color w:val="000000"/>
          <w:sz w:val="24"/>
          <w:szCs w:val="24"/>
          <w:lang w:val="sr-Cyrl-RS"/>
        </w:rPr>
        <w:t xml:space="preserve"> обвезница, јер је процес бржи. Време за финансирање у оквиру успостављеног односа са зајмодавцем може бити само један дан. Чак је и у односима с новим зајмодавцима време за одобравање зајма краће од </w:t>
      </w:r>
      <w:r w:rsidR="009E5459">
        <w:rPr>
          <w:rFonts w:ascii="Times New Roman" w:hAnsi="Times New Roman" w:cs="Times New Roman"/>
          <w:bCs/>
          <w:color w:val="000000"/>
          <w:sz w:val="24"/>
          <w:szCs w:val="24"/>
          <w:lang w:val="sr-Cyrl-RS"/>
        </w:rPr>
        <w:t>изласка</w:t>
      </w:r>
      <w:r w:rsidRPr="00B30084">
        <w:rPr>
          <w:rFonts w:ascii="Times New Roman" w:hAnsi="Times New Roman" w:cs="Times New Roman"/>
          <w:bCs/>
          <w:color w:val="000000"/>
          <w:sz w:val="24"/>
          <w:szCs w:val="24"/>
          <w:lang w:val="sr-Cyrl-RS"/>
        </w:rPr>
        <w:t xml:space="preserve"> на тржиште</w:t>
      </w:r>
      <w:r w:rsidR="009E5459">
        <w:rPr>
          <w:rFonts w:ascii="Times New Roman" w:hAnsi="Times New Roman" w:cs="Times New Roman"/>
          <w:bCs/>
          <w:color w:val="000000"/>
          <w:sz w:val="24"/>
          <w:szCs w:val="24"/>
          <w:lang w:val="sr-Cyrl-RS"/>
        </w:rPr>
        <w:t xml:space="preserve"> капитала</w:t>
      </w:r>
      <w:r w:rsidRPr="00B30084">
        <w:rPr>
          <w:rFonts w:ascii="Times New Roman" w:hAnsi="Times New Roman" w:cs="Times New Roman"/>
          <w:bCs/>
          <w:color w:val="000000"/>
          <w:sz w:val="24"/>
          <w:szCs w:val="24"/>
          <w:lang w:val="sr-Cyrl-RS"/>
        </w:rPr>
        <w:t>.</w:t>
      </w:r>
    </w:p>
    <w:p w14:paraId="61305D9A" w14:textId="70755803" w:rsidR="00693ECC" w:rsidRPr="00B30084" w:rsidRDefault="005F5C51"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Министарство финансија и К</w:t>
      </w:r>
      <w:r w:rsidR="00693ECC" w:rsidRPr="00B30084">
        <w:rPr>
          <w:rFonts w:ascii="Times New Roman" w:hAnsi="Times New Roman" w:cs="Times New Roman"/>
          <w:bCs/>
          <w:color w:val="000000"/>
          <w:sz w:val="24"/>
          <w:szCs w:val="24"/>
          <w:lang w:val="sr-Cyrl-RS"/>
        </w:rPr>
        <w:t>омисија за хартије од вредности покушали су да то реше на законском, односно подзаконском нивоу, поједностављивањем процедуре за</w:t>
      </w:r>
      <w:r w:rsidR="00310DFA">
        <w:rPr>
          <w:rFonts w:ascii="Times New Roman" w:hAnsi="Times New Roman" w:cs="Times New Roman"/>
          <w:bCs/>
          <w:color w:val="000000"/>
          <w:sz w:val="24"/>
          <w:szCs w:val="24"/>
          <w:lang w:val="sr-Cyrl-RS"/>
        </w:rPr>
        <w:t xml:space="preserve"> добијање сагласности неопходних за јавну понуду и укључивање на тржиште тих обвезница</w:t>
      </w:r>
      <w:r w:rsidR="00693ECC" w:rsidRPr="00B30084">
        <w:rPr>
          <w:rFonts w:ascii="Times New Roman" w:hAnsi="Times New Roman" w:cs="Times New Roman"/>
          <w:bCs/>
          <w:color w:val="000000"/>
          <w:sz w:val="24"/>
          <w:szCs w:val="24"/>
          <w:lang w:val="sr-Cyrl-RS"/>
        </w:rPr>
        <w:t xml:space="preserve">. Ово је </w:t>
      </w:r>
      <w:r w:rsidR="00693ECC" w:rsidRPr="00B30084">
        <w:rPr>
          <w:rFonts w:ascii="Times New Roman" w:hAnsi="Times New Roman" w:cs="Times New Roman"/>
          <w:bCs/>
          <w:color w:val="000000"/>
          <w:sz w:val="24"/>
          <w:szCs w:val="24"/>
          <w:lang w:val="sr-Cyrl-RS"/>
        </w:rPr>
        <w:lastRenderedPageBreak/>
        <w:t>почело Уредбом Владе Републике Србије током ванредног стања проглашеног због пандемиј</w:t>
      </w:r>
      <w:r w:rsidRPr="00B30084">
        <w:rPr>
          <w:rFonts w:ascii="Times New Roman" w:hAnsi="Times New Roman" w:cs="Times New Roman"/>
          <w:bCs/>
          <w:color w:val="000000"/>
          <w:sz w:val="24"/>
          <w:szCs w:val="24"/>
          <w:lang w:val="sr-Cyrl-RS"/>
        </w:rPr>
        <w:t>е COVID-19. Након истека уредбе,</w:t>
      </w:r>
      <w:r w:rsidR="00693ECC" w:rsidRPr="00B30084">
        <w:rPr>
          <w:rFonts w:ascii="Times New Roman" w:hAnsi="Times New Roman" w:cs="Times New Roman"/>
          <w:bCs/>
          <w:color w:val="000000"/>
          <w:sz w:val="24"/>
          <w:szCs w:val="24"/>
          <w:lang w:val="sr-Cyrl-RS"/>
        </w:rPr>
        <w:t xml:space="preserve"> </w:t>
      </w:r>
      <w:r w:rsidRPr="00B30084">
        <w:rPr>
          <w:rFonts w:ascii="Times New Roman" w:hAnsi="Times New Roman" w:cs="Times New Roman"/>
          <w:bCs/>
          <w:color w:val="000000"/>
          <w:sz w:val="24"/>
          <w:szCs w:val="24"/>
          <w:lang w:val="sr-Cyrl-RS"/>
        </w:rPr>
        <w:t>у Закон о тржишту капитала имплементиране су одредбе из наведене уредбе и Комисија за хартије од вредности</w:t>
      </w:r>
      <w:r w:rsidR="00693ECC" w:rsidRPr="00B30084">
        <w:rPr>
          <w:rFonts w:ascii="Times New Roman" w:hAnsi="Times New Roman" w:cs="Times New Roman"/>
          <w:bCs/>
          <w:color w:val="000000"/>
          <w:sz w:val="24"/>
          <w:szCs w:val="24"/>
          <w:lang w:val="sr-Cyrl-RS"/>
        </w:rPr>
        <w:t xml:space="preserve"> је усвојила трајне измене својих правила</w:t>
      </w:r>
      <w:r w:rsidR="004B0474">
        <w:rPr>
          <w:rFonts w:ascii="Times New Roman" w:hAnsi="Times New Roman" w:cs="Times New Roman"/>
          <w:bCs/>
          <w:color w:val="000000"/>
          <w:sz w:val="24"/>
          <w:szCs w:val="24"/>
          <w:lang w:val="sr-Cyrl-RS"/>
        </w:rPr>
        <w:t xml:space="preserve"> </w:t>
      </w:r>
      <w:r w:rsidR="004B0474" w:rsidRPr="004B0474">
        <w:rPr>
          <w:rFonts w:ascii="Times New Roman" w:hAnsi="Times New Roman" w:cs="Times New Roman"/>
          <w:bCs/>
          <w:color w:val="000000"/>
          <w:sz w:val="24"/>
          <w:szCs w:val="24"/>
          <w:lang w:val="sr-Cyrl-RS"/>
        </w:rPr>
        <w:t>којима се поједностављује поступак за састављање проспекта за издавање дужничких хартија од вредности, као и подношења одговарајуће документације Комисији уз захтев за одобрење проспекта, што ће омогућити привредним друштвима бржи и лакши приступ финансијским средствима неопходним за редовне пословне активности или унапређење и проширење пословања, уз мање трошкове приликом издавања ових хартија од вредности.</w:t>
      </w:r>
      <w:r w:rsidR="00693ECC" w:rsidRPr="00B30084">
        <w:rPr>
          <w:rFonts w:ascii="Times New Roman" w:hAnsi="Times New Roman" w:cs="Times New Roman"/>
          <w:bCs/>
          <w:color w:val="000000"/>
          <w:sz w:val="24"/>
          <w:szCs w:val="24"/>
          <w:lang w:val="sr-Cyrl-RS"/>
        </w:rPr>
        <w:t xml:space="preserve"> Комисија за хартије од вредности је такође смањила своје накнаде за понуде обвезница. Опет, циљ је олакшати јавну понуду </w:t>
      </w:r>
      <w:r w:rsidR="00102210">
        <w:rPr>
          <w:rFonts w:ascii="Times New Roman" w:hAnsi="Times New Roman" w:cs="Times New Roman"/>
          <w:bCs/>
          <w:color w:val="000000"/>
          <w:sz w:val="24"/>
          <w:szCs w:val="24"/>
          <w:lang w:val="sr-Cyrl-RS"/>
        </w:rPr>
        <w:t xml:space="preserve">ових </w:t>
      </w:r>
      <w:r w:rsidR="00693ECC" w:rsidRPr="00B30084">
        <w:rPr>
          <w:rFonts w:ascii="Times New Roman" w:hAnsi="Times New Roman" w:cs="Times New Roman"/>
          <w:bCs/>
          <w:color w:val="000000"/>
          <w:sz w:val="24"/>
          <w:szCs w:val="24"/>
          <w:lang w:val="sr-Cyrl-RS"/>
        </w:rPr>
        <w:t>обвезница.</w:t>
      </w:r>
    </w:p>
    <w:p w14:paraId="1783BB35" w14:textId="3D031263"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Друго, и што је још важније, постоји наратив да је скупље издавати обвезнице него узимати банкарске </w:t>
      </w:r>
      <w:r w:rsidRPr="00900AF1">
        <w:rPr>
          <w:rFonts w:ascii="Times New Roman" w:hAnsi="Times New Roman" w:cs="Times New Roman"/>
          <w:bCs/>
          <w:color w:val="000000"/>
          <w:sz w:val="24"/>
          <w:szCs w:val="24"/>
          <w:lang w:val="sr-Cyrl-RS"/>
        </w:rPr>
        <w:t xml:space="preserve">кредите. То је зато што систем тржишта капитала наплаћује накнаде за издавање обвезница и њихово одржавање у систему на годишњем нивоу. Поред </w:t>
      </w:r>
      <w:r w:rsidR="000732E4">
        <w:rPr>
          <w:rFonts w:ascii="Times New Roman" w:hAnsi="Times New Roman" w:cs="Times New Roman"/>
          <w:bCs/>
          <w:color w:val="000000"/>
          <w:sz w:val="24"/>
          <w:szCs w:val="24"/>
          <w:lang w:val="sr-Cyrl-RS"/>
        </w:rPr>
        <w:t>претходно наведених</w:t>
      </w:r>
      <w:r w:rsidRPr="00900AF1">
        <w:rPr>
          <w:rFonts w:ascii="Times New Roman" w:hAnsi="Times New Roman" w:cs="Times New Roman"/>
          <w:bCs/>
          <w:color w:val="000000"/>
          <w:sz w:val="24"/>
          <w:szCs w:val="24"/>
          <w:lang w:val="sr-Cyrl-RS"/>
        </w:rPr>
        <w:t xml:space="preserve"> накнада, ту су и „додатни трошкови“ у</w:t>
      </w:r>
      <w:r w:rsidRPr="00B30084">
        <w:rPr>
          <w:rFonts w:ascii="Times New Roman" w:hAnsi="Times New Roman" w:cs="Times New Roman"/>
          <w:bCs/>
          <w:color w:val="000000"/>
          <w:sz w:val="24"/>
          <w:szCs w:val="24"/>
          <w:lang w:val="sr-Cyrl-RS"/>
        </w:rPr>
        <w:t xml:space="preserve"> вези са професионалним услугама потребним за </w:t>
      </w:r>
      <w:r w:rsidR="00900AF1">
        <w:rPr>
          <w:rFonts w:ascii="Times New Roman" w:hAnsi="Times New Roman" w:cs="Times New Roman"/>
          <w:bCs/>
          <w:color w:val="000000"/>
          <w:sz w:val="24"/>
          <w:szCs w:val="24"/>
          <w:lang w:val="sr-Cyrl-RS"/>
        </w:rPr>
        <w:t>укључивањем</w:t>
      </w:r>
      <w:r w:rsidRPr="00B30084">
        <w:rPr>
          <w:rFonts w:ascii="Times New Roman" w:hAnsi="Times New Roman" w:cs="Times New Roman"/>
          <w:bCs/>
          <w:color w:val="000000"/>
          <w:sz w:val="24"/>
          <w:szCs w:val="24"/>
          <w:lang w:val="sr-Cyrl-RS"/>
        </w:rPr>
        <w:t xml:space="preserve"> понуде обвезница на тржиште: правне, рачуноводствене и </w:t>
      </w:r>
      <w:r w:rsidR="000732E4">
        <w:rPr>
          <w:rFonts w:ascii="Times New Roman" w:hAnsi="Times New Roman" w:cs="Times New Roman"/>
          <w:bCs/>
          <w:color w:val="000000"/>
          <w:sz w:val="24"/>
          <w:szCs w:val="24"/>
          <w:lang w:val="sr-Cyrl-RS"/>
        </w:rPr>
        <w:t>евентуално</w:t>
      </w:r>
      <w:r w:rsidRPr="00B30084">
        <w:rPr>
          <w:rFonts w:ascii="Times New Roman" w:hAnsi="Times New Roman" w:cs="Times New Roman"/>
          <w:bCs/>
          <w:color w:val="000000"/>
          <w:sz w:val="24"/>
          <w:szCs w:val="24"/>
          <w:lang w:val="sr-Cyrl-RS"/>
        </w:rPr>
        <w:t xml:space="preserve"> накнаде за преузимање. </w:t>
      </w:r>
      <w:r w:rsidR="003838A4">
        <w:rPr>
          <w:rFonts w:ascii="Times New Roman" w:hAnsi="Times New Roman" w:cs="Times New Roman"/>
          <w:bCs/>
          <w:color w:val="000000"/>
          <w:sz w:val="24"/>
          <w:szCs w:val="24"/>
          <w:lang w:val="sr-Cyrl-RS"/>
        </w:rPr>
        <w:t xml:space="preserve">Професионалне услуге </w:t>
      </w:r>
      <w:r w:rsidRPr="00B30084">
        <w:rPr>
          <w:rFonts w:ascii="Times New Roman" w:hAnsi="Times New Roman" w:cs="Times New Roman"/>
          <w:bCs/>
          <w:color w:val="000000"/>
          <w:sz w:val="24"/>
          <w:szCs w:val="24"/>
          <w:lang w:val="sr-Cyrl-RS"/>
        </w:rPr>
        <w:t>обично имају фиксне минимуме с обзиром да посао захтева отприлике једнак напор без обзира на величину понуде. Дакле, утицај професионалних накнада као проценат трошкова средстава обично је већи за понуде мањих димензија.</w:t>
      </w:r>
    </w:p>
    <w:p w14:paraId="33B1A710" w14:textId="77777777"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
          <w:color w:val="000000"/>
          <w:sz w:val="24"/>
          <w:szCs w:val="24"/>
          <w:lang w:val="sr-Cyrl-RS"/>
        </w:rPr>
        <w:t xml:space="preserve">Покривене обвезнице и </w:t>
      </w:r>
      <w:proofErr w:type="spellStart"/>
      <w:r w:rsidRPr="00B30084">
        <w:rPr>
          <w:rFonts w:ascii="Times New Roman" w:hAnsi="Times New Roman" w:cs="Times New Roman"/>
          <w:b/>
          <w:color w:val="000000"/>
          <w:sz w:val="24"/>
          <w:szCs w:val="24"/>
          <w:lang w:val="sr-Cyrl-RS"/>
        </w:rPr>
        <w:t>секјуритизација</w:t>
      </w:r>
      <w:proofErr w:type="spellEnd"/>
      <w:r w:rsidRPr="00B30084">
        <w:rPr>
          <w:rFonts w:ascii="Times New Roman" w:hAnsi="Times New Roman" w:cs="Times New Roman"/>
          <w:b/>
          <w:color w:val="000000"/>
          <w:sz w:val="24"/>
          <w:szCs w:val="24"/>
          <w:lang w:val="sr-Cyrl-RS"/>
        </w:rPr>
        <w:t>, депозитни рачуни, фондови којима се тргује на берзи, инвестициони фонд за некретнине</w:t>
      </w:r>
    </w:p>
    <w:p w14:paraId="4162DD3D" w14:textId="6A7C1432"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За разлику од неких других тржишта у развоју, Србија не поседује посебне законе ко</w:t>
      </w:r>
      <w:r w:rsidR="00900AF1">
        <w:rPr>
          <w:rFonts w:ascii="Times New Roman" w:hAnsi="Times New Roman" w:cs="Times New Roman"/>
          <w:bCs/>
          <w:color w:val="000000"/>
          <w:sz w:val="24"/>
          <w:szCs w:val="24"/>
          <w:lang w:val="sr-Cyrl-RS"/>
        </w:rPr>
        <w:t>ји регулишу покривене обвезнице/</w:t>
      </w:r>
      <w:proofErr w:type="spellStart"/>
      <w:r w:rsidRPr="00B30084">
        <w:rPr>
          <w:rFonts w:ascii="Times New Roman" w:hAnsi="Times New Roman" w:cs="Times New Roman"/>
          <w:bCs/>
          <w:color w:val="000000"/>
          <w:sz w:val="24"/>
          <w:szCs w:val="24"/>
          <w:lang w:val="sr-Cyrl-RS"/>
        </w:rPr>
        <w:t>секјуритизације</w:t>
      </w:r>
      <w:proofErr w:type="spellEnd"/>
      <w:r w:rsidRPr="00B30084">
        <w:rPr>
          <w:rFonts w:ascii="Times New Roman" w:hAnsi="Times New Roman" w:cs="Times New Roman"/>
          <w:bCs/>
          <w:color w:val="000000"/>
          <w:sz w:val="24"/>
          <w:szCs w:val="24"/>
          <w:lang w:val="sr-Cyrl-RS"/>
        </w:rPr>
        <w:t xml:space="preserve"> и тренутно нема потребе да се фокусира на развој функ</w:t>
      </w:r>
      <w:r w:rsidR="00900AF1">
        <w:rPr>
          <w:rFonts w:ascii="Times New Roman" w:hAnsi="Times New Roman" w:cs="Times New Roman"/>
          <w:bCs/>
          <w:color w:val="000000"/>
          <w:sz w:val="24"/>
          <w:szCs w:val="24"/>
          <w:lang w:val="sr-Cyrl-RS"/>
        </w:rPr>
        <w:t xml:space="preserve">ције </w:t>
      </w:r>
      <w:r w:rsidR="00087A03">
        <w:rPr>
          <w:rFonts w:ascii="Times New Roman" w:hAnsi="Times New Roman" w:cs="Times New Roman"/>
          <w:bCs/>
          <w:color w:val="000000"/>
          <w:sz w:val="24"/>
          <w:szCs w:val="24"/>
          <w:lang w:val="sr-Cyrl-RS"/>
        </w:rPr>
        <w:t>истих</w:t>
      </w:r>
      <w:r w:rsidRPr="00B30084">
        <w:rPr>
          <w:rFonts w:ascii="Times New Roman" w:hAnsi="Times New Roman" w:cs="Times New Roman"/>
          <w:bCs/>
          <w:color w:val="000000"/>
          <w:sz w:val="24"/>
          <w:szCs w:val="24"/>
          <w:lang w:val="sr-Cyrl-RS"/>
        </w:rPr>
        <w:t xml:space="preserve">. Покривене обвезнице и </w:t>
      </w:r>
      <w:proofErr w:type="spellStart"/>
      <w:r w:rsidRPr="00B30084">
        <w:rPr>
          <w:rFonts w:ascii="Times New Roman" w:hAnsi="Times New Roman" w:cs="Times New Roman"/>
          <w:bCs/>
          <w:color w:val="000000"/>
          <w:sz w:val="24"/>
          <w:szCs w:val="24"/>
          <w:lang w:val="sr-Cyrl-RS"/>
        </w:rPr>
        <w:t>секјуритизације</w:t>
      </w:r>
      <w:proofErr w:type="spellEnd"/>
      <w:r w:rsidRPr="00B30084">
        <w:rPr>
          <w:rFonts w:ascii="Times New Roman" w:hAnsi="Times New Roman" w:cs="Times New Roman"/>
          <w:bCs/>
          <w:color w:val="000000"/>
          <w:sz w:val="24"/>
          <w:szCs w:val="24"/>
          <w:lang w:val="sr-Cyrl-RS"/>
        </w:rPr>
        <w:t xml:space="preserve"> се не користе за повећање капитала</w:t>
      </w:r>
      <w:r w:rsidR="005227CC">
        <w:rPr>
          <w:rFonts w:ascii="Times New Roman" w:hAnsi="Times New Roman" w:cs="Times New Roman"/>
          <w:bCs/>
          <w:color w:val="000000"/>
          <w:sz w:val="24"/>
          <w:szCs w:val="24"/>
          <w:lang w:val="sr-Cyrl-RS"/>
        </w:rPr>
        <w:t xml:space="preserve"> привредних друштава</w:t>
      </w:r>
      <w:r w:rsidRPr="00B30084">
        <w:rPr>
          <w:rFonts w:ascii="Times New Roman" w:hAnsi="Times New Roman" w:cs="Times New Roman"/>
          <w:bCs/>
          <w:color w:val="000000"/>
          <w:sz w:val="24"/>
          <w:szCs w:val="24"/>
          <w:lang w:val="sr-Cyrl-RS"/>
        </w:rPr>
        <w:t>. Покривене обвезнице омогућавају даваоцима (1) кр</w:t>
      </w:r>
      <w:r w:rsidR="00E91516">
        <w:rPr>
          <w:rFonts w:ascii="Times New Roman" w:hAnsi="Times New Roman" w:cs="Times New Roman"/>
          <w:bCs/>
          <w:color w:val="000000"/>
          <w:sz w:val="24"/>
          <w:szCs w:val="24"/>
          <w:lang w:val="sr-Cyrl-RS"/>
        </w:rPr>
        <w:t>едита за некретнине, (2) кредита</w:t>
      </w:r>
      <w:r w:rsidRPr="00B30084">
        <w:rPr>
          <w:rFonts w:ascii="Times New Roman" w:hAnsi="Times New Roman" w:cs="Times New Roman"/>
          <w:bCs/>
          <w:color w:val="000000"/>
          <w:sz w:val="24"/>
          <w:szCs w:val="24"/>
          <w:lang w:val="sr-Cyrl-RS"/>
        </w:rPr>
        <w:t xml:space="preserve"> за куповину моторних возила (аутомобили) и (3) </w:t>
      </w:r>
      <w:r w:rsidR="004560BD">
        <w:rPr>
          <w:rFonts w:ascii="Times New Roman" w:hAnsi="Times New Roman" w:cs="Times New Roman"/>
          <w:bCs/>
          <w:color w:val="000000"/>
          <w:sz w:val="24"/>
          <w:szCs w:val="24"/>
          <w:lang w:val="sr-Cyrl-RS"/>
        </w:rPr>
        <w:t>лизинга</w:t>
      </w:r>
      <w:r w:rsidRPr="00B30084">
        <w:rPr>
          <w:rFonts w:ascii="Times New Roman" w:hAnsi="Times New Roman" w:cs="Times New Roman"/>
          <w:bCs/>
          <w:color w:val="000000"/>
          <w:sz w:val="24"/>
          <w:szCs w:val="24"/>
          <w:lang w:val="sr-Cyrl-RS"/>
        </w:rPr>
        <w:t xml:space="preserve"> </w:t>
      </w:r>
      <w:r w:rsidR="004560BD">
        <w:rPr>
          <w:rFonts w:ascii="Times New Roman" w:hAnsi="Times New Roman" w:cs="Times New Roman"/>
          <w:bCs/>
          <w:color w:val="000000"/>
          <w:sz w:val="24"/>
          <w:szCs w:val="24"/>
          <w:lang w:val="sr-Cyrl-RS"/>
        </w:rPr>
        <w:t xml:space="preserve">да уновче своју имовину, </w:t>
      </w:r>
      <w:r w:rsidRPr="00B30084">
        <w:rPr>
          <w:rFonts w:ascii="Times New Roman" w:hAnsi="Times New Roman" w:cs="Times New Roman"/>
          <w:bCs/>
          <w:color w:val="000000"/>
          <w:sz w:val="24"/>
          <w:szCs w:val="24"/>
          <w:lang w:val="sr-Cyrl-RS"/>
        </w:rPr>
        <w:t xml:space="preserve">али уз задржавање својине. </w:t>
      </w:r>
      <w:r w:rsidR="00632F1F">
        <w:rPr>
          <w:rFonts w:ascii="Times New Roman" w:hAnsi="Times New Roman" w:cs="Times New Roman"/>
          <w:bCs/>
          <w:color w:val="000000"/>
          <w:sz w:val="24"/>
          <w:szCs w:val="24"/>
          <w:lang w:val="sr-Cyrl-RS"/>
        </w:rPr>
        <w:t xml:space="preserve">С обзиром да издавање покривене обвезнице </w:t>
      </w:r>
      <w:r w:rsidRPr="00B30084">
        <w:rPr>
          <w:rFonts w:ascii="Times New Roman" w:hAnsi="Times New Roman" w:cs="Times New Roman"/>
          <w:bCs/>
          <w:color w:val="000000"/>
          <w:sz w:val="24"/>
          <w:szCs w:val="24"/>
          <w:lang w:val="sr-Cyrl-RS"/>
        </w:rPr>
        <w:t>повећава однос дуга и капитала издаваоца,</w:t>
      </w:r>
      <w:r w:rsidR="00632F1F">
        <w:rPr>
          <w:rFonts w:ascii="Times New Roman" w:hAnsi="Times New Roman" w:cs="Times New Roman"/>
          <w:bCs/>
          <w:color w:val="000000"/>
          <w:sz w:val="24"/>
          <w:szCs w:val="24"/>
          <w:lang w:val="sr-Cyrl-RS"/>
        </w:rPr>
        <w:t xml:space="preserve"> ограничен је износ </w:t>
      </w:r>
      <w:r w:rsidRPr="00B30084">
        <w:rPr>
          <w:rFonts w:ascii="Times New Roman" w:hAnsi="Times New Roman" w:cs="Times New Roman"/>
          <w:bCs/>
          <w:color w:val="000000"/>
          <w:sz w:val="24"/>
          <w:szCs w:val="24"/>
          <w:lang w:val="sr-Cyrl-RS"/>
        </w:rPr>
        <w:t xml:space="preserve">који било који издавалац може да прода. </w:t>
      </w:r>
    </w:p>
    <w:p w14:paraId="310A007B" w14:textId="77777777" w:rsidR="009753AA" w:rsidRPr="00B30084" w:rsidRDefault="00693ECC" w:rsidP="009753AA">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Ситуација са депозитним признаницама такође није повољна. Нема велике потражње за овим инструментом.</w:t>
      </w:r>
      <w:r w:rsidR="009753AA">
        <w:rPr>
          <w:rFonts w:ascii="Times New Roman" w:hAnsi="Times New Roman" w:cs="Times New Roman"/>
          <w:bCs/>
          <w:color w:val="000000"/>
          <w:sz w:val="24"/>
          <w:szCs w:val="24"/>
          <w:lang w:val="sr-Cyrl-RS"/>
        </w:rPr>
        <w:t xml:space="preserve"> </w:t>
      </w:r>
      <w:r w:rsidR="009753AA" w:rsidRPr="00B30084">
        <w:rPr>
          <w:rFonts w:ascii="Times New Roman" w:hAnsi="Times New Roman" w:cs="Times New Roman"/>
          <w:bCs/>
          <w:color w:val="000000"/>
          <w:sz w:val="24"/>
          <w:szCs w:val="24"/>
          <w:lang w:val="sr-Cyrl-RS"/>
        </w:rPr>
        <w:t>Депозитни рачуни решавају проблем приступа тамо где постоји атрактивна инострана хартија од вредности коју домаћи инвеститори не могу на</w:t>
      </w:r>
      <w:r w:rsidR="009753AA">
        <w:rPr>
          <w:rFonts w:ascii="Times New Roman" w:hAnsi="Times New Roman" w:cs="Times New Roman"/>
          <w:bCs/>
          <w:color w:val="000000"/>
          <w:sz w:val="24"/>
          <w:szCs w:val="24"/>
          <w:lang w:val="sr-Cyrl-RS"/>
        </w:rPr>
        <w:t xml:space="preserve"> други начин купити или продати</w:t>
      </w:r>
      <w:r w:rsidR="009753AA" w:rsidRPr="00B30084">
        <w:rPr>
          <w:rFonts w:ascii="Times New Roman" w:hAnsi="Times New Roman" w:cs="Times New Roman"/>
          <w:bCs/>
          <w:color w:val="000000"/>
          <w:sz w:val="24"/>
          <w:szCs w:val="24"/>
          <w:lang w:val="sr-Cyrl-RS"/>
        </w:rPr>
        <w:t>.</w:t>
      </w:r>
    </w:p>
    <w:p w14:paraId="6E190A90" w14:textId="7231DA84"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 </w:t>
      </w:r>
      <w:r w:rsidR="009753AA">
        <w:rPr>
          <w:rFonts w:ascii="Times New Roman" w:hAnsi="Times New Roman" w:cs="Times New Roman"/>
          <w:bCs/>
          <w:color w:val="000000"/>
          <w:sz w:val="24"/>
          <w:szCs w:val="24"/>
          <w:lang w:val="sr-Cyrl-RS"/>
        </w:rPr>
        <w:t>Р</w:t>
      </w:r>
      <w:r w:rsidR="009753AA" w:rsidRPr="00B30084">
        <w:rPr>
          <w:rFonts w:ascii="Times New Roman" w:hAnsi="Times New Roman" w:cs="Times New Roman"/>
          <w:bCs/>
          <w:color w:val="000000"/>
          <w:sz w:val="24"/>
          <w:szCs w:val="24"/>
          <w:lang w:val="sr-Cyrl-RS"/>
        </w:rPr>
        <w:t xml:space="preserve">есурси за развој </w:t>
      </w:r>
      <w:r w:rsidR="009753AA">
        <w:rPr>
          <w:rFonts w:ascii="Times New Roman" w:hAnsi="Times New Roman" w:cs="Times New Roman"/>
          <w:bCs/>
          <w:color w:val="000000"/>
          <w:sz w:val="24"/>
          <w:szCs w:val="24"/>
          <w:lang w:val="sr-Cyrl-RS"/>
        </w:rPr>
        <w:t>треба да буду</w:t>
      </w:r>
      <w:r w:rsidR="009753AA" w:rsidRPr="00B30084">
        <w:rPr>
          <w:rFonts w:ascii="Times New Roman" w:hAnsi="Times New Roman" w:cs="Times New Roman"/>
          <w:bCs/>
          <w:color w:val="000000"/>
          <w:sz w:val="24"/>
          <w:szCs w:val="24"/>
          <w:lang w:val="sr-Cyrl-RS"/>
        </w:rPr>
        <w:t xml:space="preserve"> ограничени </w:t>
      </w:r>
      <w:r w:rsidR="009753AA">
        <w:rPr>
          <w:rFonts w:ascii="Times New Roman" w:hAnsi="Times New Roman" w:cs="Times New Roman"/>
          <w:bCs/>
          <w:color w:val="000000"/>
          <w:sz w:val="24"/>
          <w:szCs w:val="24"/>
          <w:lang w:val="sr-Cyrl-RS"/>
        </w:rPr>
        <w:t>на оне које</w:t>
      </w:r>
      <w:r w:rsidR="009753AA" w:rsidRPr="00B30084">
        <w:rPr>
          <w:rFonts w:ascii="Times New Roman" w:hAnsi="Times New Roman" w:cs="Times New Roman"/>
          <w:bCs/>
          <w:color w:val="000000"/>
          <w:sz w:val="24"/>
          <w:szCs w:val="24"/>
          <w:lang w:val="sr-Cyrl-RS"/>
        </w:rPr>
        <w:t xml:space="preserve"> подржава </w:t>
      </w:r>
      <w:r w:rsidR="009753AA">
        <w:rPr>
          <w:rFonts w:ascii="Times New Roman" w:hAnsi="Times New Roman" w:cs="Times New Roman"/>
          <w:bCs/>
          <w:color w:val="000000"/>
          <w:sz w:val="24"/>
          <w:szCs w:val="24"/>
          <w:lang w:val="sr-Cyrl-RS"/>
        </w:rPr>
        <w:t xml:space="preserve">домаћи </w:t>
      </w:r>
      <w:r w:rsidR="009753AA" w:rsidRPr="00B30084">
        <w:rPr>
          <w:rFonts w:ascii="Times New Roman" w:hAnsi="Times New Roman" w:cs="Times New Roman"/>
          <w:bCs/>
          <w:color w:val="000000"/>
          <w:sz w:val="24"/>
          <w:szCs w:val="24"/>
          <w:lang w:val="sr-Cyrl-RS"/>
        </w:rPr>
        <w:t xml:space="preserve">правни </w:t>
      </w:r>
      <w:r w:rsidR="009753AA">
        <w:rPr>
          <w:rFonts w:ascii="Times New Roman" w:hAnsi="Times New Roman" w:cs="Times New Roman"/>
          <w:bCs/>
          <w:color w:val="000000"/>
          <w:sz w:val="24"/>
          <w:szCs w:val="24"/>
          <w:lang w:val="sr-Cyrl-RS"/>
        </w:rPr>
        <w:t>оквир.</w:t>
      </w:r>
      <w:r w:rsidRPr="00B30084">
        <w:rPr>
          <w:rFonts w:ascii="Times New Roman" w:hAnsi="Times New Roman" w:cs="Times New Roman"/>
          <w:bCs/>
          <w:color w:val="000000"/>
          <w:sz w:val="24"/>
          <w:szCs w:val="24"/>
          <w:lang w:val="sr-Cyrl-RS"/>
        </w:rPr>
        <w:t xml:space="preserve"> </w:t>
      </w:r>
    </w:p>
    <w:p w14:paraId="51B73491" w14:textId="53ECD12E"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Функција средстава којима се тргује на берзи (</w:t>
      </w:r>
      <w:proofErr w:type="spellStart"/>
      <w:r w:rsidRPr="00B30084">
        <w:rPr>
          <w:rFonts w:ascii="Times New Roman" w:hAnsi="Times New Roman" w:cs="Times New Roman"/>
          <w:bCs/>
          <w:color w:val="000000"/>
          <w:sz w:val="24"/>
          <w:szCs w:val="24"/>
          <w:lang w:val="sr-Cyrl-RS"/>
        </w:rPr>
        <w:t>exchange</w:t>
      </w:r>
      <w:proofErr w:type="spellEnd"/>
      <w:r w:rsidRPr="00B30084">
        <w:rPr>
          <w:rFonts w:ascii="Times New Roman" w:hAnsi="Times New Roman" w:cs="Times New Roman"/>
          <w:bCs/>
          <w:color w:val="000000"/>
          <w:sz w:val="24"/>
          <w:szCs w:val="24"/>
          <w:lang w:val="sr-Cyrl-RS"/>
        </w:rPr>
        <w:t xml:space="preserve"> </w:t>
      </w:r>
      <w:proofErr w:type="spellStart"/>
      <w:r w:rsidRPr="00B30084">
        <w:rPr>
          <w:rFonts w:ascii="Times New Roman" w:hAnsi="Times New Roman" w:cs="Times New Roman"/>
          <w:bCs/>
          <w:color w:val="000000"/>
          <w:sz w:val="24"/>
          <w:szCs w:val="24"/>
          <w:lang w:val="sr-Cyrl-RS"/>
        </w:rPr>
        <w:t>traded</w:t>
      </w:r>
      <w:proofErr w:type="spellEnd"/>
      <w:r w:rsidRPr="00B30084">
        <w:rPr>
          <w:rFonts w:ascii="Times New Roman" w:hAnsi="Times New Roman" w:cs="Times New Roman"/>
          <w:bCs/>
          <w:color w:val="000000"/>
          <w:sz w:val="24"/>
          <w:szCs w:val="24"/>
          <w:lang w:val="sr-Cyrl-RS"/>
        </w:rPr>
        <w:t xml:space="preserve"> </w:t>
      </w:r>
      <w:proofErr w:type="spellStart"/>
      <w:r w:rsidRPr="00B30084">
        <w:rPr>
          <w:rFonts w:ascii="Times New Roman" w:hAnsi="Times New Roman" w:cs="Times New Roman"/>
          <w:bCs/>
          <w:color w:val="000000"/>
          <w:sz w:val="24"/>
          <w:szCs w:val="24"/>
          <w:lang w:val="sr-Cyrl-RS"/>
        </w:rPr>
        <w:t>funds</w:t>
      </w:r>
      <w:proofErr w:type="spellEnd"/>
      <w:r w:rsidRPr="00B30084">
        <w:rPr>
          <w:rFonts w:ascii="Times New Roman" w:hAnsi="Times New Roman" w:cs="Times New Roman"/>
          <w:bCs/>
          <w:color w:val="000000"/>
          <w:sz w:val="24"/>
          <w:szCs w:val="24"/>
          <w:lang w:val="sr-Cyrl-RS"/>
        </w:rPr>
        <w:t xml:space="preserve"> – „ЕТФ“) слична је депозитним признаницама, с тим што се портфељ састоји од више класа осигурања, које се временом могу или не морају мењати.  ЕТФ</w:t>
      </w:r>
      <w:r w:rsidR="00F36252">
        <w:rPr>
          <w:rFonts w:ascii="Times New Roman" w:hAnsi="Times New Roman" w:cs="Times New Roman"/>
          <w:bCs/>
          <w:color w:val="000000"/>
          <w:sz w:val="24"/>
          <w:szCs w:val="24"/>
          <w:lang w:val="sr-Cyrl-RS"/>
        </w:rPr>
        <w:t>-ови</w:t>
      </w:r>
      <w:r w:rsidRPr="00B30084">
        <w:rPr>
          <w:rFonts w:ascii="Times New Roman" w:hAnsi="Times New Roman" w:cs="Times New Roman"/>
          <w:bCs/>
          <w:color w:val="000000"/>
          <w:sz w:val="24"/>
          <w:szCs w:val="24"/>
          <w:lang w:val="sr-Cyrl-RS"/>
        </w:rPr>
        <w:t xml:space="preserve"> се користе за „повезивање“ групе </w:t>
      </w:r>
      <w:r w:rsidRPr="00B30084">
        <w:rPr>
          <w:rFonts w:ascii="Times New Roman" w:hAnsi="Times New Roman" w:cs="Times New Roman"/>
          <w:bCs/>
          <w:color w:val="000000"/>
          <w:sz w:val="24"/>
          <w:szCs w:val="24"/>
          <w:lang w:val="sr-Cyrl-RS"/>
        </w:rPr>
        <w:lastRenderedPageBreak/>
        <w:t xml:space="preserve">имовине </w:t>
      </w:r>
      <w:r w:rsidR="00F36252">
        <w:rPr>
          <w:rFonts w:ascii="Times New Roman" w:hAnsi="Times New Roman" w:cs="Times New Roman"/>
          <w:bCs/>
          <w:color w:val="000000"/>
          <w:sz w:val="24"/>
          <w:szCs w:val="24"/>
          <w:lang w:val="sr-Cyrl-RS"/>
        </w:rPr>
        <w:t>за</w:t>
      </w:r>
      <w:r w:rsidRPr="00B30084">
        <w:rPr>
          <w:rFonts w:ascii="Times New Roman" w:hAnsi="Times New Roman" w:cs="Times New Roman"/>
          <w:bCs/>
          <w:color w:val="000000"/>
          <w:sz w:val="24"/>
          <w:szCs w:val="24"/>
          <w:lang w:val="sr-Cyrl-RS"/>
        </w:rPr>
        <w:t xml:space="preserve"> инвеститор</w:t>
      </w:r>
      <w:r w:rsidR="00F36252">
        <w:rPr>
          <w:rFonts w:ascii="Times New Roman" w:hAnsi="Times New Roman" w:cs="Times New Roman"/>
          <w:bCs/>
          <w:color w:val="000000"/>
          <w:sz w:val="24"/>
          <w:szCs w:val="24"/>
          <w:lang w:val="sr-Cyrl-RS"/>
        </w:rPr>
        <w:t>е</w:t>
      </w:r>
      <w:r w:rsidRPr="00B30084">
        <w:rPr>
          <w:rFonts w:ascii="Times New Roman" w:hAnsi="Times New Roman" w:cs="Times New Roman"/>
          <w:bCs/>
          <w:color w:val="000000"/>
          <w:sz w:val="24"/>
          <w:szCs w:val="24"/>
          <w:lang w:val="sr-Cyrl-RS"/>
        </w:rPr>
        <w:t xml:space="preserve"> </w:t>
      </w:r>
      <w:r w:rsidR="00F36252">
        <w:rPr>
          <w:rFonts w:ascii="Times New Roman" w:hAnsi="Times New Roman" w:cs="Times New Roman"/>
          <w:bCs/>
          <w:color w:val="000000"/>
          <w:sz w:val="24"/>
          <w:szCs w:val="24"/>
          <w:lang w:val="sr-Cyrl-RS"/>
        </w:rPr>
        <w:t>којима је</w:t>
      </w:r>
      <w:r w:rsidRPr="00B30084">
        <w:rPr>
          <w:rFonts w:ascii="Times New Roman" w:hAnsi="Times New Roman" w:cs="Times New Roman"/>
          <w:bCs/>
          <w:color w:val="000000"/>
          <w:sz w:val="24"/>
          <w:szCs w:val="24"/>
          <w:lang w:val="sr-Cyrl-RS"/>
        </w:rPr>
        <w:t xml:space="preserve"> погодније да поседују групу (акције ЕТФ-а), уместо да купују сваку основну хартију од вредности једну по једну. ЕТФ-ови се такође могу користити за праћење  осталих инструмената на финансијском тржишту попут индекса или робе. ЕТФ-ови се формирају као инвестициони фондови, а у Србији би били обележени као алтернативни инвестициони фондови, тако да нема законских препрека за формирање ЕТФ-а у Србији.</w:t>
      </w:r>
    </w:p>
    <w:p w14:paraId="7C687B0F" w14:textId="14E7621E"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Када говоримо о </w:t>
      </w:r>
      <w:proofErr w:type="spellStart"/>
      <w:r w:rsidRPr="00B30084">
        <w:rPr>
          <w:rFonts w:ascii="Times New Roman" w:hAnsi="Times New Roman" w:cs="Times New Roman"/>
          <w:bCs/>
          <w:color w:val="000000"/>
          <w:sz w:val="24"/>
          <w:szCs w:val="24"/>
          <w:lang w:val="sr-Cyrl-RS"/>
        </w:rPr>
        <w:t>трасту</w:t>
      </w:r>
      <w:proofErr w:type="spellEnd"/>
      <w:r w:rsidRPr="00B30084">
        <w:rPr>
          <w:rFonts w:ascii="Times New Roman" w:hAnsi="Times New Roman" w:cs="Times New Roman"/>
          <w:bCs/>
          <w:color w:val="000000"/>
          <w:sz w:val="24"/>
          <w:szCs w:val="24"/>
          <w:lang w:val="sr-Cyrl-RS"/>
        </w:rPr>
        <w:t xml:space="preserve"> за инвестирање у некретнине, Србија н</w:t>
      </w:r>
      <w:r w:rsidR="0094672D">
        <w:rPr>
          <w:rFonts w:ascii="Times New Roman" w:hAnsi="Times New Roman" w:cs="Times New Roman"/>
          <w:bCs/>
          <w:color w:val="000000"/>
          <w:sz w:val="24"/>
          <w:szCs w:val="24"/>
          <w:lang w:val="sr-Cyrl-RS"/>
        </w:rPr>
        <w:t>ије развила</w:t>
      </w:r>
      <w:r w:rsidRPr="00B30084">
        <w:rPr>
          <w:rFonts w:ascii="Times New Roman" w:hAnsi="Times New Roman" w:cs="Times New Roman"/>
          <w:bCs/>
          <w:color w:val="000000"/>
          <w:sz w:val="24"/>
          <w:szCs w:val="24"/>
          <w:lang w:val="sr-Cyrl-RS"/>
        </w:rPr>
        <w:t xml:space="preserve"> прав</w:t>
      </w:r>
      <w:r w:rsidR="00F36252">
        <w:rPr>
          <w:rFonts w:ascii="Times New Roman" w:hAnsi="Times New Roman" w:cs="Times New Roman"/>
          <w:bCs/>
          <w:color w:val="000000"/>
          <w:sz w:val="24"/>
          <w:szCs w:val="24"/>
          <w:lang w:val="sr-Cyrl-RS"/>
        </w:rPr>
        <w:t xml:space="preserve">ни концепт </w:t>
      </w:r>
      <w:proofErr w:type="spellStart"/>
      <w:r w:rsidR="00F36252">
        <w:rPr>
          <w:rFonts w:ascii="Times New Roman" w:hAnsi="Times New Roman" w:cs="Times New Roman"/>
          <w:bCs/>
          <w:color w:val="000000"/>
          <w:sz w:val="24"/>
          <w:szCs w:val="24"/>
          <w:lang w:val="sr-Cyrl-RS"/>
        </w:rPr>
        <w:t>траста</w:t>
      </w:r>
      <w:proofErr w:type="spellEnd"/>
      <w:r w:rsidR="00F36252">
        <w:rPr>
          <w:rFonts w:ascii="Times New Roman" w:hAnsi="Times New Roman" w:cs="Times New Roman"/>
          <w:bCs/>
          <w:color w:val="000000"/>
          <w:sz w:val="24"/>
          <w:szCs w:val="24"/>
          <w:lang w:val="sr-Cyrl-RS"/>
        </w:rPr>
        <w:t xml:space="preserve"> (енг. </w:t>
      </w:r>
      <w:proofErr w:type="spellStart"/>
      <w:r w:rsidR="00F36252">
        <w:rPr>
          <w:rFonts w:ascii="Times New Roman" w:hAnsi="Times New Roman" w:cs="Times New Roman"/>
          <w:bCs/>
          <w:color w:val="000000"/>
          <w:sz w:val="24"/>
          <w:szCs w:val="24"/>
          <w:lang w:val="sr-Cyrl-RS"/>
        </w:rPr>
        <w:t>trust</w:t>
      </w:r>
      <w:proofErr w:type="spellEnd"/>
      <w:r w:rsidR="00F36252">
        <w:rPr>
          <w:rFonts w:ascii="Times New Roman" w:hAnsi="Times New Roman" w:cs="Times New Roman"/>
          <w:bCs/>
          <w:color w:val="000000"/>
          <w:sz w:val="24"/>
          <w:szCs w:val="24"/>
          <w:lang w:val="sr-Cyrl-RS"/>
        </w:rPr>
        <w:t xml:space="preserve">) </w:t>
      </w:r>
      <w:r w:rsidRPr="00B30084">
        <w:rPr>
          <w:rFonts w:ascii="Times New Roman" w:hAnsi="Times New Roman" w:cs="Times New Roman"/>
          <w:bCs/>
          <w:color w:val="000000"/>
          <w:sz w:val="24"/>
          <w:szCs w:val="24"/>
          <w:lang w:val="sr-Cyrl-RS"/>
        </w:rPr>
        <w:t xml:space="preserve">и стога би сви требали бити формирани као фонд. </w:t>
      </w:r>
      <w:proofErr w:type="spellStart"/>
      <w:r w:rsidRPr="00B30084">
        <w:rPr>
          <w:rFonts w:ascii="Times New Roman" w:hAnsi="Times New Roman" w:cs="Times New Roman"/>
          <w:bCs/>
          <w:color w:val="000000"/>
          <w:sz w:val="24"/>
          <w:szCs w:val="24"/>
          <w:lang w:val="sr-Cyrl-RS"/>
        </w:rPr>
        <w:t>Траст</w:t>
      </w:r>
      <w:proofErr w:type="spellEnd"/>
      <w:r w:rsidRPr="00B30084">
        <w:rPr>
          <w:rFonts w:ascii="Times New Roman" w:hAnsi="Times New Roman" w:cs="Times New Roman"/>
          <w:bCs/>
          <w:color w:val="000000"/>
          <w:sz w:val="24"/>
          <w:szCs w:val="24"/>
          <w:lang w:val="sr-Cyrl-RS"/>
        </w:rPr>
        <w:t xml:space="preserve"> се у основи корист</w:t>
      </w:r>
      <w:r w:rsidR="00382106">
        <w:rPr>
          <w:rFonts w:ascii="Times New Roman" w:hAnsi="Times New Roman" w:cs="Times New Roman"/>
          <w:bCs/>
          <w:color w:val="000000"/>
          <w:sz w:val="24"/>
          <w:szCs w:val="24"/>
          <w:lang w:val="sr-Cyrl-RS"/>
        </w:rPr>
        <w:t>и</w:t>
      </w:r>
      <w:r w:rsidRPr="00B30084">
        <w:rPr>
          <w:rFonts w:ascii="Times New Roman" w:hAnsi="Times New Roman" w:cs="Times New Roman"/>
          <w:bCs/>
          <w:color w:val="000000"/>
          <w:sz w:val="24"/>
          <w:szCs w:val="24"/>
          <w:lang w:val="sr-Cyrl-RS"/>
        </w:rPr>
        <w:t xml:space="preserve"> у две широке области. </w:t>
      </w:r>
      <w:proofErr w:type="spellStart"/>
      <w:r w:rsidRPr="00B30084">
        <w:rPr>
          <w:rFonts w:ascii="Times New Roman" w:hAnsi="Times New Roman" w:cs="Times New Roman"/>
          <w:bCs/>
          <w:color w:val="000000"/>
          <w:sz w:val="24"/>
          <w:szCs w:val="24"/>
          <w:lang w:val="sr-Cyrl-RS"/>
        </w:rPr>
        <w:t>Траст</w:t>
      </w:r>
      <w:proofErr w:type="spellEnd"/>
      <w:r w:rsidRPr="00B30084">
        <w:rPr>
          <w:rFonts w:ascii="Times New Roman" w:hAnsi="Times New Roman" w:cs="Times New Roman"/>
          <w:bCs/>
          <w:color w:val="000000"/>
          <w:sz w:val="24"/>
          <w:szCs w:val="24"/>
          <w:lang w:val="sr-Cyrl-RS"/>
        </w:rPr>
        <w:t xml:space="preserve"> са пореклом има за циљ стицање земљишта, изгра</w:t>
      </w:r>
      <w:r w:rsidR="00F36252">
        <w:rPr>
          <w:rFonts w:ascii="Times New Roman" w:hAnsi="Times New Roman" w:cs="Times New Roman"/>
          <w:bCs/>
          <w:color w:val="000000"/>
          <w:sz w:val="24"/>
          <w:szCs w:val="24"/>
          <w:lang w:val="sr-Cyrl-RS"/>
        </w:rPr>
        <w:t>дњу објекта, а затим продају тог</w:t>
      </w:r>
      <w:r w:rsidRPr="00B30084">
        <w:rPr>
          <w:rFonts w:ascii="Times New Roman" w:hAnsi="Times New Roman" w:cs="Times New Roman"/>
          <w:bCs/>
          <w:color w:val="000000"/>
          <w:sz w:val="24"/>
          <w:szCs w:val="24"/>
          <w:lang w:val="sr-Cyrl-RS"/>
        </w:rPr>
        <w:t xml:space="preserve"> истог објекта. Основну имовину </w:t>
      </w:r>
      <w:proofErr w:type="spellStart"/>
      <w:r w:rsidRPr="00B30084">
        <w:rPr>
          <w:rFonts w:ascii="Times New Roman" w:hAnsi="Times New Roman" w:cs="Times New Roman"/>
          <w:bCs/>
          <w:color w:val="000000"/>
          <w:sz w:val="24"/>
          <w:szCs w:val="24"/>
          <w:lang w:val="sr-Cyrl-RS"/>
        </w:rPr>
        <w:t>траста</w:t>
      </w:r>
      <w:proofErr w:type="spellEnd"/>
      <w:r w:rsidRPr="00B30084">
        <w:rPr>
          <w:rFonts w:ascii="Times New Roman" w:hAnsi="Times New Roman" w:cs="Times New Roman"/>
          <w:bCs/>
          <w:color w:val="000000"/>
          <w:sz w:val="24"/>
          <w:szCs w:val="24"/>
          <w:lang w:val="sr-Cyrl-RS"/>
        </w:rPr>
        <w:t xml:space="preserve"> је тешко проценити. Ово покреће питања заштите инвеститора, јер су спонзори </w:t>
      </w:r>
      <w:proofErr w:type="spellStart"/>
      <w:r w:rsidRPr="00B30084">
        <w:rPr>
          <w:rFonts w:ascii="Times New Roman" w:hAnsi="Times New Roman" w:cs="Times New Roman"/>
          <w:bCs/>
          <w:color w:val="000000"/>
          <w:sz w:val="24"/>
          <w:szCs w:val="24"/>
          <w:lang w:val="sr-Cyrl-RS"/>
        </w:rPr>
        <w:t>траста</w:t>
      </w:r>
      <w:proofErr w:type="spellEnd"/>
      <w:r w:rsidRPr="00B30084">
        <w:rPr>
          <w:rFonts w:ascii="Times New Roman" w:hAnsi="Times New Roman" w:cs="Times New Roman"/>
          <w:bCs/>
          <w:color w:val="000000"/>
          <w:sz w:val="24"/>
          <w:szCs w:val="24"/>
          <w:lang w:val="sr-Cyrl-RS"/>
        </w:rPr>
        <w:t xml:space="preserve"> дужни да процене тренутну вредност поседоване некретнине. Неоправдана процена вредности имовине која се држи може да створи утисак лажне добити. То заузврат подиже ниво ризика за инвеститоре. Изазов је дозволити ову врсту колективног финансирања, истовремено штитећи пасивне инвеститоре.</w:t>
      </w:r>
    </w:p>
    <w:p w14:paraId="4F45ED3A" w14:textId="77777777"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
          <w:color w:val="000000"/>
          <w:sz w:val="24"/>
          <w:szCs w:val="24"/>
          <w:lang w:val="sr-Cyrl-RS"/>
        </w:rPr>
        <w:t>Класични инвестициони фондови</w:t>
      </w:r>
    </w:p>
    <w:p w14:paraId="48AAB0CC" w14:textId="77777777"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У Србији се већ користе класични инвестициони фондови. Сегмент се углавном састоји од средстава на тржишту новца, али постоје неки фондови са дугорочним </w:t>
      </w:r>
      <w:proofErr w:type="spellStart"/>
      <w:r w:rsidRPr="00B30084">
        <w:rPr>
          <w:rFonts w:ascii="Times New Roman" w:hAnsi="Times New Roman" w:cs="Times New Roman"/>
          <w:bCs/>
          <w:color w:val="000000"/>
          <w:sz w:val="24"/>
          <w:szCs w:val="24"/>
          <w:lang w:val="sr-Cyrl-RS"/>
        </w:rPr>
        <w:t>портфељем</w:t>
      </w:r>
      <w:proofErr w:type="spellEnd"/>
      <w:r w:rsidRPr="00B30084">
        <w:rPr>
          <w:rFonts w:ascii="Times New Roman" w:hAnsi="Times New Roman" w:cs="Times New Roman"/>
          <w:bCs/>
          <w:color w:val="000000"/>
          <w:sz w:val="24"/>
          <w:szCs w:val="24"/>
          <w:lang w:val="sr-Cyrl-RS"/>
        </w:rPr>
        <w:t>.</w:t>
      </w:r>
    </w:p>
    <w:p w14:paraId="574D5D12" w14:textId="42A3F921"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Усвајањем нових закона о класичним и </w:t>
      </w:r>
      <w:r w:rsidR="00B23195">
        <w:rPr>
          <w:rFonts w:ascii="Times New Roman" w:hAnsi="Times New Roman" w:cs="Times New Roman"/>
          <w:bCs/>
          <w:color w:val="000000"/>
          <w:sz w:val="24"/>
          <w:szCs w:val="24"/>
          <w:lang w:val="sr-Cyrl-RS"/>
        </w:rPr>
        <w:t xml:space="preserve">алтернативним </w:t>
      </w:r>
      <w:r w:rsidRPr="00B30084">
        <w:rPr>
          <w:rFonts w:ascii="Times New Roman" w:hAnsi="Times New Roman" w:cs="Times New Roman"/>
          <w:bCs/>
          <w:color w:val="000000"/>
          <w:sz w:val="24"/>
          <w:szCs w:val="24"/>
          <w:lang w:val="sr-Cyrl-RS"/>
        </w:rPr>
        <w:t xml:space="preserve">инвестиционим фондовима, правни </w:t>
      </w:r>
      <w:r w:rsidR="00B23195">
        <w:rPr>
          <w:rFonts w:ascii="Times New Roman" w:hAnsi="Times New Roman" w:cs="Times New Roman"/>
          <w:bCs/>
          <w:color w:val="000000"/>
          <w:sz w:val="24"/>
          <w:szCs w:val="24"/>
          <w:lang w:val="sr-Cyrl-RS"/>
        </w:rPr>
        <w:t>основ</w:t>
      </w:r>
      <w:r w:rsidRPr="00B30084">
        <w:rPr>
          <w:rFonts w:ascii="Times New Roman" w:hAnsi="Times New Roman" w:cs="Times New Roman"/>
          <w:bCs/>
          <w:color w:val="000000"/>
          <w:sz w:val="24"/>
          <w:szCs w:val="24"/>
          <w:lang w:val="sr-Cyrl-RS"/>
        </w:rPr>
        <w:t xml:space="preserve"> за инвестирање је значајно ојачан.</w:t>
      </w:r>
      <w:r w:rsidR="005F5C51" w:rsidRPr="00B30084">
        <w:rPr>
          <w:rFonts w:ascii="Times New Roman" w:hAnsi="Times New Roman" w:cs="Times New Roman"/>
          <w:bCs/>
          <w:color w:val="000000"/>
          <w:sz w:val="24"/>
          <w:szCs w:val="24"/>
          <w:lang w:val="sr-Cyrl-RS"/>
        </w:rPr>
        <w:t xml:space="preserve"> </w:t>
      </w:r>
      <w:r w:rsidRPr="00B30084">
        <w:rPr>
          <w:rFonts w:ascii="Times New Roman" w:hAnsi="Times New Roman" w:cs="Times New Roman"/>
          <w:bCs/>
          <w:color w:val="000000"/>
          <w:sz w:val="24"/>
          <w:szCs w:val="24"/>
          <w:lang w:val="sr-Cyrl-RS"/>
        </w:rPr>
        <w:t xml:space="preserve">Не постоје </w:t>
      </w:r>
      <w:proofErr w:type="spellStart"/>
      <w:r w:rsidRPr="00B30084">
        <w:rPr>
          <w:rFonts w:ascii="Times New Roman" w:hAnsi="Times New Roman" w:cs="Times New Roman"/>
          <w:bCs/>
          <w:color w:val="000000"/>
          <w:sz w:val="24"/>
          <w:szCs w:val="24"/>
          <w:lang w:val="sr-Cyrl-RS"/>
        </w:rPr>
        <w:t>правнe</w:t>
      </w:r>
      <w:proofErr w:type="spellEnd"/>
      <w:r w:rsidRPr="00B30084">
        <w:rPr>
          <w:rFonts w:ascii="Times New Roman" w:hAnsi="Times New Roman" w:cs="Times New Roman"/>
          <w:bCs/>
          <w:color w:val="000000"/>
          <w:sz w:val="24"/>
          <w:szCs w:val="24"/>
          <w:lang w:val="sr-Cyrl-RS"/>
        </w:rPr>
        <w:t xml:space="preserve"> или </w:t>
      </w:r>
      <w:proofErr w:type="spellStart"/>
      <w:r w:rsidRPr="00B30084">
        <w:rPr>
          <w:rFonts w:ascii="Times New Roman" w:hAnsi="Times New Roman" w:cs="Times New Roman"/>
          <w:bCs/>
          <w:color w:val="000000"/>
          <w:sz w:val="24"/>
          <w:szCs w:val="24"/>
          <w:lang w:val="sr-Cyrl-RS"/>
        </w:rPr>
        <w:t>пословнe</w:t>
      </w:r>
      <w:proofErr w:type="spellEnd"/>
      <w:r w:rsidRPr="00B30084">
        <w:rPr>
          <w:rFonts w:ascii="Times New Roman" w:hAnsi="Times New Roman" w:cs="Times New Roman"/>
          <w:bCs/>
          <w:color w:val="000000"/>
          <w:sz w:val="24"/>
          <w:szCs w:val="24"/>
          <w:lang w:val="sr-Cyrl-RS"/>
        </w:rPr>
        <w:t xml:space="preserve"> препреке које би кочиле развој индустрије инвестиционих фондова, осим потребе за висококвалитетним могућностима улагања.</w:t>
      </w:r>
    </w:p>
    <w:p w14:paraId="4DF86902" w14:textId="77777777"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
          <w:color w:val="000000"/>
          <w:sz w:val="24"/>
          <w:szCs w:val="24"/>
          <w:lang w:val="sr-Cyrl-RS"/>
        </w:rPr>
        <w:t xml:space="preserve">Зелене обвезнице </w:t>
      </w:r>
    </w:p>
    <w:p w14:paraId="4DE15A07" w14:textId="04CA33DB"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Друга врста инструмента који се не мора нужно односити на прикупљање капитала - а ипак може имати потенцијално позитиван утицај на српско тржиште капитала је идеја о дужничк</w:t>
      </w:r>
      <w:r w:rsidR="007A0D8A">
        <w:rPr>
          <w:rFonts w:ascii="Times New Roman" w:hAnsi="Times New Roman" w:cs="Times New Roman"/>
          <w:bCs/>
          <w:color w:val="000000"/>
          <w:sz w:val="24"/>
          <w:szCs w:val="24"/>
          <w:lang w:val="sr-Cyrl-RS"/>
        </w:rPr>
        <w:t>ом финансирању за пројекте из об</w:t>
      </w:r>
      <w:r w:rsidRPr="00B30084">
        <w:rPr>
          <w:rFonts w:ascii="Times New Roman" w:hAnsi="Times New Roman" w:cs="Times New Roman"/>
          <w:bCs/>
          <w:color w:val="000000"/>
          <w:sz w:val="24"/>
          <w:szCs w:val="24"/>
          <w:lang w:val="sr-Cyrl-RS"/>
        </w:rPr>
        <w:t>ласти екологије. Концепт и употреба „зелених обвезница“ релативно је нов у финансијама. Јасно је да се покретачи ове врсте инструмената разликују од корпоративних хартија од вредности.</w:t>
      </w:r>
    </w:p>
    <w:p w14:paraId="59479263" w14:textId="1DFE9C9A"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Зелене обвезнице су у ствари дужнички инструменти, и примењује се на правни оквир који покрива корпоративн</w:t>
      </w:r>
      <w:r w:rsidR="005F5C51" w:rsidRPr="00B30084">
        <w:rPr>
          <w:rFonts w:ascii="Times New Roman" w:hAnsi="Times New Roman" w:cs="Times New Roman"/>
          <w:bCs/>
          <w:color w:val="000000"/>
          <w:sz w:val="24"/>
          <w:szCs w:val="24"/>
          <w:lang w:val="sr-Cyrl-RS"/>
        </w:rPr>
        <w:t>е</w:t>
      </w:r>
      <w:r w:rsidRPr="00B30084">
        <w:rPr>
          <w:rFonts w:ascii="Times New Roman" w:hAnsi="Times New Roman" w:cs="Times New Roman"/>
          <w:bCs/>
          <w:color w:val="000000"/>
          <w:sz w:val="24"/>
          <w:szCs w:val="24"/>
          <w:lang w:val="sr-Cyrl-RS"/>
        </w:rPr>
        <w:t xml:space="preserve"> обвезнице.</w:t>
      </w:r>
    </w:p>
    <w:p w14:paraId="29C7C39F" w14:textId="77777777"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Међутим, оно што зелену обвезницу може издвојити од општих, су односи у оквиру обвезнице који намећу позитивне и негативне обавезе, укључујући и стране (потписнице) које обично нису укључене у одређивање корпоративног дуга. То је зато што зелене обвезнице могу бити подједнако „циљане“ као и „вођене профитом“.</w:t>
      </w:r>
    </w:p>
    <w:p w14:paraId="01407F25" w14:textId="3DE0A950" w:rsidR="00B30084"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Cs/>
          <w:color w:val="000000"/>
          <w:sz w:val="24"/>
          <w:szCs w:val="24"/>
          <w:lang w:val="sr-Cyrl-RS"/>
        </w:rPr>
        <w:lastRenderedPageBreak/>
        <w:t>Програми субвенција које нуде њихови спонзори могу покретати изворе финансирања</w:t>
      </w:r>
      <w:r w:rsidR="00CC4BDD">
        <w:rPr>
          <w:rFonts w:ascii="Times New Roman" w:hAnsi="Times New Roman" w:cs="Times New Roman"/>
          <w:bCs/>
          <w:color w:val="000000"/>
          <w:sz w:val="24"/>
          <w:szCs w:val="24"/>
          <w:lang w:val="sr-Cyrl-RS"/>
        </w:rPr>
        <w:t xml:space="preserve"> у</w:t>
      </w:r>
      <w:r w:rsidRPr="00B30084">
        <w:rPr>
          <w:rFonts w:ascii="Times New Roman" w:hAnsi="Times New Roman" w:cs="Times New Roman"/>
          <w:bCs/>
          <w:color w:val="000000"/>
          <w:sz w:val="24"/>
          <w:szCs w:val="24"/>
          <w:lang w:val="sr-Cyrl-RS"/>
        </w:rPr>
        <w:t xml:space="preserve"> мери у којој се ови спонзори финансирају из јавних средстава уместо из приватних средстава где је профит једини мотив. Укратко, за ове финансијске</w:t>
      </w:r>
      <w:r w:rsidR="00843F86">
        <w:rPr>
          <w:rFonts w:ascii="Times New Roman" w:hAnsi="Times New Roman" w:cs="Times New Roman"/>
          <w:bCs/>
          <w:color w:val="000000"/>
          <w:sz w:val="24"/>
          <w:szCs w:val="24"/>
          <w:lang w:val="sr-Cyrl-RS"/>
        </w:rPr>
        <w:t xml:space="preserve"> спонзоре</w:t>
      </w:r>
      <w:r w:rsidRPr="00B30084">
        <w:rPr>
          <w:rFonts w:ascii="Times New Roman" w:hAnsi="Times New Roman" w:cs="Times New Roman"/>
          <w:bCs/>
          <w:color w:val="000000"/>
          <w:sz w:val="24"/>
          <w:szCs w:val="24"/>
          <w:lang w:val="sr-Cyrl-RS"/>
        </w:rPr>
        <w:t xml:space="preserve"> постизање циља може бити једнако важно као и повраћај улагања. </w:t>
      </w:r>
    </w:p>
    <w:p w14:paraId="69F12218" w14:textId="77777777" w:rsidR="00074939" w:rsidRDefault="00074939" w:rsidP="00693ECC">
      <w:pPr>
        <w:spacing w:line="276" w:lineRule="auto"/>
        <w:ind w:firstLine="720"/>
        <w:jc w:val="both"/>
        <w:rPr>
          <w:rFonts w:ascii="Times New Roman" w:hAnsi="Times New Roman" w:cs="Times New Roman"/>
          <w:b/>
          <w:color w:val="000000"/>
          <w:sz w:val="24"/>
          <w:szCs w:val="24"/>
          <w:lang w:val="sr-Cyrl-RS"/>
        </w:rPr>
      </w:pPr>
    </w:p>
    <w:p w14:paraId="2C8CB54B" w14:textId="7AC4C61C"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proofErr w:type="spellStart"/>
      <w:r w:rsidRPr="00B30084">
        <w:rPr>
          <w:rFonts w:ascii="Times New Roman" w:hAnsi="Times New Roman" w:cs="Times New Roman"/>
          <w:b/>
          <w:color w:val="000000"/>
          <w:sz w:val="24"/>
          <w:szCs w:val="24"/>
          <w:lang w:val="sr-Cyrl-RS"/>
        </w:rPr>
        <w:t>Муниципалне</w:t>
      </w:r>
      <w:proofErr w:type="spellEnd"/>
      <w:r w:rsidRPr="00B30084">
        <w:rPr>
          <w:rFonts w:ascii="Times New Roman" w:hAnsi="Times New Roman" w:cs="Times New Roman"/>
          <w:b/>
          <w:color w:val="000000"/>
          <w:sz w:val="24"/>
          <w:szCs w:val="24"/>
          <w:lang w:val="sr-Cyrl-RS"/>
        </w:rPr>
        <w:t xml:space="preserve"> обвезнице</w:t>
      </w:r>
    </w:p>
    <w:p w14:paraId="2D13D730" w14:textId="5BCF7AA6"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proofErr w:type="spellStart"/>
      <w:r w:rsidRPr="00B30084">
        <w:rPr>
          <w:rFonts w:ascii="Times New Roman" w:hAnsi="Times New Roman" w:cs="Times New Roman"/>
          <w:bCs/>
          <w:color w:val="000000"/>
          <w:sz w:val="24"/>
          <w:szCs w:val="24"/>
          <w:lang w:val="sr-Cyrl-RS"/>
        </w:rPr>
        <w:t>Муниципалне</w:t>
      </w:r>
      <w:proofErr w:type="spellEnd"/>
      <w:r w:rsidRPr="00B30084">
        <w:rPr>
          <w:rFonts w:ascii="Times New Roman" w:hAnsi="Times New Roman" w:cs="Times New Roman"/>
          <w:bCs/>
          <w:color w:val="000000"/>
          <w:sz w:val="24"/>
          <w:szCs w:val="24"/>
          <w:lang w:val="sr-Cyrl-RS"/>
        </w:rPr>
        <w:t xml:space="preserve"> обвезнице су дужнички инструменти које издаје јединица локалне самоуправе. Емитенти могу бити градови, комуналне службе у власништву локалне самоуправе и органи регионалног развоја. Општинске обвезнице подељене су у две широке категорије: (1) обвезнице опште обаве</w:t>
      </w:r>
      <w:r w:rsidR="00C600E5">
        <w:rPr>
          <w:rFonts w:ascii="Times New Roman" w:hAnsi="Times New Roman" w:cs="Times New Roman"/>
          <w:bCs/>
          <w:color w:val="000000"/>
          <w:sz w:val="24"/>
          <w:szCs w:val="24"/>
          <w:lang w:val="sr-Cyrl-RS"/>
        </w:rPr>
        <w:t>зе, иза којих стоји опорезивање/</w:t>
      </w:r>
      <w:r w:rsidRPr="00B30084">
        <w:rPr>
          <w:rFonts w:ascii="Times New Roman" w:hAnsi="Times New Roman" w:cs="Times New Roman"/>
          <w:bCs/>
          <w:color w:val="000000"/>
          <w:sz w:val="24"/>
          <w:szCs w:val="24"/>
          <w:lang w:val="sr-Cyrl-RS"/>
        </w:rPr>
        <w:t>накнада, и (2) пројектне обвезнице потпомогнуте само токовима прихода генерисаних одређеним пројектом који ће се финансирати. Обвезнице опште обавезе преузимају мањи ризик од пројектних обвезница.</w:t>
      </w:r>
    </w:p>
    <w:p w14:paraId="6D331737" w14:textId="4F869160"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proofErr w:type="spellStart"/>
      <w:r w:rsidRPr="00B30084">
        <w:rPr>
          <w:rFonts w:ascii="Times New Roman" w:hAnsi="Times New Roman" w:cs="Times New Roman"/>
          <w:bCs/>
          <w:color w:val="000000"/>
          <w:sz w:val="24"/>
          <w:szCs w:val="24"/>
          <w:lang w:val="sr-Cyrl-RS"/>
        </w:rPr>
        <w:t>Муниципалне</w:t>
      </w:r>
      <w:proofErr w:type="spellEnd"/>
      <w:r w:rsidRPr="00B30084">
        <w:rPr>
          <w:rFonts w:ascii="Times New Roman" w:hAnsi="Times New Roman" w:cs="Times New Roman"/>
          <w:bCs/>
          <w:color w:val="000000"/>
          <w:sz w:val="24"/>
          <w:szCs w:val="24"/>
          <w:lang w:val="sr-Cyrl-RS"/>
        </w:rPr>
        <w:t xml:space="preserve"> обвезнице су тренутно у употреби у Србији. Међутим, постоји простор за ширење његове употребе, </w:t>
      </w:r>
      <w:r w:rsidR="00C600E5">
        <w:rPr>
          <w:rFonts w:ascii="Times New Roman" w:hAnsi="Times New Roman" w:cs="Times New Roman"/>
          <w:bCs/>
          <w:color w:val="000000"/>
          <w:sz w:val="24"/>
          <w:szCs w:val="24"/>
          <w:lang w:val="sr-Cyrl-RS"/>
        </w:rPr>
        <w:t>као што су: процена законских ов</w:t>
      </w:r>
      <w:r w:rsidRPr="00B30084">
        <w:rPr>
          <w:rFonts w:ascii="Times New Roman" w:hAnsi="Times New Roman" w:cs="Times New Roman"/>
          <w:bCs/>
          <w:color w:val="000000"/>
          <w:sz w:val="24"/>
          <w:szCs w:val="24"/>
          <w:lang w:val="sr-Cyrl-RS"/>
        </w:rPr>
        <w:t xml:space="preserve">лашћења за издавање обвезница и поступак одобравања дуга, адресирање капацитета финансијског извештавања кандидата, стварање програма подстицаја, ангажовање на пројектима које </w:t>
      </w:r>
      <w:r w:rsidR="00C600E5">
        <w:rPr>
          <w:rFonts w:ascii="Times New Roman" w:hAnsi="Times New Roman" w:cs="Times New Roman"/>
          <w:bCs/>
          <w:color w:val="000000"/>
          <w:sz w:val="24"/>
          <w:szCs w:val="24"/>
          <w:lang w:val="sr-Cyrl-RS"/>
        </w:rPr>
        <w:t>промовишу м</w:t>
      </w:r>
      <w:r w:rsidRPr="00B30084">
        <w:rPr>
          <w:rFonts w:ascii="Times New Roman" w:hAnsi="Times New Roman" w:cs="Times New Roman"/>
          <w:bCs/>
          <w:color w:val="000000"/>
          <w:sz w:val="24"/>
          <w:szCs w:val="24"/>
          <w:lang w:val="sr-Cyrl-RS"/>
        </w:rPr>
        <w:t xml:space="preserve">еђународне финансијске институције за зелене градове тј. за издавање зелених </w:t>
      </w:r>
      <w:proofErr w:type="spellStart"/>
      <w:r w:rsidRPr="00B30084">
        <w:rPr>
          <w:rFonts w:ascii="Times New Roman" w:hAnsi="Times New Roman" w:cs="Times New Roman"/>
          <w:bCs/>
          <w:color w:val="000000"/>
          <w:sz w:val="24"/>
          <w:szCs w:val="24"/>
          <w:lang w:val="sr-Cyrl-RS"/>
        </w:rPr>
        <w:t>муниципалних</w:t>
      </w:r>
      <w:proofErr w:type="spellEnd"/>
      <w:r w:rsidRPr="00B30084">
        <w:rPr>
          <w:rFonts w:ascii="Times New Roman" w:hAnsi="Times New Roman" w:cs="Times New Roman"/>
          <w:bCs/>
          <w:color w:val="000000"/>
          <w:sz w:val="24"/>
          <w:szCs w:val="24"/>
          <w:lang w:val="sr-Cyrl-RS"/>
        </w:rPr>
        <w:t xml:space="preserve"> обвезница и обезбеђивање континуираног праћења финансиране активности.</w:t>
      </w:r>
    </w:p>
    <w:p w14:paraId="5C0E7D75" w14:textId="77777777"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
          <w:color w:val="000000"/>
          <w:sz w:val="24"/>
          <w:szCs w:val="24"/>
          <w:lang w:val="sr-Cyrl-RS"/>
        </w:rPr>
        <w:t>Дигитална имовина</w:t>
      </w:r>
    </w:p>
    <w:p w14:paraId="32EFE1AC" w14:textId="77777777"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Идеја увођења </w:t>
      </w:r>
      <w:proofErr w:type="spellStart"/>
      <w:r w:rsidRPr="00B30084">
        <w:rPr>
          <w:rFonts w:ascii="Times New Roman" w:hAnsi="Times New Roman" w:cs="Times New Roman"/>
          <w:bCs/>
          <w:color w:val="000000"/>
          <w:sz w:val="24"/>
          <w:szCs w:val="24"/>
          <w:lang w:val="sr-Cyrl-RS"/>
        </w:rPr>
        <w:t>криптовалута</w:t>
      </w:r>
      <w:proofErr w:type="spellEnd"/>
      <w:r w:rsidRPr="00B30084">
        <w:rPr>
          <w:rFonts w:ascii="Times New Roman" w:hAnsi="Times New Roman" w:cs="Times New Roman"/>
          <w:bCs/>
          <w:color w:val="000000"/>
          <w:sz w:val="24"/>
          <w:szCs w:val="24"/>
          <w:lang w:val="sr-Cyrl-RS"/>
        </w:rPr>
        <w:t xml:space="preserve"> на организовано српско тржиште капитала - тачније уврштавање крипто-валута на </w:t>
      </w:r>
      <w:proofErr w:type="spellStart"/>
      <w:r w:rsidRPr="00B30084">
        <w:rPr>
          <w:rFonts w:ascii="Times New Roman" w:hAnsi="Times New Roman" w:cs="Times New Roman"/>
          <w:bCs/>
          <w:color w:val="000000"/>
          <w:sz w:val="24"/>
          <w:szCs w:val="24"/>
          <w:lang w:val="sr-Cyrl-RS"/>
        </w:rPr>
        <w:t>Белекс</w:t>
      </w:r>
      <w:proofErr w:type="spellEnd"/>
      <w:r w:rsidRPr="00B30084">
        <w:rPr>
          <w:rFonts w:ascii="Times New Roman" w:hAnsi="Times New Roman" w:cs="Times New Roman"/>
          <w:bCs/>
          <w:color w:val="000000"/>
          <w:sz w:val="24"/>
          <w:szCs w:val="24"/>
          <w:lang w:val="sr-Cyrl-RS"/>
        </w:rPr>
        <w:t xml:space="preserve"> - покреће бројна питања. Треба имати на уму да ова „реформа“ неће имати исте типове утицаја на тржиште капитала као горе наведене врсте инвестиционих хартија од вредности. Тачније, ова идеја ће бити од користи </w:t>
      </w:r>
      <w:proofErr w:type="spellStart"/>
      <w:r w:rsidRPr="00B30084">
        <w:rPr>
          <w:rFonts w:ascii="Times New Roman" w:hAnsi="Times New Roman" w:cs="Times New Roman"/>
          <w:bCs/>
          <w:color w:val="000000"/>
          <w:sz w:val="24"/>
          <w:szCs w:val="24"/>
          <w:lang w:val="sr-Cyrl-RS"/>
        </w:rPr>
        <w:t>Белекс</w:t>
      </w:r>
      <w:proofErr w:type="spellEnd"/>
      <w:r w:rsidRPr="00B30084">
        <w:rPr>
          <w:rFonts w:ascii="Times New Roman" w:hAnsi="Times New Roman" w:cs="Times New Roman"/>
          <w:bCs/>
          <w:color w:val="000000"/>
          <w:sz w:val="24"/>
          <w:szCs w:val="24"/>
          <w:lang w:val="sr-Cyrl-RS"/>
        </w:rPr>
        <w:t>-у и његовим члановима. То би требало да доведе до повећања прихода од трговине, што би помогло да се надокнади његова тренутна несигурна финансијска ситуација.</w:t>
      </w:r>
    </w:p>
    <w:p w14:paraId="37B15A1A" w14:textId="2FE07861"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За Србију</w:t>
      </w:r>
      <w:r w:rsidR="00222EF2">
        <w:rPr>
          <w:rFonts w:ascii="Times New Roman" w:hAnsi="Times New Roman" w:cs="Times New Roman"/>
          <w:bCs/>
          <w:color w:val="000000"/>
          <w:sz w:val="24"/>
          <w:szCs w:val="24"/>
          <w:lang w:val="sr-Cyrl-RS"/>
        </w:rPr>
        <w:t>, као и за</w:t>
      </w:r>
      <w:r w:rsidRPr="00B30084">
        <w:rPr>
          <w:rFonts w:ascii="Times New Roman" w:hAnsi="Times New Roman" w:cs="Times New Roman"/>
          <w:bCs/>
          <w:color w:val="000000"/>
          <w:sz w:val="24"/>
          <w:szCs w:val="24"/>
          <w:lang w:val="sr-Cyrl-RS"/>
        </w:rPr>
        <w:t xml:space="preserve"> било које друго тржиште које размишља о увођењу ди</w:t>
      </w:r>
      <w:r w:rsidR="00222EF2">
        <w:rPr>
          <w:rFonts w:ascii="Times New Roman" w:hAnsi="Times New Roman" w:cs="Times New Roman"/>
          <w:bCs/>
          <w:color w:val="000000"/>
          <w:sz w:val="24"/>
          <w:szCs w:val="24"/>
          <w:lang w:val="sr-Cyrl-RS"/>
        </w:rPr>
        <w:t>гиталне имовине у свој систем,</w:t>
      </w:r>
      <w:r w:rsidRPr="00B30084">
        <w:rPr>
          <w:rFonts w:ascii="Times New Roman" w:hAnsi="Times New Roman" w:cs="Times New Roman"/>
          <w:bCs/>
          <w:color w:val="000000"/>
          <w:sz w:val="24"/>
          <w:szCs w:val="24"/>
          <w:lang w:val="sr-Cyrl-RS"/>
        </w:rPr>
        <w:t xml:space="preserve"> питање је може ли се веровати систему евидентирања крајњег власништва.</w:t>
      </w:r>
    </w:p>
    <w:p w14:paraId="29DA7063" w14:textId="183E3E48" w:rsidR="00693ECC" w:rsidRPr="00B30084" w:rsidRDefault="00693ECC" w:rsidP="00693ECC">
      <w:pPr>
        <w:spacing w:line="276" w:lineRule="auto"/>
        <w:ind w:firstLine="720"/>
        <w:jc w:val="both"/>
        <w:rPr>
          <w:rFonts w:ascii="Times New Roman" w:hAnsi="Times New Roman" w:cs="Times New Roman"/>
          <w:bCs/>
          <w:color w:val="000000"/>
          <w:sz w:val="24"/>
          <w:szCs w:val="24"/>
          <w:lang w:val="sr-Cyrl-RS"/>
        </w:rPr>
      </w:pPr>
      <w:r w:rsidRPr="00B30084">
        <w:rPr>
          <w:rFonts w:ascii="Times New Roman" w:hAnsi="Times New Roman" w:cs="Times New Roman"/>
          <w:bCs/>
          <w:color w:val="000000"/>
          <w:sz w:val="24"/>
          <w:szCs w:val="24"/>
          <w:lang w:val="sr-Cyrl-RS"/>
        </w:rPr>
        <w:t xml:space="preserve">У децембру 2020. године Народна скупштина Републике Србије усвојила је Закон о дигиталној имовини. Главни циљеви </w:t>
      </w:r>
      <w:r w:rsidR="00222EF2">
        <w:rPr>
          <w:rFonts w:ascii="Times New Roman" w:hAnsi="Times New Roman" w:cs="Times New Roman"/>
          <w:bCs/>
          <w:color w:val="000000"/>
          <w:sz w:val="24"/>
          <w:szCs w:val="24"/>
          <w:lang w:val="sr-Cyrl-RS"/>
        </w:rPr>
        <w:t xml:space="preserve">овог </w:t>
      </w:r>
      <w:r w:rsidRPr="00B30084">
        <w:rPr>
          <w:rFonts w:ascii="Times New Roman" w:hAnsi="Times New Roman" w:cs="Times New Roman"/>
          <w:bCs/>
          <w:color w:val="000000"/>
          <w:sz w:val="24"/>
          <w:szCs w:val="24"/>
          <w:lang w:val="sr-Cyrl-RS"/>
        </w:rPr>
        <w:t xml:space="preserve">закона су везани за издавање дигиталне имовине и секундарно трговање дигиталном имовином, пружање услуга у вези са дигиталном имовином, заложно право и </w:t>
      </w:r>
      <w:proofErr w:type="spellStart"/>
      <w:r w:rsidRPr="00B30084">
        <w:rPr>
          <w:rFonts w:ascii="Times New Roman" w:hAnsi="Times New Roman" w:cs="Times New Roman"/>
          <w:bCs/>
          <w:color w:val="000000"/>
          <w:sz w:val="24"/>
          <w:szCs w:val="24"/>
          <w:lang w:val="sr-Cyrl-RS"/>
        </w:rPr>
        <w:t>фидуцијарно</w:t>
      </w:r>
      <w:proofErr w:type="spellEnd"/>
      <w:r w:rsidRPr="00B30084">
        <w:rPr>
          <w:rFonts w:ascii="Times New Roman" w:hAnsi="Times New Roman" w:cs="Times New Roman"/>
          <w:bCs/>
          <w:color w:val="000000"/>
          <w:sz w:val="24"/>
          <w:szCs w:val="24"/>
          <w:lang w:val="sr-Cyrl-RS"/>
        </w:rPr>
        <w:t xml:space="preserve"> право на дигиталн</w:t>
      </w:r>
      <w:r w:rsidR="00222EF2">
        <w:rPr>
          <w:rFonts w:ascii="Times New Roman" w:hAnsi="Times New Roman" w:cs="Times New Roman"/>
          <w:bCs/>
          <w:color w:val="000000"/>
          <w:sz w:val="24"/>
          <w:szCs w:val="24"/>
          <w:lang w:val="sr-Cyrl-RS"/>
        </w:rPr>
        <w:t>ој имовини</w:t>
      </w:r>
      <w:r w:rsidRPr="00B30084">
        <w:rPr>
          <w:rFonts w:ascii="Times New Roman" w:hAnsi="Times New Roman" w:cs="Times New Roman"/>
          <w:bCs/>
          <w:color w:val="000000"/>
          <w:sz w:val="24"/>
          <w:szCs w:val="24"/>
          <w:lang w:val="sr-Cyrl-RS"/>
        </w:rPr>
        <w:t>, надлежност Комисије за хартије од вредности и надзор над спровођењем овог закона.</w:t>
      </w:r>
    </w:p>
    <w:p w14:paraId="6E3E869D" w14:textId="77777777" w:rsidR="00052737" w:rsidRDefault="00052737" w:rsidP="00693ECC">
      <w:pPr>
        <w:spacing w:line="276" w:lineRule="auto"/>
        <w:ind w:firstLine="720"/>
        <w:jc w:val="both"/>
        <w:rPr>
          <w:rFonts w:ascii="Times New Roman" w:hAnsi="Times New Roman" w:cs="Times New Roman"/>
          <w:b/>
          <w:color w:val="000000"/>
          <w:sz w:val="24"/>
          <w:szCs w:val="24"/>
          <w:lang w:val="sr-Cyrl-RS"/>
        </w:rPr>
      </w:pPr>
    </w:p>
    <w:p w14:paraId="174E64E0" w14:textId="77777777" w:rsidR="00052737" w:rsidRDefault="00052737" w:rsidP="00693ECC">
      <w:pPr>
        <w:spacing w:line="276" w:lineRule="auto"/>
        <w:ind w:firstLine="720"/>
        <w:jc w:val="both"/>
        <w:rPr>
          <w:rFonts w:ascii="Times New Roman" w:hAnsi="Times New Roman" w:cs="Times New Roman"/>
          <w:b/>
          <w:color w:val="000000"/>
          <w:sz w:val="24"/>
          <w:szCs w:val="24"/>
          <w:lang w:val="sr-Cyrl-RS"/>
        </w:rPr>
      </w:pPr>
    </w:p>
    <w:p w14:paraId="3C1650BE" w14:textId="235BE434"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proofErr w:type="spellStart"/>
      <w:r w:rsidRPr="00B30084">
        <w:rPr>
          <w:rFonts w:ascii="Times New Roman" w:hAnsi="Times New Roman" w:cs="Times New Roman"/>
          <w:b/>
          <w:color w:val="000000"/>
          <w:sz w:val="24"/>
          <w:szCs w:val="24"/>
          <w:lang w:val="sr-Cyrl-RS"/>
        </w:rPr>
        <w:lastRenderedPageBreak/>
        <w:t>Факторинг</w:t>
      </w:r>
      <w:proofErr w:type="spellEnd"/>
      <w:r w:rsidRPr="00B30084">
        <w:rPr>
          <w:rFonts w:ascii="Times New Roman" w:hAnsi="Times New Roman" w:cs="Times New Roman"/>
          <w:b/>
          <w:color w:val="000000"/>
          <w:sz w:val="24"/>
          <w:szCs w:val="24"/>
          <w:lang w:val="sr-Cyrl-RS"/>
        </w:rPr>
        <w:t xml:space="preserve"> и мултилатерално поравнање потраживања и трговање</w:t>
      </w:r>
    </w:p>
    <w:p w14:paraId="3F246D81" w14:textId="20675813" w:rsidR="00693ECC" w:rsidRDefault="00EB2AEB" w:rsidP="00693ECC">
      <w:pPr>
        <w:spacing w:line="276" w:lineRule="auto"/>
        <w:ind w:firstLine="720"/>
        <w:jc w:val="both"/>
        <w:rPr>
          <w:rFonts w:ascii="Times New Roman" w:hAnsi="Times New Roman" w:cs="Times New Roman"/>
          <w:bCs/>
          <w:color w:val="000000"/>
          <w:sz w:val="24"/>
          <w:szCs w:val="24"/>
          <w:lang w:val="sr-Cyrl-RS"/>
        </w:rPr>
      </w:pPr>
      <w:r>
        <w:rPr>
          <w:rFonts w:ascii="Times New Roman" w:hAnsi="Times New Roman" w:cs="Times New Roman"/>
          <w:bCs/>
          <w:color w:val="000000"/>
          <w:sz w:val="24"/>
          <w:szCs w:val="24"/>
          <w:lang w:val="sr-Cyrl-RS"/>
        </w:rPr>
        <w:t>Једна</w:t>
      </w:r>
      <w:r w:rsidR="00693ECC" w:rsidRPr="00B30084">
        <w:rPr>
          <w:rFonts w:ascii="Times New Roman" w:hAnsi="Times New Roman" w:cs="Times New Roman"/>
          <w:bCs/>
          <w:color w:val="000000"/>
          <w:sz w:val="24"/>
          <w:szCs w:val="24"/>
          <w:lang w:val="sr-Cyrl-RS"/>
        </w:rPr>
        <w:t xml:space="preserve"> мање дефинисана идеја за подршку привреди предлаже стварање функције клириншке куће за трговање</w:t>
      </w:r>
      <w:r w:rsidR="00222EF2">
        <w:rPr>
          <w:rFonts w:ascii="Times New Roman" w:hAnsi="Times New Roman" w:cs="Times New Roman"/>
          <w:bCs/>
          <w:color w:val="000000"/>
          <w:sz w:val="24"/>
          <w:szCs w:val="24"/>
          <w:lang w:val="sr-Cyrl-RS"/>
        </w:rPr>
        <w:t xml:space="preserve"> плативим обавезама предузећа. </w:t>
      </w:r>
      <w:r w:rsidR="005A2E2B">
        <w:rPr>
          <w:rFonts w:ascii="Times New Roman" w:hAnsi="Times New Roman" w:cs="Times New Roman"/>
          <w:bCs/>
          <w:color w:val="000000"/>
          <w:sz w:val="24"/>
          <w:szCs w:val="24"/>
          <w:lang w:val="sr-Cyrl-RS"/>
        </w:rPr>
        <w:t xml:space="preserve">С обзиром да је ово </w:t>
      </w:r>
      <w:r w:rsidR="005A2E2B" w:rsidRPr="00B30084">
        <w:rPr>
          <w:rFonts w:ascii="Times New Roman" w:hAnsi="Times New Roman" w:cs="Times New Roman"/>
          <w:bCs/>
          <w:color w:val="000000"/>
          <w:sz w:val="24"/>
          <w:szCs w:val="24"/>
          <w:lang w:val="sr-Cyrl-RS"/>
        </w:rPr>
        <w:t xml:space="preserve">замишљено као тржиште </w:t>
      </w:r>
      <w:r w:rsidR="005A2E2B">
        <w:rPr>
          <w:rFonts w:ascii="Times New Roman" w:hAnsi="Times New Roman" w:cs="Times New Roman"/>
          <w:bCs/>
          <w:color w:val="000000"/>
          <w:sz w:val="24"/>
          <w:szCs w:val="24"/>
          <w:lang w:val="sr-Cyrl-RS"/>
        </w:rPr>
        <w:t>текућих обавеза</w:t>
      </w:r>
      <w:r w:rsidR="005A2E2B" w:rsidRPr="00B30084">
        <w:rPr>
          <w:rFonts w:ascii="Times New Roman" w:hAnsi="Times New Roman" w:cs="Times New Roman"/>
          <w:bCs/>
          <w:color w:val="000000"/>
          <w:sz w:val="24"/>
          <w:szCs w:val="24"/>
          <w:lang w:val="sr-Cyrl-RS"/>
        </w:rPr>
        <w:t xml:space="preserve"> компанија, чини се да </w:t>
      </w:r>
      <w:r w:rsidR="005A2E2B">
        <w:rPr>
          <w:rFonts w:ascii="Times New Roman" w:hAnsi="Times New Roman" w:cs="Times New Roman"/>
          <w:bCs/>
          <w:color w:val="000000"/>
          <w:sz w:val="24"/>
          <w:szCs w:val="24"/>
          <w:lang w:val="sr-Cyrl-RS"/>
        </w:rPr>
        <w:t xml:space="preserve">би се у </w:t>
      </w:r>
      <w:r w:rsidR="005A2E2B" w:rsidRPr="00B30084">
        <w:rPr>
          <w:rFonts w:ascii="Times New Roman" w:hAnsi="Times New Roman" w:cs="Times New Roman"/>
          <w:bCs/>
          <w:color w:val="000000"/>
          <w:sz w:val="24"/>
          <w:szCs w:val="24"/>
          <w:lang w:val="sr-Cyrl-RS"/>
        </w:rPr>
        <w:t xml:space="preserve">суштини </w:t>
      </w:r>
      <w:proofErr w:type="spellStart"/>
      <w:r w:rsidR="005A2E2B" w:rsidRPr="00B30084">
        <w:rPr>
          <w:rFonts w:ascii="Times New Roman" w:hAnsi="Times New Roman" w:cs="Times New Roman"/>
          <w:bCs/>
          <w:color w:val="000000"/>
          <w:sz w:val="24"/>
          <w:szCs w:val="24"/>
          <w:lang w:val="sr-Cyrl-RS"/>
        </w:rPr>
        <w:t>ствар</w:t>
      </w:r>
      <w:r w:rsidR="005A2E2B">
        <w:rPr>
          <w:rFonts w:ascii="Times New Roman" w:hAnsi="Times New Roman" w:cs="Times New Roman"/>
          <w:bCs/>
          <w:color w:val="000000"/>
          <w:sz w:val="24"/>
          <w:szCs w:val="24"/>
          <w:lang w:val="sr-Cyrl-RS"/>
        </w:rPr>
        <w:t>ило</w:t>
      </w:r>
      <w:proofErr w:type="spellEnd"/>
      <w:r w:rsidR="005A2E2B" w:rsidRPr="00B30084">
        <w:rPr>
          <w:rFonts w:ascii="Times New Roman" w:hAnsi="Times New Roman" w:cs="Times New Roman"/>
          <w:bCs/>
          <w:color w:val="000000"/>
          <w:sz w:val="24"/>
          <w:szCs w:val="24"/>
          <w:lang w:val="sr-Cyrl-RS"/>
        </w:rPr>
        <w:t xml:space="preserve"> тржиште за „</w:t>
      </w:r>
      <w:proofErr w:type="spellStart"/>
      <w:r w:rsidR="005A2E2B" w:rsidRPr="00B30084">
        <w:rPr>
          <w:rFonts w:ascii="Times New Roman" w:hAnsi="Times New Roman" w:cs="Times New Roman"/>
          <w:bCs/>
          <w:color w:val="000000"/>
          <w:sz w:val="24"/>
          <w:szCs w:val="24"/>
          <w:lang w:val="sr-Cyrl-RS"/>
        </w:rPr>
        <w:t>факторинг</w:t>
      </w:r>
      <w:proofErr w:type="spellEnd"/>
      <w:r w:rsidR="005A2E2B" w:rsidRPr="00B30084">
        <w:rPr>
          <w:rFonts w:ascii="Times New Roman" w:hAnsi="Times New Roman" w:cs="Times New Roman"/>
          <w:bCs/>
          <w:color w:val="000000"/>
          <w:sz w:val="24"/>
          <w:szCs w:val="24"/>
          <w:lang w:val="sr-Cyrl-RS"/>
        </w:rPr>
        <w:t>“.</w:t>
      </w:r>
      <w:r w:rsidR="005A2E2B">
        <w:rPr>
          <w:rFonts w:ascii="Times New Roman" w:hAnsi="Times New Roman" w:cs="Times New Roman"/>
          <w:bCs/>
          <w:color w:val="000000"/>
          <w:sz w:val="24"/>
          <w:szCs w:val="24"/>
          <w:lang w:val="sr-Cyrl-RS"/>
        </w:rPr>
        <w:t xml:space="preserve"> </w:t>
      </w:r>
      <w:r w:rsidR="00693ECC" w:rsidRPr="00B30084">
        <w:rPr>
          <w:rFonts w:ascii="Times New Roman" w:hAnsi="Times New Roman" w:cs="Times New Roman"/>
          <w:bCs/>
          <w:color w:val="000000"/>
          <w:sz w:val="24"/>
          <w:szCs w:val="24"/>
          <w:lang w:val="sr-Cyrl-RS"/>
        </w:rPr>
        <w:t xml:space="preserve">У </w:t>
      </w:r>
      <w:proofErr w:type="spellStart"/>
      <w:r w:rsidR="00693ECC" w:rsidRPr="00B30084">
        <w:rPr>
          <w:rFonts w:ascii="Times New Roman" w:hAnsi="Times New Roman" w:cs="Times New Roman"/>
          <w:bCs/>
          <w:color w:val="000000"/>
          <w:sz w:val="24"/>
          <w:szCs w:val="24"/>
          <w:lang w:val="sr-Cyrl-RS"/>
        </w:rPr>
        <w:t>факторинг</w:t>
      </w:r>
      <w:proofErr w:type="spellEnd"/>
      <w:r w:rsidR="00693ECC" w:rsidRPr="00B30084">
        <w:rPr>
          <w:rFonts w:ascii="Times New Roman" w:hAnsi="Times New Roman" w:cs="Times New Roman"/>
          <w:bCs/>
          <w:color w:val="000000"/>
          <w:sz w:val="24"/>
          <w:szCs w:val="24"/>
          <w:lang w:val="sr-Cyrl-RS"/>
        </w:rPr>
        <w:t xml:space="preserve"> трансакцији, МСП користи потраживања која држи од својих купаца као залог или гаранцију за добијање кредита у сврхе обртног капитала. То је обећавајући механизам који омогућава малим и средњим предузећима да у сваком тренутку рачунају на довољну ликвидност за своје пословање и да ефикасно прибаве средства, док рачуни који им се дугују остају неплаћени.</w:t>
      </w:r>
    </w:p>
    <w:p w14:paraId="7B71F846" w14:textId="77777777" w:rsidR="00AD30A2" w:rsidRPr="00B30084" w:rsidRDefault="00AD30A2" w:rsidP="00693ECC">
      <w:pPr>
        <w:spacing w:line="276" w:lineRule="auto"/>
        <w:ind w:firstLine="720"/>
        <w:jc w:val="both"/>
        <w:rPr>
          <w:rFonts w:ascii="Times New Roman" w:hAnsi="Times New Roman" w:cs="Times New Roman"/>
          <w:bCs/>
          <w:color w:val="000000"/>
          <w:sz w:val="24"/>
          <w:szCs w:val="24"/>
          <w:lang w:val="sr-Cyrl-RS"/>
        </w:rPr>
      </w:pPr>
    </w:p>
    <w:p w14:paraId="7389B797" w14:textId="77777777" w:rsidR="00693ECC" w:rsidRPr="00B30084" w:rsidRDefault="00693ECC" w:rsidP="00693ECC">
      <w:pPr>
        <w:spacing w:line="276" w:lineRule="auto"/>
        <w:ind w:firstLine="720"/>
        <w:jc w:val="both"/>
        <w:rPr>
          <w:rFonts w:ascii="Times New Roman" w:hAnsi="Times New Roman" w:cs="Times New Roman"/>
          <w:b/>
          <w:color w:val="000000"/>
          <w:sz w:val="24"/>
          <w:szCs w:val="24"/>
          <w:lang w:val="sr-Cyrl-RS"/>
        </w:rPr>
      </w:pPr>
      <w:r w:rsidRPr="00B30084">
        <w:rPr>
          <w:rFonts w:ascii="Times New Roman" w:hAnsi="Times New Roman" w:cs="Times New Roman"/>
          <w:b/>
          <w:color w:val="000000"/>
          <w:sz w:val="24"/>
          <w:szCs w:val="24"/>
          <w:lang w:val="sr-Cyrl-RS"/>
        </w:rPr>
        <w:t>Привлачење атрактивних учесника на тржиште</w:t>
      </w:r>
    </w:p>
    <w:p w14:paraId="055511DF" w14:textId="33F67496"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bCs/>
          <w:color w:val="000000"/>
          <w:sz w:val="24"/>
          <w:szCs w:val="24"/>
          <w:lang w:val="sr-Cyrl-RS"/>
        </w:rPr>
        <w:t>Учесници</w:t>
      </w:r>
      <w:r w:rsidRPr="00B30084">
        <w:rPr>
          <w:rFonts w:ascii="Times New Roman" w:hAnsi="Times New Roman" w:cs="Times New Roman"/>
          <w:sz w:val="24"/>
          <w:szCs w:val="24"/>
          <w:lang w:val="sr-Cyrl-RS"/>
        </w:rPr>
        <w:t xml:space="preserve"> на тржишту указују да је кључ за оживљавање овог тржишта у способности да се </w:t>
      </w:r>
      <w:r w:rsidR="00EB2AEB">
        <w:rPr>
          <w:rFonts w:ascii="Times New Roman" w:hAnsi="Times New Roman" w:cs="Times New Roman"/>
          <w:sz w:val="24"/>
          <w:szCs w:val="24"/>
          <w:lang w:val="sr-Cyrl-RS"/>
        </w:rPr>
        <w:t>на</w:t>
      </w:r>
      <w:r w:rsidRPr="00B30084">
        <w:rPr>
          <w:rFonts w:ascii="Times New Roman" w:hAnsi="Times New Roman" w:cs="Times New Roman"/>
          <w:sz w:val="24"/>
          <w:szCs w:val="24"/>
          <w:lang w:val="sr-Cyrl-RS"/>
        </w:rPr>
        <w:t xml:space="preserve"> </w:t>
      </w:r>
      <w:proofErr w:type="spellStart"/>
      <w:r w:rsidRPr="00B30084">
        <w:rPr>
          <w:rFonts w:ascii="Times New Roman" w:hAnsi="Times New Roman" w:cs="Times New Roman"/>
          <w:sz w:val="24"/>
          <w:szCs w:val="24"/>
          <w:lang w:val="sr-Cyrl-RS"/>
        </w:rPr>
        <w:t>Белексу</w:t>
      </w:r>
      <w:proofErr w:type="spellEnd"/>
      <w:r w:rsidRPr="00B30084">
        <w:rPr>
          <w:rFonts w:ascii="Times New Roman" w:hAnsi="Times New Roman" w:cs="Times New Roman"/>
          <w:sz w:val="24"/>
          <w:szCs w:val="24"/>
          <w:lang w:val="sr-Cyrl-RS"/>
        </w:rPr>
        <w:t xml:space="preserve"> тргује са више квалитетнијих хартија од вредности. </w:t>
      </w:r>
    </w:p>
    <w:p w14:paraId="2B9B4EC9" w14:textId="4356BFF1"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Имајући у виду горе наведено, циљ јесте да се сагледа портфолио свих предузећа у ко</w:t>
      </w:r>
      <w:r w:rsidR="00222EF2">
        <w:rPr>
          <w:rFonts w:ascii="Times New Roman" w:hAnsi="Times New Roman" w:cs="Times New Roman"/>
          <w:sz w:val="24"/>
          <w:szCs w:val="24"/>
          <w:lang w:val="sr-Cyrl-RS"/>
        </w:rPr>
        <w:t>јима држава има пуно или делимич</w:t>
      </w:r>
      <w:r w:rsidRPr="00B30084">
        <w:rPr>
          <w:rFonts w:ascii="Times New Roman" w:hAnsi="Times New Roman" w:cs="Times New Roman"/>
          <w:sz w:val="24"/>
          <w:szCs w:val="24"/>
          <w:lang w:val="sr-Cyrl-RS"/>
        </w:rPr>
        <w:t xml:space="preserve">но власништво </w:t>
      </w:r>
      <w:r w:rsidR="008765AB">
        <w:rPr>
          <w:rFonts w:ascii="Times New Roman" w:hAnsi="Times New Roman" w:cs="Times New Roman"/>
          <w:sz w:val="24"/>
          <w:szCs w:val="24"/>
          <w:lang w:val="sr-Cyrl-RS"/>
        </w:rPr>
        <w:t xml:space="preserve">и </w:t>
      </w:r>
      <w:r w:rsidRPr="00B30084">
        <w:rPr>
          <w:rFonts w:ascii="Times New Roman" w:hAnsi="Times New Roman" w:cs="Times New Roman"/>
          <w:sz w:val="24"/>
          <w:szCs w:val="24"/>
          <w:lang w:val="sr-Cyrl-RS"/>
        </w:rPr>
        <w:t>да се државна предузећа кандидују као и компаније у приватном власништву. Међутим, не би било поштено тражити од било ког државн</w:t>
      </w:r>
      <w:r w:rsidR="00DA26B8">
        <w:rPr>
          <w:rFonts w:ascii="Times New Roman" w:hAnsi="Times New Roman" w:cs="Times New Roman"/>
          <w:sz w:val="24"/>
          <w:szCs w:val="24"/>
          <w:lang w:val="sr-Cyrl-RS"/>
        </w:rPr>
        <w:t>ог</w:t>
      </w:r>
      <w:r w:rsidRPr="00B30084">
        <w:rPr>
          <w:rFonts w:ascii="Times New Roman" w:hAnsi="Times New Roman" w:cs="Times New Roman"/>
          <w:sz w:val="24"/>
          <w:szCs w:val="24"/>
          <w:lang w:val="sr-Cyrl-RS"/>
        </w:rPr>
        <w:t xml:space="preserve"> предузећа да јавно издаје хартије од вредности како би постигло циљ развоја тржишта капитала, ако у ствари </w:t>
      </w:r>
      <w:r w:rsidR="002C20E9">
        <w:rPr>
          <w:rFonts w:ascii="Times New Roman" w:hAnsi="Times New Roman" w:cs="Times New Roman"/>
          <w:sz w:val="24"/>
          <w:szCs w:val="24"/>
          <w:lang w:val="sr-Cyrl-RS"/>
        </w:rPr>
        <w:t>компанији</w:t>
      </w:r>
      <w:r w:rsidRPr="00B30084">
        <w:rPr>
          <w:rFonts w:ascii="Times New Roman" w:hAnsi="Times New Roman" w:cs="Times New Roman"/>
          <w:sz w:val="24"/>
          <w:szCs w:val="24"/>
          <w:lang w:val="sr-Cyrl-RS"/>
        </w:rPr>
        <w:t xml:space="preserve"> није потребан нови капитал. </w:t>
      </w:r>
      <w:r w:rsidR="00C0244F">
        <w:rPr>
          <w:rFonts w:ascii="Times New Roman" w:hAnsi="Times New Roman" w:cs="Times New Roman"/>
          <w:sz w:val="24"/>
          <w:szCs w:val="24"/>
          <w:lang w:val="sr-Cyrl-RS"/>
        </w:rPr>
        <w:t>То значи да прво треба узети у обзир потребе за финансирањем државних предузећа, а затим да су те компаније привлачне за инвеститоре, да су са ниском осетљивошћу и да су углавном сви сагласни са њиховим изласком на тржиште.</w:t>
      </w:r>
    </w:p>
    <w:p w14:paraId="002A4665" w14:textId="0B7C93FD"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Приватни сектор много обећава у смислу његовог изласка на тржиште капитала имајући у виду да су те компаније </w:t>
      </w:r>
      <w:r w:rsidR="00065F0A">
        <w:rPr>
          <w:rFonts w:ascii="Times New Roman" w:hAnsi="Times New Roman" w:cs="Times New Roman"/>
          <w:sz w:val="24"/>
          <w:szCs w:val="24"/>
          <w:lang w:val="sr-Cyrl-RS"/>
        </w:rPr>
        <w:t>профитабилније</w:t>
      </w:r>
      <w:r w:rsidRPr="00B30084">
        <w:rPr>
          <w:rFonts w:ascii="Times New Roman" w:hAnsi="Times New Roman" w:cs="Times New Roman"/>
          <w:sz w:val="24"/>
          <w:szCs w:val="24"/>
          <w:lang w:val="sr-Cyrl-RS"/>
        </w:rPr>
        <w:t xml:space="preserve">. Али ипак постоје неке препреке које би требало </w:t>
      </w:r>
      <w:r w:rsidRPr="00B30084">
        <w:rPr>
          <w:rFonts w:ascii="Times New Roman" w:hAnsi="Times New Roman" w:cs="Times New Roman"/>
          <w:bCs/>
          <w:color w:val="000000"/>
          <w:sz w:val="24"/>
          <w:szCs w:val="24"/>
          <w:lang w:val="sr-Cyrl-RS"/>
        </w:rPr>
        <w:t>решити</w:t>
      </w:r>
      <w:r w:rsidRPr="00B30084">
        <w:rPr>
          <w:rFonts w:ascii="Times New Roman" w:hAnsi="Times New Roman" w:cs="Times New Roman"/>
          <w:sz w:val="24"/>
          <w:szCs w:val="24"/>
          <w:lang w:val="sr-Cyrl-RS"/>
        </w:rPr>
        <w:t xml:space="preserve"> (порез, таксе итд.)</w:t>
      </w:r>
      <w:r w:rsidR="00BF3343">
        <w:rPr>
          <w:rFonts w:ascii="Times New Roman" w:hAnsi="Times New Roman" w:cs="Times New Roman"/>
          <w:sz w:val="24"/>
          <w:szCs w:val="24"/>
          <w:lang w:val="sr-Cyrl-RS"/>
        </w:rPr>
        <w:t xml:space="preserve"> п</w:t>
      </w:r>
      <w:r w:rsidRPr="00B30084">
        <w:rPr>
          <w:rFonts w:ascii="Times New Roman" w:hAnsi="Times New Roman" w:cs="Times New Roman"/>
          <w:sz w:val="24"/>
          <w:szCs w:val="24"/>
          <w:lang w:val="sr-Cyrl-RS"/>
        </w:rPr>
        <w:t>утем предложених акција у наставку.</w:t>
      </w:r>
    </w:p>
    <w:p w14:paraId="70DB4E34" w14:textId="508CC0A9" w:rsidR="00693ECC" w:rsidRPr="00B30084" w:rsidRDefault="00693ECC" w:rsidP="00693ECC">
      <w:pPr>
        <w:spacing w:line="276" w:lineRule="auto"/>
        <w:ind w:firstLine="720"/>
        <w:jc w:val="both"/>
        <w:rPr>
          <w:rFonts w:ascii="Times New Roman" w:eastAsiaTheme="majorEastAsia" w:hAnsi="Times New Roman" w:cs="Times New Roman"/>
          <w:sz w:val="24"/>
          <w:szCs w:val="24"/>
          <w:lang w:val="sr-Cyrl-RS"/>
        </w:rPr>
      </w:pPr>
      <w:r w:rsidRPr="00B30084">
        <w:rPr>
          <w:rFonts w:ascii="Times New Roman" w:hAnsi="Times New Roman" w:cs="Times New Roman"/>
          <w:sz w:val="24"/>
          <w:szCs w:val="24"/>
          <w:lang w:val="sr-Cyrl-RS"/>
        </w:rPr>
        <w:t xml:space="preserve">Мера 2.2. </w:t>
      </w:r>
      <w:r w:rsidRPr="00B30084">
        <w:rPr>
          <w:rFonts w:ascii="Times New Roman" w:eastAsiaTheme="majorEastAsia" w:hAnsi="Times New Roman" w:cs="Times New Roman"/>
          <w:sz w:val="24"/>
          <w:szCs w:val="24"/>
          <w:lang w:val="sr-Cyrl-RS"/>
        </w:rPr>
        <w:t>Привлачење нових инвеститора</w:t>
      </w:r>
    </w:p>
    <w:tbl>
      <w:tblPr>
        <w:tblStyle w:val="TableGrid"/>
        <w:tblW w:w="5382" w:type="pct"/>
        <w:tblInd w:w="-465" w:type="dxa"/>
        <w:tblLayout w:type="fixed"/>
        <w:tblLook w:val="04A0" w:firstRow="1" w:lastRow="0" w:firstColumn="1" w:lastColumn="0" w:noHBand="0" w:noVBand="1"/>
      </w:tblPr>
      <w:tblGrid>
        <w:gridCol w:w="3136"/>
        <w:gridCol w:w="1683"/>
        <w:gridCol w:w="1685"/>
        <w:gridCol w:w="1572"/>
        <w:gridCol w:w="2027"/>
      </w:tblGrid>
      <w:tr w:rsidR="00693ECC" w:rsidRPr="00B30084" w14:paraId="604DF55B" w14:textId="77777777" w:rsidTr="00B12AD9">
        <w:trPr>
          <w:trHeight w:val="230"/>
        </w:trPr>
        <w:tc>
          <w:tcPr>
            <w:tcW w:w="1552" w:type="pct"/>
            <w:vMerge w:val="restart"/>
            <w:tcBorders>
              <w:top w:val="double" w:sz="4" w:space="0" w:color="auto"/>
              <w:left w:val="double" w:sz="4" w:space="0" w:color="auto"/>
            </w:tcBorders>
            <w:shd w:val="clear" w:color="auto" w:fill="FFF2CC" w:themeFill="accent4" w:themeFillTint="33"/>
          </w:tcPr>
          <w:p w14:paraId="3D5222FD" w14:textId="1F400715" w:rsidR="00693ECC" w:rsidRPr="00B30084" w:rsidRDefault="00693ECC" w:rsidP="00693ECC">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Назив активности:</w:t>
            </w:r>
          </w:p>
        </w:tc>
        <w:tc>
          <w:tcPr>
            <w:tcW w:w="833" w:type="pct"/>
            <w:vMerge w:val="restart"/>
            <w:tcBorders>
              <w:top w:val="double" w:sz="4" w:space="0" w:color="auto"/>
            </w:tcBorders>
            <w:shd w:val="clear" w:color="auto" w:fill="FFF2CC" w:themeFill="accent4" w:themeFillTint="33"/>
          </w:tcPr>
          <w:p w14:paraId="131526AB" w14:textId="77777777" w:rsidR="00693ECC" w:rsidRPr="00B30084" w:rsidRDefault="00693ECC"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Орган који спроводи меру</w:t>
            </w:r>
          </w:p>
        </w:tc>
        <w:tc>
          <w:tcPr>
            <w:tcW w:w="834" w:type="pct"/>
            <w:vMerge w:val="restart"/>
            <w:tcBorders>
              <w:top w:val="double" w:sz="4" w:space="0" w:color="auto"/>
            </w:tcBorders>
            <w:shd w:val="clear" w:color="auto" w:fill="FFF2CC" w:themeFill="accent4" w:themeFillTint="33"/>
          </w:tcPr>
          <w:p w14:paraId="2D793109" w14:textId="77777777" w:rsidR="00693ECC" w:rsidRPr="00B30084" w:rsidRDefault="00693ECC"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Органи партнери у спровођењу </w:t>
            </w:r>
          </w:p>
        </w:tc>
        <w:tc>
          <w:tcPr>
            <w:tcW w:w="778" w:type="pct"/>
            <w:vMerge w:val="restart"/>
            <w:tcBorders>
              <w:top w:val="double" w:sz="4" w:space="0" w:color="auto"/>
            </w:tcBorders>
            <w:shd w:val="clear" w:color="auto" w:fill="FFF2CC" w:themeFill="accent4" w:themeFillTint="33"/>
          </w:tcPr>
          <w:p w14:paraId="1D5AE19D" w14:textId="77777777" w:rsidR="00693ECC" w:rsidRPr="00B30084" w:rsidRDefault="00693ECC"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Рок за завршетак мере</w:t>
            </w:r>
          </w:p>
        </w:tc>
        <w:tc>
          <w:tcPr>
            <w:tcW w:w="1003" w:type="pct"/>
            <w:vMerge w:val="restart"/>
            <w:tcBorders>
              <w:top w:val="double" w:sz="4" w:space="0" w:color="auto"/>
            </w:tcBorders>
            <w:shd w:val="clear" w:color="auto" w:fill="FFF2CC" w:themeFill="accent4" w:themeFillTint="33"/>
          </w:tcPr>
          <w:p w14:paraId="428E187B" w14:textId="77777777" w:rsidR="00693ECC" w:rsidRPr="00B30084" w:rsidRDefault="00693ECC" w:rsidP="00B12AD9">
            <w:pPr>
              <w:ind w:left="90"/>
              <w:jc w:val="center"/>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финансирања</w:t>
            </w:r>
          </w:p>
        </w:tc>
      </w:tr>
      <w:tr w:rsidR="00693ECC" w:rsidRPr="00B30084" w14:paraId="5E6DDE0F" w14:textId="77777777" w:rsidTr="00B12AD9">
        <w:trPr>
          <w:trHeight w:val="322"/>
        </w:trPr>
        <w:tc>
          <w:tcPr>
            <w:tcW w:w="1552" w:type="pct"/>
            <w:vMerge/>
            <w:tcBorders>
              <w:left w:val="double" w:sz="4" w:space="0" w:color="auto"/>
            </w:tcBorders>
            <w:shd w:val="clear" w:color="auto" w:fill="FFF2CC" w:themeFill="accent4" w:themeFillTint="33"/>
          </w:tcPr>
          <w:p w14:paraId="29CA999F" w14:textId="77777777" w:rsidR="00693ECC" w:rsidRPr="00B30084" w:rsidRDefault="00693ECC" w:rsidP="00B12AD9">
            <w:pPr>
              <w:ind w:left="90"/>
              <w:rPr>
                <w:rFonts w:ascii="Times New Roman" w:hAnsi="Times New Roman" w:cs="Times New Roman"/>
                <w:sz w:val="20"/>
                <w:szCs w:val="20"/>
                <w:lang w:val="sr-Cyrl-RS"/>
              </w:rPr>
            </w:pPr>
          </w:p>
        </w:tc>
        <w:tc>
          <w:tcPr>
            <w:tcW w:w="833" w:type="pct"/>
            <w:vMerge/>
            <w:shd w:val="clear" w:color="auto" w:fill="FFF2CC" w:themeFill="accent4" w:themeFillTint="33"/>
          </w:tcPr>
          <w:p w14:paraId="5C744260" w14:textId="77777777" w:rsidR="00693ECC" w:rsidRPr="00B30084" w:rsidRDefault="00693ECC" w:rsidP="00B12AD9">
            <w:pPr>
              <w:ind w:left="90"/>
              <w:rPr>
                <w:rFonts w:ascii="Times New Roman" w:hAnsi="Times New Roman" w:cs="Times New Roman"/>
                <w:sz w:val="20"/>
                <w:szCs w:val="20"/>
                <w:lang w:val="sr-Cyrl-RS"/>
              </w:rPr>
            </w:pPr>
          </w:p>
        </w:tc>
        <w:tc>
          <w:tcPr>
            <w:tcW w:w="834" w:type="pct"/>
            <w:vMerge/>
            <w:shd w:val="clear" w:color="auto" w:fill="FFF2CC" w:themeFill="accent4" w:themeFillTint="33"/>
          </w:tcPr>
          <w:p w14:paraId="73234001" w14:textId="77777777" w:rsidR="00693ECC" w:rsidRPr="00B30084" w:rsidRDefault="00693ECC" w:rsidP="00B12AD9">
            <w:pPr>
              <w:ind w:left="90"/>
              <w:rPr>
                <w:rFonts w:ascii="Times New Roman" w:hAnsi="Times New Roman" w:cs="Times New Roman"/>
                <w:sz w:val="20"/>
                <w:szCs w:val="20"/>
                <w:lang w:val="sr-Cyrl-RS"/>
              </w:rPr>
            </w:pPr>
          </w:p>
        </w:tc>
        <w:tc>
          <w:tcPr>
            <w:tcW w:w="778" w:type="pct"/>
            <w:vMerge/>
            <w:shd w:val="clear" w:color="auto" w:fill="FFF2CC" w:themeFill="accent4" w:themeFillTint="33"/>
          </w:tcPr>
          <w:p w14:paraId="2A5B4C1E" w14:textId="77777777" w:rsidR="00693ECC" w:rsidRPr="00B30084" w:rsidRDefault="00693ECC" w:rsidP="00B12AD9">
            <w:pPr>
              <w:ind w:left="90"/>
              <w:jc w:val="center"/>
              <w:rPr>
                <w:rFonts w:ascii="Times New Roman" w:hAnsi="Times New Roman" w:cs="Times New Roman"/>
                <w:sz w:val="20"/>
                <w:szCs w:val="20"/>
                <w:lang w:val="sr-Cyrl-RS"/>
              </w:rPr>
            </w:pPr>
          </w:p>
        </w:tc>
        <w:tc>
          <w:tcPr>
            <w:tcW w:w="1003" w:type="pct"/>
            <w:vMerge/>
            <w:shd w:val="clear" w:color="auto" w:fill="FFF2CC" w:themeFill="accent4" w:themeFillTint="33"/>
          </w:tcPr>
          <w:p w14:paraId="0B83E827" w14:textId="77777777" w:rsidR="00693ECC" w:rsidRPr="00B30084" w:rsidRDefault="00693ECC" w:rsidP="00B12AD9">
            <w:pPr>
              <w:ind w:left="90"/>
              <w:jc w:val="center"/>
              <w:rPr>
                <w:rFonts w:ascii="Times New Roman" w:hAnsi="Times New Roman" w:cs="Times New Roman"/>
                <w:sz w:val="20"/>
                <w:szCs w:val="20"/>
                <w:lang w:val="sr-Cyrl-RS"/>
              </w:rPr>
            </w:pPr>
          </w:p>
        </w:tc>
      </w:tr>
      <w:tr w:rsidR="00693ECC" w:rsidRPr="00B30084" w14:paraId="6585D891" w14:textId="77777777" w:rsidTr="00B12AD9">
        <w:trPr>
          <w:trHeight w:val="265"/>
        </w:trPr>
        <w:tc>
          <w:tcPr>
            <w:tcW w:w="1552" w:type="pct"/>
            <w:tcBorders>
              <w:left w:val="double" w:sz="4" w:space="0" w:color="auto"/>
            </w:tcBorders>
          </w:tcPr>
          <w:p w14:paraId="37ECC0A3" w14:textId="5B8324C3"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2.2.1. Креирање јединствене веб платформе која ће објединити све релевантне информације, процесе и процедуре, податке и трошкове на једноставан и транспарентан начин. Уз коришћење принципа три клика, циљ ове мере је да се олакша приступ свим </w:t>
            </w:r>
            <w:proofErr w:type="spellStart"/>
            <w:r w:rsidRPr="00B30084">
              <w:rPr>
                <w:rFonts w:ascii="Times New Roman" w:hAnsi="Times New Roman" w:cs="Times New Roman"/>
                <w:sz w:val="20"/>
                <w:szCs w:val="20"/>
                <w:lang w:val="sr-Cyrl-RS"/>
              </w:rPr>
              <w:t>релеватним</w:t>
            </w:r>
            <w:proofErr w:type="spellEnd"/>
            <w:r w:rsidRPr="00B30084">
              <w:rPr>
                <w:rFonts w:ascii="Times New Roman" w:hAnsi="Times New Roman" w:cs="Times New Roman"/>
                <w:sz w:val="20"/>
                <w:szCs w:val="20"/>
                <w:lang w:val="sr-Cyrl-RS"/>
              </w:rPr>
              <w:t xml:space="preserve"> информацијама потенцијалним учесницима на страни понуде и потражње</w:t>
            </w:r>
          </w:p>
        </w:tc>
        <w:tc>
          <w:tcPr>
            <w:tcW w:w="833" w:type="pct"/>
          </w:tcPr>
          <w:p w14:paraId="10A7093B"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7319D201"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proofErr w:type="spellStart"/>
            <w:r w:rsidRPr="00B30084">
              <w:rPr>
                <w:rFonts w:ascii="Times New Roman" w:hAnsi="Times New Roman" w:cs="Times New Roman"/>
                <w:sz w:val="20"/>
                <w:szCs w:val="20"/>
                <w:lang w:val="sr-Cyrl-RS"/>
              </w:rPr>
              <w:t>Мприв</w:t>
            </w:r>
            <w:proofErr w:type="spellEnd"/>
            <w:r w:rsidRPr="00B30084">
              <w:rPr>
                <w:rFonts w:ascii="Times New Roman" w:hAnsi="Times New Roman" w:cs="Times New Roman"/>
                <w:sz w:val="20"/>
                <w:szCs w:val="20"/>
                <w:lang w:val="sr-Cyrl-RS"/>
              </w:rPr>
              <w:t xml:space="preserve">, КХоВ, ББ, ЦРХоВ, НБС, ПУ, УЈД, Управа за спречавање прања новца и финансирање тероризма </w:t>
            </w:r>
          </w:p>
        </w:tc>
        <w:tc>
          <w:tcPr>
            <w:tcW w:w="778" w:type="pct"/>
          </w:tcPr>
          <w:p w14:paraId="409A6BB2"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30/09/22</w:t>
            </w:r>
          </w:p>
        </w:tc>
        <w:tc>
          <w:tcPr>
            <w:tcW w:w="1003" w:type="pct"/>
          </w:tcPr>
          <w:p w14:paraId="7F2264E6" w14:textId="74969D17" w:rsidR="00693ECC" w:rsidRPr="00B30084" w:rsidRDefault="00655D3F" w:rsidP="00B12AD9">
            <w:pPr>
              <w:shd w:val="clear" w:color="auto" w:fill="FFFFFF" w:themeFill="background1"/>
              <w:rPr>
                <w:rFonts w:ascii="Times New Roman" w:hAnsi="Times New Roman" w:cs="Times New Roman"/>
                <w:sz w:val="20"/>
                <w:szCs w:val="20"/>
                <w:lang w:val="sr-Cyrl-RS"/>
              </w:rPr>
            </w:pPr>
            <w:r>
              <w:rPr>
                <w:rFonts w:ascii="Times New Roman" w:hAnsi="Times New Roman" w:cs="Times New Roman"/>
                <w:sz w:val="20"/>
                <w:szCs w:val="20"/>
                <w:lang w:val="sr-Cyrl-RS"/>
              </w:rPr>
              <w:t>Донаторска средства</w:t>
            </w:r>
          </w:p>
        </w:tc>
      </w:tr>
      <w:tr w:rsidR="00693ECC" w:rsidRPr="00B30084" w14:paraId="06E46E6B" w14:textId="77777777" w:rsidTr="00B12AD9">
        <w:trPr>
          <w:trHeight w:val="355"/>
        </w:trPr>
        <w:tc>
          <w:tcPr>
            <w:tcW w:w="1552" w:type="pct"/>
            <w:tcBorders>
              <w:left w:val="double" w:sz="4" w:space="0" w:color="auto"/>
            </w:tcBorders>
          </w:tcPr>
          <w:p w14:paraId="5AD22D2F" w14:textId="4BC8E430"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2.2.2. Повезивање са барем једним реномираним </w:t>
            </w:r>
            <w:r w:rsidRPr="00B30084">
              <w:rPr>
                <w:rFonts w:ascii="Times New Roman" w:hAnsi="Times New Roman" w:cs="Times New Roman"/>
                <w:sz w:val="20"/>
                <w:szCs w:val="20"/>
                <w:lang w:val="sr-Cyrl-RS"/>
              </w:rPr>
              <w:lastRenderedPageBreak/>
              <w:t xml:space="preserve">међународним </w:t>
            </w:r>
            <w:proofErr w:type="spellStart"/>
            <w:r w:rsidRPr="00B30084">
              <w:rPr>
                <w:rFonts w:ascii="Times New Roman" w:hAnsi="Times New Roman" w:cs="Times New Roman"/>
                <w:sz w:val="20"/>
                <w:szCs w:val="20"/>
                <w:lang w:val="sr-Cyrl-RS"/>
              </w:rPr>
              <w:t>депозитаром</w:t>
            </w:r>
            <w:proofErr w:type="spellEnd"/>
            <w:r w:rsidRPr="00B30084">
              <w:rPr>
                <w:rFonts w:ascii="Times New Roman" w:hAnsi="Times New Roman" w:cs="Times New Roman"/>
                <w:sz w:val="20"/>
                <w:szCs w:val="20"/>
                <w:lang w:val="sr-Cyrl-RS"/>
              </w:rPr>
              <w:t xml:space="preserve"> хартија од вредности (</w:t>
            </w:r>
            <w:r w:rsidRPr="00B30084">
              <w:rPr>
                <w:rFonts w:ascii="Times New Roman" w:hAnsi="Times New Roman" w:cs="Times New Roman"/>
                <w:sz w:val="20"/>
                <w:szCs w:val="20"/>
              </w:rPr>
              <w:t xml:space="preserve">Euroclear, </w:t>
            </w:r>
            <w:proofErr w:type="spellStart"/>
            <w:r w:rsidRPr="00B30084">
              <w:rPr>
                <w:rFonts w:ascii="Times New Roman" w:hAnsi="Times New Roman" w:cs="Times New Roman"/>
                <w:sz w:val="20"/>
                <w:szCs w:val="20"/>
              </w:rPr>
              <w:t>Clearstream</w:t>
            </w:r>
            <w:proofErr w:type="spellEnd"/>
            <w:r w:rsidRPr="00B30084">
              <w:rPr>
                <w:rFonts w:ascii="Times New Roman" w:hAnsi="Times New Roman" w:cs="Times New Roman"/>
                <w:sz w:val="20"/>
                <w:szCs w:val="20"/>
              </w:rPr>
              <w:t>, SIX SIS)</w:t>
            </w:r>
            <w:r w:rsidRPr="00B30084">
              <w:rPr>
                <w:rFonts w:ascii="Times New Roman" w:hAnsi="Times New Roman" w:cs="Times New Roman"/>
                <w:sz w:val="20"/>
                <w:szCs w:val="20"/>
                <w:lang w:val="sr-Cyrl-RS"/>
              </w:rPr>
              <w:t xml:space="preserve"> у циљу повећања броја инвеститора у државне хартије од вредности </w:t>
            </w:r>
          </w:p>
        </w:tc>
        <w:tc>
          <w:tcPr>
            <w:tcW w:w="833" w:type="pct"/>
          </w:tcPr>
          <w:p w14:paraId="4C1C3D3D"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lastRenderedPageBreak/>
              <w:t>Мфин</w:t>
            </w:r>
          </w:p>
        </w:tc>
        <w:tc>
          <w:tcPr>
            <w:tcW w:w="834" w:type="pct"/>
          </w:tcPr>
          <w:p w14:paraId="72662CD7"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НБС, КХоВ, ЦРХоВ, УЈД</w:t>
            </w:r>
          </w:p>
        </w:tc>
        <w:tc>
          <w:tcPr>
            <w:tcW w:w="778" w:type="pct"/>
          </w:tcPr>
          <w:p w14:paraId="54D33295"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30/09/22</w:t>
            </w:r>
          </w:p>
        </w:tc>
        <w:tc>
          <w:tcPr>
            <w:tcW w:w="1003" w:type="pct"/>
          </w:tcPr>
          <w:p w14:paraId="45486F58"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Буџет РС</w:t>
            </w:r>
          </w:p>
        </w:tc>
      </w:tr>
      <w:tr w:rsidR="00693ECC" w:rsidRPr="00B30084" w14:paraId="0B1FACC3" w14:textId="77777777" w:rsidTr="00B12AD9">
        <w:trPr>
          <w:trHeight w:val="156"/>
        </w:trPr>
        <w:tc>
          <w:tcPr>
            <w:tcW w:w="1552" w:type="pct"/>
            <w:tcBorders>
              <w:left w:val="double" w:sz="4" w:space="0" w:color="auto"/>
            </w:tcBorders>
          </w:tcPr>
          <w:p w14:paraId="046CC47C" w14:textId="5B3DA01A"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2.2.3. Анализа ограничавајућих фактора за учешће пензионих фондова и осигуравајућих друштава на тржишту капитала, у циљу активирања </w:t>
            </w:r>
            <w:proofErr w:type="spellStart"/>
            <w:r w:rsidRPr="00B30084">
              <w:rPr>
                <w:rFonts w:ascii="Times New Roman" w:hAnsi="Times New Roman" w:cs="Times New Roman"/>
                <w:sz w:val="20"/>
                <w:szCs w:val="20"/>
                <w:lang w:val="sr-Cyrl-RS"/>
              </w:rPr>
              <w:t>инвестионог</w:t>
            </w:r>
            <w:proofErr w:type="spellEnd"/>
            <w:r w:rsidRPr="00B30084">
              <w:rPr>
                <w:rFonts w:ascii="Times New Roman" w:hAnsi="Times New Roman" w:cs="Times New Roman"/>
                <w:sz w:val="20"/>
                <w:szCs w:val="20"/>
                <w:lang w:val="sr-Cyrl-RS"/>
              </w:rPr>
              <w:t xml:space="preserve"> потенцијала тих друштава</w:t>
            </w:r>
          </w:p>
        </w:tc>
        <w:tc>
          <w:tcPr>
            <w:tcW w:w="833" w:type="pct"/>
          </w:tcPr>
          <w:p w14:paraId="5BBA72B5"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1ACF634C"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НБС</w:t>
            </w:r>
          </w:p>
        </w:tc>
        <w:tc>
          <w:tcPr>
            <w:tcW w:w="778" w:type="pct"/>
          </w:tcPr>
          <w:p w14:paraId="21211069"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31/12/22</w:t>
            </w:r>
          </w:p>
        </w:tc>
        <w:tc>
          <w:tcPr>
            <w:tcW w:w="1003" w:type="pct"/>
          </w:tcPr>
          <w:p w14:paraId="0C7F4FA9"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 / Буџет РС</w:t>
            </w:r>
          </w:p>
        </w:tc>
      </w:tr>
      <w:tr w:rsidR="00693ECC" w:rsidRPr="00B30084" w14:paraId="2A9D03FF" w14:textId="77777777" w:rsidTr="00B12AD9">
        <w:trPr>
          <w:trHeight w:val="156"/>
        </w:trPr>
        <w:tc>
          <w:tcPr>
            <w:tcW w:w="1552" w:type="pct"/>
            <w:tcBorders>
              <w:left w:val="double" w:sz="4" w:space="0" w:color="auto"/>
            </w:tcBorders>
          </w:tcPr>
          <w:p w14:paraId="59336850" w14:textId="7EBC4953"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2.2.4. Припрема и </w:t>
            </w:r>
            <w:proofErr w:type="spellStart"/>
            <w:r w:rsidRPr="00B30084">
              <w:rPr>
                <w:rFonts w:ascii="Times New Roman" w:hAnsi="Times New Roman" w:cs="Times New Roman"/>
                <w:sz w:val="20"/>
                <w:szCs w:val="20"/>
                <w:lang w:val="sr-Cyrl-RS"/>
              </w:rPr>
              <w:t>имлементација</w:t>
            </w:r>
            <w:proofErr w:type="spellEnd"/>
            <w:r w:rsidRPr="00B30084">
              <w:rPr>
                <w:rFonts w:ascii="Times New Roman" w:hAnsi="Times New Roman" w:cs="Times New Roman"/>
                <w:sz w:val="20"/>
                <w:szCs w:val="20"/>
                <w:lang w:val="sr-Cyrl-RS"/>
              </w:rPr>
              <w:t xml:space="preserve"> решења питања неактивних рачуна.</w:t>
            </w:r>
          </w:p>
        </w:tc>
        <w:tc>
          <w:tcPr>
            <w:tcW w:w="833" w:type="pct"/>
          </w:tcPr>
          <w:p w14:paraId="2435BD1A"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3CA44179"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 ЦРХоВ</w:t>
            </w:r>
          </w:p>
        </w:tc>
        <w:tc>
          <w:tcPr>
            <w:tcW w:w="778" w:type="pct"/>
          </w:tcPr>
          <w:p w14:paraId="04708D30"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31/12/23</w:t>
            </w:r>
          </w:p>
        </w:tc>
        <w:tc>
          <w:tcPr>
            <w:tcW w:w="1003" w:type="pct"/>
          </w:tcPr>
          <w:p w14:paraId="6CE50FD3"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w:t>
            </w:r>
          </w:p>
        </w:tc>
      </w:tr>
      <w:tr w:rsidR="00693ECC" w:rsidRPr="00B30084" w14:paraId="5D405FDE" w14:textId="77777777" w:rsidTr="00B12AD9">
        <w:trPr>
          <w:trHeight w:val="156"/>
        </w:trPr>
        <w:tc>
          <w:tcPr>
            <w:tcW w:w="1552" w:type="pct"/>
            <w:tcBorders>
              <w:left w:val="double" w:sz="4" w:space="0" w:color="auto"/>
            </w:tcBorders>
          </w:tcPr>
          <w:p w14:paraId="64AF084E" w14:textId="3E35F674"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2.2.5. Успостављање система примарних дилера и израда одговарајућег надзорног оквира у фазама од 2022 (пилот) до 2025 године (пуна имплементација)</w:t>
            </w:r>
          </w:p>
        </w:tc>
        <w:tc>
          <w:tcPr>
            <w:tcW w:w="833" w:type="pct"/>
          </w:tcPr>
          <w:p w14:paraId="29DE7ACB"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57198B25"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УЈД, КХоВ, ЦРХоВ, ББ</w:t>
            </w:r>
          </w:p>
        </w:tc>
        <w:tc>
          <w:tcPr>
            <w:tcW w:w="778" w:type="pct"/>
          </w:tcPr>
          <w:p w14:paraId="09FBFCA3"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31/12/25</w:t>
            </w:r>
          </w:p>
        </w:tc>
        <w:tc>
          <w:tcPr>
            <w:tcW w:w="1003" w:type="pct"/>
          </w:tcPr>
          <w:p w14:paraId="2317A5CD" w14:textId="77777777" w:rsidR="00693ECC" w:rsidRPr="00B30084" w:rsidRDefault="00693ECC"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 / Буџет РС</w:t>
            </w:r>
          </w:p>
        </w:tc>
      </w:tr>
    </w:tbl>
    <w:p w14:paraId="68ECA112" w14:textId="77777777" w:rsidR="00693ECC" w:rsidRPr="00B30084" w:rsidRDefault="00693ECC" w:rsidP="00693ECC">
      <w:pPr>
        <w:spacing w:line="276" w:lineRule="auto"/>
        <w:ind w:firstLine="720"/>
        <w:jc w:val="both"/>
        <w:rPr>
          <w:rFonts w:ascii="Times New Roman" w:hAnsi="Times New Roman" w:cs="Times New Roman"/>
          <w:sz w:val="24"/>
          <w:szCs w:val="24"/>
          <w:lang w:val="sr-Cyrl-RS"/>
        </w:rPr>
      </w:pPr>
    </w:p>
    <w:p w14:paraId="3C9430D7" w14:textId="77777777"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Кључно питање како привући инвеститоре на ово тржиште врти се око пружања већег броја </w:t>
      </w:r>
      <w:r w:rsidRPr="00B30084">
        <w:rPr>
          <w:rFonts w:ascii="Times New Roman" w:hAnsi="Times New Roman" w:cs="Times New Roman"/>
          <w:bCs/>
          <w:color w:val="000000"/>
          <w:sz w:val="24"/>
          <w:szCs w:val="24"/>
          <w:lang w:val="sr-Cyrl-RS"/>
        </w:rPr>
        <w:t>квалитетнијих</w:t>
      </w:r>
      <w:r w:rsidRPr="00B30084">
        <w:rPr>
          <w:rFonts w:ascii="Times New Roman" w:hAnsi="Times New Roman" w:cs="Times New Roman"/>
          <w:sz w:val="24"/>
          <w:szCs w:val="24"/>
          <w:lang w:val="sr-Cyrl-RS"/>
        </w:rPr>
        <w:t xml:space="preserve"> компанија са листе које издају њихове хартије од вредности. Поред овог броја, постоје и питања попут:</w:t>
      </w:r>
    </w:p>
    <w:p w14:paraId="1C2275CF" w14:textId="77777777" w:rsidR="00693ECC" w:rsidRPr="00B30084" w:rsidRDefault="00693ECC" w:rsidP="00693ECC">
      <w:pPr>
        <w:spacing w:line="276" w:lineRule="auto"/>
        <w:ind w:firstLine="720"/>
        <w:jc w:val="both"/>
        <w:rPr>
          <w:rFonts w:ascii="Times New Roman" w:hAnsi="Times New Roman" w:cs="Times New Roman"/>
          <w:b/>
          <w:bCs/>
          <w:sz w:val="24"/>
          <w:szCs w:val="24"/>
          <w:lang w:val="sr-Cyrl-RS"/>
        </w:rPr>
      </w:pPr>
      <w:r w:rsidRPr="00B30084">
        <w:rPr>
          <w:rFonts w:ascii="Times New Roman" w:hAnsi="Times New Roman" w:cs="Times New Roman"/>
          <w:b/>
          <w:bCs/>
          <w:sz w:val="24"/>
          <w:szCs w:val="24"/>
          <w:lang w:val="sr-Cyrl-RS"/>
        </w:rPr>
        <w:t xml:space="preserve">Приступ релевантним информацијама </w:t>
      </w:r>
    </w:p>
    <w:p w14:paraId="710E4789" w14:textId="79A31DCC"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Систем тржишта капитала у Србији нуди висок степен релевантних информација. Проблем је што постоји на разним локацијама (НБС, Ц</w:t>
      </w:r>
      <w:r w:rsidR="00A6756E">
        <w:rPr>
          <w:rFonts w:ascii="Times New Roman" w:hAnsi="Times New Roman" w:cs="Times New Roman"/>
          <w:sz w:val="24"/>
          <w:szCs w:val="24"/>
          <w:lang w:val="sr-Cyrl-RS"/>
        </w:rPr>
        <w:t>РХоВ</w:t>
      </w:r>
      <w:r w:rsidRPr="00B30084">
        <w:rPr>
          <w:rFonts w:ascii="Times New Roman" w:hAnsi="Times New Roman" w:cs="Times New Roman"/>
          <w:sz w:val="24"/>
          <w:szCs w:val="24"/>
          <w:lang w:val="sr-Cyrl-RS"/>
        </w:rPr>
        <w:t xml:space="preserve">, </w:t>
      </w:r>
      <w:proofErr w:type="spellStart"/>
      <w:r w:rsidRPr="00B30084">
        <w:rPr>
          <w:rFonts w:ascii="Times New Roman" w:hAnsi="Times New Roman" w:cs="Times New Roman"/>
          <w:sz w:val="24"/>
          <w:szCs w:val="24"/>
          <w:lang w:val="sr-Cyrl-RS"/>
        </w:rPr>
        <w:t>Белекс</w:t>
      </w:r>
      <w:proofErr w:type="spellEnd"/>
      <w:r w:rsidRPr="00B30084">
        <w:rPr>
          <w:rFonts w:ascii="Times New Roman" w:hAnsi="Times New Roman" w:cs="Times New Roman"/>
          <w:sz w:val="24"/>
          <w:szCs w:val="24"/>
          <w:lang w:val="sr-Cyrl-RS"/>
        </w:rPr>
        <w:t xml:space="preserve"> и К</w:t>
      </w:r>
      <w:r w:rsidR="007C3F42">
        <w:rPr>
          <w:rFonts w:ascii="Times New Roman" w:hAnsi="Times New Roman" w:cs="Times New Roman"/>
          <w:sz w:val="24"/>
          <w:szCs w:val="24"/>
          <w:lang w:val="sr-Cyrl-RS"/>
        </w:rPr>
        <w:t>ХоВ</w:t>
      </w:r>
      <w:r w:rsidRPr="00B30084">
        <w:rPr>
          <w:rFonts w:ascii="Times New Roman" w:hAnsi="Times New Roman" w:cs="Times New Roman"/>
          <w:sz w:val="24"/>
          <w:szCs w:val="24"/>
          <w:lang w:val="sr-Cyrl-RS"/>
        </w:rPr>
        <w:t xml:space="preserve"> су кључни извори). Из перспективе приватног инвеститора, међутим, састављање слике српског тржишта из ових различитих извора можда неће бити оправдано </w:t>
      </w:r>
      <w:proofErr w:type="spellStart"/>
      <w:r w:rsidR="009A7458">
        <w:rPr>
          <w:rFonts w:ascii="Times New Roman" w:hAnsi="Times New Roman" w:cs="Times New Roman"/>
          <w:sz w:val="24"/>
          <w:szCs w:val="24"/>
          <w:lang w:val="sr-Cyrl-RS"/>
        </w:rPr>
        <w:t>узимајћи</w:t>
      </w:r>
      <w:proofErr w:type="spellEnd"/>
      <w:r w:rsidR="009A7458">
        <w:rPr>
          <w:rFonts w:ascii="Times New Roman" w:hAnsi="Times New Roman" w:cs="Times New Roman"/>
          <w:sz w:val="24"/>
          <w:szCs w:val="24"/>
          <w:lang w:val="sr-Cyrl-RS"/>
        </w:rPr>
        <w:t xml:space="preserve"> у обзир потенцијалне</w:t>
      </w:r>
      <w:r w:rsidRPr="00B30084">
        <w:rPr>
          <w:rFonts w:ascii="Times New Roman" w:hAnsi="Times New Roman" w:cs="Times New Roman"/>
          <w:sz w:val="24"/>
          <w:szCs w:val="24"/>
          <w:lang w:val="sr-Cyrl-RS"/>
        </w:rPr>
        <w:t xml:space="preserve"> трошков</w:t>
      </w:r>
      <w:r w:rsidR="009A7458">
        <w:rPr>
          <w:rFonts w:ascii="Times New Roman" w:hAnsi="Times New Roman" w:cs="Times New Roman"/>
          <w:sz w:val="24"/>
          <w:szCs w:val="24"/>
          <w:lang w:val="sr-Cyrl-RS"/>
        </w:rPr>
        <w:t>е у односу на</w:t>
      </w:r>
      <w:r w:rsidRPr="00B30084">
        <w:rPr>
          <w:rFonts w:ascii="Times New Roman" w:hAnsi="Times New Roman" w:cs="Times New Roman"/>
          <w:sz w:val="24"/>
          <w:szCs w:val="24"/>
          <w:lang w:val="sr-Cyrl-RS"/>
        </w:rPr>
        <w:t xml:space="preserve"> користи. Одговор је често био предлог за стварање веб портала који </w:t>
      </w:r>
      <w:r w:rsidR="003136A8">
        <w:rPr>
          <w:rFonts w:ascii="Times New Roman" w:hAnsi="Times New Roman" w:cs="Times New Roman"/>
          <w:sz w:val="24"/>
          <w:szCs w:val="24"/>
          <w:lang w:val="sr-Cyrl-RS"/>
        </w:rPr>
        <w:t xml:space="preserve">би на једном месту </w:t>
      </w:r>
      <w:r w:rsidRPr="00B30084">
        <w:rPr>
          <w:rFonts w:ascii="Times New Roman" w:hAnsi="Times New Roman" w:cs="Times New Roman"/>
          <w:sz w:val="24"/>
          <w:szCs w:val="24"/>
          <w:lang w:val="sr-Cyrl-RS"/>
        </w:rPr>
        <w:t>садрж</w:t>
      </w:r>
      <w:r w:rsidR="003136A8">
        <w:rPr>
          <w:rFonts w:ascii="Times New Roman" w:hAnsi="Times New Roman" w:cs="Times New Roman"/>
          <w:sz w:val="24"/>
          <w:szCs w:val="24"/>
          <w:lang w:val="sr-Cyrl-RS"/>
        </w:rPr>
        <w:t>ао</w:t>
      </w:r>
      <w:r w:rsidRPr="00B30084">
        <w:rPr>
          <w:rFonts w:ascii="Times New Roman" w:hAnsi="Times New Roman" w:cs="Times New Roman"/>
          <w:sz w:val="24"/>
          <w:szCs w:val="24"/>
          <w:lang w:val="sr-Cyrl-RS"/>
        </w:rPr>
        <w:t xml:space="preserve"> потребне информације или управља</w:t>
      </w:r>
      <w:r w:rsidR="003136A8">
        <w:rPr>
          <w:rFonts w:ascii="Times New Roman" w:hAnsi="Times New Roman" w:cs="Times New Roman"/>
          <w:sz w:val="24"/>
          <w:szCs w:val="24"/>
          <w:lang w:val="sr-Cyrl-RS"/>
        </w:rPr>
        <w:t>о</w:t>
      </w:r>
      <w:r w:rsidRPr="00B30084">
        <w:rPr>
          <w:rFonts w:ascii="Times New Roman" w:hAnsi="Times New Roman" w:cs="Times New Roman"/>
          <w:sz w:val="24"/>
          <w:szCs w:val="24"/>
          <w:lang w:val="sr-Cyrl-RS"/>
        </w:rPr>
        <w:t xml:space="preserve"> подацима са сопствене веб странице на основу других извора, стварајући беспрекорну слику за заинтересоване стране. Иако идеја о куповини на једном месту можда у овом тренутку није практична, постоји барем је</w:t>
      </w:r>
      <w:r w:rsidR="00E63171">
        <w:rPr>
          <w:rFonts w:ascii="Times New Roman" w:hAnsi="Times New Roman" w:cs="Times New Roman"/>
          <w:sz w:val="24"/>
          <w:szCs w:val="24"/>
          <w:lang w:val="sr-Cyrl-RS"/>
        </w:rPr>
        <w:t xml:space="preserve">дан </w:t>
      </w:r>
      <w:r w:rsidR="00702419">
        <w:rPr>
          <w:rFonts w:ascii="Times New Roman" w:hAnsi="Times New Roman" w:cs="Times New Roman"/>
          <w:sz w:val="24"/>
          <w:szCs w:val="24"/>
          <w:lang w:val="sr-Cyrl-RS"/>
        </w:rPr>
        <w:t>сет</w:t>
      </w:r>
      <w:r w:rsidR="00E63171">
        <w:rPr>
          <w:rFonts w:ascii="Times New Roman" w:hAnsi="Times New Roman" w:cs="Times New Roman"/>
          <w:sz w:val="24"/>
          <w:szCs w:val="24"/>
          <w:lang w:val="sr-Cyrl-RS"/>
        </w:rPr>
        <w:t xml:space="preserve"> вредних информација које</w:t>
      </w:r>
      <w:r w:rsidRPr="00B30084">
        <w:rPr>
          <w:rFonts w:ascii="Times New Roman" w:hAnsi="Times New Roman" w:cs="Times New Roman"/>
          <w:sz w:val="24"/>
          <w:szCs w:val="24"/>
          <w:lang w:val="sr-Cyrl-RS"/>
        </w:rPr>
        <w:t xml:space="preserve"> се лако могу прикупити. </w:t>
      </w:r>
      <w:r w:rsidR="008D6D20">
        <w:rPr>
          <w:rFonts w:ascii="Times New Roman" w:hAnsi="Times New Roman" w:cs="Times New Roman"/>
          <w:sz w:val="24"/>
          <w:szCs w:val="24"/>
          <w:lang w:val="sr-Cyrl-RS"/>
        </w:rPr>
        <w:t xml:space="preserve">Тренутно не постоји </w:t>
      </w:r>
      <w:r w:rsidRPr="00B30084">
        <w:rPr>
          <w:rFonts w:ascii="Times New Roman" w:hAnsi="Times New Roman" w:cs="Times New Roman"/>
          <w:sz w:val="24"/>
          <w:szCs w:val="24"/>
          <w:lang w:val="sr-Cyrl-RS"/>
        </w:rPr>
        <w:t>централизовани извор информација за корпоративне догађаје. Предлог је да се створи стандардизована листа корпоративних догађаја који се морају објавити у стандардном формату.</w:t>
      </w:r>
    </w:p>
    <w:p w14:paraId="4BDB3B98" w14:textId="77777777" w:rsidR="00693ECC" w:rsidRPr="00B30084" w:rsidRDefault="00693ECC" w:rsidP="00693ECC">
      <w:pPr>
        <w:spacing w:line="276" w:lineRule="auto"/>
        <w:ind w:firstLine="720"/>
        <w:jc w:val="both"/>
        <w:rPr>
          <w:rFonts w:ascii="Times New Roman" w:hAnsi="Times New Roman" w:cs="Times New Roman"/>
          <w:b/>
          <w:bCs/>
          <w:sz w:val="24"/>
          <w:szCs w:val="24"/>
          <w:lang w:val="sr-Cyrl-RS"/>
        </w:rPr>
      </w:pPr>
      <w:r w:rsidRPr="00B30084">
        <w:rPr>
          <w:rFonts w:ascii="Times New Roman" w:hAnsi="Times New Roman" w:cs="Times New Roman"/>
          <w:b/>
          <w:bCs/>
          <w:sz w:val="24"/>
          <w:szCs w:val="24"/>
          <w:lang w:val="sr-Cyrl-RS"/>
        </w:rPr>
        <w:t xml:space="preserve">Једноставност приступа </w:t>
      </w:r>
    </w:p>
    <w:p w14:paraId="348A148E" w14:textId="31287742" w:rsidR="00693ECC" w:rsidRPr="00B30084" w:rsidRDefault="008D6D20" w:rsidP="00693ECC">
      <w:pPr>
        <w:spacing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Обављени р</w:t>
      </w:r>
      <w:r w:rsidR="00693ECC" w:rsidRPr="00B30084">
        <w:rPr>
          <w:rFonts w:ascii="Times New Roman" w:hAnsi="Times New Roman" w:cs="Times New Roman"/>
          <w:sz w:val="24"/>
          <w:szCs w:val="24"/>
          <w:lang w:val="sr-Cyrl-RS"/>
        </w:rPr>
        <w:t xml:space="preserve">азговори са </w:t>
      </w:r>
      <w:r>
        <w:rPr>
          <w:rFonts w:ascii="Times New Roman" w:hAnsi="Times New Roman" w:cs="Times New Roman"/>
          <w:sz w:val="24"/>
          <w:szCs w:val="24"/>
          <w:lang w:val="sr-Cyrl-RS"/>
        </w:rPr>
        <w:t>привредом</w:t>
      </w:r>
      <w:r w:rsidR="00693ECC" w:rsidRPr="00B30084">
        <w:rPr>
          <w:rFonts w:ascii="Times New Roman" w:hAnsi="Times New Roman" w:cs="Times New Roman"/>
          <w:sz w:val="24"/>
          <w:szCs w:val="24"/>
          <w:lang w:val="sr-Cyrl-RS"/>
        </w:rPr>
        <w:t xml:space="preserve"> указали су на две значајне препреке за учешће инвеститора на овом тржишту</w:t>
      </w:r>
      <w:r w:rsidR="00E63171">
        <w:rPr>
          <w:rFonts w:ascii="Times New Roman" w:hAnsi="Times New Roman" w:cs="Times New Roman"/>
          <w:sz w:val="24"/>
          <w:szCs w:val="24"/>
          <w:lang w:val="sr-Cyrl-RS"/>
        </w:rPr>
        <w:t xml:space="preserve"> на које</w:t>
      </w:r>
      <w:r w:rsidR="00693ECC" w:rsidRPr="00B30084">
        <w:rPr>
          <w:rFonts w:ascii="Times New Roman" w:hAnsi="Times New Roman" w:cs="Times New Roman"/>
          <w:sz w:val="24"/>
          <w:szCs w:val="24"/>
          <w:lang w:val="sr-Cyrl-RS"/>
        </w:rPr>
        <w:t xml:space="preserve"> треба обратити пажњу што је пре могуће. Прво подручје односи се на </w:t>
      </w:r>
      <w:r>
        <w:rPr>
          <w:rFonts w:ascii="Times New Roman" w:hAnsi="Times New Roman" w:cs="Times New Roman"/>
          <w:sz w:val="24"/>
          <w:szCs w:val="24"/>
          <w:lang w:val="sr-Cyrl-RS"/>
        </w:rPr>
        <w:t xml:space="preserve">сам </w:t>
      </w:r>
      <w:r w:rsidR="00693ECC" w:rsidRPr="00B30084">
        <w:rPr>
          <w:rFonts w:ascii="Times New Roman" w:hAnsi="Times New Roman" w:cs="Times New Roman"/>
          <w:sz w:val="24"/>
          <w:szCs w:val="24"/>
          <w:lang w:val="sr-Cyrl-RS"/>
        </w:rPr>
        <w:t>улазак</w:t>
      </w:r>
      <w:r w:rsidR="00E63171">
        <w:rPr>
          <w:rFonts w:ascii="Times New Roman" w:hAnsi="Times New Roman" w:cs="Times New Roman"/>
          <w:sz w:val="24"/>
          <w:szCs w:val="24"/>
          <w:lang w:val="sr-Cyrl-RS"/>
        </w:rPr>
        <w:t xml:space="preserve"> на тржиште</w:t>
      </w:r>
      <w:r>
        <w:rPr>
          <w:rFonts w:ascii="Times New Roman" w:hAnsi="Times New Roman" w:cs="Times New Roman"/>
          <w:sz w:val="24"/>
          <w:szCs w:val="24"/>
          <w:lang w:val="sr-Cyrl-RS"/>
        </w:rPr>
        <w:t xml:space="preserve"> капитала</w:t>
      </w:r>
      <w:r w:rsidR="00693ECC" w:rsidRPr="00B30084">
        <w:rPr>
          <w:rFonts w:ascii="Times New Roman" w:hAnsi="Times New Roman" w:cs="Times New Roman"/>
          <w:sz w:val="24"/>
          <w:szCs w:val="24"/>
          <w:lang w:val="sr-Cyrl-RS"/>
        </w:rPr>
        <w:t xml:space="preserve">. Честа жалба је да </w:t>
      </w:r>
      <w:r w:rsidR="001200E2" w:rsidRPr="00B30084">
        <w:rPr>
          <w:rFonts w:ascii="Times New Roman" w:hAnsi="Times New Roman" w:cs="Times New Roman"/>
          <w:sz w:val="24"/>
          <w:szCs w:val="24"/>
          <w:lang w:val="sr-Cyrl-RS"/>
        </w:rPr>
        <w:t xml:space="preserve">процедуре спречавања </w:t>
      </w:r>
      <w:r w:rsidR="00693ECC" w:rsidRPr="00B30084">
        <w:rPr>
          <w:rFonts w:ascii="Times New Roman" w:hAnsi="Times New Roman" w:cs="Times New Roman"/>
          <w:sz w:val="24"/>
          <w:szCs w:val="24"/>
          <w:lang w:val="sr-Cyrl-RS"/>
        </w:rPr>
        <w:t xml:space="preserve">прања новца и финансирања тероризма чине отварање новог рачуна веома тешким. Друго подручје односи се на правила гласања представника. Иако је трајно пуномоћје за гласање признато у Закону о привредним друштвима, његова примена је у </w:t>
      </w:r>
      <w:r w:rsidR="00693ECC" w:rsidRPr="00B30084">
        <w:rPr>
          <w:rFonts w:ascii="Times New Roman" w:hAnsi="Times New Roman" w:cs="Times New Roman"/>
          <w:sz w:val="24"/>
          <w:szCs w:val="24"/>
          <w:lang w:val="sr-Cyrl-RS"/>
        </w:rPr>
        <w:lastRenderedPageBreak/>
        <w:t>пракси тешка. То је зато што издаваоци инсистирају да подаци о броју гласова пуномоћника буду саставни део пуномоћи у случају трајног пуномоћја. Предлог је да се у Закону о привредним друштвима јасно наведе да подаци о броју акција за које се издаје пуномоћје нису потребни у случају трајног пуномоћја.</w:t>
      </w:r>
    </w:p>
    <w:p w14:paraId="3043595D" w14:textId="77777777" w:rsidR="00693ECC" w:rsidRPr="00AB1FE6" w:rsidRDefault="00693ECC" w:rsidP="00693ECC">
      <w:pPr>
        <w:spacing w:line="276" w:lineRule="auto"/>
        <w:ind w:firstLine="720"/>
        <w:jc w:val="both"/>
        <w:rPr>
          <w:rFonts w:ascii="Times New Roman" w:hAnsi="Times New Roman" w:cs="Times New Roman"/>
          <w:b/>
          <w:sz w:val="24"/>
          <w:szCs w:val="24"/>
          <w:lang w:val="sr-Cyrl-RS"/>
        </w:rPr>
      </w:pPr>
      <w:r w:rsidRPr="00AB1FE6">
        <w:rPr>
          <w:rFonts w:ascii="Times New Roman" w:hAnsi="Times New Roman" w:cs="Times New Roman"/>
          <w:b/>
          <w:sz w:val="24"/>
          <w:szCs w:val="24"/>
          <w:lang w:val="sr-Cyrl-RS"/>
        </w:rPr>
        <w:t>Трошкови</w:t>
      </w:r>
    </w:p>
    <w:p w14:paraId="22C80D18" w14:textId="2DB58DF2"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Опште искуство на тржиштима у настајању је да се </w:t>
      </w:r>
      <w:r w:rsidR="005C1C42">
        <w:rPr>
          <w:rFonts w:ascii="Times New Roman" w:hAnsi="Times New Roman" w:cs="Times New Roman"/>
          <w:sz w:val="24"/>
          <w:szCs w:val="24"/>
          <w:lang w:val="sr-Cyrl-RS"/>
        </w:rPr>
        <w:t>појединци/домаћинства</w:t>
      </w:r>
      <w:r w:rsidRPr="00B30084">
        <w:rPr>
          <w:rFonts w:ascii="Times New Roman" w:hAnsi="Times New Roman" w:cs="Times New Roman"/>
          <w:sz w:val="24"/>
          <w:szCs w:val="24"/>
          <w:lang w:val="sr-Cyrl-RS"/>
        </w:rPr>
        <w:t xml:space="preserve"> не фокусирају на </w:t>
      </w:r>
      <w:r w:rsidR="005C76BB">
        <w:rPr>
          <w:rFonts w:ascii="Times New Roman" w:hAnsi="Times New Roman" w:cs="Times New Roman"/>
          <w:sz w:val="24"/>
          <w:szCs w:val="24"/>
          <w:lang w:val="sr-Cyrl-RS"/>
        </w:rPr>
        <w:t>берзанске накнаде</w:t>
      </w:r>
      <w:r w:rsidRPr="00B30084">
        <w:rPr>
          <w:rFonts w:ascii="Times New Roman" w:hAnsi="Times New Roman" w:cs="Times New Roman"/>
          <w:sz w:val="24"/>
          <w:szCs w:val="24"/>
          <w:lang w:val="sr-Cyrl-RS"/>
        </w:rPr>
        <w:t xml:space="preserve"> или накнаде Централног регистра јер су укључен</w:t>
      </w:r>
      <w:r w:rsidR="005C76BB">
        <w:rPr>
          <w:rFonts w:ascii="Times New Roman" w:hAnsi="Times New Roman" w:cs="Times New Roman"/>
          <w:sz w:val="24"/>
          <w:szCs w:val="24"/>
          <w:lang w:val="sr-Cyrl-RS"/>
        </w:rPr>
        <w:t>е</w:t>
      </w:r>
      <w:r w:rsidRPr="00B30084">
        <w:rPr>
          <w:rFonts w:ascii="Times New Roman" w:hAnsi="Times New Roman" w:cs="Times New Roman"/>
          <w:sz w:val="24"/>
          <w:szCs w:val="24"/>
          <w:lang w:val="sr-Cyrl-RS"/>
        </w:rPr>
        <w:t xml:space="preserve"> у провизију брокера. Стога ове интерне системске </w:t>
      </w:r>
      <w:r w:rsidR="00B02C2E">
        <w:rPr>
          <w:rFonts w:ascii="Times New Roman" w:hAnsi="Times New Roman" w:cs="Times New Roman"/>
          <w:sz w:val="24"/>
          <w:szCs w:val="24"/>
          <w:lang w:val="sr-Cyrl-RS"/>
        </w:rPr>
        <w:t>накнаде</w:t>
      </w:r>
      <w:r w:rsidRPr="00B30084">
        <w:rPr>
          <w:rFonts w:ascii="Times New Roman" w:hAnsi="Times New Roman" w:cs="Times New Roman"/>
          <w:sz w:val="24"/>
          <w:szCs w:val="24"/>
          <w:lang w:val="sr-Cyrl-RS"/>
        </w:rPr>
        <w:t xml:space="preserve"> у великој мери не утичу на учешће </w:t>
      </w:r>
      <w:r w:rsidR="005C1C42">
        <w:rPr>
          <w:rFonts w:ascii="Times New Roman" w:hAnsi="Times New Roman" w:cs="Times New Roman"/>
          <w:sz w:val="24"/>
          <w:szCs w:val="24"/>
          <w:lang w:val="sr-Cyrl-RS"/>
        </w:rPr>
        <w:t>појединаца/домаћинстава</w:t>
      </w:r>
      <w:r w:rsidRPr="00B30084">
        <w:rPr>
          <w:rFonts w:ascii="Times New Roman" w:hAnsi="Times New Roman" w:cs="Times New Roman"/>
          <w:sz w:val="24"/>
          <w:szCs w:val="24"/>
          <w:lang w:val="sr-Cyrl-RS"/>
        </w:rPr>
        <w:t>. Међутим, искуство показује да су страни институционални инвеститори осетљивији на системске накнаде јер утичу на способност преговарања о целокупној провизији. Србија се не</w:t>
      </w:r>
      <w:r w:rsidR="001518D8">
        <w:rPr>
          <w:rFonts w:ascii="Times New Roman" w:hAnsi="Times New Roman" w:cs="Times New Roman"/>
          <w:sz w:val="24"/>
          <w:szCs w:val="24"/>
          <w:lang w:val="sr-Cyrl-RS"/>
        </w:rPr>
        <w:t xml:space="preserve"> рангира</w:t>
      </w:r>
      <w:r w:rsidRPr="00B30084">
        <w:rPr>
          <w:rFonts w:ascii="Times New Roman" w:hAnsi="Times New Roman" w:cs="Times New Roman"/>
          <w:sz w:val="24"/>
          <w:szCs w:val="24"/>
          <w:lang w:val="sr-Cyrl-RS"/>
        </w:rPr>
        <w:t xml:space="preserve"> добро</w:t>
      </w:r>
      <w:r w:rsidR="001518D8">
        <w:rPr>
          <w:rFonts w:ascii="Times New Roman" w:hAnsi="Times New Roman" w:cs="Times New Roman"/>
          <w:sz w:val="24"/>
          <w:szCs w:val="24"/>
          <w:lang w:val="sr-Cyrl-RS"/>
        </w:rPr>
        <w:t xml:space="preserve"> у упоредном</w:t>
      </w:r>
      <w:r w:rsidRPr="00B30084">
        <w:rPr>
          <w:rFonts w:ascii="Times New Roman" w:hAnsi="Times New Roman" w:cs="Times New Roman"/>
          <w:sz w:val="24"/>
          <w:szCs w:val="24"/>
          <w:lang w:val="sr-Cyrl-RS"/>
        </w:rPr>
        <w:t xml:space="preserve"> п</w:t>
      </w:r>
      <w:r w:rsidR="00334D99">
        <w:rPr>
          <w:rFonts w:ascii="Times New Roman" w:hAnsi="Times New Roman" w:cs="Times New Roman"/>
          <w:sz w:val="24"/>
          <w:szCs w:val="24"/>
          <w:lang w:val="sr-Cyrl-RS"/>
        </w:rPr>
        <w:t xml:space="preserve">регледу </w:t>
      </w:r>
      <w:r w:rsidRPr="00B30084">
        <w:rPr>
          <w:rFonts w:ascii="Times New Roman" w:hAnsi="Times New Roman" w:cs="Times New Roman"/>
          <w:sz w:val="24"/>
          <w:szCs w:val="24"/>
          <w:lang w:val="sr-Cyrl-RS"/>
        </w:rPr>
        <w:t xml:space="preserve">накнада у </w:t>
      </w:r>
      <w:r w:rsidR="001518D8">
        <w:rPr>
          <w:rFonts w:ascii="Times New Roman" w:hAnsi="Times New Roman" w:cs="Times New Roman"/>
          <w:sz w:val="24"/>
          <w:szCs w:val="24"/>
          <w:lang w:val="sr-Cyrl-RS"/>
        </w:rPr>
        <w:t xml:space="preserve">односу на државе </w:t>
      </w:r>
      <w:r w:rsidRPr="00B30084">
        <w:rPr>
          <w:rFonts w:ascii="Times New Roman" w:hAnsi="Times New Roman" w:cs="Times New Roman"/>
          <w:sz w:val="24"/>
          <w:szCs w:val="24"/>
          <w:lang w:val="sr-Cyrl-RS"/>
        </w:rPr>
        <w:t xml:space="preserve">Централне и Источне Европе. Ипак, нема финансијског простора за разматрање смањења с обзиром на статус губитка и нагризање капитала. Ово је још један разлог за разматрање спајања </w:t>
      </w:r>
      <w:r w:rsidR="00A52CDF">
        <w:rPr>
          <w:rFonts w:ascii="Times New Roman" w:hAnsi="Times New Roman" w:cs="Times New Roman"/>
          <w:sz w:val="24"/>
          <w:szCs w:val="24"/>
          <w:lang w:val="sr-Cyrl-RS"/>
        </w:rPr>
        <w:t>берзе</w:t>
      </w:r>
      <w:r w:rsidRPr="00B30084">
        <w:rPr>
          <w:rFonts w:ascii="Times New Roman" w:hAnsi="Times New Roman" w:cs="Times New Roman"/>
          <w:sz w:val="24"/>
          <w:szCs w:val="24"/>
          <w:lang w:val="sr-Cyrl-RS"/>
        </w:rPr>
        <w:t xml:space="preserve"> са Ц</w:t>
      </w:r>
      <w:r w:rsidR="00E973EC">
        <w:rPr>
          <w:rFonts w:ascii="Times New Roman" w:hAnsi="Times New Roman" w:cs="Times New Roman"/>
          <w:sz w:val="24"/>
          <w:szCs w:val="24"/>
          <w:lang w:val="sr-Cyrl-RS"/>
        </w:rPr>
        <w:t>РХОВ</w:t>
      </w:r>
      <w:r w:rsidRPr="00B30084">
        <w:rPr>
          <w:rFonts w:ascii="Times New Roman" w:hAnsi="Times New Roman" w:cs="Times New Roman"/>
          <w:sz w:val="24"/>
          <w:szCs w:val="24"/>
          <w:lang w:val="sr-Cyrl-RS"/>
        </w:rPr>
        <w:t>.</w:t>
      </w:r>
    </w:p>
    <w:p w14:paraId="6FAB100E" w14:textId="77777777" w:rsidR="00693ECC" w:rsidRPr="00EC249E" w:rsidRDefault="00693ECC" w:rsidP="00693ECC">
      <w:pPr>
        <w:spacing w:line="276" w:lineRule="auto"/>
        <w:ind w:firstLine="720"/>
        <w:jc w:val="both"/>
        <w:rPr>
          <w:rFonts w:ascii="Times New Roman" w:hAnsi="Times New Roman" w:cs="Times New Roman"/>
          <w:b/>
          <w:bCs/>
          <w:iCs/>
          <w:sz w:val="24"/>
          <w:szCs w:val="24"/>
          <w:lang w:val="sr-Cyrl-RS"/>
        </w:rPr>
      </w:pPr>
      <w:proofErr w:type="spellStart"/>
      <w:r w:rsidRPr="00EC249E" w:rsidDel="00AC1449">
        <w:rPr>
          <w:rFonts w:ascii="Times New Roman" w:hAnsi="Times New Roman" w:cs="Times New Roman"/>
          <w:b/>
          <w:bCs/>
          <w:iCs/>
          <w:sz w:val="24"/>
          <w:szCs w:val="24"/>
          <w:lang w:val="sr-Cyrl-RS"/>
        </w:rPr>
        <w:t>K</w:t>
      </w:r>
      <w:r w:rsidRPr="00EC249E">
        <w:rPr>
          <w:rFonts w:ascii="Times New Roman" w:hAnsi="Times New Roman" w:cs="Times New Roman"/>
          <w:b/>
          <w:bCs/>
          <w:iCs/>
          <w:sz w:val="24"/>
          <w:szCs w:val="24"/>
          <w:lang w:val="sr-Cyrl-RS"/>
        </w:rPr>
        <w:t>ључни</w:t>
      </w:r>
      <w:proofErr w:type="spellEnd"/>
      <w:r w:rsidRPr="00EC249E">
        <w:rPr>
          <w:rFonts w:ascii="Times New Roman" w:hAnsi="Times New Roman" w:cs="Times New Roman"/>
          <w:b/>
          <w:bCs/>
          <w:iCs/>
          <w:sz w:val="24"/>
          <w:szCs w:val="24"/>
          <w:lang w:val="sr-Cyrl-RS"/>
        </w:rPr>
        <w:t xml:space="preserve"> аспекти за домаће инвеститоре</w:t>
      </w:r>
    </w:p>
    <w:p w14:paraId="1093EE16" w14:textId="038C905D"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bCs/>
          <w:color w:val="000000"/>
          <w:sz w:val="24"/>
          <w:szCs w:val="24"/>
          <w:lang w:val="sr-Cyrl-RS"/>
        </w:rPr>
        <w:t>Постоји</w:t>
      </w:r>
      <w:r w:rsidRPr="00B30084">
        <w:rPr>
          <w:rFonts w:ascii="Times New Roman" w:hAnsi="Times New Roman" w:cs="Times New Roman"/>
          <w:sz w:val="24"/>
          <w:szCs w:val="24"/>
          <w:lang w:val="sr-Cyrl-RS"/>
        </w:rPr>
        <w:t xml:space="preserve"> идеја о стварању функције „</w:t>
      </w:r>
      <w:proofErr w:type="spellStart"/>
      <w:r w:rsidRPr="00B30084">
        <w:rPr>
          <w:rFonts w:ascii="Times New Roman" w:hAnsi="Times New Roman" w:cs="Times New Roman"/>
          <w:sz w:val="24"/>
          <w:szCs w:val="24"/>
          <w:lang w:val="sr-Cyrl-RS"/>
        </w:rPr>
        <w:t>crowdfunding</w:t>
      </w:r>
      <w:proofErr w:type="spellEnd"/>
      <w:r w:rsidRPr="00B30084">
        <w:rPr>
          <w:rFonts w:ascii="Times New Roman" w:hAnsi="Times New Roman" w:cs="Times New Roman"/>
          <w:sz w:val="24"/>
          <w:szCs w:val="24"/>
          <w:lang w:val="sr-Cyrl-RS"/>
        </w:rPr>
        <w:t xml:space="preserve">“ за Србију. Концепт је прилично добро успостављен: компанија (која има тенденцију да буде микро или мала) нуди хартије од вредности ван уобичајених ИПО канала, ограниченој публици (и обично малим инвеститорима), са само ограниченим или неформалним откривањем информација. Промовисање </w:t>
      </w:r>
      <w:proofErr w:type="spellStart"/>
      <w:r w:rsidRPr="00B30084">
        <w:rPr>
          <w:rFonts w:ascii="Times New Roman" w:hAnsi="Times New Roman" w:cs="Times New Roman"/>
          <w:sz w:val="24"/>
          <w:szCs w:val="24"/>
          <w:lang w:val="sr-Cyrl-RS"/>
        </w:rPr>
        <w:t>crowdfunding</w:t>
      </w:r>
      <w:proofErr w:type="spellEnd"/>
      <w:r w:rsidRPr="00B30084">
        <w:rPr>
          <w:rFonts w:ascii="Times New Roman" w:hAnsi="Times New Roman" w:cs="Times New Roman"/>
          <w:sz w:val="24"/>
          <w:szCs w:val="24"/>
          <w:lang w:val="sr-Cyrl-RS"/>
        </w:rPr>
        <w:t xml:space="preserve"> може имати утицаја на тржиште капитала, али се разликује од класичних финансијских инструмената о којима је раније било речи. </w:t>
      </w:r>
      <w:proofErr w:type="spellStart"/>
      <w:r w:rsidRPr="00B30084">
        <w:rPr>
          <w:rFonts w:ascii="Times New Roman" w:hAnsi="Times New Roman" w:cs="Times New Roman"/>
          <w:sz w:val="24"/>
          <w:szCs w:val="24"/>
          <w:lang w:val="sr-Cyrl-RS"/>
        </w:rPr>
        <w:t>Crowdfunding</w:t>
      </w:r>
      <w:proofErr w:type="spellEnd"/>
      <w:r w:rsidRPr="00B30084">
        <w:rPr>
          <w:rFonts w:ascii="Times New Roman" w:hAnsi="Times New Roman" w:cs="Times New Roman"/>
          <w:sz w:val="24"/>
          <w:szCs w:val="24"/>
          <w:lang w:val="sr-Cyrl-RS"/>
        </w:rPr>
        <w:t xml:space="preserve"> не може повећати ширину и дубину тржишта. Међутим, </w:t>
      </w:r>
      <w:r w:rsidR="008D6D20">
        <w:rPr>
          <w:rFonts w:ascii="Times New Roman" w:hAnsi="Times New Roman" w:cs="Times New Roman"/>
          <w:sz w:val="24"/>
          <w:szCs w:val="24"/>
          <w:lang w:val="sr-Cyrl-RS"/>
        </w:rPr>
        <w:t>може</w:t>
      </w:r>
      <w:r w:rsidRPr="00B30084">
        <w:rPr>
          <w:rFonts w:ascii="Times New Roman" w:hAnsi="Times New Roman" w:cs="Times New Roman"/>
          <w:sz w:val="24"/>
          <w:szCs w:val="24"/>
          <w:lang w:val="sr-Cyrl-RS"/>
        </w:rPr>
        <w:t xml:space="preserve"> имати значајан утицај на микро и мала пр</w:t>
      </w:r>
      <w:r w:rsidR="008D6D20">
        <w:rPr>
          <w:rFonts w:ascii="Times New Roman" w:hAnsi="Times New Roman" w:cs="Times New Roman"/>
          <w:sz w:val="24"/>
          <w:szCs w:val="24"/>
          <w:lang w:val="sr-Cyrl-RS"/>
        </w:rPr>
        <w:t xml:space="preserve">едузећа која траже финансирање, што би им </w:t>
      </w:r>
      <w:r w:rsidRPr="00B30084">
        <w:rPr>
          <w:rFonts w:ascii="Times New Roman" w:hAnsi="Times New Roman" w:cs="Times New Roman"/>
          <w:sz w:val="24"/>
          <w:szCs w:val="24"/>
          <w:lang w:val="sr-Cyrl-RS"/>
        </w:rPr>
        <w:t>омогући</w:t>
      </w:r>
      <w:r w:rsidR="008D6D20">
        <w:rPr>
          <w:rFonts w:ascii="Times New Roman" w:hAnsi="Times New Roman" w:cs="Times New Roman"/>
          <w:sz w:val="24"/>
          <w:szCs w:val="24"/>
          <w:lang w:val="sr-Cyrl-RS"/>
        </w:rPr>
        <w:t>ло</w:t>
      </w:r>
      <w:r w:rsidRPr="00B30084">
        <w:rPr>
          <w:rFonts w:ascii="Times New Roman" w:hAnsi="Times New Roman" w:cs="Times New Roman"/>
          <w:sz w:val="24"/>
          <w:szCs w:val="24"/>
          <w:lang w:val="sr-Cyrl-RS"/>
        </w:rPr>
        <w:t xml:space="preserve"> да достигну следећу фазу ризичног капитала и приватног капитала. У том смислу, </w:t>
      </w:r>
      <w:proofErr w:type="spellStart"/>
      <w:r w:rsidRPr="00B30084">
        <w:rPr>
          <w:rFonts w:ascii="Times New Roman" w:hAnsi="Times New Roman" w:cs="Times New Roman"/>
          <w:sz w:val="24"/>
          <w:szCs w:val="24"/>
          <w:lang w:val="sr-Cyrl-RS"/>
        </w:rPr>
        <w:t>crowdfunding</w:t>
      </w:r>
      <w:proofErr w:type="spellEnd"/>
      <w:r w:rsidRPr="00B30084">
        <w:rPr>
          <w:rFonts w:ascii="Times New Roman" w:hAnsi="Times New Roman" w:cs="Times New Roman"/>
          <w:sz w:val="24"/>
          <w:szCs w:val="24"/>
          <w:lang w:val="sr-Cyrl-RS"/>
        </w:rPr>
        <w:t xml:space="preserve"> доприноси расту броја привредних друштава.</w:t>
      </w:r>
    </w:p>
    <w:p w14:paraId="1621855B" w14:textId="12BC6603"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Друга идеја за промоцију интереса </w:t>
      </w:r>
      <w:r w:rsidR="00F36F7D">
        <w:rPr>
          <w:rFonts w:ascii="Times New Roman" w:hAnsi="Times New Roman" w:cs="Times New Roman"/>
          <w:sz w:val="24"/>
          <w:szCs w:val="24"/>
          <w:lang w:val="sr-Cyrl-RS"/>
        </w:rPr>
        <w:t>појединаца/домаћинстава</w:t>
      </w:r>
      <w:r w:rsidR="00F36F7D"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t xml:space="preserve">на тржишту капитала везана је за решавање питања „неактивних рачуна“. Један од предлога је да се имовина на неактивним рачунима </w:t>
      </w:r>
      <w:r w:rsidRPr="00B30084">
        <w:rPr>
          <w:rFonts w:ascii="Times New Roman" w:hAnsi="Times New Roman" w:cs="Times New Roman"/>
          <w:bCs/>
          <w:color w:val="000000"/>
          <w:sz w:val="24"/>
          <w:szCs w:val="24"/>
          <w:lang w:val="sr-Cyrl-RS"/>
        </w:rPr>
        <w:t>пренесе</w:t>
      </w:r>
      <w:r w:rsidRPr="00B30084">
        <w:rPr>
          <w:rFonts w:ascii="Times New Roman" w:hAnsi="Times New Roman" w:cs="Times New Roman"/>
          <w:sz w:val="24"/>
          <w:szCs w:val="24"/>
          <w:lang w:val="sr-Cyrl-RS"/>
        </w:rPr>
        <w:t xml:space="preserve"> на две главне врсте инвестиционих фондова са приватним управљањем, један за наведену имовину, а други за ненаведен</w:t>
      </w:r>
      <w:r w:rsidR="001200E2" w:rsidRPr="00B30084">
        <w:rPr>
          <w:rFonts w:ascii="Times New Roman" w:hAnsi="Times New Roman" w:cs="Times New Roman"/>
          <w:sz w:val="24"/>
          <w:szCs w:val="24"/>
          <w:lang w:val="sr-Cyrl-RS"/>
        </w:rPr>
        <w:t>у</w:t>
      </w:r>
      <w:r w:rsidRPr="00B30084">
        <w:rPr>
          <w:rFonts w:ascii="Times New Roman" w:hAnsi="Times New Roman" w:cs="Times New Roman"/>
          <w:sz w:val="24"/>
          <w:szCs w:val="24"/>
          <w:lang w:val="sr-Cyrl-RS"/>
        </w:rPr>
        <w:t xml:space="preserve">. Власници неактивних рачуна добијали би </w:t>
      </w:r>
      <w:r w:rsidR="001200E2" w:rsidRPr="00B30084">
        <w:rPr>
          <w:rFonts w:ascii="Times New Roman" w:hAnsi="Times New Roman" w:cs="Times New Roman"/>
          <w:sz w:val="24"/>
          <w:szCs w:val="24"/>
          <w:lang w:val="sr-Cyrl-RS"/>
        </w:rPr>
        <w:t>уделе</w:t>
      </w:r>
      <w:r w:rsidRPr="00B30084">
        <w:rPr>
          <w:rFonts w:ascii="Times New Roman" w:hAnsi="Times New Roman" w:cs="Times New Roman"/>
          <w:sz w:val="24"/>
          <w:szCs w:val="24"/>
          <w:lang w:val="sr-Cyrl-RS"/>
        </w:rPr>
        <w:t xml:space="preserve"> у фондовима и њима би се лако могло трговати. Циљ средстава био би да се професионалним активним управљањем максимизира повратак успаваних власника рачуна. У мери у којој фондови успевају да изграде вредност портфеља, ово искуство може имати ефекте преливања.</w:t>
      </w:r>
    </w:p>
    <w:p w14:paraId="1F05B2DA" w14:textId="50B26DC3" w:rsidR="00693ECC" w:rsidRPr="00B30084" w:rsidRDefault="00693ECC" w:rsidP="00693ECC">
      <w:pPr>
        <w:spacing w:line="276" w:lineRule="auto"/>
        <w:ind w:firstLine="720"/>
        <w:jc w:val="both"/>
        <w:rPr>
          <w:rFonts w:ascii="Times New Roman" w:hAnsi="Times New Roman" w:cs="Times New Roman"/>
          <w:b/>
          <w:bCs/>
          <w:iCs/>
          <w:sz w:val="24"/>
          <w:szCs w:val="24"/>
          <w:lang w:val="sr-Cyrl-RS"/>
        </w:rPr>
      </w:pPr>
      <w:r w:rsidRPr="00B30084">
        <w:rPr>
          <w:rFonts w:ascii="Times New Roman" w:hAnsi="Times New Roman" w:cs="Times New Roman"/>
          <w:b/>
          <w:bCs/>
          <w:iCs/>
          <w:sz w:val="24"/>
          <w:szCs w:val="24"/>
          <w:lang w:val="sr-Cyrl-RS"/>
        </w:rPr>
        <w:t>Кључни аспекти домаћих небанкарских финансијских институција</w:t>
      </w:r>
    </w:p>
    <w:p w14:paraId="38AB10EA" w14:textId="08AB461D"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Инвестициони фонд, </w:t>
      </w:r>
      <w:r w:rsidR="001200E2" w:rsidRPr="00B30084">
        <w:rPr>
          <w:rFonts w:ascii="Times New Roman" w:hAnsi="Times New Roman" w:cs="Times New Roman"/>
          <w:sz w:val="24"/>
          <w:szCs w:val="24"/>
          <w:lang w:val="sr-Cyrl-RS"/>
        </w:rPr>
        <w:t xml:space="preserve">добровољни </w:t>
      </w:r>
      <w:r w:rsidRPr="00B30084">
        <w:rPr>
          <w:rFonts w:ascii="Times New Roman" w:hAnsi="Times New Roman" w:cs="Times New Roman"/>
          <w:sz w:val="24"/>
          <w:szCs w:val="24"/>
          <w:lang w:val="sr-Cyrl-RS"/>
        </w:rPr>
        <w:t>пензи</w:t>
      </w:r>
      <w:r w:rsidR="001B3BC9">
        <w:rPr>
          <w:rFonts w:ascii="Times New Roman" w:hAnsi="Times New Roman" w:cs="Times New Roman"/>
          <w:sz w:val="24"/>
          <w:szCs w:val="24"/>
          <w:lang w:val="sr-Cyrl-RS"/>
        </w:rPr>
        <w:t>јски</w:t>
      </w:r>
      <w:r w:rsidRPr="00B30084">
        <w:rPr>
          <w:rFonts w:ascii="Times New Roman" w:hAnsi="Times New Roman" w:cs="Times New Roman"/>
          <w:sz w:val="24"/>
          <w:szCs w:val="24"/>
          <w:lang w:val="sr-Cyrl-RS"/>
        </w:rPr>
        <w:t xml:space="preserve"> фонд и сектор осигурања су главни домаћи институционални инвеститори </w:t>
      </w:r>
      <w:r w:rsidR="001B3BC9">
        <w:rPr>
          <w:rFonts w:ascii="Times New Roman" w:hAnsi="Times New Roman" w:cs="Times New Roman"/>
          <w:sz w:val="24"/>
          <w:szCs w:val="24"/>
          <w:lang w:val="sr-Cyrl-RS"/>
        </w:rPr>
        <w:t>на</w:t>
      </w:r>
      <w:r w:rsidRPr="00B30084">
        <w:rPr>
          <w:rFonts w:ascii="Times New Roman" w:hAnsi="Times New Roman" w:cs="Times New Roman"/>
          <w:sz w:val="24"/>
          <w:szCs w:val="24"/>
          <w:lang w:val="sr-Cyrl-RS"/>
        </w:rPr>
        <w:t xml:space="preserve"> српско</w:t>
      </w:r>
      <w:r w:rsidR="001B3BC9">
        <w:rPr>
          <w:rFonts w:ascii="Times New Roman" w:hAnsi="Times New Roman" w:cs="Times New Roman"/>
          <w:sz w:val="24"/>
          <w:szCs w:val="24"/>
          <w:lang w:val="sr-Cyrl-RS"/>
        </w:rPr>
        <w:t>м тржишту</w:t>
      </w:r>
      <w:r w:rsidR="00D50A4B">
        <w:rPr>
          <w:rFonts w:ascii="Times New Roman" w:hAnsi="Times New Roman" w:cs="Times New Roman"/>
          <w:sz w:val="24"/>
          <w:szCs w:val="24"/>
          <w:lang w:val="sr-Cyrl-RS"/>
        </w:rPr>
        <w:t>. Ови сектори већ имају велики</w:t>
      </w:r>
      <w:r w:rsidRPr="00B30084">
        <w:rPr>
          <w:rFonts w:ascii="Times New Roman" w:hAnsi="Times New Roman" w:cs="Times New Roman"/>
          <w:sz w:val="24"/>
          <w:szCs w:val="24"/>
          <w:lang w:val="sr-Cyrl-RS"/>
        </w:rPr>
        <w:t xml:space="preserve"> апетит за новим емисијама и врстама хартија од вредности.</w:t>
      </w:r>
      <w:r w:rsidR="00100DB2">
        <w:rPr>
          <w:rFonts w:ascii="Times New Roman" w:hAnsi="Times New Roman" w:cs="Times New Roman"/>
          <w:sz w:val="24"/>
          <w:szCs w:val="24"/>
          <w:lang w:val="sr-Cyrl-RS"/>
        </w:rPr>
        <w:t xml:space="preserve"> </w:t>
      </w:r>
      <w:r w:rsidR="00100DB2" w:rsidRPr="00B30084">
        <w:rPr>
          <w:rFonts w:ascii="Times New Roman" w:hAnsi="Times New Roman" w:cs="Times New Roman"/>
          <w:sz w:val="24"/>
          <w:szCs w:val="24"/>
          <w:lang w:val="sr-Cyrl-RS"/>
        </w:rPr>
        <w:t xml:space="preserve">Хипотетички резултати </w:t>
      </w:r>
      <w:r w:rsidR="00100DB2">
        <w:rPr>
          <w:rFonts w:ascii="Times New Roman" w:hAnsi="Times New Roman" w:cs="Times New Roman"/>
          <w:sz w:val="24"/>
          <w:szCs w:val="24"/>
          <w:lang w:val="sr-Cyrl-RS"/>
        </w:rPr>
        <w:t xml:space="preserve">уколико </w:t>
      </w:r>
      <w:r w:rsidR="00100DB2">
        <w:rPr>
          <w:rFonts w:ascii="Times New Roman" w:hAnsi="Times New Roman" w:cs="Times New Roman"/>
          <w:sz w:val="24"/>
          <w:szCs w:val="24"/>
          <w:lang w:val="sr-Cyrl-RS"/>
        </w:rPr>
        <w:lastRenderedPageBreak/>
        <w:t>би своје</w:t>
      </w:r>
      <w:r w:rsidR="00100DB2" w:rsidRPr="00B30084">
        <w:rPr>
          <w:rFonts w:ascii="Times New Roman" w:hAnsi="Times New Roman" w:cs="Times New Roman"/>
          <w:sz w:val="24"/>
          <w:szCs w:val="24"/>
          <w:lang w:val="sr-Cyrl-RS"/>
        </w:rPr>
        <w:t xml:space="preserve"> портфеље преусмерили на корпоратив</w:t>
      </w:r>
      <w:r w:rsidR="00100DB2">
        <w:rPr>
          <w:rFonts w:ascii="Times New Roman" w:hAnsi="Times New Roman" w:cs="Times New Roman"/>
          <w:sz w:val="24"/>
          <w:szCs w:val="24"/>
          <w:lang w:val="sr-Cyrl-RS"/>
        </w:rPr>
        <w:t>не хартије од вредности, указују</w:t>
      </w:r>
      <w:r w:rsidR="00100DB2" w:rsidRPr="00B30084">
        <w:rPr>
          <w:rFonts w:ascii="Times New Roman" w:hAnsi="Times New Roman" w:cs="Times New Roman"/>
          <w:sz w:val="24"/>
          <w:szCs w:val="24"/>
          <w:lang w:val="sr-Cyrl-RS"/>
        </w:rPr>
        <w:t xml:space="preserve"> на спремност </w:t>
      </w:r>
      <w:r w:rsidR="00100DB2">
        <w:rPr>
          <w:rFonts w:ascii="Times New Roman" w:hAnsi="Times New Roman" w:cs="Times New Roman"/>
          <w:sz w:val="24"/>
          <w:szCs w:val="24"/>
          <w:lang w:val="sr-Cyrl-RS"/>
        </w:rPr>
        <w:t>по</w:t>
      </w:r>
      <w:r w:rsidR="00100DB2" w:rsidRPr="00B30084">
        <w:rPr>
          <w:rFonts w:ascii="Times New Roman" w:hAnsi="Times New Roman" w:cs="Times New Roman"/>
          <w:sz w:val="24"/>
          <w:szCs w:val="24"/>
          <w:lang w:val="sr-Cyrl-RS"/>
        </w:rPr>
        <w:t xml:space="preserve">тражње од </w:t>
      </w:r>
      <w:r w:rsidR="00AC31B0">
        <w:rPr>
          <w:rFonts w:ascii="Times New Roman" w:hAnsi="Times New Roman" w:cs="Times New Roman"/>
          <w:sz w:val="24"/>
          <w:szCs w:val="24"/>
          <w:lang w:val="sr-Cyrl-RS"/>
        </w:rPr>
        <w:t>€</w:t>
      </w:r>
      <w:r w:rsidR="00AC2127">
        <w:rPr>
          <w:rFonts w:ascii="Times New Roman" w:hAnsi="Times New Roman" w:cs="Times New Roman"/>
          <w:sz w:val="24"/>
          <w:szCs w:val="24"/>
          <w:lang w:val="sr-Cyrl-RS"/>
        </w:rPr>
        <w:t xml:space="preserve"> </w:t>
      </w:r>
      <w:r w:rsidR="00100DB2" w:rsidRPr="00B30084">
        <w:rPr>
          <w:rFonts w:ascii="Times New Roman" w:hAnsi="Times New Roman" w:cs="Times New Roman"/>
          <w:sz w:val="24"/>
          <w:szCs w:val="24"/>
          <w:lang w:val="sr-Cyrl-RS"/>
        </w:rPr>
        <w:t>960 милиона само</w:t>
      </w:r>
      <w:r w:rsidR="00100DB2">
        <w:rPr>
          <w:rFonts w:ascii="Times New Roman" w:hAnsi="Times New Roman" w:cs="Times New Roman"/>
          <w:sz w:val="24"/>
          <w:szCs w:val="24"/>
          <w:lang w:val="sr-Cyrl-RS"/>
        </w:rPr>
        <w:t xml:space="preserve"> из сектора пензија и осигурања</w:t>
      </w:r>
      <w:r w:rsidRPr="00B30084">
        <w:rPr>
          <w:rFonts w:ascii="Times New Roman" w:hAnsi="Times New Roman" w:cs="Times New Roman"/>
          <w:sz w:val="24"/>
          <w:szCs w:val="24"/>
          <w:lang w:val="sr-Cyrl-RS"/>
        </w:rPr>
        <w:t xml:space="preserve">. Стога проналазак начина да се подстакне потражња од ових НБФИ-а изгледа да није проблем. Међутим, </w:t>
      </w:r>
      <w:r w:rsidR="001200E2" w:rsidRPr="00B30084">
        <w:rPr>
          <w:rFonts w:ascii="Times New Roman" w:hAnsi="Times New Roman" w:cs="Times New Roman"/>
          <w:sz w:val="24"/>
          <w:szCs w:val="24"/>
          <w:lang w:val="sr-Cyrl-RS"/>
        </w:rPr>
        <w:t xml:space="preserve">добровољни </w:t>
      </w:r>
      <w:r w:rsidRPr="00B30084">
        <w:rPr>
          <w:rFonts w:ascii="Times New Roman" w:hAnsi="Times New Roman" w:cs="Times New Roman"/>
          <w:sz w:val="24"/>
          <w:szCs w:val="24"/>
          <w:lang w:val="sr-Cyrl-RS"/>
        </w:rPr>
        <w:t>пензи</w:t>
      </w:r>
      <w:r w:rsidR="00AC31B0">
        <w:rPr>
          <w:rFonts w:ascii="Times New Roman" w:hAnsi="Times New Roman" w:cs="Times New Roman"/>
          <w:sz w:val="24"/>
          <w:szCs w:val="24"/>
          <w:lang w:val="sr-Cyrl-RS"/>
        </w:rPr>
        <w:t>јски</w:t>
      </w:r>
      <w:r w:rsidRPr="00B30084">
        <w:rPr>
          <w:rFonts w:ascii="Times New Roman" w:hAnsi="Times New Roman" w:cs="Times New Roman"/>
          <w:sz w:val="24"/>
          <w:szCs w:val="24"/>
          <w:lang w:val="sr-Cyrl-RS"/>
        </w:rPr>
        <w:t xml:space="preserve"> фонд</w:t>
      </w:r>
      <w:r w:rsidR="00AC31B0">
        <w:rPr>
          <w:rFonts w:ascii="Times New Roman" w:hAnsi="Times New Roman" w:cs="Times New Roman"/>
          <w:sz w:val="24"/>
          <w:szCs w:val="24"/>
          <w:lang w:val="sr-Cyrl-RS"/>
        </w:rPr>
        <w:t>ови</w:t>
      </w:r>
      <w:r w:rsidRPr="00B30084">
        <w:rPr>
          <w:rFonts w:ascii="Times New Roman" w:hAnsi="Times New Roman" w:cs="Times New Roman"/>
          <w:sz w:val="24"/>
          <w:szCs w:val="24"/>
          <w:lang w:val="sr-Cyrl-RS"/>
        </w:rPr>
        <w:t xml:space="preserve"> и </w:t>
      </w:r>
      <w:r w:rsidR="00AC31B0">
        <w:rPr>
          <w:rFonts w:ascii="Times New Roman" w:hAnsi="Times New Roman" w:cs="Times New Roman"/>
          <w:sz w:val="24"/>
          <w:szCs w:val="24"/>
          <w:lang w:val="sr-Cyrl-RS"/>
        </w:rPr>
        <w:t>осигуравајућа друштва</w:t>
      </w:r>
      <w:r w:rsidRPr="00B30084">
        <w:rPr>
          <w:rFonts w:ascii="Times New Roman" w:hAnsi="Times New Roman" w:cs="Times New Roman"/>
          <w:sz w:val="24"/>
          <w:szCs w:val="24"/>
          <w:lang w:val="sr-Cyrl-RS"/>
        </w:rPr>
        <w:t xml:space="preserve"> указују да су непотребно ограничени у могућности да учествују на овом тржишту. Први се односи на ограничења портфеља која је НБС наметнула овим секторима као њихов регулатор. Друго подручје ограничења учешћа односи се само на </w:t>
      </w:r>
      <w:r w:rsidR="001200E2" w:rsidRPr="00B30084">
        <w:rPr>
          <w:rFonts w:ascii="Times New Roman" w:hAnsi="Times New Roman" w:cs="Times New Roman"/>
          <w:sz w:val="24"/>
          <w:szCs w:val="24"/>
          <w:lang w:val="sr-Cyrl-RS"/>
        </w:rPr>
        <w:t xml:space="preserve">добровољне </w:t>
      </w:r>
      <w:r w:rsidRPr="00B30084">
        <w:rPr>
          <w:rFonts w:ascii="Times New Roman" w:hAnsi="Times New Roman" w:cs="Times New Roman"/>
          <w:sz w:val="24"/>
          <w:szCs w:val="24"/>
          <w:lang w:val="sr-Cyrl-RS"/>
        </w:rPr>
        <w:t>пензијске фондове. Наиме, поред питања колико могу да учествују на тржишту капитала</w:t>
      </w:r>
      <w:r w:rsidRPr="00042027">
        <w:rPr>
          <w:rFonts w:ascii="Times New Roman" w:hAnsi="Times New Roman" w:cs="Times New Roman"/>
          <w:sz w:val="24"/>
          <w:szCs w:val="24"/>
          <w:lang w:val="sr-Cyrl-RS"/>
        </w:rPr>
        <w:t xml:space="preserve">, овај аспект се односи и на то колико су ефикасни у пружању </w:t>
      </w:r>
      <w:r w:rsidR="00042027" w:rsidRPr="00042027">
        <w:rPr>
          <w:rFonts w:ascii="Times New Roman" w:hAnsi="Times New Roman" w:cs="Times New Roman"/>
          <w:sz w:val="24"/>
          <w:szCs w:val="24"/>
          <w:lang w:val="sr-Cyrl-RS"/>
        </w:rPr>
        <w:t>одређених уштеда</w:t>
      </w:r>
      <w:r w:rsidR="00EA1A0A" w:rsidRPr="00EA1A0A">
        <w:rPr>
          <w:rFonts w:ascii="Times New Roman" w:hAnsi="Times New Roman" w:cs="Times New Roman"/>
          <w:sz w:val="24"/>
          <w:szCs w:val="24"/>
          <w:lang w:val="sr-Cyrl-RS"/>
        </w:rPr>
        <w:t xml:space="preserve">, с обзиром на то да се уплата пензијског доприноса у добровољне пензијске фондове из средстава послодавца ослобађа плаћања пореза на доходак грађана и доприноса за обавезно социјално осигурање до износа од </w:t>
      </w:r>
      <w:r w:rsidR="00EA1A0A">
        <w:rPr>
          <w:rFonts w:ascii="Times New Roman" w:hAnsi="Times New Roman" w:cs="Times New Roman"/>
          <w:sz w:val="24"/>
          <w:szCs w:val="24"/>
          <w:lang w:val="sr-Cyrl-RS"/>
        </w:rPr>
        <w:t xml:space="preserve">РСД </w:t>
      </w:r>
      <w:r w:rsidR="00EA1A0A" w:rsidRPr="00EA1A0A">
        <w:rPr>
          <w:rFonts w:ascii="Times New Roman" w:hAnsi="Times New Roman" w:cs="Times New Roman"/>
          <w:sz w:val="24"/>
          <w:szCs w:val="24"/>
          <w:lang w:val="sr-Cyrl-RS"/>
        </w:rPr>
        <w:t>6.062 по запосленом месечно, као и да се уплате у истом износу које послодавац врши путем административне забране, обуставом и плаћањем из зараде запосленог ослобађају плаћања пореза. Наведене олакшице представљају додатни вид стимулације за запослене и послодавце да један део издвајања за зараде усмере ка штедњи у добровољним пензијским фондовима</w:t>
      </w:r>
      <w:r w:rsidR="00EA1A0A">
        <w:rPr>
          <w:rFonts w:ascii="Times New Roman" w:hAnsi="Times New Roman" w:cs="Times New Roman"/>
          <w:sz w:val="24"/>
          <w:szCs w:val="24"/>
          <w:lang w:val="sr-Cyrl-RS"/>
        </w:rPr>
        <w:t>.</w:t>
      </w:r>
    </w:p>
    <w:p w14:paraId="15B4B1EF" w14:textId="77777777" w:rsidR="00693ECC" w:rsidRPr="00B30084" w:rsidRDefault="00693ECC" w:rsidP="00693ECC">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b/>
          <w:bCs/>
          <w:iCs/>
          <w:sz w:val="24"/>
          <w:szCs w:val="24"/>
          <w:lang w:val="sr-Cyrl-RS"/>
        </w:rPr>
        <w:t>Кључни аспекти за стране инвеститоре</w:t>
      </w:r>
    </w:p>
    <w:p w14:paraId="501AD7E5" w14:textId="5971A4CE" w:rsidR="00693ECC" w:rsidRPr="00B30084" w:rsidRDefault="00693ECC" w:rsidP="00693ECC">
      <w:pPr>
        <w:spacing w:line="276" w:lineRule="auto"/>
        <w:ind w:firstLine="720"/>
        <w:jc w:val="both"/>
        <w:rPr>
          <w:rFonts w:ascii="Times New Roman" w:hAnsi="Times New Roman" w:cs="Times New Roman"/>
          <w:color w:val="000000"/>
          <w:sz w:val="24"/>
          <w:szCs w:val="24"/>
          <w:lang w:val="sr-Cyrl-RS"/>
        </w:rPr>
      </w:pPr>
      <w:r w:rsidRPr="00B30084">
        <w:rPr>
          <w:rFonts w:ascii="Times New Roman" w:hAnsi="Times New Roman" w:cs="Times New Roman"/>
          <w:color w:val="000000"/>
          <w:sz w:val="24"/>
          <w:szCs w:val="24"/>
          <w:lang w:val="sr-Cyrl-RS"/>
        </w:rPr>
        <w:t xml:space="preserve">Да би се привукли страни инвеститори, неопходно је да имате све релевантне информације и на српском и на енглеском језику. Да би се </w:t>
      </w:r>
      <w:r w:rsidR="001B3BC9">
        <w:rPr>
          <w:rFonts w:ascii="Times New Roman" w:hAnsi="Times New Roman" w:cs="Times New Roman"/>
          <w:color w:val="000000"/>
          <w:sz w:val="24"/>
          <w:szCs w:val="24"/>
          <w:lang w:val="sr-Cyrl-RS"/>
        </w:rPr>
        <w:t>ускладили</w:t>
      </w:r>
      <w:r w:rsidRPr="00B30084">
        <w:rPr>
          <w:rFonts w:ascii="Times New Roman" w:hAnsi="Times New Roman" w:cs="Times New Roman"/>
          <w:color w:val="000000"/>
          <w:sz w:val="24"/>
          <w:szCs w:val="24"/>
          <w:lang w:val="sr-Cyrl-RS"/>
        </w:rPr>
        <w:t xml:space="preserve"> са регулаторним обавезама</w:t>
      </w:r>
      <w:r w:rsidR="001B3BC9" w:rsidRPr="001B3BC9">
        <w:rPr>
          <w:rFonts w:ascii="Times New Roman" w:hAnsi="Times New Roman" w:cs="Times New Roman"/>
          <w:color w:val="000000"/>
          <w:sz w:val="24"/>
          <w:szCs w:val="24"/>
          <w:lang w:val="sr-Cyrl-RS"/>
        </w:rPr>
        <w:t xml:space="preserve"> </w:t>
      </w:r>
      <w:r w:rsidR="001B3BC9" w:rsidRPr="00B30084">
        <w:rPr>
          <w:rFonts w:ascii="Times New Roman" w:hAnsi="Times New Roman" w:cs="Times New Roman"/>
          <w:color w:val="000000"/>
          <w:sz w:val="24"/>
          <w:szCs w:val="24"/>
          <w:lang w:val="sr-Cyrl-RS"/>
        </w:rPr>
        <w:t>свој</w:t>
      </w:r>
      <w:r w:rsidR="001B3BC9">
        <w:rPr>
          <w:rFonts w:ascii="Times New Roman" w:hAnsi="Times New Roman" w:cs="Times New Roman"/>
          <w:color w:val="000000"/>
          <w:sz w:val="24"/>
          <w:szCs w:val="24"/>
          <w:lang w:val="sr-Cyrl-RS"/>
        </w:rPr>
        <w:t>е</w:t>
      </w:r>
      <w:r w:rsidRPr="00B30084">
        <w:rPr>
          <w:rFonts w:ascii="Times New Roman" w:hAnsi="Times New Roman" w:cs="Times New Roman"/>
          <w:color w:val="000000"/>
          <w:sz w:val="24"/>
          <w:szCs w:val="24"/>
          <w:lang w:val="sr-Cyrl-RS"/>
        </w:rPr>
        <w:t xml:space="preserve"> матичне </w:t>
      </w:r>
      <w:r w:rsidRPr="00B30084">
        <w:rPr>
          <w:rFonts w:ascii="Times New Roman" w:hAnsi="Times New Roman" w:cs="Times New Roman"/>
          <w:bCs/>
          <w:color w:val="000000"/>
          <w:sz w:val="24"/>
          <w:szCs w:val="24"/>
          <w:lang w:val="sr-Cyrl-RS"/>
        </w:rPr>
        <w:t>државе</w:t>
      </w:r>
      <w:r w:rsidRPr="00B30084">
        <w:rPr>
          <w:rFonts w:ascii="Times New Roman" w:hAnsi="Times New Roman" w:cs="Times New Roman"/>
          <w:color w:val="000000"/>
          <w:sz w:val="24"/>
          <w:szCs w:val="24"/>
          <w:lang w:val="sr-Cyrl-RS"/>
        </w:rPr>
        <w:t xml:space="preserve"> и сопственим ризиком, страни инвеститори</w:t>
      </w:r>
      <w:r w:rsidR="001B3BC9">
        <w:rPr>
          <w:rFonts w:ascii="Times New Roman" w:hAnsi="Times New Roman" w:cs="Times New Roman"/>
          <w:color w:val="000000"/>
          <w:sz w:val="24"/>
          <w:szCs w:val="24"/>
          <w:lang w:val="sr-Cyrl-RS"/>
        </w:rPr>
        <w:t xml:space="preserve"> се</w:t>
      </w:r>
      <w:r w:rsidRPr="00B30084">
        <w:rPr>
          <w:rFonts w:ascii="Times New Roman" w:hAnsi="Times New Roman" w:cs="Times New Roman"/>
          <w:color w:val="000000"/>
          <w:sz w:val="24"/>
          <w:szCs w:val="24"/>
          <w:lang w:val="sr-Cyrl-RS"/>
        </w:rPr>
        <w:t xml:space="preserve"> суочава</w:t>
      </w:r>
      <w:r w:rsidR="001B3BC9">
        <w:rPr>
          <w:rFonts w:ascii="Times New Roman" w:hAnsi="Times New Roman" w:cs="Times New Roman"/>
          <w:color w:val="000000"/>
          <w:sz w:val="24"/>
          <w:szCs w:val="24"/>
          <w:lang w:val="sr-Cyrl-RS"/>
        </w:rPr>
        <w:t>ју</w:t>
      </w:r>
      <w:r w:rsidRPr="00B30084">
        <w:rPr>
          <w:rFonts w:ascii="Times New Roman" w:hAnsi="Times New Roman" w:cs="Times New Roman"/>
          <w:color w:val="000000"/>
          <w:sz w:val="24"/>
          <w:szCs w:val="24"/>
          <w:lang w:val="sr-Cyrl-RS"/>
        </w:rPr>
        <w:t xml:space="preserve"> са два питања: 1) систем инфраструктуре и локални регулаторни ризици и 2) ризици у које се улаже. Тржишне институције не могу пружити пакете</w:t>
      </w:r>
      <w:r w:rsidR="001200E2" w:rsidRPr="00B30084">
        <w:rPr>
          <w:rFonts w:ascii="Times New Roman" w:hAnsi="Times New Roman" w:cs="Times New Roman"/>
          <w:color w:val="000000"/>
          <w:sz w:val="24"/>
          <w:szCs w:val="24"/>
          <w:lang w:val="sr-Cyrl-RS"/>
        </w:rPr>
        <w:t xml:space="preserve"> дубинске анализе за сва могућа лица </w:t>
      </w:r>
      <w:r w:rsidRPr="00B30084">
        <w:rPr>
          <w:rFonts w:ascii="Times New Roman" w:hAnsi="Times New Roman" w:cs="Times New Roman"/>
          <w:color w:val="000000"/>
          <w:sz w:val="24"/>
          <w:szCs w:val="24"/>
          <w:lang w:val="sr-Cyrl-RS"/>
        </w:rPr>
        <w:t xml:space="preserve">у које се улаже, али могу пружити пакет свих информација повезаних са инфраструктурним системом и локалним регулаторним ризицима. </w:t>
      </w:r>
    </w:p>
    <w:p w14:paraId="30D93D44" w14:textId="56272615" w:rsidR="00693ECC" w:rsidRPr="00B30084" w:rsidRDefault="00693ECC" w:rsidP="00693ECC">
      <w:pPr>
        <w:spacing w:line="276" w:lineRule="auto"/>
        <w:ind w:firstLine="720"/>
        <w:jc w:val="both"/>
        <w:rPr>
          <w:rFonts w:ascii="Times New Roman" w:hAnsi="Times New Roman" w:cs="Times New Roman"/>
          <w:sz w:val="24"/>
          <w:szCs w:val="24"/>
          <w:lang w:val="sr-Latn-RS"/>
        </w:rPr>
      </w:pPr>
      <w:r w:rsidRPr="00B30084">
        <w:rPr>
          <w:rFonts w:ascii="Times New Roman" w:hAnsi="Times New Roman" w:cs="Times New Roman"/>
          <w:sz w:val="24"/>
          <w:szCs w:val="24"/>
          <w:lang w:val="sr-Cyrl-RS"/>
        </w:rPr>
        <w:t xml:space="preserve">Србија се зато ослања на механизме који ће олакшати трансфер новца на и са овог тржишта. Министарство финансија потписало </w:t>
      </w:r>
      <w:r w:rsidR="00BD7876">
        <w:rPr>
          <w:rFonts w:ascii="Times New Roman" w:hAnsi="Times New Roman" w:cs="Times New Roman"/>
          <w:sz w:val="24"/>
          <w:szCs w:val="24"/>
          <w:lang w:val="sr-Cyrl-RS"/>
        </w:rPr>
        <w:t xml:space="preserve">је </w:t>
      </w:r>
      <w:r w:rsidRPr="00B30084">
        <w:rPr>
          <w:rFonts w:ascii="Times New Roman" w:hAnsi="Times New Roman" w:cs="Times New Roman"/>
          <w:sz w:val="24"/>
          <w:szCs w:val="24"/>
          <w:lang w:val="sr-Cyrl-RS"/>
        </w:rPr>
        <w:t xml:space="preserve">Меморандум о разумевању са </w:t>
      </w:r>
      <w:r w:rsidRPr="00B30084">
        <w:rPr>
          <w:rFonts w:ascii="Times New Roman" w:hAnsi="Times New Roman" w:cs="Times New Roman"/>
          <w:i/>
          <w:sz w:val="24"/>
          <w:szCs w:val="24"/>
          <w:lang w:val="sr-Cyrl-RS"/>
        </w:rPr>
        <w:t>Euroclear</w:t>
      </w:r>
      <w:r w:rsidRPr="00B30084">
        <w:rPr>
          <w:rFonts w:ascii="Times New Roman" w:hAnsi="Times New Roman" w:cs="Times New Roman"/>
          <w:sz w:val="24"/>
          <w:szCs w:val="24"/>
          <w:lang w:val="sr-Cyrl-RS"/>
        </w:rPr>
        <w:t xml:space="preserve"> </w:t>
      </w:r>
      <w:r w:rsidR="00BD7876">
        <w:rPr>
          <w:rFonts w:ascii="Times New Roman" w:hAnsi="Times New Roman" w:cs="Times New Roman"/>
          <w:sz w:val="24"/>
          <w:szCs w:val="24"/>
          <w:lang w:val="sr-Cyrl-RS"/>
        </w:rPr>
        <w:t xml:space="preserve">у циљу </w:t>
      </w:r>
      <w:r w:rsidRPr="00B30084">
        <w:rPr>
          <w:rFonts w:ascii="Times New Roman" w:hAnsi="Times New Roman" w:cs="Times New Roman"/>
          <w:sz w:val="24"/>
          <w:szCs w:val="24"/>
          <w:lang w:val="sr-Cyrl-RS"/>
        </w:rPr>
        <w:t>повез</w:t>
      </w:r>
      <w:r w:rsidR="00BD7876">
        <w:rPr>
          <w:rFonts w:ascii="Times New Roman" w:hAnsi="Times New Roman" w:cs="Times New Roman"/>
          <w:sz w:val="24"/>
          <w:szCs w:val="24"/>
          <w:lang w:val="sr-Cyrl-RS"/>
        </w:rPr>
        <w:t>ивања Србије</w:t>
      </w:r>
      <w:r w:rsidRPr="00B30084">
        <w:rPr>
          <w:rFonts w:ascii="Times New Roman" w:hAnsi="Times New Roman" w:cs="Times New Roman"/>
          <w:sz w:val="24"/>
          <w:szCs w:val="24"/>
          <w:lang w:val="sr-Cyrl-RS"/>
        </w:rPr>
        <w:t xml:space="preserve"> са глобалним системом. Међутим, барем у почетку, не треба очекивати да веза</w:t>
      </w:r>
      <w:r w:rsidR="001B3BC9">
        <w:rPr>
          <w:rFonts w:ascii="Times New Roman" w:hAnsi="Times New Roman" w:cs="Times New Roman"/>
          <w:sz w:val="24"/>
          <w:szCs w:val="24"/>
          <w:lang w:val="sr-Cyrl-RS"/>
        </w:rPr>
        <w:t xml:space="preserve"> са</w:t>
      </w:r>
      <w:r w:rsidRPr="00B30084">
        <w:rPr>
          <w:rFonts w:ascii="Times New Roman" w:hAnsi="Times New Roman" w:cs="Times New Roman"/>
          <w:sz w:val="24"/>
          <w:szCs w:val="24"/>
          <w:lang w:val="sr-Cyrl-RS"/>
        </w:rPr>
        <w:t xml:space="preserve"> </w:t>
      </w:r>
      <w:r w:rsidRPr="00B30084">
        <w:rPr>
          <w:rFonts w:ascii="Times New Roman" w:hAnsi="Times New Roman" w:cs="Times New Roman"/>
          <w:i/>
          <w:sz w:val="24"/>
          <w:szCs w:val="24"/>
          <w:lang w:val="sr-Cyrl-RS"/>
        </w:rPr>
        <w:t>Euroclear</w:t>
      </w:r>
      <w:r w:rsidRPr="00B30084">
        <w:rPr>
          <w:rFonts w:ascii="Times New Roman" w:hAnsi="Times New Roman" w:cs="Times New Roman"/>
          <w:sz w:val="24"/>
          <w:szCs w:val="24"/>
          <w:lang w:val="sr-Cyrl-RS"/>
        </w:rPr>
        <w:t xml:space="preserve"> или неким другим међународним централним </w:t>
      </w:r>
      <w:proofErr w:type="spellStart"/>
      <w:r w:rsidRPr="00B30084">
        <w:rPr>
          <w:rFonts w:ascii="Times New Roman" w:hAnsi="Times New Roman" w:cs="Times New Roman"/>
          <w:sz w:val="24"/>
          <w:szCs w:val="24"/>
          <w:lang w:val="sr-Cyrl-RS"/>
        </w:rPr>
        <w:t>депозитаром</w:t>
      </w:r>
      <w:proofErr w:type="spellEnd"/>
      <w:r w:rsidRPr="00B30084">
        <w:rPr>
          <w:rFonts w:ascii="Times New Roman" w:hAnsi="Times New Roman" w:cs="Times New Roman"/>
          <w:sz w:val="24"/>
          <w:szCs w:val="24"/>
          <w:lang w:val="sr-Cyrl-RS"/>
        </w:rPr>
        <w:t xml:space="preserve"> хартија од вредности</w:t>
      </w:r>
      <w:r w:rsidRPr="00B30084" w:rsidDel="00C51C28">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Cyrl-RS"/>
        </w:rPr>
        <w:t>утиче на корпоративно тржиште хартија од вредности.</w:t>
      </w:r>
    </w:p>
    <w:p w14:paraId="285425F7" w14:textId="66C358E5" w:rsidR="00693ECC" w:rsidRDefault="0038388D" w:rsidP="00D375A3">
      <w:pPr>
        <w:spacing w:line="276" w:lineRule="auto"/>
        <w:jc w:val="both"/>
        <w:rPr>
          <w:rFonts w:ascii="Times New Roman" w:hAnsi="Times New Roman" w:cs="Times New Roman"/>
          <w:lang w:val="sr-Cyrl-RS"/>
        </w:rPr>
      </w:pPr>
      <w:r w:rsidRPr="00B30084">
        <w:rPr>
          <w:rFonts w:ascii="Times New Roman" w:hAnsi="Times New Roman" w:cs="Times New Roman"/>
          <w:lang w:val="sr-Cyrl-RS"/>
        </w:rPr>
        <w:t xml:space="preserve">ПЦ3 </w:t>
      </w:r>
      <w:r w:rsidR="00CE1ACC" w:rsidRPr="00B30084">
        <w:rPr>
          <w:rFonts w:ascii="Times New Roman" w:hAnsi="Times New Roman" w:cs="Times New Roman"/>
          <w:lang w:val="sr-Cyrl-RS"/>
        </w:rPr>
        <w:t>Подигнути капацитети и ниво знања свих учесника на тржишту капитала</w:t>
      </w:r>
    </w:p>
    <w:p w14:paraId="6F362414" w14:textId="3683E40D" w:rsidR="00E40678" w:rsidRDefault="00E40678" w:rsidP="00D375A3">
      <w:pPr>
        <w:spacing w:line="276" w:lineRule="auto"/>
        <w:jc w:val="both"/>
        <w:rPr>
          <w:rFonts w:ascii="Times New Roman" w:hAnsi="Times New Roman" w:cs="Times New Roman"/>
          <w:lang w:val="sr-Cyrl-RS"/>
        </w:rPr>
      </w:pPr>
    </w:p>
    <w:p w14:paraId="7CD09F82" w14:textId="26AE3263" w:rsidR="00E40678" w:rsidRDefault="00E40678" w:rsidP="00D375A3">
      <w:pPr>
        <w:spacing w:line="276" w:lineRule="auto"/>
        <w:jc w:val="both"/>
        <w:rPr>
          <w:rFonts w:ascii="Times New Roman" w:hAnsi="Times New Roman" w:cs="Times New Roman"/>
          <w:lang w:val="sr-Cyrl-RS"/>
        </w:rPr>
      </w:pPr>
    </w:p>
    <w:p w14:paraId="03CFC20E" w14:textId="3902F275" w:rsidR="00E40678" w:rsidRDefault="00E40678" w:rsidP="00D375A3">
      <w:pPr>
        <w:spacing w:line="276" w:lineRule="auto"/>
        <w:jc w:val="both"/>
        <w:rPr>
          <w:rFonts w:ascii="Times New Roman" w:hAnsi="Times New Roman" w:cs="Times New Roman"/>
          <w:lang w:val="sr-Cyrl-RS"/>
        </w:rPr>
      </w:pPr>
    </w:p>
    <w:p w14:paraId="411C3484" w14:textId="58B3E0F1" w:rsidR="00E40678" w:rsidRDefault="00E40678" w:rsidP="00D375A3">
      <w:pPr>
        <w:spacing w:line="276" w:lineRule="auto"/>
        <w:jc w:val="both"/>
        <w:rPr>
          <w:rFonts w:ascii="Times New Roman" w:hAnsi="Times New Roman" w:cs="Times New Roman"/>
          <w:lang w:val="sr-Cyrl-RS"/>
        </w:rPr>
      </w:pPr>
    </w:p>
    <w:p w14:paraId="07C97538" w14:textId="1B4D79C1" w:rsidR="00E40678" w:rsidRDefault="00E40678" w:rsidP="00D375A3">
      <w:pPr>
        <w:spacing w:line="276" w:lineRule="auto"/>
        <w:jc w:val="both"/>
        <w:rPr>
          <w:rFonts w:ascii="Times New Roman" w:hAnsi="Times New Roman" w:cs="Times New Roman"/>
          <w:lang w:val="sr-Cyrl-RS"/>
        </w:rPr>
      </w:pPr>
    </w:p>
    <w:p w14:paraId="0644A800" w14:textId="77777777" w:rsidR="00E40678" w:rsidRPr="00B30084" w:rsidRDefault="00E40678" w:rsidP="00D375A3">
      <w:pPr>
        <w:spacing w:line="276" w:lineRule="auto"/>
        <w:jc w:val="both"/>
        <w:rPr>
          <w:rFonts w:ascii="Times New Roman" w:hAnsi="Times New Roman" w:cs="Times New Roman"/>
          <w:lang w:val="sr-Cyrl-RS"/>
        </w:rPr>
      </w:pPr>
    </w:p>
    <w:p w14:paraId="00CCFE23" w14:textId="052AD419" w:rsidR="0038388D" w:rsidRPr="00B30084" w:rsidRDefault="0038388D" w:rsidP="00D375A3">
      <w:pPr>
        <w:spacing w:line="276" w:lineRule="auto"/>
        <w:jc w:val="both"/>
        <w:rPr>
          <w:rFonts w:ascii="Times New Roman" w:hAnsi="Times New Roman" w:cs="Times New Roman"/>
          <w:lang w:val="sr-Cyrl-RS"/>
        </w:rPr>
      </w:pPr>
      <w:r w:rsidRPr="00B30084">
        <w:rPr>
          <w:rFonts w:ascii="Times New Roman" w:hAnsi="Times New Roman" w:cs="Times New Roman"/>
          <w:lang w:val="sr-Cyrl-RS"/>
        </w:rPr>
        <w:lastRenderedPageBreak/>
        <w:t>Мера 3.1. Јачање технолошких и људских капацитета институција</w:t>
      </w:r>
    </w:p>
    <w:tbl>
      <w:tblPr>
        <w:tblStyle w:val="TableGrid"/>
        <w:tblW w:w="5382" w:type="pct"/>
        <w:tblInd w:w="-465" w:type="dxa"/>
        <w:tblLayout w:type="fixed"/>
        <w:tblLook w:val="04A0" w:firstRow="1" w:lastRow="0" w:firstColumn="1" w:lastColumn="0" w:noHBand="0" w:noVBand="1"/>
      </w:tblPr>
      <w:tblGrid>
        <w:gridCol w:w="3136"/>
        <w:gridCol w:w="1683"/>
        <w:gridCol w:w="1685"/>
        <w:gridCol w:w="1572"/>
        <w:gridCol w:w="2027"/>
      </w:tblGrid>
      <w:tr w:rsidR="0038388D" w:rsidRPr="00B30084" w14:paraId="0E0FBB74" w14:textId="77777777" w:rsidTr="00B12AD9">
        <w:trPr>
          <w:trHeight w:val="230"/>
        </w:trPr>
        <w:tc>
          <w:tcPr>
            <w:tcW w:w="1552" w:type="pct"/>
            <w:vMerge w:val="restart"/>
            <w:tcBorders>
              <w:top w:val="double" w:sz="4" w:space="0" w:color="auto"/>
              <w:left w:val="double" w:sz="4" w:space="0" w:color="auto"/>
            </w:tcBorders>
            <w:shd w:val="clear" w:color="auto" w:fill="FFF2CC" w:themeFill="accent4" w:themeFillTint="33"/>
          </w:tcPr>
          <w:p w14:paraId="5CFBB410" w14:textId="77777777" w:rsidR="0038388D" w:rsidRPr="00B30084" w:rsidRDefault="0038388D"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Назив мере:</w:t>
            </w:r>
          </w:p>
        </w:tc>
        <w:tc>
          <w:tcPr>
            <w:tcW w:w="833" w:type="pct"/>
            <w:vMerge w:val="restart"/>
            <w:tcBorders>
              <w:top w:val="double" w:sz="4" w:space="0" w:color="auto"/>
            </w:tcBorders>
            <w:shd w:val="clear" w:color="auto" w:fill="FFF2CC" w:themeFill="accent4" w:themeFillTint="33"/>
          </w:tcPr>
          <w:p w14:paraId="3F37AAFF" w14:textId="77777777" w:rsidR="0038388D" w:rsidRPr="00B30084" w:rsidRDefault="0038388D"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Орган који спроводи меру</w:t>
            </w:r>
          </w:p>
        </w:tc>
        <w:tc>
          <w:tcPr>
            <w:tcW w:w="834" w:type="pct"/>
            <w:vMerge w:val="restart"/>
            <w:tcBorders>
              <w:top w:val="double" w:sz="4" w:space="0" w:color="auto"/>
            </w:tcBorders>
            <w:shd w:val="clear" w:color="auto" w:fill="FFF2CC" w:themeFill="accent4" w:themeFillTint="33"/>
          </w:tcPr>
          <w:p w14:paraId="55A7D9AB" w14:textId="77777777" w:rsidR="0038388D" w:rsidRPr="00B30084" w:rsidRDefault="0038388D"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Органи партнери у спровођењу </w:t>
            </w:r>
          </w:p>
        </w:tc>
        <w:tc>
          <w:tcPr>
            <w:tcW w:w="778" w:type="pct"/>
            <w:vMerge w:val="restart"/>
            <w:tcBorders>
              <w:top w:val="double" w:sz="4" w:space="0" w:color="auto"/>
            </w:tcBorders>
            <w:shd w:val="clear" w:color="auto" w:fill="FFF2CC" w:themeFill="accent4" w:themeFillTint="33"/>
          </w:tcPr>
          <w:p w14:paraId="23565794" w14:textId="77777777" w:rsidR="0038388D" w:rsidRPr="00B30084" w:rsidRDefault="0038388D"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Рок за завршетак мере</w:t>
            </w:r>
          </w:p>
        </w:tc>
        <w:tc>
          <w:tcPr>
            <w:tcW w:w="1003" w:type="pct"/>
            <w:vMerge w:val="restart"/>
            <w:tcBorders>
              <w:top w:val="double" w:sz="4" w:space="0" w:color="auto"/>
            </w:tcBorders>
            <w:shd w:val="clear" w:color="auto" w:fill="FFF2CC" w:themeFill="accent4" w:themeFillTint="33"/>
          </w:tcPr>
          <w:p w14:paraId="426A962B" w14:textId="77777777" w:rsidR="0038388D" w:rsidRPr="00B30084" w:rsidRDefault="0038388D" w:rsidP="00B12AD9">
            <w:pPr>
              <w:ind w:left="90"/>
              <w:jc w:val="center"/>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финансирања</w:t>
            </w:r>
          </w:p>
        </w:tc>
      </w:tr>
      <w:tr w:rsidR="0038388D" w:rsidRPr="00B30084" w14:paraId="293337E3" w14:textId="77777777" w:rsidTr="00B12AD9">
        <w:trPr>
          <w:trHeight w:val="322"/>
        </w:trPr>
        <w:tc>
          <w:tcPr>
            <w:tcW w:w="1552" w:type="pct"/>
            <w:vMerge/>
            <w:tcBorders>
              <w:left w:val="double" w:sz="4" w:space="0" w:color="auto"/>
            </w:tcBorders>
            <w:shd w:val="clear" w:color="auto" w:fill="FFF2CC" w:themeFill="accent4" w:themeFillTint="33"/>
          </w:tcPr>
          <w:p w14:paraId="0C96FDBA" w14:textId="77777777" w:rsidR="0038388D" w:rsidRPr="00B30084" w:rsidRDefault="0038388D" w:rsidP="00B12AD9">
            <w:pPr>
              <w:ind w:left="90"/>
              <w:rPr>
                <w:rFonts w:ascii="Times New Roman" w:hAnsi="Times New Roman" w:cs="Times New Roman"/>
                <w:sz w:val="20"/>
                <w:szCs w:val="20"/>
                <w:lang w:val="sr-Cyrl-RS"/>
              </w:rPr>
            </w:pPr>
          </w:p>
        </w:tc>
        <w:tc>
          <w:tcPr>
            <w:tcW w:w="833" w:type="pct"/>
            <w:vMerge/>
            <w:shd w:val="clear" w:color="auto" w:fill="FFF2CC" w:themeFill="accent4" w:themeFillTint="33"/>
          </w:tcPr>
          <w:p w14:paraId="17907EF9" w14:textId="77777777" w:rsidR="0038388D" w:rsidRPr="00B30084" w:rsidRDefault="0038388D" w:rsidP="00B12AD9">
            <w:pPr>
              <w:ind w:left="90"/>
              <w:rPr>
                <w:rFonts w:ascii="Times New Roman" w:hAnsi="Times New Roman" w:cs="Times New Roman"/>
                <w:sz w:val="20"/>
                <w:szCs w:val="20"/>
                <w:lang w:val="sr-Cyrl-RS"/>
              </w:rPr>
            </w:pPr>
          </w:p>
        </w:tc>
        <w:tc>
          <w:tcPr>
            <w:tcW w:w="834" w:type="pct"/>
            <w:vMerge/>
            <w:shd w:val="clear" w:color="auto" w:fill="FFF2CC" w:themeFill="accent4" w:themeFillTint="33"/>
          </w:tcPr>
          <w:p w14:paraId="1D63C4FD" w14:textId="77777777" w:rsidR="0038388D" w:rsidRPr="00B30084" w:rsidRDefault="0038388D" w:rsidP="00B12AD9">
            <w:pPr>
              <w:ind w:left="90"/>
              <w:rPr>
                <w:rFonts w:ascii="Times New Roman" w:hAnsi="Times New Roman" w:cs="Times New Roman"/>
                <w:sz w:val="20"/>
                <w:szCs w:val="20"/>
                <w:lang w:val="sr-Cyrl-RS"/>
              </w:rPr>
            </w:pPr>
          </w:p>
        </w:tc>
        <w:tc>
          <w:tcPr>
            <w:tcW w:w="778" w:type="pct"/>
            <w:vMerge/>
            <w:shd w:val="clear" w:color="auto" w:fill="FFF2CC" w:themeFill="accent4" w:themeFillTint="33"/>
          </w:tcPr>
          <w:p w14:paraId="1788F009" w14:textId="77777777" w:rsidR="0038388D" w:rsidRPr="00B30084" w:rsidRDefault="0038388D" w:rsidP="00B12AD9">
            <w:pPr>
              <w:ind w:left="90"/>
              <w:jc w:val="center"/>
              <w:rPr>
                <w:rFonts w:ascii="Times New Roman" w:hAnsi="Times New Roman" w:cs="Times New Roman"/>
                <w:sz w:val="20"/>
                <w:szCs w:val="20"/>
                <w:lang w:val="sr-Cyrl-RS"/>
              </w:rPr>
            </w:pPr>
          </w:p>
        </w:tc>
        <w:tc>
          <w:tcPr>
            <w:tcW w:w="1003" w:type="pct"/>
            <w:vMerge/>
            <w:shd w:val="clear" w:color="auto" w:fill="FFF2CC" w:themeFill="accent4" w:themeFillTint="33"/>
          </w:tcPr>
          <w:p w14:paraId="7B6D3FBD" w14:textId="77777777" w:rsidR="0038388D" w:rsidRPr="00B30084" w:rsidRDefault="0038388D" w:rsidP="00B12AD9">
            <w:pPr>
              <w:ind w:left="90"/>
              <w:jc w:val="center"/>
              <w:rPr>
                <w:rFonts w:ascii="Times New Roman" w:hAnsi="Times New Roman" w:cs="Times New Roman"/>
                <w:sz w:val="20"/>
                <w:szCs w:val="20"/>
                <w:lang w:val="sr-Cyrl-RS"/>
              </w:rPr>
            </w:pPr>
          </w:p>
        </w:tc>
      </w:tr>
      <w:tr w:rsidR="0038388D" w:rsidRPr="00B30084" w14:paraId="7164A4E2" w14:textId="77777777" w:rsidTr="00B12AD9">
        <w:trPr>
          <w:trHeight w:val="156"/>
        </w:trPr>
        <w:tc>
          <w:tcPr>
            <w:tcW w:w="1552" w:type="pct"/>
            <w:tcBorders>
              <w:left w:val="double" w:sz="4" w:space="0" w:color="auto"/>
            </w:tcBorders>
          </w:tcPr>
          <w:p w14:paraId="2CF3CD9E" w14:textId="15451B94"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3.3.1. Успостављање посебне јединице за тржиште капитала у циљу праћења реализације стратегије, спровођења не-регулаторних активности, координације </w:t>
            </w:r>
            <w:proofErr w:type="spellStart"/>
            <w:r w:rsidRPr="00B30084">
              <w:rPr>
                <w:rFonts w:ascii="Times New Roman" w:hAnsi="Times New Roman" w:cs="Times New Roman"/>
                <w:sz w:val="20"/>
                <w:szCs w:val="20"/>
                <w:lang w:val="sr-Cyrl-RS"/>
              </w:rPr>
              <w:t>међуинституционалне</w:t>
            </w:r>
            <w:proofErr w:type="spellEnd"/>
            <w:r w:rsidRPr="00B30084">
              <w:rPr>
                <w:rFonts w:ascii="Times New Roman" w:hAnsi="Times New Roman" w:cs="Times New Roman"/>
                <w:sz w:val="20"/>
                <w:szCs w:val="20"/>
                <w:lang w:val="sr-Cyrl-RS"/>
              </w:rPr>
              <w:t xml:space="preserve"> сарадње, вођења веб платформе, и пружања централизоване подршке учесницима на тржишту </w:t>
            </w:r>
          </w:p>
        </w:tc>
        <w:tc>
          <w:tcPr>
            <w:tcW w:w="833" w:type="pct"/>
          </w:tcPr>
          <w:p w14:paraId="2023EB2F"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1D023A2D"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 УЈД</w:t>
            </w:r>
          </w:p>
        </w:tc>
        <w:tc>
          <w:tcPr>
            <w:tcW w:w="778" w:type="pct"/>
          </w:tcPr>
          <w:p w14:paraId="797E8A7D"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30/09/22</w:t>
            </w:r>
          </w:p>
        </w:tc>
        <w:tc>
          <w:tcPr>
            <w:tcW w:w="1003" w:type="pct"/>
          </w:tcPr>
          <w:p w14:paraId="0693DBD1" w14:textId="55FDFAB7" w:rsidR="0038388D" w:rsidRPr="00B30084" w:rsidRDefault="007645AE" w:rsidP="00B12AD9">
            <w:pPr>
              <w:shd w:val="clear" w:color="auto" w:fill="FFFFFF" w:themeFill="background1"/>
              <w:rPr>
                <w:rFonts w:ascii="Times New Roman" w:hAnsi="Times New Roman" w:cs="Times New Roman"/>
                <w:sz w:val="20"/>
                <w:szCs w:val="20"/>
                <w:lang w:val="sr-Cyrl-RS"/>
              </w:rPr>
            </w:pPr>
            <w:r>
              <w:rPr>
                <w:rFonts w:ascii="Times New Roman" w:hAnsi="Times New Roman" w:cs="Times New Roman"/>
                <w:sz w:val="20"/>
                <w:szCs w:val="20"/>
                <w:lang w:val="sr-Cyrl-RS"/>
              </w:rPr>
              <w:t>Донаторска средства</w:t>
            </w:r>
          </w:p>
        </w:tc>
      </w:tr>
      <w:tr w:rsidR="0038388D" w:rsidRPr="00B30084" w14:paraId="77D30705" w14:textId="77777777" w:rsidTr="00B12AD9">
        <w:trPr>
          <w:trHeight w:val="156"/>
        </w:trPr>
        <w:tc>
          <w:tcPr>
            <w:tcW w:w="1552" w:type="pct"/>
            <w:tcBorders>
              <w:left w:val="double" w:sz="4" w:space="0" w:color="auto"/>
            </w:tcBorders>
          </w:tcPr>
          <w:p w14:paraId="3D1668A3" w14:textId="419DE23D"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3.3.2. Развој и имплементација новог софтвера ЦРХоВ</w:t>
            </w:r>
          </w:p>
        </w:tc>
        <w:tc>
          <w:tcPr>
            <w:tcW w:w="833" w:type="pct"/>
          </w:tcPr>
          <w:p w14:paraId="1FB91CD8"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ЦРХоВ</w:t>
            </w:r>
          </w:p>
        </w:tc>
        <w:tc>
          <w:tcPr>
            <w:tcW w:w="834" w:type="pct"/>
          </w:tcPr>
          <w:p w14:paraId="1B9445F7"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 УЈД, ББ, КХоВ</w:t>
            </w:r>
          </w:p>
        </w:tc>
        <w:tc>
          <w:tcPr>
            <w:tcW w:w="778" w:type="pct"/>
          </w:tcPr>
          <w:p w14:paraId="224CD0C0"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28/02/22</w:t>
            </w:r>
          </w:p>
        </w:tc>
        <w:tc>
          <w:tcPr>
            <w:tcW w:w="1003" w:type="pct"/>
          </w:tcPr>
          <w:p w14:paraId="77F11C2E"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Буџет РС</w:t>
            </w:r>
          </w:p>
        </w:tc>
      </w:tr>
      <w:tr w:rsidR="0038388D" w:rsidRPr="00B30084" w14:paraId="7A60252F" w14:textId="77777777" w:rsidTr="00B12AD9">
        <w:trPr>
          <w:trHeight w:val="156"/>
        </w:trPr>
        <w:tc>
          <w:tcPr>
            <w:tcW w:w="1552" w:type="pct"/>
            <w:tcBorders>
              <w:left w:val="double" w:sz="4" w:space="0" w:color="auto"/>
            </w:tcBorders>
          </w:tcPr>
          <w:p w14:paraId="75C143D3" w14:textId="4CEFFF2F"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3.3.3. Обезбеђивање свеобухватног програма техничке подршке за релевантне институције у циљу довођења квалитетног кадра, спровођења додатних аналитичких активности, подршке у изради </w:t>
            </w:r>
            <w:proofErr w:type="spellStart"/>
            <w:r w:rsidRPr="00B30084">
              <w:rPr>
                <w:rFonts w:ascii="Times New Roman" w:hAnsi="Times New Roman" w:cs="Times New Roman"/>
                <w:sz w:val="20"/>
                <w:szCs w:val="20"/>
                <w:lang w:val="sr-Cyrl-RS"/>
              </w:rPr>
              <w:t>релевеантних</w:t>
            </w:r>
            <w:proofErr w:type="spellEnd"/>
            <w:r w:rsidRPr="00B30084">
              <w:rPr>
                <w:rFonts w:ascii="Times New Roman" w:hAnsi="Times New Roman" w:cs="Times New Roman"/>
                <w:sz w:val="20"/>
                <w:szCs w:val="20"/>
                <w:lang w:val="sr-Cyrl-RS"/>
              </w:rPr>
              <w:t xml:space="preserve"> интерних аката, и друго</w:t>
            </w:r>
          </w:p>
        </w:tc>
        <w:tc>
          <w:tcPr>
            <w:tcW w:w="833" w:type="pct"/>
          </w:tcPr>
          <w:p w14:paraId="1253DCFB"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36514F3E"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КХоВ, УЈД, ЦРХОВ, ПУ, Управа за спречавање прања новца и финансирање тероризма</w:t>
            </w:r>
          </w:p>
        </w:tc>
        <w:tc>
          <w:tcPr>
            <w:tcW w:w="778" w:type="pct"/>
          </w:tcPr>
          <w:p w14:paraId="6859D0FE"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31/05/22</w:t>
            </w:r>
          </w:p>
        </w:tc>
        <w:tc>
          <w:tcPr>
            <w:tcW w:w="1003" w:type="pct"/>
          </w:tcPr>
          <w:p w14:paraId="58B38773"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Донаторска средства </w:t>
            </w:r>
          </w:p>
        </w:tc>
      </w:tr>
    </w:tbl>
    <w:p w14:paraId="57176D57" w14:textId="77777777" w:rsidR="0038388D" w:rsidRPr="00B30084" w:rsidRDefault="0038388D" w:rsidP="00D375A3">
      <w:pPr>
        <w:spacing w:line="276" w:lineRule="auto"/>
        <w:jc w:val="both"/>
        <w:rPr>
          <w:rFonts w:ascii="Times New Roman" w:hAnsi="Times New Roman" w:cs="Times New Roman"/>
          <w:lang w:val="sr-Cyrl-RS"/>
        </w:rPr>
      </w:pPr>
    </w:p>
    <w:p w14:paraId="7B57A40E" w14:textId="77777777" w:rsidR="0038388D" w:rsidRPr="00B30084" w:rsidRDefault="0038388D" w:rsidP="0038388D">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Опште питање је да ли су тренутне платформе и </w:t>
      </w:r>
      <w:proofErr w:type="spellStart"/>
      <w:r w:rsidRPr="00B30084">
        <w:rPr>
          <w:rFonts w:ascii="Times New Roman" w:hAnsi="Times New Roman" w:cs="Times New Roman"/>
          <w:sz w:val="24"/>
          <w:szCs w:val="24"/>
          <w:lang w:val="sr-Cyrl-RS"/>
        </w:rPr>
        <w:t>инфраструктурални</w:t>
      </w:r>
      <w:proofErr w:type="spellEnd"/>
      <w:r w:rsidRPr="00B30084">
        <w:rPr>
          <w:rFonts w:ascii="Times New Roman" w:hAnsi="Times New Roman" w:cs="Times New Roman"/>
          <w:sz w:val="24"/>
          <w:szCs w:val="24"/>
          <w:lang w:val="sr-Cyrl-RS"/>
        </w:rPr>
        <w:t xml:space="preserve"> системи адекватни за тренутни и предвиђени ниво учешћа.</w:t>
      </w:r>
    </w:p>
    <w:p w14:paraId="6C3DB77A" w14:textId="62B535CF" w:rsidR="0038388D" w:rsidRPr="00B30084" w:rsidRDefault="0038388D" w:rsidP="0038388D">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Према</w:t>
      </w:r>
      <w:r w:rsidR="0084156D">
        <w:rPr>
          <w:rFonts w:ascii="Times New Roman" w:hAnsi="Times New Roman" w:cs="Times New Roman"/>
          <w:sz w:val="24"/>
          <w:szCs w:val="24"/>
          <w:lang w:val="sr-Cyrl-RS"/>
        </w:rPr>
        <w:t xml:space="preserve"> разговорима који су се водили са привредницима</w:t>
      </w:r>
      <w:r w:rsidRPr="00B30084">
        <w:rPr>
          <w:rFonts w:ascii="Times New Roman" w:hAnsi="Times New Roman" w:cs="Times New Roman"/>
          <w:sz w:val="24"/>
          <w:szCs w:val="24"/>
          <w:lang w:val="sr-Cyrl-RS"/>
        </w:rPr>
        <w:t xml:space="preserve">, чини се да је </w:t>
      </w:r>
      <w:proofErr w:type="spellStart"/>
      <w:r w:rsidRPr="00B30084">
        <w:rPr>
          <w:rFonts w:ascii="Times New Roman" w:hAnsi="Times New Roman" w:cs="Times New Roman"/>
          <w:sz w:val="24"/>
          <w:szCs w:val="24"/>
          <w:lang w:val="sr-Cyrl-RS"/>
        </w:rPr>
        <w:t>Белекс</w:t>
      </w:r>
      <w:proofErr w:type="spellEnd"/>
      <w:r w:rsidRPr="00B30084">
        <w:rPr>
          <w:rFonts w:ascii="Times New Roman" w:hAnsi="Times New Roman" w:cs="Times New Roman"/>
          <w:sz w:val="24"/>
          <w:szCs w:val="24"/>
          <w:lang w:val="sr-Cyrl-RS"/>
        </w:rPr>
        <w:t xml:space="preserve">-ов ИТ систем адекватан. Инвеститори се могу </w:t>
      </w:r>
      <w:r w:rsidRPr="00B30084">
        <w:rPr>
          <w:rFonts w:ascii="Times New Roman" w:hAnsi="Times New Roman" w:cs="Times New Roman"/>
          <w:bCs/>
          <w:color w:val="000000"/>
          <w:sz w:val="24"/>
          <w:szCs w:val="24"/>
          <w:lang w:val="sr-Cyrl-RS"/>
        </w:rPr>
        <w:t>бавити</w:t>
      </w:r>
      <w:r w:rsidRPr="00B30084">
        <w:rPr>
          <w:rFonts w:ascii="Times New Roman" w:hAnsi="Times New Roman" w:cs="Times New Roman"/>
          <w:sz w:val="24"/>
          <w:szCs w:val="24"/>
          <w:lang w:val="sr-Cyrl-RS"/>
        </w:rPr>
        <w:t xml:space="preserve"> трговином</w:t>
      </w:r>
      <w:r w:rsidR="00B96FB6">
        <w:rPr>
          <w:rFonts w:ascii="Times New Roman" w:hAnsi="Times New Roman" w:cs="Times New Roman"/>
          <w:sz w:val="24"/>
          <w:szCs w:val="24"/>
          <w:lang w:val="sr-Cyrl-RS"/>
        </w:rPr>
        <w:t xml:space="preserve"> са свог </w:t>
      </w:r>
      <w:r w:rsidRPr="00B30084">
        <w:rPr>
          <w:rFonts w:ascii="Times New Roman" w:hAnsi="Times New Roman" w:cs="Times New Roman"/>
          <w:sz w:val="24"/>
          <w:szCs w:val="24"/>
          <w:lang w:val="sr-Cyrl-RS"/>
        </w:rPr>
        <w:t xml:space="preserve">рачунара путем рутера у реалном времену путем свог брокера. Преноси новца на рачуне за трговање и </w:t>
      </w:r>
      <w:r w:rsidR="009D4FAF">
        <w:rPr>
          <w:rFonts w:ascii="Times New Roman" w:hAnsi="Times New Roman" w:cs="Times New Roman"/>
          <w:sz w:val="24"/>
          <w:szCs w:val="24"/>
          <w:lang w:val="sr-Cyrl-RS"/>
        </w:rPr>
        <w:t>са</w:t>
      </w:r>
      <w:r w:rsidRPr="00B30084">
        <w:rPr>
          <w:rFonts w:ascii="Times New Roman" w:hAnsi="Times New Roman" w:cs="Times New Roman"/>
          <w:sz w:val="24"/>
          <w:szCs w:val="24"/>
          <w:lang w:val="sr-Cyrl-RS"/>
        </w:rPr>
        <w:t xml:space="preserve"> њих могу се извршити електронским путем са малим временом одлагања за књижење.</w:t>
      </w:r>
    </w:p>
    <w:p w14:paraId="16B4B00B" w14:textId="6CB3F28B" w:rsidR="0038388D" w:rsidRDefault="0038388D" w:rsidP="0038388D">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 xml:space="preserve">Са друге стране, систем ЦРХоВ не може да одговори потребама за </w:t>
      </w:r>
      <w:proofErr w:type="spellStart"/>
      <w:r w:rsidRPr="00B30084">
        <w:rPr>
          <w:rFonts w:ascii="Times New Roman" w:hAnsi="Times New Roman" w:cs="Times New Roman"/>
          <w:sz w:val="24"/>
          <w:szCs w:val="24"/>
          <w:lang w:val="sr-Cyrl-RS"/>
        </w:rPr>
        <w:t>услађивањем</w:t>
      </w:r>
      <w:proofErr w:type="spellEnd"/>
      <w:r w:rsidRPr="00B30084">
        <w:rPr>
          <w:rFonts w:ascii="Times New Roman" w:hAnsi="Times New Roman" w:cs="Times New Roman"/>
          <w:sz w:val="24"/>
          <w:szCs w:val="24"/>
          <w:lang w:val="sr-Cyrl-RS"/>
        </w:rPr>
        <w:t xml:space="preserve"> са </w:t>
      </w:r>
      <w:proofErr w:type="spellStart"/>
      <w:r w:rsidRPr="00B30084">
        <w:rPr>
          <w:rFonts w:ascii="Times New Roman" w:hAnsi="Times New Roman" w:cs="Times New Roman"/>
          <w:sz w:val="24"/>
          <w:szCs w:val="24"/>
          <w:lang w:val="sr-Cyrl-RS"/>
        </w:rPr>
        <w:t>МиФИД</w:t>
      </w:r>
      <w:proofErr w:type="spellEnd"/>
      <w:r w:rsidRPr="00B30084">
        <w:rPr>
          <w:rFonts w:ascii="Times New Roman" w:hAnsi="Times New Roman" w:cs="Times New Roman"/>
          <w:sz w:val="24"/>
          <w:szCs w:val="24"/>
          <w:lang w:val="sr-Cyrl-RS"/>
        </w:rPr>
        <w:t xml:space="preserve"> </w:t>
      </w:r>
      <w:r w:rsidRPr="00B30084">
        <w:rPr>
          <w:rFonts w:ascii="Times New Roman" w:hAnsi="Times New Roman" w:cs="Times New Roman"/>
          <w:sz w:val="24"/>
          <w:szCs w:val="24"/>
          <w:lang w:val="sr-Latn-RS"/>
        </w:rPr>
        <w:t>II</w:t>
      </w:r>
      <w:r w:rsidRPr="00B30084">
        <w:rPr>
          <w:rFonts w:ascii="Times New Roman" w:hAnsi="Times New Roman" w:cs="Times New Roman"/>
          <w:sz w:val="24"/>
          <w:szCs w:val="24"/>
          <w:lang w:val="sr-Cyrl-RS"/>
        </w:rPr>
        <w:t xml:space="preserve"> и ЕУ </w:t>
      </w:r>
      <w:r w:rsidRPr="00B30084">
        <w:rPr>
          <w:rFonts w:ascii="Times New Roman" w:hAnsi="Times New Roman" w:cs="Times New Roman"/>
          <w:bCs/>
          <w:color w:val="000000"/>
          <w:sz w:val="24"/>
          <w:szCs w:val="24"/>
          <w:lang w:val="sr-Cyrl-RS"/>
        </w:rPr>
        <w:t>регулативом</w:t>
      </w:r>
      <w:r w:rsidRPr="00B30084">
        <w:rPr>
          <w:rFonts w:ascii="Times New Roman" w:hAnsi="Times New Roman" w:cs="Times New Roman"/>
          <w:sz w:val="24"/>
          <w:szCs w:val="24"/>
          <w:lang w:val="sr-Cyrl-RS"/>
        </w:rPr>
        <w:t xml:space="preserve">, те је сходно томе извршена емисија акција у јануару 2021. у вредности од РСД 100 милиона у циљу прикупљања капитала и ангажовања истог за потребе развоја новог софтвера и прилагођавања његове функционалности. Поред наведеног, овим ће се обезбедити и могућност повезивања са међународним и иностраним </w:t>
      </w:r>
      <w:proofErr w:type="spellStart"/>
      <w:r w:rsidRPr="00B30084">
        <w:rPr>
          <w:rFonts w:ascii="Times New Roman" w:hAnsi="Times New Roman" w:cs="Times New Roman"/>
          <w:sz w:val="24"/>
          <w:szCs w:val="24"/>
          <w:lang w:val="sr-Cyrl-RS"/>
        </w:rPr>
        <w:t>депозитарима</w:t>
      </w:r>
      <w:proofErr w:type="spellEnd"/>
      <w:r w:rsidRPr="00B30084">
        <w:rPr>
          <w:rFonts w:ascii="Times New Roman" w:hAnsi="Times New Roman" w:cs="Times New Roman"/>
          <w:sz w:val="24"/>
          <w:szCs w:val="24"/>
          <w:lang w:val="sr-Cyrl-RS"/>
        </w:rPr>
        <w:t xml:space="preserve"> </w:t>
      </w:r>
      <w:r w:rsidR="00D7576F" w:rsidRPr="00B30084">
        <w:rPr>
          <w:rFonts w:ascii="Times New Roman" w:hAnsi="Times New Roman" w:cs="Times New Roman"/>
          <w:sz w:val="24"/>
          <w:szCs w:val="24"/>
          <w:lang w:val="sr-Cyrl-RS"/>
        </w:rPr>
        <w:t>хартије од вредности</w:t>
      </w:r>
      <w:r w:rsidRPr="00B30084">
        <w:rPr>
          <w:rFonts w:ascii="Times New Roman" w:hAnsi="Times New Roman" w:cs="Times New Roman"/>
          <w:sz w:val="24"/>
          <w:szCs w:val="24"/>
          <w:lang w:val="sr-Cyrl-RS"/>
        </w:rPr>
        <w:t xml:space="preserve">, чиме ће се додатно повећати атрактивност улагања у домаће </w:t>
      </w:r>
      <w:r w:rsidR="00D7576F" w:rsidRPr="00B30084">
        <w:rPr>
          <w:rFonts w:ascii="Times New Roman" w:hAnsi="Times New Roman" w:cs="Times New Roman"/>
          <w:sz w:val="24"/>
          <w:szCs w:val="24"/>
          <w:lang w:val="sr-Cyrl-RS"/>
        </w:rPr>
        <w:t>хартије од вредности</w:t>
      </w:r>
      <w:r w:rsidRPr="00B30084">
        <w:rPr>
          <w:rFonts w:ascii="Times New Roman" w:hAnsi="Times New Roman" w:cs="Times New Roman"/>
          <w:sz w:val="24"/>
          <w:szCs w:val="24"/>
          <w:lang w:val="sr-Cyrl-RS"/>
        </w:rPr>
        <w:t xml:space="preserve">.  </w:t>
      </w:r>
    </w:p>
    <w:p w14:paraId="4E6CA55F" w14:textId="65C46222" w:rsidR="005E1AC7" w:rsidRDefault="005E1AC7" w:rsidP="0038388D">
      <w:pPr>
        <w:spacing w:line="276" w:lineRule="auto"/>
        <w:ind w:firstLine="720"/>
        <w:jc w:val="both"/>
        <w:rPr>
          <w:rFonts w:ascii="Times New Roman" w:hAnsi="Times New Roman" w:cs="Times New Roman"/>
          <w:sz w:val="24"/>
          <w:szCs w:val="24"/>
          <w:lang w:val="sr-Cyrl-RS"/>
        </w:rPr>
      </w:pPr>
    </w:p>
    <w:p w14:paraId="39F5A84A" w14:textId="6E56159E" w:rsidR="005E1AC7" w:rsidRDefault="005E1AC7" w:rsidP="0038388D">
      <w:pPr>
        <w:spacing w:line="276" w:lineRule="auto"/>
        <w:ind w:firstLine="720"/>
        <w:jc w:val="both"/>
        <w:rPr>
          <w:rFonts w:ascii="Times New Roman" w:hAnsi="Times New Roman" w:cs="Times New Roman"/>
          <w:sz w:val="24"/>
          <w:szCs w:val="24"/>
          <w:lang w:val="sr-Cyrl-RS"/>
        </w:rPr>
      </w:pPr>
    </w:p>
    <w:p w14:paraId="7788351F" w14:textId="77777777" w:rsidR="005E1AC7" w:rsidRPr="00B30084" w:rsidRDefault="005E1AC7" w:rsidP="0038388D">
      <w:pPr>
        <w:spacing w:line="276" w:lineRule="auto"/>
        <w:ind w:firstLine="720"/>
        <w:jc w:val="both"/>
        <w:rPr>
          <w:rFonts w:ascii="Times New Roman" w:hAnsi="Times New Roman" w:cs="Times New Roman"/>
          <w:sz w:val="24"/>
          <w:szCs w:val="24"/>
          <w:lang w:val="sr-Cyrl-RS"/>
        </w:rPr>
      </w:pPr>
    </w:p>
    <w:p w14:paraId="1EB0C6A3" w14:textId="5508A1EC" w:rsidR="0038388D" w:rsidRPr="00B30084" w:rsidRDefault="0038388D" w:rsidP="00D375A3">
      <w:pPr>
        <w:spacing w:line="276" w:lineRule="auto"/>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 xml:space="preserve">Мера 3.2. </w:t>
      </w:r>
      <w:r w:rsidR="00CE1ACC" w:rsidRPr="00B30084">
        <w:rPr>
          <w:rFonts w:ascii="Times New Roman" w:hAnsi="Times New Roman" w:cs="Times New Roman"/>
          <w:sz w:val="24"/>
          <w:szCs w:val="24"/>
          <w:lang w:val="sr-Cyrl-RS"/>
        </w:rPr>
        <w:t>Промоција могућности учешћа на тржишту капитала и едукација свих потенцијалних учесника на тржишту</w:t>
      </w:r>
      <w:r w:rsidR="00CE1ACC" w:rsidRPr="00B30084" w:rsidDel="00CE1ACC">
        <w:rPr>
          <w:rFonts w:ascii="Times New Roman" w:hAnsi="Times New Roman" w:cs="Times New Roman"/>
          <w:sz w:val="24"/>
          <w:szCs w:val="24"/>
        </w:rPr>
        <w:t xml:space="preserve"> </w:t>
      </w:r>
    </w:p>
    <w:tbl>
      <w:tblPr>
        <w:tblStyle w:val="TableGrid"/>
        <w:tblW w:w="5382" w:type="pct"/>
        <w:tblInd w:w="-465" w:type="dxa"/>
        <w:tblLayout w:type="fixed"/>
        <w:tblLook w:val="04A0" w:firstRow="1" w:lastRow="0" w:firstColumn="1" w:lastColumn="0" w:noHBand="0" w:noVBand="1"/>
      </w:tblPr>
      <w:tblGrid>
        <w:gridCol w:w="3136"/>
        <w:gridCol w:w="1683"/>
        <w:gridCol w:w="1685"/>
        <w:gridCol w:w="1572"/>
        <w:gridCol w:w="2027"/>
      </w:tblGrid>
      <w:tr w:rsidR="0038388D" w:rsidRPr="00B30084" w14:paraId="2241DFBB" w14:textId="77777777" w:rsidTr="00B12AD9">
        <w:trPr>
          <w:trHeight w:val="230"/>
        </w:trPr>
        <w:tc>
          <w:tcPr>
            <w:tcW w:w="1552" w:type="pct"/>
            <w:vMerge w:val="restart"/>
            <w:tcBorders>
              <w:top w:val="double" w:sz="4" w:space="0" w:color="auto"/>
              <w:left w:val="double" w:sz="4" w:space="0" w:color="auto"/>
            </w:tcBorders>
            <w:shd w:val="clear" w:color="auto" w:fill="FFF2CC" w:themeFill="accent4" w:themeFillTint="33"/>
          </w:tcPr>
          <w:p w14:paraId="339ABC2A" w14:textId="77777777" w:rsidR="0038388D" w:rsidRPr="00B30084" w:rsidRDefault="0038388D"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Назив мере:</w:t>
            </w:r>
          </w:p>
        </w:tc>
        <w:tc>
          <w:tcPr>
            <w:tcW w:w="833" w:type="pct"/>
            <w:vMerge w:val="restart"/>
            <w:tcBorders>
              <w:top w:val="double" w:sz="4" w:space="0" w:color="auto"/>
            </w:tcBorders>
            <w:shd w:val="clear" w:color="auto" w:fill="FFF2CC" w:themeFill="accent4" w:themeFillTint="33"/>
          </w:tcPr>
          <w:p w14:paraId="52316F99" w14:textId="77777777" w:rsidR="0038388D" w:rsidRPr="00B30084" w:rsidRDefault="0038388D"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Орган који спроводи меру</w:t>
            </w:r>
          </w:p>
        </w:tc>
        <w:tc>
          <w:tcPr>
            <w:tcW w:w="834" w:type="pct"/>
            <w:vMerge w:val="restart"/>
            <w:tcBorders>
              <w:top w:val="double" w:sz="4" w:space="0" w:color="auto"/>
            </w:tcBorders>
            <w:shd w:val="clear" w:color="auto" w:fill="FFF2CC" w:themeFill="accent4" w:themeFillTint="33"/>
          </w:tcPr>
          <w:p w14:paraId="4D932057" w14:textId="77777777" w:rsidR="0038388D" w:rsidRPr="00B30084" w:rsidRDefault="0038388D"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Органи партнери у спровођењу </w:t>
            </w:r>
          </w:p>
        </w:tc>
        <w:tc>
          <w:tcPr>
            <w:tcW w:w="778" w:type="pct"/>
            <w:vMerge w:val="restart"/>
            <w:tcBorders>
              <w:top w:val="double" w:sz="4" w:space="0" w:color="auto"/>
            </w:tcBorders>
            <w:shd w:val="clear" w:color="auto" w:fill="FFF2CC" w:themeFill="accent4" w:themeFillTint="33"/>
          </w:tcPr>
          <w:p w14:paraId="204C88B1" w14:textId="77777777" w:rsidR="0038388D" w:rsidRPr="00B30084" w:rsidRDefault="0038388D" w:rsidP="00B12AD9">
            <w:pPr>
              <w:ind w:left="90"/>
              <w:rPr>
                <w:rFonts w:ascii="Times New Roman" w:hAnsi="Times New Roman" w:cs="Times New Roman"/>
                <w:sz w:val="20"/>
                <w:szCs w:val="20"/>
                <w:lang w:val="sr-Cyrl-RS"/>
              </w:rPr>
            </w:pPr>
            <w:r w:rsidRPr="00B30084">
              <w:rPr>
                <w:rFonts w:ascii="Times New Roman" w:hAnsi="Times New Roman" w:cs="Times New Roman"/>
                <w:sz w:val="20"/>
                <w:szCs w:val="20"/>
                <w:lang w:val="sr-Cyrl-RS"/>
              </w:rPr>
              <w:t>Рок за завршетак мере</w:t>
            </w:r>
          </w:p>
        </w:tc>
        <w:tc>
          <w:tcPr>
            <w:tcW w:w="1003" w:type="pct"/>
            <w:vMerge w:val="restart"/>
            <w:tcBorders>
              <w:top w:val="double" w:sz="4" w:space="0" w:color="auto"/>
            </w:tcBorders>
            <w:shd w:val="clear" w:color="auto" w:fill="FFF2CC" w:themeFill="accent4" w:themeFillTint="33"/>
          </w:tcPr>
          <w:p w14:paraId="3324B509" w14:textId="77777777" w:rsidR="0038388D" w:rsidRPr="00B30084" w:rsidRDefault="0038388D" w:rsidP="00B12AD9">
            <w:pPr>
              <w:ind w:left="90"/>
              <w:jc w:val="center"/>
              <w:rPr>
                <w:rFonts w:ascii="Times New Roman" w:hAnsi="Times New Roman" w:cs="Times New Roman"/>
                <w:sz w:val="20"/>
                <w:szCs w:val="20"/>
                <w:lang w:val="sr-Cyrl-RS"/>
              </w:rPr>
            </w:pPr>
            <w:r w:rsidRPr="00B30084">
              <w:rPr>
                <w:rFonts w:ascii="Times New Roman" w:hAnsi="Times New Roman" w:cs="Times New Roman"/>
                <w:sz w:val="20"/>
                <w:szCs w:val="20"/>
                <w:lang w:val="sr-Cyrl-RS"/>
              </w:rPr>
              <w:t>Извор финансирања</w:t>
            </w:r>
          </w:p>
        </w:tc>
      </w:tr>
      <w:tr w:rsidR="0038388D" w:rsidRPr="00B30084" w14:paraId="771A74F7" w14:textId="77777777" w:rsidTr="00B12AD9">
        <w:trPr>
          <w:trHeight w:val="322"/>
        </w:trPr>
        <w:tc>
          <w:tcPr>
            <w:tcW w:w="1552" w:type="pct"/>
            <w:vMerge/>
            <w:tcBorders>
              <w:left w:val="double" w:sz="4" w:space="0" w:color="auto"/>
            </w:tcBorders>
            <w:shd w:val="clear" w:color="auto" w:fill="FFF2CC" w:themeFill="accent4" w:themeFillTint="33"/>
          </w:tcPr>
          <w:p w14:paraId="5430CB05" w14:textId="77777777" w:rsidR="0038388D" w:rsidRPr="00B30084" w:rsidRDefault="0038388D" w:rsidP="00B12AD9">
            <w:pPr>
              <w:ind w:left="90"/>
              <w:rPr>
                <w:rFonts w:ascii="Times New Roman" w:hAnsi="Times New Roman" w:cs="Times New Roman"/>
                <w:sz w:val="20"/>
                <w:szCs w:val="20"/>
                <w:lang w:val="sr-Cyrl-RS"/>
              </w:rPr>
            </w:pPr>
          </w:p>
        </w:tc>
        <w:tc>
          <w:tcPr>
            <w:tcW w:w="833" w:type="pct"/>
            <w:vMerge/>
            <w:shd w:val="clear" w:color="auto" w:fill="FFF2CC" w:themeFill="accent4" w:themeFillTint="33"/>
          </w:tcPr>
          <w:p w14:paraId="6EE96098" w14:textId="77777777" w:rsidR="0038388D" w:rsidRPr="00B30084" w:rsidRDefault="0038388D" w:rsidP="00B12AD9">
            <w:pPr>
              <w:ind w:left="90"/>
              <w:rPr>
                <w:rFonts w:ascii="Times New Roman" w:hAnsi="Times New Roman" w:cs="Times New Roman"/>
                <w:sz w:val="20"/>
                <w:szCs w:val="20"/>
                <w:lang w:val="sr-Cyrl-RS"/>
              </w:rPr>
            </w:pPr>
          </w:p>
        </w:tc>
        <w:tc>
          <w:tcPr>
            <w:tcW w:w="834" w:type="pct"/>
            <w:vMerge/>
            <w:shd w:val="clear" w:color="auto" w:fill="FFF2CC" w:themeFill="accent4" w:themeFillTint="33"/>
          </w:tcPr>
          <w:p w14:paraId="0A2BA900" w14:textId="77777777" w:rsidR="0038388D" w:rsidRPr="00B30084" w:rsidRDefault="0038388D" w:rsidP="00B12AD9">
            <w:pPr>
              <w:ind w:left="90"/>
              <w:rPr>
                <w:rFonts w:ascii="Times New Roman" w:hAnsi="Times New Roman" w:cs="Times New Roman"/>
                <w:sz w:val="20"/>
                <w:szCs w:val="20"/>
                <w:lang w:val="sr-Cyrl-RS"/>
              </w:rPr>
            </w:pPr>
          </w:p>
        </w:tc>
        <w:tc>
          <w:tcPr>
            <w:tcW w:w="778" w:type="pct"/>
            <w:vMerge/>
            <w:shd w:val="clear" w:color="auto" w:fill="FFF2CC" w:themeFill="accent4" w:themeFillTint="33"/>
          </w:tcPr>
          <w:p w14:paraId="47FF0931" w14:textId="77777777" w:rsidR="0038388D" w:rsidRPr="00B30084" w:rsidRDefault="0038388D" w:rsidP="00B12AD9">
            <w:pPr>
              <w:ind w:left="90"/>
              <w:jc w:val="center"/>
              <w:rPr>
                <w:rFonts w:ascii="Times New Roman" w:hAnsi="Times New Roman" w:cs="Times New Roman"/>
                <w:sz w:val="20"/>
                <w:szCs w:val="20"/>
                <w:lang w:val="sr-Cyrl-RS"/>
              </w:rPr>
            </w:pPr>
          </w:p>
        </w:tc>
        <w:tc>
          <w:tcPr>
            <w:tcW w:w="1003" w:type="pct"/>
            <w:vMerge/>
            <w:shd w:val="clear" w:color="auto" w:fill="FFF2CC" w:themeFill="accent4" w:themeFillTint="33"/>
          </w:tcPr>
          <w:p w14:paraId="1E106C61" w14:textId="77777777" w:rsidR="0038388D" w:rsidRPr="00B30084" w:rsidRDefault="0038388D" w:rsidP="00B12AD9">
            <w:pPr>
              <w:ind w:left="90"/>
              <w:jc w:val="center"/>
              <w:rPr>
                <w:rFonts w:ascii="Times New Roman" w:hAnsi="Times New Roman" w:cs="Times New Roman"/>
                <w:sz w:val="20"/>
                <w:szCs w:val="20"/>
                <w:lang w:val="sr-Cyrl-RS"/>
              </w:rPr>
            </w:pPr>
          </w:p>
        </w:tc>
      </w:tr>
      <w:tr w:rsidR="0038388D" w:rsidRPr="00B30084" w14:paraId="2D0FCE2D" w14:textId="77777777" w:rsidTr="00B12AD9">
        <w:trPr>
          <w:trHeight w:val="156"/>
        </w:trPr>
        <w:tc>
          <w:tcPr>
            <w:tcW w:w="1552" w:type="pct"/>
            <w:tcBorders>
              <w:left w:val="double" w:sz="4" w:space="0" w:color="auto"/>
            </w:tcBorders>
          </w:tcPr>
          <w:p w14:paraId="4D061C9E" w14:textId="52C62A2F"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3.2.1. Успостављање платформе за индустријски дијалог у виду центра за иновације при Министарству финансија, у сврху идентификације препрека за активније учешће привреде на тржишту капитала, са полу-годишњим догађајима посвећеним јединственим сегментима привреде</w:t>
            </w:r>
          </w:p>
        </w:tc>
        <w:tc>
          <w:tcPr>
            <w:tcW w:w="833" w:type="pct"/>
          </w:tcPr>
          <w:p w14:paraId="7E84C105"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45EDE509"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ПКС</w:t>
            </w:r>
          </w:p>
        </w:tc>
        <w:tc>
          <w:tcPr>
            <w:tcW w:w="778" w:type="pct"/>
          </w:tcPr>
          <w:p w14:paraId="52786CCD"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31/07/22</w:t>
            </w:r>
          </w:p>
        </w:tc>
        <w:tc>
          <w:tcPr>
            <w:tcW w:w="1003" w:type="pct"/>
          </w:tcPr>
          <w:p w14:paraId="70F2C8D7"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Буџет РС / </w:t>
            </w:r>
            <w:proofErr w:type="spellStart"/>
            <w:r w:rsidRPr="00B30084">
              <w:rPr>
                <w:rFonts w:ascii="Times New Roman" w:hAnsi="Times New Roman" w:cs="Times New Roman"/>
                <w:sz w:val="20"/>
                <w:szCs w:val="20"/>
                <w:lang w:val="sr-Cyrl-RS"/>
              </w:rPr>
              <w:t>Донатроска</w:t>
            </w:r>
            <w:proofErr w:type="spellEnd"/>
            <w:r w:rsidRPr="00B30084">
              <w:rPr>
                <w:rFonts w:ascii="Times New Roman" w:hAnsi="Times New Roman" w:cs="Times New Roman"/>
                <w:sz w:val="20"/>
                <w:szCs w:val="20"/>
                <w:lang w:val="sr-Cyrl-RS"/>
              </w:rPr>
              <w:t xml:space="preserve"> средства</w:t>
            </w:r>
          </w:p>
        </w:tc>
      </w:tr>
      <w:tr w:rsidR="0038388D" w:rsidRPr="00B30084" w14:paraId="6473BD7D" w14:textId="77777777" w:rsidTr="00B12AD9">
        <w:trPr>
          <w:trHeight w:val="156"/>
        </w:trPr>
        <w:tc>
          <w:tcPr>
            <w:tcW w:w="1552" w:type="pct"/>
            <w:tcBorders>
              <w:left w:val="double" w:sz="4" w:space="0" w:color="auto"/>
            </w:tcBorders>
          </w:tcPr>
          <w:p w14:paraId="526567BE" w14:textId="1F83B08F"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3.2.2. Организација локалних догађаја усмерених ка промоцији тржишта капитала најмање на полугодишњем нивоу, као и у случају посебних дешавања на тржишту</w:t>
            </w:r>
          </w:p>
        </w:tc>
        <w:tc>
          <w:tcPr>
            <w:tcW w:w="833" w:type="pct"/>
          </w:tcPr>
          <w:p w14:paraId="1749C43C"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03F9EDF8" w14:textId="30688D8E"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ПКС</w:t>
            </w:r>
            <w:r w:rsidR="001200E2" w:rsidRPr="00B30084">
              <w:rPr>
                <w:rFonts w:ascii="Times New Roman" w:hAnsi="Times New Roman" w:cs="Times New Roman"/>
                <w:sz w:val="20"/>
                <w:szCs w:val="20"/>
                <w:lang w:val="sr-Cyrl-RS"/>
              </w:rPr>
              <w:t>, Комисија за хартије од вредности</w:t>
            </w:r>
          </w:p>
        </w:tc>
        <w:tc>
          <w:tcPr>
            <w:tcW w:w="778" w:type="pct"/>
          </w:tcPr>
          <w:p w14:paraId="262AF11A"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31/12/25</w:t>
            </w:r>
          </w:p>
        </w:tc>
        <w:tc>
          <w:tcPr>
            <w:tcW w:w="1003" w:type="pct"/>
          </w:tcPr>
          <w:p w14:paraId="58703A27"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Буџет РС / </w:t>
            </w:r>
            <w:proofErr w:type="spellStart"/>
            <w:r w:rsidRPr="00B30084">
              <w:rPr>
                <w:rFonts w:ascii="Times New Roman" w:hAnsi="Times New Roman" w:cs="Times New Roman"/>
                <w:sz w:val="20"/>
                <w:szCs w:val="20"/>
                <w:lang w:val="sr-Cyrl-RS"/>
              </w:rPr>
              <w:t>Донатроска</w:t>
            </w:r>
            <w:proofErr w:type="spellEnd"/>
            <w:r w:rsidRPr="00B30084">
              <w:rPr>
                <w:rFonts w:ascii="Times New Roman" w:hAnsi="Times New Roman" w:cs="Times New Roman"/>
                <w:sz w:val="20"/>
                <w:szCs w:val="20"/>
                <w:lang w:val="sr-Cyrl-RS"/>
              </w:rPr>
              <w:t xml:space="preserve"> средства</w:t>
            </w:r>
          </w:p>
        </w:tc>
      </w:tr>
      <w:tr w:rsidR="0038388D" w:rsidRPr="00B30084" w14:paraId="11A5E8E6" w14:textId="77777777" w:rsidTr="00B12AD9">
        <w:trPr>
          <w:trHeight w:val="156"/>
        </w:trPr>
        <w:tc>
          <w:tcPr>
            <w:tcW w:w="1552" w:type="pct"/>
            <w:tcBorders>
              <w:left w:val="double" w:sz="4" w:space="0" w:color="auto"/>
            </w:tcBorders>
          </w:tcPr>
          <w:p w14:paraId="47393DA6" w14:textId="5FD577B2" w:rsidR="0038388D" w:rsidRPr="00B30084" w:rsidRDefault="0038388D" w:rsidP="00B12AD9">
            <w:pPr>
              <w:shd w:val="clear" w:color="auto" w:fill="FFFFFF" w:themeFill="background1"/>
              <w:rPr>
                <w:rFonts w:ascii="Times New Roman" w:hAnsi="Times New Roman" w:cs="Times New Roman"/>
                <w:sz w:val="20"/>
                <w:szCs w:val="20"/>
              </w:rPr>
            </w:pPr>
            <w:r w:rsidRPr="00B30084">
              <w:rPr>
                <w:rFonts w:ascii="Times New Roman" w:hAnsi="Times New Roman" w:cs="Times New Roman"/>
                <w:sz w:val="20"/>
                <w:szCs w:val="20"/>
                <w:lang w:val="sr-Cyrl-RS"/>
              </w:rPr>
              <w:t>3.2.3. Организација промоције домаћег тржишта капитала и издаваоца финансијских инструмената, укључујући и Републику Србију, у водећим глобалним финансијским центрима и региону (енг. „</w:t>
            </w:r>
            <w:r w:rsidRPr="00B30084">
              <w:rPr>
                <w:rFonts w:ascii="Times New Roman" w:hAnsi="Times New Roman" w:cs="Times New Roman"/>
                <w:sz w:val="20"/>
                <w:szCs w:val="20"/>
              </w:rPr>
              <w:t>National Road Show”)</w:t>
            </w:r>
          </w:p>
        </w:tc>
        <w:tc>
          <w:tcPr>
            <w:tcW w:w="833" w:type="pct"/>
          </w:tcPr>
          <w:p w14:paraId="79FEEFF4"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44485E00"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УЈД, ББ</w:t>
            </w:r>
          </w:p>
        </w:tc>
        <w:tc>
          <w:tcPr>
            <w:tcW w:w="778" w:type="pct"/>
          </w:tcPr>
          <w:p w14:paraId="274AF14E"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31/12/25</w:t>
            </w:r>
          </w:p>
        </w:tc>
        <w:tc>
          <w:tcPr>
            <w:tcW w:w="1003" w:type="pct"/>
          </w:tcPr>
          <w:p w14:paraId="011805DF"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 xml:space="preserve">Буџет РС / </w:t>
            </w:r>
            <w:proofErr w:type="spellStart"/>
            <w:r w:rsidRPr="00B30084">
              <w:rPr>
                <w:rFonts w:ascii="Times New Roman" w:hAnsi="Times New Roman" w:cs="Times New Roman"/>
                <w:sz w:val="20"/>
                <w:szCs w:val="20"/>
                <w:lang w:val="sr-Cyrl-RS"/>
              </w:rPr>
              <w:t>Донатроска</w:t>
            </w:r>
            <w:proofErr w:type="spellEnd"/>
            <w:r w:rsidRPr="00B30084">
              <w:rPr>
                <w:rFonts w:ascii="Times New Roman" w:hAnsi="Times New Roman" w:cs="Times New Roman"/>
                <w:sz w:val="20"/>
                <w:szCs w:val="20"/>
                <w:lang w:val="sr-Cyrl-RS"/>
              </w:rPr>
              <w:t xml:space="preserve"> средства</w:t>
            </w:r>
          </w:p>
        </w:tc>
      </w:tr>
      <w:tr w:rsidR="0038388D" w:rsidRPr="00B30084" w14:paraId="32B9DC0F" w14:textId="77777777" w:rsidTr="00B12AD9">
        <w:trPr>
          <w:trHeight w:val="156"/>
        </w:trPr>
        <w:tc>
          <w:tcPr>
            <w:tcW w:w="1552" w:type="pct"/>
            <w:tcBorders>
              <w:left w:val="double" w:sz="4" w:space="0" w:color="auto"/>
            </w:tcBorders>
          </w:tcPr>
          <w:p w14:paraId="24E46B77" w14:textId="73A5CCE9"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rPr>
              <w:t xml:space="preserve">3.2.4. </w:t>
            </w:r>
            <w:r w:rsidRPr="00B30084">
              <w:rPr>
                <w:rFonts w:ascii="Times New Roman" w:hAnsi="Times New Roman" w:cs="Times New Roman"/>
                <w:sz w:val="20"/>
                <w:szCs w:val="20"/>
                <w:lang w:val="sr-Cyrl-RS"/>
              </w:rPr>
              <w:t xml:space="preserve">Отварање дијалога са МПНТР и креирање </w:t>
            </w:r>
            <w:proofErr w:type="spellStart"/>
            <w:r w:rsidRPr="00B30084">
              <w:rPr>
                <w:rFonts w:ascii="Times New Roman" w:hAnsi="Times New Roman" w:cs="Times New Roman"/>
                <w:sz w:val="20"/>
                <w:szCs w:val="20"/>
                <w:lang w:val="sr-Cyrl-RS"/>
              </w:rPr>
              <w:t>међуресорне</w:t>
            </w:r>
            <w:proofErr w:type="spellEnd"/>
            <w:r w:rsidRPr="00B30084">
              <w:rPr>
                <w:rFonts w:ascii="Times New Roman" w:hAnsi="Times New Roman" w:cs="Times New Roman"/>
                <w:sz w:val="20"/>
                <w:szCs w:val="20"/>
                <w:lang w:val="sr-Cyrl-RS"/>
              </w:rPr>
              <w:t xml:space="preserve"> радне групе са циљу креирања националне стратегије о финансијском образовању.</w:t>
            </w:r>
          </w:p>
        </w:tc>
        <w:tc>
          <w:tcPr>
            <w:tcW w:w="833" w:type="pct"/>
          </w:tcPr>
          <w:p w14:paraId="69FB8424"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71093B58"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МПНТР, КХоВ, ЦРХоВ, ББ</w:t>
            </w:r>
          </w:p>
        </w:tc>
        <w:tc>
          <w:tcPr>
            <w:tcW w:w="778" w:type="pct"/>
          </w:tcPr>
          <w:p w14:paraId="0A369476"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30/06/25</w:t>
            </w:r>
          </w:p>
        </w:tc>
        <w:tc>
          <w:tcPr>
            <w:tcW w:w="1003" w:type="pct"/>
          </w:tcPr>
          <w:p w14:paraId="6AEA1F26"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w:t>
            </w:r>
          </w:p>
        </w:tc>
      </w:tr>
      <w:tr w:rsidR="0038388D" w:rsidRPr="00B30084" w14:paraId="0FE627D3" w14:textId="77777777" w:rsidTr="00B12AD9">
        <w:trPr>
          <w:trHeight w:val="156"/>
        </w:trPr>
        <w:tc>
          <w:tcPr>
            <w:tcW w:w="1552" w:type="pct"/>
            <w:tcBorders>
              <w:left w:val="double" w:sz="4" w:space="0" w:color="auto"/>
            </w:tcBorders>
          </w:tcPr>
          <w:p w14:paraId="1F3BEA9E" w14:textId="21194161"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3.2.5. Организација догађаја за ученике средњих школа са циљем унапређења њиховог знања из области финансија, економије и тржишта капитала</w:t>
            </w:r>
          </w:p>
        </w:tc>
        <w:tc>
          <w:tcPr>
            <w:tcW w:w="833" w:type="pct"/>
          </w:tcPr>
          <w:p w14:paraId="58A46798"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Мфин</w:t>
            </w:r>
          </w:p>
        </w:tc>
        <w:tc>
          <w:tcPr>
            <w:tcW w:w="834" w:type="pct"/>
          </w:tcPr>
          <w:p w14:paraId="362714E6"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МПНТР, КХоВ, ЦРХоВ, ББ</w:t>
            </w:r>
          </w:p>
        </w:tc>
        <w:tc>
          <w:tcPr>
            <w:tcW w:w="778" w:type="pct"/>
          </w:tcPr>
          <w:p w14:paraId="14599DDD"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31/12/23</w:t>
            </w:r>
          </w:p>
        </w:tc>
        <w:tc>
          <w:tcPr>
            <w:tcW w:w="1003" w:type="pct"/>
          </w:tcPr>
          <w:p w14:paraId="4D09E6C0" w14:textId="77777777" w:rsidR="0038388D" w:rsidRPr="00B30084" w:rsidRDefault="0038388D" w:rsidP="00B12AD9">
            <w:pPr>
              <w:shd w:val="clear" w:color="auto" w:fill="FFFFFF" w:themeFill="background1"/>
              <w:rPr>
                <w:rFonts w:ascii="Times New Roman" w:hAnsi="Times New Roman" w:cs="Times New Roman"/>
                <w:sz w:val="20"/>
                <w:szCs w:val="20"/>
                <w:lang w:val="sr-Cyrl-RS"/>
              </w:rPr>
            </w:pPr>
            <w:r w:rsidRPr="00B30084">
              <w:rPr>
                <w:rFonts w:ascii="Times New Roman" w:hAnsi="Times New Roman" w:cs="Times New Roman"/>
                <w:sz w:val="20"/>
                <w:szCs w:val="20"/>
                <w:lang w:val="sr-Cyrl-RS"/>
              </w:rPr>
              <w:t>Донаторска средства</w:t>
            </w:r>
          </w:p>
        </w:tc>
      </w:tr>
    </w:tbl>
    <w:p w14:paraId="5F94C1FE" w14:textId="77777777" w:rsidR="00AB1FE6" w:rsidRDefault="00AB1FE6" w:rsidP="0038388D">
      <w:pPr>
        <w:spacing w:line="276" w:lineRule="auto"/>
        <w:ind w:firstLine="720"/>
        <w:jc w:val="both"/>
        <w:rPr>
          <w:rFonts w:ascii="Times New Roman" w:hAnsi="Times New Roman" w:cs="Times New Roman"/>
          <w:color w:val="000000"/>
          <w:sz w:val="24"/>
          <w:szCs w:val="24"/>
          <w:lang w:val="sr-Cyrl-RS"/>
        </w:rPr>
      </w:pPr>
    </w:p>
    <w:p w14:paraId="70D9E0B8" w14:textId="254362D6" w:rsidR="0038388D" w:rsidRPr="00B30084" w:rsidRDefault="0038388D" w:rsidP="0038388D">
      <w:pPr>
        <w:spacing w:line="276" w:lineRule="auto"/>
        <w:ind w:firstLine="720"/>
        <w:jc w:val="both"/>
        <w:rPr>
          <w:rFonts w:ascii="Times New Roman" w:hAnsi="Times New Roman" w:cs="Times New Roman"/>
          <w:color w:val="000000"/>
          <w:sz w:val="24"/>
          <w:szCs w:val="24"/>
          <w:lang w:val="sr-Cyrl-RS"/>
        </w:rPr>
      </w:pPr>
      <w:r w:rsidRPr="00B30084">
        <w:rPr>
          <w:rFonts w:ascii="Times New Roman" w:hAnsi="Times New Roman" w:cs="Times New Roman"/>
          <w:color w:val="000000"/>
          <w:sz w:val="24"/>
          <w:szCs w:val="24"/>
          <w:lang w:val="sr-Cyrl-RS"/>
        </w:rPr>
        <w:t>До неке мере, кредибилитет почиње на самом тр</w:t>
      </w:r>
      <w:r w:rsidR="009D4FAF">
        <w:rPr>
          <w:rFonts w:ascii="Times New Roman" w:hAnsi="Times New Roman" w:cs="Times New Roman"/>
          <w:color w:val="000000"/>
          <w:sz w:val="24"/>
          <w:szCs w:val="24"/>
          <w:lang w:val="sr-Cyrl-RS"/>
        </w:rPr>
        <w:t>жишту. Ако је систем гломазан и</w:t>
      </w:r>
      <w:r w:rsidRPr="00B30084">
        <w:rPr>
          <w:rFonts w:ascii="Times New Roman" w:hAnsi="Times New Roman" w:cs="Times New Roman"/>
          <w:color w:val="000000"/>
          <w:sz w:val="24"/>
          <w:szCs w:val="24"/>
          <w:lang w:val="sr-Cyrl-RS"/>
        </w:rPr>
        <w:t xml:space="preserve">/или интерно скуп, теже је продати идеју да други треба да учествују. </w:t>
      </w:r>
      <w:r w:rsidR="009D4FAF">
        <w:rPr>
          <w:rFonts w:ascii="Times New Roman" w:hAnsi="Times New Roman" w:cs="Times New Roman"/>
          <w:color w:val="000000"/>
          <w:sz w:val="24"/>
          <w:szCs w:val="24"/>
          <w:lang w:val="sr-Cyrl-RS"/>
        </w:rPr>
        <w:t>Даље</w:t>
      </w:r>
      <w:r w:rsidRPr="00B30084">
        <w:rPr>
          <w:rFonts w:ascii="Times New Roman" w:hAnsi="Times New Roman" w:cs="Times New Roman"/>
          <w:color w:val="000000"/>
          <w:sz w:val="24"/>
          <w:szCs w:val="24"/>
          <w:lang w:val="sr-Cyrl-RS"/>
        </w:rPr>
        <w:t>, да би се повећао кредибилитет тржишта, важно је видети колико су заштићена права инвеститора, као и како се подржавају тржишни игра</w:t>
      </w:r>
      <w:r w:rsidR="009D4FAF">
        <w:rPr>
          <w:rFonts w:ascii="Times New Roman" w:hAnsi="Times New Roman" w:cs="Times New Roman"/>
          <w:color w:val="000000"/>
          <w:sz w:val="24"/>
          <w:szCs w:val="24"/>
          <w:lang w:val="sr-Cyrl-RS"/>
        </w:rPr>
        <w:t>чи (домаћа/</w:t>
      </w:r>
      <w:r w:rsidRPr="00B30084">
        <w:rPr>
          <w:rFonts w:ascii="Times New Roman" w:hAnsi="Times New Roman" w:cs="Times New Roman"/>
          <w:color w:val="000000"/>
          <w:sz w:val="24"/>
          <w:szCs w:val="24"/>
          <w:lang w:val="sr-Cyrl-RS"/>
        </w:rPr>
        <w:t>страна публика).</w:t>
      </w:r>
    </w:p>
    <w:p w14:paraId="376B2C8B" w14:textId="28A1678F" w:rsidR="0090540B" w:rsidRPr="00B30084" w:rsidRDefault="0038388D" w:rsidP="0038388D">
      <w:pPr>
        <w:spacing w:line="276" w:lineRule="auto"/>
        <w:ind w:firstLine="720"/>
        <w:jc w:val="both"/>
        <w:rPr>
          <w:rFonts w:ascii="Times New Roman" w:hAnsi="Times New Roman" w:cs="Times New Roman"/>
          <w:sz w:val="24"/>
          <w:szCs w:val="24"/>
          <w:lang w:val="sr-Cyrl-RS"/>
        </w:rPr>
      </w:pPr>
      <w:r w:rsidRPr="00B30084">
        <w:rPr>
          <w:rFonts w:ascii="Times New Roman" w:hAnsi="Times New Roman" w:cs="Times New Roman"/>
          <w:color w:val="000000"/>
          <w:sz w:val="24"/>
          <w:szCs w:val="24"/>
          <w:lang w:val="sr-Cyrl-RS"/>
        </w:rPr>
        <w:t xml:space="preserve">Финансијска писменост се дефинише као скуп знања, вештина и ставова неопходних за постизање финансијског просперитета одговорним финансијским одлучивањем. </w:t>
      </w:r>
      <w:r w:rsidRPr="00B30084">
        <w:rPr>
          <w:rFonts w:ascii="Times New Roman" w:hAnsi="Times New Roman" w:cs="Times New Roman"/>
          <w:bCs/>
          <w:color w:val="000000"/>
          <w:sz w:val="24"/>
          <w:szCs w:val="24"/>
          <w:lang w:val="sr-Cyrl-RS"/>
        </w:rPr>
        <w:t>Финансијска</w:t>
      </w:r>
      <w:r w:rsidRPr="00B30084">
        <w:rPr>
          <w:rFonts w:ascii="Times New Roman" w:hAnsi="Times New Roman" w:cs="Times New Roman"/>
          <w:color w:val="000000"/>
          <w:sz w:val="24"/>
          <w:szCs w:val="24"/>
          <w:lang w:val="sr-Cyrl-RS"/>
        </w:rPr>
        <w:t xml:space="preserve"> писменост претворена је у кључну животну вештину у данашњем друштву имајући у виду сталну процену финансијског, економског и политичког окружења, као и постепени пренос ризика на појединце. Даваоци финансијских услуга и нови тржишни </w:t>
      </w:r>
      <w:r w:rsidRPr="00B30084">
        <w:rPr>
          <w:rFonts w:ascii="Times New Roman" w:hAnsi="Times New Roman" w:cs="Times New Roman"/>
          <w:color w:val="000000"/>
          <w:sz w:val="24"/>
          <w:szCs w:val="24"/>
          <w:lang w:val="sr-Cyrl-RS"/>
        </w:rPr>
        <w:lastRenderedPageBreak/>
        <w:t xml:space="preserve">играчи развили су нове и често сложене финансијске инструменте. То потрошачима, инвеститорима и малом предузећу даје већи приступ разним решењима за плаћање, кредитним понудама, дугорочним штедњама и инструментима за инвестирање. Ово променљиво и изазовно окружење захтева од појединаца и малих предузећа да буду опремљени знањем, способношћу и мотивацијом за доношење финансијских одлука које ће им осигурати финансијску будућност. Политике финансијског образовања које оснажују појединце (финансијске директоре, менаџере итд.) </w:t>
      </w:r>
      <w:r w:rsidR="001200E2" w:rsidRPr="00B30084">
        <w:rPr>
          <w:rFonts w:ascii="Times New Roman" w:hAnsi="Times New Roman" w:cs="Times New Roman"/>
          <w:color w:val="000000"/>
          <w:sz w:val="24"/>
          <w:szCs w:val="24"/>
          <w:lang w:val="sr-Cyrl-RS"/>
        </w:rPr>
        <w:t>и</w:t>
      </w:r>
      <w:r w:rsidRPr="00B30084">
        <w:rPr>
          <w:rFonts w:ascii="Times New Roman" w:hAnsi="Times New Roman" w:cs="Times New Roman"/>
          <w:color w:val="000000"/>
          <w:sz w:val="24"/>
          <w:szCs w:val="24"/>
          <w:lang w:val="sr-Cyrl-RS"/>
        </w:rPr>
        <w:t xml:space="preserve"> мала предузећа, као и инвеститоре, могу допринети финансијском благостању које подржава финансијску стабилност и очекивани раст.</w:t>
      </w:r>
    </w:p>
    <w:p w14:paraId="2F9022A0" w14:textId="220DFDE5" w:rsidR="00D159F2" w:rsidRPr="00B30084" w:rsidRDefault="00D159F2" w:rsidP="00823F7A">
      <w:pPr>
        <w:pStyle w:val="Heading1"/>
        <w:widowControl w:val="0"/>
        <w:numPr>
          <w:ilvl w:val="0"/>
          <w:numId w:val="30"/>
        </w:numPr>
        <w:snapToGrid w:val="0"/>
        <w:spacing w:before="120" w:after="120" w:line="276" w:lineRule="auto"/>
        <w:jc w:val="both"/>
        <w:rPr>
          <w:sz w:val="24"/>
          <w:szCs w:val="24"/>
          <w:lang w:val="sr-Cyrl-RS"/>
        </w:rPr>
      </w:pPr>
      <w:r w:rsidRPr="00B30084">
        <w:rPr>
          <w:sz w:val="24"/>
          <w:szCs w:val="24"/>
          <w:lang w:val="sr-Cyrl-RS"/>
        </w:rPr>
        <w:t>Спроведене консултације</w:t>
      </w:r>
    </w:p>
    <w:p w14:paraId="0A5EC4C4" w14:textId="11DFA744" w:rsidR="000B414E" w:rsidRPr="00B30084" w:rsidRDefault="000B414E" w:rsidP="000B414E">
      <w:pPr>
        <w:ind w:firstLine="360"/>
        <w:jc w:val="both"/>
        <w:rPr>
          <w:rFonts w:ascii="Times New Roman" w:hAnsi="Times New Roman" w:cs="Times New Roman"/>
          <w:sz w:val="24"/>
          <w:szCs w:val="24"/>
        </w:rPr>
      </w:pPr>
      <w:proofErr w:type="spellStart"/>
      <w:r w:rsidRPr="00B30084">
        <w:rPr>
          <w:rFonts w:ascii="Times New Roman" w:hAnsi="Times New Roman" w:cs="Times New Roman"/>
          <w:sz w:val="24"/>
          <w:szCs w:val="24"/>
        </w:rPr>
        <w:t>Процеси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сарадње</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консултација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спроведени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су</w:t>
      </w:r>
      <w:proofErr w:type="spellEnd"/>
      <w:r w:rsidRPr="00B30084">
        <w:rPr>
          <w:rFonts w:ascii="Times New Roman" w:hAnsi="Times New Roman" w:cs="Times New Roman"/>
          <w:sz w:val="24"/>
          <w:szCs w:val="24"/>
        </w:rPr>
        <w:t xml:space="preserve"> у </w:t>
      </w:r>
      <w:proofErr w:type="spellStart"/>
      <w:r w:rsidRPr="00B30084">
        <w:rPr>
          <w:rFonts w:ascii="Times New Roman" w:hAnsi="Times New Roman" w:cs="Times New Roman"/>
          <w:sz w:val="24"/>
          <w:szCs w:val="24"/>
        </w:rPr>
        <w:t>складу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са</w:t>
      </w:r>
      <w:proofErr w:type="spellEnd"/>
      <w:r w:rsidRPr="00B30084">
        <w:rPr>
          <w:rFonts w:ascii="Times New Roman" w:hAnsi="Times New Roman" w:cs="Times New Roman"/>
          <w:sz w:val="24"/>
          <w:szCs w:val="24"/>
        </w:rPr>
        <w:t xml:space="preserve"> </w:t>
      </w:r>
      <w:proofErr w:type="spellStart"/>
      <w:r w:rsidR="001F5E84" w:rsidRPr="00B30084">
        <w:rPr>
          <w:rFonts w:ascii="Times New Roman" w:hAnsi="Times New Roman" w:cs="Times New Roman"/>
          <w:sz w:val="24"/>
          <w:szCs w:val="24"/>
        </w:rPr>
        <w:t>чланом</w:t>
      </w:r>
      <w:proofErr w:type="spellEnd"/>
      <w:r w:rsidR="001F5E84" w:rsidRPr="00B30084">
        <w:rPr>
          <w:rFonts w:ascii="Times New Roman" w:hAnsi="Times New Roman" w:cs="Times New Roman"/>
          <w:sz w:val="24"/>
          <w:szCs w:val="24"/>
        </w:rPr>
        <w:t xml:space="preserve"> 34. </w:t>
      </w:r>
      <w:proofErr w:type="spellStart"/>
      <w:r w:rsidRPr="00B30084">
        <w:rPr>
          <w:rFonts w:ascii="Times New Roman" w:hAnsi="Times New Roman" w:cs="Times New Roman"/>
          <w:sz w:val="24"/>
          <w:szCs w:val="24"/>
        </w:rPr>
        <w:t>Законом</w:t>
      </w:r>
      <w:proofErr w:type="spellEnd"/>
      <w:r w:rsidRPr="00B30084">
        <w:rPr>
          <w:rFonts w:ascii="Times New Roman" w:hAnsi="Times New Roman" w:cs="Times New Roman"/>
          <w:sz w:val="24"/>
          <w:szCs w:val="24"/>
        </w:rPr>
        <w:t xml:space="preserve"> о </w:t>
      </w:r>
      <w:proofErr w:type="spellStart"/>
      <w:r w:rsidRPr="00B30084">
        <w:rPr>
          <w:rFonts w:ascii="Times New Roman" w:hAnsi="Times New Roman" w:cs="Times New Roman"/>
          <w:sz w:val="24"/>
          <w:szCs w:val="24"/>
        </w:rPr>
        <w:t>планском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систему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Републике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Србије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Службени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гласник</w:t>
      </w:r>
      <w:proofErr w:type="spellEnd"/>
      <w:r w:rsidRPr="00B30084">
        <w:rPr>
          <w:rFonts w:ascii="Times New Roman" w:hAnsi="Times New Roman" w:cs="Times New Roman"/>
          <w:sz w:val="24"/>
          <w:szCs w:val="24"/>
        </w:rPr>
        <w:t xml:space="preserve"> РС”, </w:t>
      </w:r>
      <w:proofErr w:type="spellStart"/>
      <w:r w:rsidRPr="00B30084">
        <w:rPr>
          <w:rFonts w:ascii="Times New Roman" w:hAnsi="Times New Roman" w:cs="Times New Roman"/>
          <w:sz w:val="24"/>
          <w:szCs w:val="24"/>
        </w:rPr>
        <w:t>број</w:t>
      </w:r>
      <w:proofErr w:type="spellEnd"/>
      <w:r w:rsidRPr="00B30084">
        <w:rPr>
          <w:rFonts w:ascii="Times New Roman" w:hAnsi="Times New Roman" w:cs="Times New Roman"/>
          <w:sz w:val="24"/>
          <w:szCs w:val="24"/>
        </w:rPr>
        <w:t xml:space="preserve"> 30/18), </w:t>
      </w:r>
      <w:proofErr w:type="spellStart"/>
      <w:r w:rsidRPr="00B30084">
        <w:rPr>
          <w:rFonts w:ascii="Times New Roman" w:hAnsi="Times New Roman" w:cs="Times New Roman"/>
          <w:sz w:val="24"/>
          <w:szCs w:val="24"/>
        </w:rPr>
        <w:t>којим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прописано</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током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израде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докумената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јавних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политика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потребно</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обезбедити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учешће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заинтересованих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страна</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циљних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група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из</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реда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привредних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субјеката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струковних</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других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организација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као</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представника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државних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органа</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осталих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учесника</w:t>
      </w:r>
      <w:proofErr w:type="spellEnd"/>
      <w:r w:rsidRPr="00B30084">
        <w:rPr>
          <w:rFonts w:ascii="Times New Roman" w:hAnsi="Times New Roman" w:cs="Times New Roman"/>
          <w:sz w:val="24"/>
          <w:szCs w:val="24"/>
        </w:rPr>
        <w:t xml:space="preserve"> у </w:t>
      </w:r>
      <w:proofErr w:type="spellStart"/>
      <w:r w:rsidRPr="00B30084">
        <w:rPr>
          <w:rFonts w:ascii="Times New Roman" w:hAnsi="Times New Roman" w:cs="Times New Roman"/>
          <w:sz w:val="24"/>
          <w:szCs w:val="24"/>
        </w:rPr>
        <w:t>планском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систему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који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спроводе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или</w:t>
      </w:r>
      <w:proofErr w:type="spellEnd"/>
      <w:r w:rsidRPr="00B30084">
        <w:rPr>
          <w:rFonts w:ascii="Times New Roman" w:hAnsi="Times New Roman" w:cs="Times New Roman"/>
          <w:sz w:val="24"/>
          <w:szCs w:val="24"/>
        </w:rPr>
        <w:t xml:space="preserve"> у </w:t>
      </w:r>
      <w:proofErr w:type="spellStart"/>
      <w:r w:rsidRPr="00B30084">
        <w:rPr>
          <w:rFonts w:ascii="Times New Roman" w:hAnsi="Times New Roman" w:cs="Times New Roman"/>
          <w:sz w:val="24"/>
          <w:szCs w:val="24"/>
        </w:rPr>
        <w:t>односу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које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спроводи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та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политика</w:t>
      </w:r>
      <w:proofErr w:type="spellEnd"/>
      <w:r w:rsidRPr="00B30084">
        <w:rPr>
          <w:rFonts w:ascii="Times New Roman" w:hAnsi="Times New Roman" w:cs="Times New Roman"/>
          <w:sz w:val="24"/>
          <w:szCs w:val="24"/>
        </w:rPr>
        <w:t>.</w:t>
      </w:r>
    </w:p>
    <w:p w14:paraId="70AF5942" w14:textId="2858097B" w:rsidR="000B414E" w:rsidRPr="00B30084" w:rsidRDefault="000B414E" w:rsidP="000B414E">
      <w:pPr>
        <w:ind w:firstLine="360"/>
        <w:jc w:val="both"/>
        <w:rPr>
          <w:rFonts w:ascii="Times New Roman" w:hAnsi="Times New Roman" w:cs="Times New Roman"/>
          <w:sz w:val="24"/>
          <w:szCs w:val="24"/>
        </w:rPr>
      </w:pPr>
      <w:r w:rsidRPr="00B30084">
        <w:rPr>
          <w:rFonts w:ascii="Times New Roman" w:hAnsi="Times New Roman" w:cs="Times New Roman"/>
          <w:sz w:val="24"/>
          <w:szCs w:val="24"/>
        </w:rPr>
        <w:t xml:space="preserve">У </w:t>
      </w:r>
      <w:proofErr w:type="spellStart"/>
      <w:r w:rsidRPr="00B30084">
        <w:rPr>
          <w:rFonts w:ascii="Times New Roman" w:hAnsi="Times New Roman" w:cs="Times New Roman"/>
          <w:sz w:val="24"/>
          <w:szCs w:val="24"/>
        </w:rPr>
        <w:t>складу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тим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припреми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Стратегије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претходила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консултативна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сарадња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релевантним</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представницима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надлежних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министарстава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органа</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организација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привреде</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других</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сектора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почетку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израде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Стратегије</w:t>
      </w:r>
      <w:proofErr w:type="spellEnd"/>
      <w:r w:rsidRPr="00B30084">
        <w:rPr>
          <w:rFonts w:ascii="Times New Roman" w:hAnsi="Times New Roman" w:cs="Times New Roman"/>
          <w:sz w:val="24"/>
          <w:szCs w:val="24"/>
        </w:rPr>
        <w:t xml:space="preserve"> за </w:t>
      </w:r>
      <w:proofErr w:type="spellStart"/>
      <w:r w:rsidRPr="00B30084">
        <w:rPr>
          <w:rFonts w:ascii="Times New Roman" w:hAnsi="Times New Roman" w:cs="Times New Roman"/>
          <w:sz w:val="24"/>
          <w:szCs w:val="24"/>
        </w:rPr>
        <w:t>развој</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тржишта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капитала</w:t>
      </w:r>
      <w:proofErr w:type="spellEnd"/>
      <w:r w:rsidRPr="00B30084">
        <w:rPr>
          <w:rFonts w:ascii="Times New Roman" w:hAnsi="Times New Roman" w:cs="Times New Roman"/>
          <w:sz w:val="24"/>
          <w:szCs w:val="24"/>
        </w:rPr>
        <w:t xml:space="preserve">, у </w:t>
      </w:r>
      <w:proofErr w:type="spellStart"/>
      <w:r w:rsidRPr="00B30084">
        <w:rPr>
          <w:rFonts w:ascii="Times New Roman" w:hAnsi="Times New Roman" w:cs="Times New Roman"/>
          <w:sz w:val="24"/>
          <w:szCs w:val="24"/>
        </w:rPr>
        <w:t>мају</w:t>
      </w:r>
      <w:proofErr w:type="spellEnd"/>
      <w:r w:rsidRPr="00B30084">
        <w:rPr>
          <w:rFonts w:ascii="Times New Roman" w:hAnsi="Times New Roman" w:cs="Times New Roman"/>
          <w:sz w:val="24"/>
          <w:szCs w:val="24"/>
        </w:rPr>
        <w:t xml:space="preserve"> 2019. </w:t>
      </w:r>
      <w:proofErr w:type="spellStart"/>
      <w:r w:rsidR="001F5E84" w:rsidRPr="00B30084">
        <w:rPr>
          <w:rFonts w:ascii="Times New Roman" w:hAnsi="Times New Roman" w:cs="Times New Roman"/>
          <w:sz w:val="24"/>
          <w:szCs w:val="24"/>
        </w:rPr>
        <w:t>Г</w:t>
      </w:r>
      <w:r w:rsidRPr="00B30084">
        <w:rPr>
          <w:rFonts w:ascii="Times New Roman" w:hAnsi="Times New Roman" w:cs="Times New Roman"/>
          <w:sz w:val="24"/>
          <w:szCs w:val="24"/>
        </w:rPr>
        <w:t>одине</w:t>
      </w:r>
      <w:proofErr w:type="spellEnd"/>
      <w:r w:rsidR="001F5E84">
        <w:rPr>
          <w:rFonts w:ascii="Times New Roman" w:hAnsi="Times New Roman" w:cs="Times New Roman"/>
          <w:sz w:val="24"/>
          <w:szCs w:val="24"/>
          <w:lang w:val="sr-Cyrl-RS"/>
        </w:rPr>
        <w:t>,</w:t>
      </w:r>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формирана</w:t>
      </w:r>
      <w:proofErr w:type="spellEnd"/>
      <w:r w:rsidR="001F5E84">
        <w:rPr>
          <w:rFonts w:ascii="Times New Roman" w:hAnsi="Times New Roman" w:cs="Times New Roman"/>
          <w:sz w:val="24"/>
          <w:szCs w:val="24"/>
          <w:lang w:val="sr-Cyrl-RS"/>
        </w:rPr>
        <w:t xml:space="preserve"> је</w:t>
      </w:r>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Радна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група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састављена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од</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представника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министарстава</w:t>
      </w:r>
      <w:proofErr w:type="spellEnd"/>
      <w:r w:rsidRPr="00B30084">
        <w:rPr>
          <w:rFonts w:ascii="Times New Roman" w:hAnsi="Times New Roman" w:cs="Times New Roman"/>
          <w:sz w:val="24"/>
          <w:szCs w:val="24"/>
        </w:rPr>
        <w:t xml:space="preserve"> (Министарство финансија и Министарство </w:t>
      </w:r>
      <w:proofErr w:type="spellStart"/>
      <w:r w:rsidRPr="00B30084">
        <w:rPr>
          <w:rFonts w:ascii="Times New Roman" w:hAnsi="Times New Roman" w:cs="Times New Roman"/>
          <w:sz w:val="24"/>
          <w:szCs w:val="24"/>
        </w:rPr>
        <w:t>привреде</w:t>
      </w:r>
      <w:proofErr w:type="spellEnd"/>
      <w:r w:rsidRPr="00B30084">
        <w:rPr>
          <w:rFonts w:ascii="Times New Roman" w:hAnsi="Times New Roman" w:cs="Times New Roman"/>
          <w:sz w:val="24"/>
          <w:szCs w:val="24"/>
        </w:rPr>
        <w:t xml:space="preserve">), </w:t>
      </w:r>
      <w:r w:rsidR="001200E2" w:rsidRPr="00B30084">
        <w:rPr>
          <w:rFonts w:ascii="Times New Roman" w:hAnsi="Times New Roman" w:cs="Times New Roman"/>
          <w:sz w:val="24"/>
          <w:szCs w:val="24"/>
          <w:lang w:val="sr-Cyrl-RS"/>
        </w:rPr>
        <w:t xml:space="preserve">Управа за јавни дуг, </w:t>
      </w:r>
      <w:proofErr w:type="spellStart"/>
      <w:r w:rsidRPr="00B30084">
        <w:rPr>
          <w:rFonts w:ascii="Times New Roman" w:hAnsi="Times New Roman" w:cs="Times New Roman"/>
          <w:sz w:val="24"/>
          <w:szCs w:val="24"/>
        </w:rPr>
        <w:t>Развојне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агенције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Србије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Народне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банке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Србије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Комисије</w:t>
      </w:r>
      <w:proofErr w:type="spellEnd"/>
      <w:r w:rsidRPr="00B30084">
        <w:rPr>
          <w:rFonts w:ascii="Times New Roman" w:hAnsi="Times New Roman" w:cs="Times New Roman"/>
          <w:sz w:val="24"/>
          <w:szCs w:val="24"/>
        </w:rPr>
        <w:t xml:space="preserve"> за </w:t>
      </w:r>
      <w:proofErr w:type="spellStart"/>
      <w:r w:rsidRPr="00B30084">
        <w:rPr>
          <w:rFonts w:ascii="Times New Roman" w:hAnsi="Times New Roman" w:cs="Times New Roman"/>
          <w:sz w:val="24"/>
          <w:szCs w:val="24"/>
        </w:rPr>
        <w:t>хартије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од</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вредности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Београдске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берзе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као</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Централног</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регистра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депоа</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клиринга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хартија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од</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вредности</w:t>
      </w:r>
      <w:proofErr w:type="spellEnd"/>
      <w:r w:rsidRPr="00B30084">
        <w:rPr>
          <w:rFonts w:ascii="Times New Roman" w:hAnsi="Times New Roman" w:cs="Times New Roman"/>
          <w:sz w:val="24"/>
          <w:szCs w:val="24"/>
        </w:rPr>
        <w:t xml:space="preserve">,  </w:t>
      </w:r>
    </w:p>
    <w:p w14:paraId="120032D0" w14:textId="5A0D5B26" w:rsidR="000B414E" w:rsidRDefault="000B414E" w:rsidP="000B414E">
      <w:pPr>
        <w:ind w:firstLine="360"/>
        <w:jc w:val="both"/>
        <w:rPr>
          <w:rFonts w:ascii="Times New Roman" w:hAnsi="Times New Roman" w:cs="Times New Roman"/>
          <w:sz w:val="24"/>
          <w:szCs w:val="24"/>
        </w:rPr>
      </w:pPr>
      <w:r w:rsidRPr="00B30084">
        <w:rPr>
          <w:rFonts w:ascii="Times New Roman" w:hAnsi="Times New Roman" w:cs="Times New Roman"/>
          <w:sz w:val="24"/>
          <w:szCs w:val="24"/>
        </w:rPr>
        <w:t xml:space="preserve">У </w:t>
      </w:r>
      <w:proofErr w:type="spellStart"/>
      <w:r w:rsidRPr="00B30084">
        <w:rPr>
          <w:rFonts w:ascii="Times New Roman" w:hAnsi="Times New Roman" w:cs="Times New Roman"/>
          <w:sz w:val="24"/>
          <w:szCs w:val="24"/>
        </w:rPr>
        <w:t>више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циклуса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су</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чланови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Радне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групе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давали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предлоге</w:t>
      </w:r>
      <w:proofErr w:type="spellEnd"/>
      <w:r w:rsidRPr="00B30084">
        <w:rPr>
          <w:rFonts w:ascii="Times New Roman" w:hAnsi="Times New Roman" w:cs="Times New Roman"/>
          <w:sz w:val="24"/>
          <w:szCs w:val="24"/>
        </w:rPr>
        <w:t xml:space="preserve"> и </w:t>
      </w:r>
      <w:proofErr w:type="spellStart"/>
      <w:r w:rsidRPr="00B30084">
        <w:rPr>
          <w:rFonts w:ascii="Times New Roman" w:hAnsi="Times New Roman" w:cs="Times New Roman"/>
          <w:sz w:val="24"/>
          <w:szCs w:val="24"/>
        </w:rPr>
        <w:t>сугестије</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на</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радни</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нацрт</w:t>
      </w:r>
      <w:proofErr w:type="spellEnd"/>
      <w:r w:rsidRPr="00B30084">
        <w:rPr>
          <w:rFonts w:ascii="Times New Roman" w:hAnsi="Times New Roman" w:cs="Times New Roman"/>
          <w:sz w:val="24"/>
          <w:szCs w:val="24"/>
        </w:rPr>
        <w:t xml:space="preserve"> </w:t>
      </w:r>
      <w:proofErr w:type="spellStart"/>
      <w:r w:rsidRPr="00B30084">
        <w:rPr>
          <w:rFonts w:ascii="Times New Roman" w:hAnsi="Times New Roman" w:cs="Times New Roman"/>
          <w:sz w:val="24"/>
          <w:szCs w:val="24"/>
        </w:rPr>
        <w:t>документа</w:t>
      </w:r>
      <w:proofErr w:type="spellEnd"/>
      <w:r w:rsidRPr="00B30084">
        <w:rPr>
          <w:rFonts w:ascii="Times New Roman" w:hAnsi="Times New Roman" w:cs="Times New Roman"/>
          <w:sz w:val="24"/>
          <w:szCs w:val="24"/>
        </w:rPr>
        <w:t xml:space="preserve">. </w:t>
      </w:r>
    </w:p>
    <w:p w14:paraId="4D6EA223" w14:textId="77777777" w:rsidR="005E1AC7" w:rsidRPr="00B30084" w:rsidRDefault="005E1AC7" w:rsidP="000B414E">
      <w:pPr>
        <w:ind w:firstLine="360"/>
        <w:jc w:val="both"/>
        <w:rPr>
          <w:rFonts w:ascii="Times New Roman" w:hAnsi="Times New Roman" w:cs="Times New Roman"/>
          <w:sz w:val="24"/>
          <w:szCs w:val="24"/>
        </w:rPr>
      </w:pPr>
    </w:p>
    <w:p w14:paraId="5CCE8AC4" w14:textId="7DDE846C" w:rsidR="006A5925" w:rsidRPr="00B30084" w:rsidRDefault="006A5925" w:rsidP="006A5925">
      <w:pPr>
        <w:pStyle w:val="ListParagraph"/>
        <w:numPr>
          <w:ilvl w:val="0"/>
          <w:numId w:val="30"/>
        </w:numPr>
        <w:tabs>
          <w:tab w:val="left" w:pos="900"/>
        </w:tabs>
        <w:spacing w:after="0" w:line="360" w:lineRule="auto"/>
        <w:jc w:val="both"/>
        <w:rPr>
          <w:rFonts w:ascii="Times New Roman" w:hAnsi="Times New Roman" w:cs="Times New Roman"/>
          <w:b/>
          <w:sz w:val="24"/>
          <w:szCs w:val="24"/>
          <w:lang w:val="sr-Cyrl-CS"/>
        </w:rPr>
      </w:pPr>
      <w:r w:rsidRPr="00B30084">
        <w:rPr>
          <w:rFonts w:ascii="Times New Roman" w:hAnsi="Times New Roman" w:cs="Times New Roman"/>
          <w:b/>
          <w:sz w:val="24"/>
          <w:szCs w:val="24"/>
          <w:lang w:val="sr-Cyrl-CS"/>
        </w:rPr>
        <w:t>Процена финансијских средстава потребних за спровођење стратегије и анализа финансијских ефеката</w:t>
      </w:r>
    </w:p>
    <w:p w14:paraId="0DD207E5" w14:textId="38DD1BEE" w:rsidR="000B414E" w:rsidRDefault="006A5925" w:rsidP="006A5925">
      <w:pPr>
        <w:pStyle w:val="ListParagraph"/>
        <w:tabs>
          <w:tab w:val="left" w:pos="900"/>
        </w:tabs>
        <w:spacing w:after="0" w:line="360" w:lineRule="auto"/>
        <w:ind w:left="1080"/>
        <w:jc w:val="both"/>
        <w:rPr>
          <w:rFonts w:ascii="Times New Roman" w:hAnsi="Times New Roman" w:cs="Times New Roman"/>
          <w:sz w:val="24"/>
          <w:szCs w:val="24"/>
          <w:lang w:val="sr-Cyrl-CS"/>
        </w:rPr>
      </w:pPr>
      <w:r w:rsidRPr="00B30084">
        <w:rPr>
          <w:rFonts w:ascii="Times New Roman" w:hAnsi="Times New Roman" w:cs="Times New Roman"/>
          <w:sz w:val="24"/>
          <w:szCs w:val="24"/>
          <w:lang w:val="sr-Cyrl-CS"/>
        </w:rPr>
        <w:t>(</w:t>
      </w:r>
      <w:r w:rsidRPr="00B30084">
        <w:rPr>
          <w:rFonts w:ascii="Times New Roman" w:hAnsi="Times New Roman" w:cs="Times New Roman"/>
          <w:i/>
          <w:sz w:val="24"/>
          <w:szCs w:val="24"/>
          <w:lang w:val="sr-Cyrl-CS"/>
        </w:rPr>
        <w:t>ефекти на буџет, на основу питања из прилога - економски ефекти</w:t>
      </w:r>
      <w:r w:rsidRPr="00B30084">
        <w:rPr>
          <w:rFonts w:ascii="Times New Roman" w:hAnsi="Times New Roman" w:cs="Times New Roman"/>
          <w:sz w:val="24"/>
          <w:szCs w:val="24"/>
          <w:lang w:val="sr-Cyrl-CS"/>
        </w:rPr>
        <w:t>)</w:t>
      </w:r>
    </w:p>
    <w:p w14:paraId="15854ECF" w14:textId="77777777" w:rsidR="005E1AC7" w:rsidRPr="00B30084" w:rsidRDefault="005E1AC7" w:rsidP="006A5925">
      <w:pPr>
        <w:pStyle w:val="ListParagraph"/>
        <w:tabs>
          <w:tab w:val="left" w:pos="900"/>
        </w:tabs>
        <w:spacing w:after="0" w:line="360" w:lineRule="auto"/>
        <w:ind w:left="1080"/>
        <w:jc w:val="both"/>
        <w:rPr>
          <w:rFonts w:ascii="Times New Roman" w:hAnsi="Times New Roman" w:cs="Times New Roman"/>
          <w:sz w:val="24"/>
          <w:szCs w:val="24"/>
          <w:lang w:val="sr-Cyrl-CS"/>
        </w:rPr>
      </w:pPr>
    </w:p>
    <w:p w14:paraId="117DFC86" w14:textId="68DF6C08" w:rsidR="000A36B1" w:rsidRPr="00B30084" w:rsidRDefault="00145AC5" w:rsidP="00145AC5">
      <w:pPr>
        <w:pStyle w:val="ListParagraph"/>
        <w:numPr>
          <w:ilvl w:val="0"/>
          <w:numId w:val="30"/>
        </w:numPr>
        <w:spacing w:line="276" w:lineRule="auto"/>
        <w:jc w:val="both"/>
        <w:rPr>
          <w:rFonts w:ascii="Times New Roman" w:hAnsi="Times New Roman" w:cs="Times New Roman"/>
          <w:b/>
          <w:sz w:val="24"/>
          <w:szCs w:val="24"/>
          <w:lang w:val="sr-Cyrl-RS"/>
        </w:rPr>
      </w:pPr>
      <w:r w:rsidRPr="00B30084">
        <w:rPr>
          <w:rFonts w:ascii="Times New Roman" w:hAnsi="Times New Roman" w:cs="Times New Roman"/>
          <w:b/>
          <w:sz w:val="24"/>
          <w:szCs w:val="24"/>
          <w:lang w:val="sr-Cyrl-CS"/>
        </w:rPr>
        <w:t>Механизам за спровођење Стратегије и начин извештавања о резултатима спровођења</w:t>
      </w:r>
      <w:r w:rsidRPr="00B30084" w:rsidDel="00411ED8">
        <w:rPr>
          <w:rFonts w:ascii="Times New Roman" w:hAnsi="Times New Roman" w:cs="Times New Roman"/>
          <w:b/>
          <w:sz w:val="24"/>
          <w:szCs w:val="24"/>
          <w:lang w:val="sr-Cyrl-RS"/>
        </w:rPr>
        <w:t xml:space="preserve"> </w:t>
      </w:r>
    </w:p>
    <w:p w14:paraId="7E2A8C7F" w14:textId="04EB887E" w:rsidR="00411ED8" w:rsidRPr="00B30084" w:rsidRDefault="00FF0E2A" w:rsidP="00442286">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За спровођење Стратегије израдиће се акциони план</w:t>
      </w:r>
      <w:r w:rsidR="001F5E84">
        <w:rPr>
          <w:rFonts w:ascii="Times New Roman" w:hAnsi="Times New Roman" w:cs="Times New Roman"/>
          <w:sz w:val="24"/>
          <w:szCs w:val="24"/>
          <w:lang w:val="sr-Cyrl-RS"/>
        </w:rPr>
        <w:t>.</w:t>
      </w:r>
    </w:p>
    <w:p w14:paraId="3341B60D" w14:textId="2C7A881B" w:rsidR="00442286" w:rsidRPr="00B30084" w:rsidRDefault="00442286" w:rsidP="00442286">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Мини</w:t>
      </w:r>
      <w:r w:rsidR="001200E2" w:rsidRPr="00B30084">
        <w:rPr>
          <w:rFonts w:ascii="Times New Roman" w:hAnsi="Times New Roman" w:cs="Times New Roman"/>
          <w:sz w:val="24"/>
          <w:szCs w:val="24"/>
          <w:lang w:val="sr-Cyrl-RS"/>
        </w:rPr>
        <w:t>старство финансија Републике Ср</w:t>
      </w:r>
      <w:r w:rsidRPr="00B30084">
        <w:rPr>
          <w:rFonts w:ascii="Times New Roman" w:hAnsi="Times New Roman" w:cs="Times New Roman"/>
          <w:sz w:val="24"/>
          <w:szCs w:val="24"/>
          <w:lang w:val="sr-Cyrl-RS"/>
        </w:rPr>
        <w:t>бије ће полугодишње извештавати Владу Републике Србије о статусу реализације, као и о потенцијалним приликама или ризицима за спровођење.</w:t>
      </w:r>
    </w:p>
    <w:p w14:paraId="7AF1D44E" w14:textId="20549BAE" w:rsidR="00442286" w:rsidRPr="00B30084" w:rsidRDefault="00442286" w:rsidP="00442286">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lastRenderedPageBreak/>
        <w:t xml:space="preserve">Путем Информационог система за планирање, праћење спровођења, координацију јавних политика и извештавање, Министарство финансија ће </w:t>
      </w:r>
      <w:r w:rsidR="00411ED8" w:rsidRPr="00B30084">
        <w:rPr>
          <w:rFonts w:ascii="Times New Roman" w:hAnsi="Times New Roman" w:cs="Times New Roman"/>
          <w:sz w:val="24"/>
          <w:szCs w:val="24"/>
          <w:lang w:val="sr-Cyrl-RS"/>
        </w:rPr>
        <w:t xml:space="preserve">припремати извештаје о напретку у спровођењу акционог плана </w:t>
      </w:r>
      <w:r w:rsidR="000F7147">
        <w:rPr>
          <w:rFonts w:ascii="Times New Roman" w:hAnsi="Times New Roman" w:cs="Times New Roman"/>
          <w:sz w:val="24"/>
          <w:szCs w:val="24"/>
          <w:lang w:val="sr-Cyrl-RS"/>
        </w:rPr>
        <w:t xml:space="preserve">у сарадњи са </w:t>
      </w:r>
      <w:r w:rsidRPr="00B30084">
        <w:rPr>
          <w:rFonts w:ascii="Times New Roman" w:hAnsi="Times New Roman" w:cs="Times New Roman"/>
          <w:sz w:val="24"/>
          <w:szCs w:val="24"/>
          <w:lang w:val="sr-Cyrl-RS"/>
        </w:rPr>
        <w:t>надлежним министарствима, надлежним органима и организацијама, привредом и факултетима на националном и локалном нивоу.</w:t>
      </w:r>
    </w:p>
    <w:p w14:paraId="2A6AAE65" w14:textId="43776E63" w:rsidR="00442286" w:rsidRPr="00B30084" w:rsidRDefault="00442286" w:rsidP="00442286">
      <w:pPr>
        <w:spacing w:line="276" w:lineRule="auto"/>
        <w:ind w:firstLine="360"/>
        <w:jc w:val="both"/>
        <w:rPr>
          <w:rFonts w:ascii="Times New Roman" w:hAnsi="Times New Roman" w:cs="Times New Roman"/>
          <w:sz w:val="24"/>
          <w:szCs w:val="24"/>
          <w:lang w:val="sr-Cyrl-RS"/>
        </w:rPr>
      </w:pPr>
      <w:r w:rsidRPr="00B30084">
        <w:rPr>
          <w:rFonts w:ascii="Times New Roman" w:hAnsi="Times New Roman" w:cs="Times New Roman"/>
          <w:sz w:val="24"/>
          <w:szCs w:val="24"/>
          <w:lang w:val="sr-Cyrl-RS"/>
        </w:rPr>
        <w:t>Трогодишње акционе планове спровођења и извештаје о остваривању ове стратегије израђиваће Министарство финансија Р</w:t>
      </w:r>
      <w:r w:rsidR="007B6917">
        <w:rPr>
          <w:rFonts w:ascii="Times New Roman" w:hAnsi="Times New Roman" w:cs="Times New Roman"/>
          <w:sz w:val="24"/>
          <w:szCs w:val="24"/>
          <w:lang w:val="sr-Cyrl-RS"/>
        </w:rPr>
        <w:t>епублике Србије у сарадњи са</w:t>
      </w:r>
      <w:r w:rsidRPr="00B30084">
        <w:rPr>
          <w:rFonts w:ascii="Times New Roman" w:hAnsi="Times New Roman" w:cs="Times New Roman"/>
          <w:sz w:val="24"/>
          <w:szCs w:val="24"/>
          <w:lang w:val="sr-Cyrl-RS"/>
        </w:rPr>
        <w:t xml:space="preserve"> надлежним министарствима, надлежним органима и организацијама, привредом и факултетима. Први трогодишњи акциони план за примену Стратегије за развој тржишта капитала биће усвојен у року од 90 дана од доношења Стратегије, а остали акциони планови доносиће се у складу са чланом 18. став 7. Закона о планском систему Републике Србије.</w:t>
      </w:r>
    </w:p>
    <w:p w14:paraId="3542F529" w14:textId="77777777" w:rsidR="00AB1FE6" w:rsidRDefault="00AB1FE6" w:rsidP="00AB1FE6">
      <w:pPr>
        <w:pStyle w:val="NoSpacing"/>
        <w:spacing w:line="276" w:lineRule="auto"/>
        <w:rPr>
          <w:rFonts w:ascii="Times New Roman" w:hAnsi="Times New Roman" w:cs="Times New Roman"/>
          <w:b/>
          <w:noProof/>
          <w:sz w:val="24"/>
          <w:szCs w:val="28"/>
          <w:shd w:val="clear" w:color="auto" w:fill="FFFFFF"/>
          <w:lang w:val="sr-Cyrl-RS"/>
        </w:rPr>
      </w:pPr>
      <w:bookmarkStart w:id="14" w:name="_Toc45188738"/>
      <w:bookmarkStart w:id="15" w:name="_Toc56975117"/>
      <w:bookmarkStart w:id="16" w:name="_Toc68625340"/>
    </w:p>
    <w:p w14:paraId="7AE565DB" w14:textId="14705A40" w:rsidR="00D7576F" w:rsidRPr="00B30084" w:rsidRDefault="00D7576F" w:rsidP="00AB1FE6">
      <w:pPr>
        <w:pStyle w:val="NoSpacing"/>
        <w:spacing w:line="276" w:lineRule="auto"/>
        <w:rPr>
          <w:rFonts w:ascii="Times New Roman" w:hAnsi="Times New Roman" w:cs="Times New Roman"/>
          <w:b/>
          <w:noProof/>
          <w:sz w:val="24"/>
          <w:szCs w:val="28"/>
          <w:shd w:val="clear" w:color="auto" w:fill="FFFFFF"/>
        </w:rPr>
      </w:pPr>
      <w:r w:rsidRPr="00B30084">
        <w:rPr>
          <w:rFonts w:ascii="Times New Roman" w:hAnsi="Times New Roman" w:cs="Times New Roman"/>
          <w:b/>
          <w:noProof/>
          <w:sz w:val="24"/>
          <w:szCs w:val="28"/>
          <w:shd w:val="clear" w:color="auto" w:fill="FFFFFF"/>
          <w:lang w:val="sr-Cyrl-RS"/>
        </w:rPr>
        <w:t xml:space="preserve">10. </w:t>
      </w:r>
      <w:r w:rsidRPr="00B30084">
        <w:rPr>
          <w:rFonts w:ascii="Times New Roman" w:hAnsi="Times New Roman" w:cs="Times New Roman"/>
          <w:b/>
          <w:noProof/>
          <w:sz w:val="24"/>
          <w:szCs w:val="28"/>
          <w:shd w:val="clear" w:color="auto" w:fill="FFFFFF"/>
        </w:rPr>
        <w:t>Завршна одредба</w:t>
      </w:r>
      <w:bookmarkEnd w:id="14"/>
      <w:bookmarkEnd w:id="15"/>
      <w:bookmarkEnd w:id="16"/>
    </w:p>
    <w:p w14:paraId="4D817F17" w14:textId="77777777" w:rsidR="00D7576F" w:rsidRPr="00B30084" w:rsidRDefault="00D7576F" w:rsidP="00D7576F">
      <w:pPr>
        <w:pStyle w:val="NoSpacing"/>
        <w:spacing w:line="276" w:lineRule="auto"/>
        <w:jc w:val="both"/>
        <w:rPr>
          <w:rFonts w:ascii="Times New Roman" w:hAnsi="Times New Roman" w:cs="Times New Roman"/>
          <w:noProof/>
        </w:rPr>
      </w:pPr>
    </w:p>
    <w:p w14:paraId="1116AA15" w14:textId="4C20B4F5" w:rsidR="00D7576F" w:rsidRPr="00356759" w:rsidRDefault="00D7576F" w:rsidP="00D7576F">
      <w:pPr>
        <w:pStyle w:val="NoSpacing"/>
        <w:spacing w:line="276" w:lineRule="auto"/>
        <w:ind w:firstLine="720"/>
        <w:jc w:val="both"/>
        <w:rPr>
          <w:rFonts w:ascii="Times New Roman" w:eastAsiaTheme="minorHAnsi" w:hAnsi="Times New Roman" w:cs="Times New Roman"/>
          <w:sz w:val="24"/>
          <w:szCs w:val="24"/>
          <w:lang w:val="sr-Cyrl-RS"/>
        </w:rPr>
      </w:pPr>
      <w:r w:rsidRPr="00356759">
        <w:rPr>
          <w:rFonts w:ascii="Times New Roman" w:eastAsiaTheme="minorHAnsi" w:hAnsi="Times New Roman" w:cs="Times New Roman"/>
          <w:sz w:val="24"/>
          <w:szCs w:val="24"/>
          <w:lang w:val="sr-Cyrl-RS"/>
        </w:rPr>
        <w:t>Ову стратегију објавити на интернет страници Владе, интернет страници Министарства финансија и порталу е-Управе, у року од седам радних дана од дана усвајања.</w:t>
      </w:r>
    </w:p>
    <w:p w14:paraId="53729BF0" w14:textId="3BF370C6" w:rsidR="00D7576F" w:rsidRPr="00356759" w:rsidRDefault="00D7576F" w:rsidP="00D7576F">
      <w:pPr>
        <w:pStyle w:val="NoSpacing"/>
        <w:spacing w:line="276" w:lineRule="auto"/>
        <w:ind w:firstLine="720"/>
        <w:jc w:val="both"/>
        <w:rPr>
          <w:rFonts w:ascii="Times New Roman" w:eastAsiaTheme="minorHAnsi" w:hAnsi="Times New Roman" w:cs="Times New Roman"/>
          <w:sz w:val="24"/>
          <w:szCs w:val="24"/>
          <w:lang w:val="sr-Cyrl-RS"/>
        </w:rPr>
      </w:pPr>
      <w:r w:rsidRPr="00356759">
        <w:rPr>
          <w:rFonts w:ascii="Times New Roman" w:eastAsiaTheme="minorHAnsi" w:hAnsi="Times New Roman" w:cs="Times New Roman"/>
          <w:sz w:val="24"/>
          <w:szCs w:val="24"/>
          <w:lang w:val="sr-Cyrl-RS"/>
        </w:rPr>
        <w:t>Ову стратегију објавити у „Службеном гласнику Републике Србије”.</w:t>
      </w:r>
    </w:p>
    <w:p w14:paraId="69A71DD3" w14:textId="77777777" w:rsidR="00D7576F" w:rsidRPr="00356759" w:rsidRDefault="00D7576F" w:rsidP="00D7576F">
      <w:pPr>
        <w:pStyle w:val="NoSpacing"/>
        <w:spacing w:line="276" w:lineRule="auto"/>
        <w:ind w:firstLine="720"/>
        <w:jc w:val="both"/>
        <w:rPr>
          <w:rFonts w:ascii="Times New Roman" w:eastAsiaTheme="minorHAnsi" w:hAnsi="Times New Roman" w:cs="Times New Roman"/>
          <w:sz w:val="24"/>
          <w:szCs w:val="24"/>
          <w:lang w:val="sr-Cyrl-RS"/>
        </w:rPr>
      </w:pPr>
    </w:p>
    <w:p w14:paraId="6ED52A37" w14:textId="75F747AD" w:rsidR="00D7576F" w:rsidRPr="00B30084" w:rsidRDefault="00D7576F" w:rsidP="00D7576F">
      <w:pPr>
        <w:rPr>
          <w:rFonts w:ascii="Times New Roman" w:hAnsi="Times New Roman" w:cs="Times New Roman"/>
          <w:color w:val="000000"/>
          <w:lang w:val="sr-Cyrl-RS"/>
        </w:rPr>
      </w:pPr>
      <w:r w:rsidRPr="00B30084">
        <w:rPr>
          <w:rFonts w:ascii="Times New Roman" w:hAnsi="Times New Roman" w:cs="Times New Roman"/>
          <w:color w:val="000000"/>
        </w:rPr>
        <w:t xml:space="preserve">05 </w:t>
      </w:r>
      <w:proofErr w:type="spellStart"/>
      <w:r w:rsidRPr="00B30084">
        <w:rPr>
          <w:rFonts w:ascii="Times New Roman" w:hAnsi="Times New Roman" w:cs="Times New Roman"/>
          <w:color w:val="000000"/>
        </w:rPr>
        <w:t>Број</w:t>
      </w:r>
      <w:proofErr w:type="spellEnd"/>
      <w:r w:rsidRPr="00B30084">
        <w:rPr>
          <w:rFonts w:ascii="Times New Roman" w:hAnsi="Times New Roman" w:cs="Times New Roman"/>
          <w:color w:val="000000"/>
        </w:rPr>
        <w:t xml:space="preserve">: </w:t>
      </w:r>
    </w:p>
    <w:p w14:paraId="02C16CA1" w14:textId="4B6B7DA2" w:rsidR="00D7576F" w:rsidRPr="00B30084" w:rsidRDefault="00D7576F" w:rsidP="00D7576F">
      <w:pPr>
        <w:rPr>
          <w:rFonts w:ascii="Times New Roman" w:hAnsi="Times New Roman" w:cs="Times New Roman"/>
        </w:rPr>
      </w:pPr>
      <w:r w:rsidRPr="00B30084">
        <w:rPr>
          <w:rFonts w:ascii="Times New Roman" w:hAnsi="Times New Roman" w:cs="Times New Roman"/>
        </w:rPr>
        <w:t>У</w:t>
      </w:r>
      <w:r w:rsidRPr="00B30084">
        <w:rPr>
          <w:rFonts w:ascii="Times New Roman" w:hAnsi="Times New Roman" w:cs="Times New Roman"/>
          <w:lang w:val="sr-Latn-CS"/>
        </w:rPr>
        <w:t xml:space="preserve"> </w:t>
      </w:r>
      <w:proofErr w:type="spellStart"/>
      <w:r w:rsidRPr="00B30084">
        <w:rPr>
          <w:rFonts w:ascii="Times New Roman" w:hAnsi="Times New Roman" w:cs="Times New Roman"/>
        </w:rPr>
        <w:t>Београду</w:t>
      </w:r>
      <w:proofErr w:type="spellEnd"/>
      <w:r w:rsidRPr="00B30084">
        <w:rPr>
          <w:rFonts w:ascii="Times New Roman" w:hAnsi="Times New Roman" w:cs="Times New Roman"/>
          <w:lang w:val="sr-Latn-CS"/>
        </w:rPr>
        <w:t>,</w:t>
      </w:r>
      <w:r w:rsidRPr="00B30084">
        <w:rPr>
          <w:rFonts w:ascii="Times New Roman" w:hAnsi="Times New Roman" w:cs="Times New Roman"/>
          <w:lang w:val="sr-Cyrl-RS"/>
        </w:rPr>
        <w:t xml:space="preserve"> </w:t>
      </w:r>
      <w:r w:rsidRPr="00B30084">
        <w:rPr>
          <w:rFonts w:ascii="Times New Roman" w:hAnsi="Times New Roman" w:cs="Times New Roman"/>
        </w:rPr>
        <w:t xml:space="preserve">[] </w:t>
      </w:r>
      <w:r w:rsidRPr="00B30084">
        <w:rPr>
          <w:rFonts w:ascii="Times New Roman" w:hAnsi="Times New Roman" w:cs="Times New Roman"/>
          <w:lang w:val="sr-Latn-CS"/>
        </w:rPr>
        <w:t>20</w:t>
      </w:r>
      <w:r w:rsidRPr="00B30084">
        <w:rPr>
          <w:rFonts w:ascii="Times New Roman" w:hAnsi="Times New Roman" w:cs="Times New Roman"/>
        </w:rPr>
        <w:t>21</w:t>
      </w:r>
      <w:r w:rsidRPr="00B30084">
        <w:rPr>
          <w:rFonts w:ascii="Times New Roman" w:hAnsi="Times New Roman" w:cs="Times New Roman"/>
          <w:lang w:val="sr-Latn-CS"/>
        </w:rPr>
        <w:t xml:space="preserve">. </w:t>
      </w:r>
      <w:proofErr w:type="spellStart"/>
      <w:r w:rsidRPr="00B30084">
        <w:rPr>
          <w:rFonts w:ascii="Times New Roman" w:hAnsi="Times New Roman" w:cs="Times New Roman"/>
        </w:rPr>
        <w:t>године</w:t>
      </w:r>
      <w:proofErr w:type="spellEnd"/>
    </w:p>
    <w:p w14:paraId="7BB1AF0E" w14:textId="77777777" w:rsidR="00D7576F" w:rsidRPr="00B30084" w:rsidRDefault="00D7576F" w:rsidP="00D7576F">
      <w:pPr>
        <w:jc w:val="center"/>
        <w:rPr>
          <w:rFonts w:ascii="Times New Roman" w:hAnsi="Times New Roman" w:cs="Times New Roman"/>
          <w:spacing w:val="40"/>
          <w:szCs w:val="23"/>
          <w:lang w:val="sr-Cyrl-CS"/>
        </w:rPr>
      </w:pPr>
      <w:r w:rsidRPr="00B30084">
        <w:rPr>
          <w:rFonts w:ascii="Times New Roman" w:hAnsi="Times New Roman" w:cs="Times New Roman"/>
          <w:spacing w:val="40"/>
          <w:szCs w:val="23"/>
          <w:lang w:val="sr-Cyrl-CS"/>
        </w:rPr>
        <w:t>В</w:t>
      </w:r>
      <w:r w:rsidRPr="00B30084">
        <w:rPr>
          <w:rFonts w:ascii="Times New Roman" w:hAnsi="Times New Roman" w:cs="Times New Roman"/>
          <w:spacing w:val="40"/>
          <w:szCs w:val="23"/>
          <w:lang w:val="sr-Latn-CS"/>
        </w:rPr>
        <w:t xml:space="preserve"> </w:t>
      </w:r>
      <w:r w:rsidRPr="00B30084">
        <w:rPr>
          <w:rFonts w:ascii="Times New Roman" w:hAnsi="Times New Roman" w:cs="Times New Roman"/>
          <w:spacing w:val="40"/>
          <w:szCs w:val="23"/>
          <w:lang w:val="sr-Cyrl-CS"/>
        </w:rPr>
        <w:t>Л</w:t>
      </w:r>
      <w:r w:rsidRPr="00B30084">
        <w:rPr>
          <w:rFonts w:ascii="Times New Roman" w:hAnsi="Times New Roman" w:cs="Times New Roman"/>
          <w:spacing w:val="40"/>
          <w:szCs w:val="23"/>
          <w:lang w:val="sr-Latn-CS"/>
        </w:rPr>
        <w:t xml:space="preserve"> </w:t>
      </w:r>
      <w:r w:rsidRPr="00B30084">
        <w:rPr>
          <w:rFonts w:ascii="Times New Roman" w:hAnsi="Times New Roman" w:cs="Times New Roman"/>
          <w:spacing w:val="40"/>
          <w:szCs w:val="23"/>
          <w:lang w:val="sr-Cyrl-CS"/>
        </w:rPr>
        <w:t>А</w:t>
      </w:r>
      <w:r w:rsidRPr="00B30084">
        <w:rPr>
          <w:rFonts w:ascii="Times New Roman" w:hAnsi="Times New Roman" w:cs="Times New Roman"/>
          <w:spacing w:val="40"/>
          <w:szCs w:val="23"/>
          <w:lang w:val="sr-Latn-CS"/>
        </w:rPr>
        <w:t xml:space="preserve"> </w:t>
      </w:r>
      <w:r w:rsidRPr="00B30084">
        <w:rPr>
          <w:rFonts w:ascii="Times New Roman" w:hAnsi="Times New Roman" w:cs="Times New Roman"/>
          <w:spacing w:val="40"/>
          <w:szCs w:val="23"/>
          <w:lang w:val="sr-Cyrl-CS"/>
        </w:rPr>
        <w:t>Д</w:t>
      </w:r>
      <w:r w:rsidRPr="00B30084">
        <w:rPr>
          <w:rFonts w:ascii="Times New Roman" w:hAnsi="Times New Roman" w:cs="Times New Roman"/>
          <w:spacing w:val="40"/>
          <w:szCs w:val="23"/>
          <w:lang w:val="sr-Latn-CS"/>
        </w:rPr>
        <w:t xml:space="preserve"> </w:t>
      </w:r>
      <w:r w:rsidRPr="00B30084">
        <w:rPr>
          <w:rFonts w:ascii="Times New Roman" w:hAnsi="Times New Roman" w:cs="Times New Roman"/>
          <w:spacing w:val="40"/>
          <w:szCs w:val="23"/>
          <w:lang w:val="sr-Cyrl-CS"/>
        </w:rPr>
        <w:t>А</w:t>
      </w:r>
    </w:p>
    <w:tbl>
      <w:tblPr>
        <w:tblW w:w="9464" w:type="dxa"/>
        <w:tblLayout w:type="fixed"/>
        <w:tblLook w:val="04A0" w:firstRow="1" w:lastRow="0" w:firstColumn="1" w:lastColumn="0" w:noHBand="0" w:noVBand="1"/>
      </w:tblPr>
      <w:tblGrid>
        <w:gridCol w:w="4786"/>
        <w:gridCol w:w="4678"/>
      </w:tblGrid>
      <w:tr w:rsidR="00D7576F" w:rsidRPr="00B30084" w14:paraId="427F968F" w14:textId="77777777" w:rsidTr="00BA6D34">
        <w:tc>
          <w:tcPr>
            <w:tcW w:w="4786" w:type="dxa"/>
          </w:tcPr>
          <w:p w14:paraId="08506378" w14:textId="77777777" w:rsidR="00D7576F" w:rsidRPr="00B30084" w:rsidRDefault="00D7576F" w:rsidP="00BA6D34">
            <w:pPr>
              <w:jc w:val="center"/>
              <w:rPr>
                <w:rFonts w:ascii="Times New Roman" w:hAnsi="Times New Roman" w:cs="Times New Roman"/>
                <w:szCs w:val="23"/>
                <w:lang w:val="ru-RU"/>
              </w:rPr>
            </w:pPr>
          </w:p>
        </w:tc>
        <w:tc>
          <w:tcPr>
            <w:tcW w:w="4678" w:type="dxa"/>
          </w:tcPr>
          <w:p w14:paraId="0F04991C" w14:textId="77777777" w:rsidR="00D7576F" w:rsidRPr="00B30084" w:rsidRDefault="00D7576F" w:rsidP="00BA6D34">
            <w:pPr>
              <w:jc w:val="center"/>
              <w:rPr>
                <w:rFonts w:ascii="Times New Roman" w:hAnsi="Times New Roman" w:cs="Times New Roman"/>
                <w:szCs w:val="23"/>
                <w:lang w:val="ru-RU"/>
              </w:rPr>
            </w:pPr>
            <w:r w:rsidRPr="00B30084">
              <w:rPr>
                <w:rFonts w:ascii="Times New Roman" w:hAnsi="Times New Roman" w:cs="Times New Roman"/>
                <w:szCs w:val="23"/>
                <w:lang w:val="ru-RU"/>
              </w:rPr>
              <w:t>ПРЕДСЕДНИК</w:t>
            </w:r>
          </w:p>
          <w:p w14:paraId="4AEEABEC" w14:textId="77777777" w:rsidR="00D7576F" w:rsidRPr="00B30084" w:rsidRDefault="00D7576F" w:rsidP="00BA6D34">
            <w:pPr>
              <w:rPr>
                <w:rFonts w:ascii="Times New Roman" w:hAnsi="Times New Roman" w:cs="Times New Roman"/>
                <w:szCs w:val="23"/>
                <w:lang w:val="sr-Cyrl-CS"/>
              </w:rPr>
            </w:pPr>
          </w:p>
          <w:p w14:paraId="414656E0" w14:textId="77777777" w:rsidR="00D7576F" w:rsidRPr="00B30084" w:rsidRDefault="00D7576F" w:rsidP="00BA6D34">
            <w:pPr>
              <w:pStyle w:val="Footer"/>
              <w:jc w:val="center"/>
              <w:rPr>
                <w:rFonts w:ascii="Times New Roman" w:hAnsi="Times New Roman" w:cs="Times New Roman"/>
                <w:szCs w:val="23"/>
              </w:rPr>
            </w:pPr>
            <w:r w:rsidRPr="00B30084">
              <w:rPr>
                <w:rFonts w:ascii="Times New Roman" w:hAnsi="Times New Roman" w:cs="Times New Roman"/>
                <w:szCs w:val="23"/>
                <w:lang w:val="ru-RU"/>
              </w:rPr>
              <w:t>Ана Брнабић</w:t>
            </w:r>
          </w:p>
        </w:tc>
      </w:tr>
    </w:tbl>
    <w:p w14:paraId="34160BA7" w14:textId="0A920FA8" w:rsidR="003C388D" w:rsidRPr="00B30084" w:rsidRDefault="003C388D" w:rsidP="00E50617">
      <w:pPr>
        <w:spacing w:line="276" w:lineRule="auto"/>
        <w:jc w:val="both"/>
        <w:rPr>
          <w:rFonts w:ascii="Times New Roman" w:hAnsi="Times New Roman" w:cs="Times New Roman"/>
          <w:sz w:val="24"/>
          <w:szCs w:val="24"/>
          <w:lang w:val="sr-Cyrl-RS"/>
        </w:rPr>
      </w:pPr>
    </w:p>
    <w:p w14:paraId="1A9885F2" w14:textId="77777777" w:rsidR="003C388D" w:rsidRPr="00B30084" w:rsidRDefault="003C388D" w:rsidP="00E50617">
      <w:pPr>
        <w:spacing w:line="276" w:lineRule="auto"/>
        <w:jc w:val="both"/>
        <w:rPr>
          <w:rFonts w:ascii="Times New Roman" w:hAnsi="Times New Roman" w:cs="Times New Roman"/>
          <w:sz w:val="24"/>
          <w:szCs w:val="24"/>
          <w:lang w:val="sr-Cyrl-RS"/>
        </w:rPr>
      </w:pPr>
    </w:p>
    <w:sectPr w:rsidR="003C388D" w:rsidRPr="00B30084" w:rsidSect="00DE22F1">
      <w:footerReference w:type="default" r:id="rId21"/>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6522" w14:textId="77777777" w:rsidR="006406BF" w:rsidRDefault="006406BF" w:rsidP="00DA0808">
      <w:pPr>
        <w:spacing w:after="0" w:line="240" w:lineRule="auto"/>
      </w:pPr>
      <w:r>
        <w:separator/>
      </w:r>
    </w:p>
  </w:endnote>
  <w:endnote w:type="continuationSeparator" w:id="0">
    <w:p w14:paraId="39425E59" w14:textId="77777777" w:rsidR="006406BF" w:rsidRDefault="006406BF" w:rsidP="00DA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47507"/>
      <w:docPartObj>
        <w:docPartGallery w:val="Page Numbers (Bottom of Page)"/>
        <w:docPartUnique/>
      </w:docPartObj>
    </w:sdtPr>
    <w:sdtEndPr>
      <w:rPr>
        <w:noProof/>
      </w:rPr>
    </w:sdtEndPr>
    <w:sdtContent>
      <w:p w14:paraId="612AA871" w14:textId="68654A26" w:rsidR="001B3BC9" w:rsidRDefault="001B3BC9">
        <w:pPr>
          <w:pStyle w:val="Footer"/>
          <w:jc w:val="right"/>
        </w:pPr>
        <w:r>
          <w:fldChar w:fldCharType="begin"/>
        </w:r>
        <w:r>
          <w:instrText xml:space="preserve"> PAGE   \* MERGEFORMAT </w:instrText>
        </w:r>
        <w:r>
          <w:fldChar w:fldCharType="separate"/>
        </w:r>
        <w:r w:rsidR="007F5ED9">
          <w:rPr>
            <w:noProof/>
          </w:rPr>
          <w:t>4</w:t>
        </w:r>
        <w:r>
          <w:rPr>
            <w:noProof/>
          </w:rPr>
          <w:fldChar w:fldCharType="end"/>
        </w:r>
      </w:p>
    </w:sdtContent>
  </w:sdt>
  <w:p w14:paraId="398F9912" w14:textId="77777777" w:rsidR="001B3BC9" w:rsidRDefault="001B3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3C15" w14:textId="77777777" w:rsidR="006406BF" w:rsidRDefault="006406BF" w:rsidP="00DA0808">
      <w:pPr>
        <w:spacing w:after="0" w:line="240" w:lineRule="auto"/>
      </w:pPr>
      <w:r>
        <w:separator/>
      </w:r>
    </w:p>
  </w:footnote>
  <w:footnote w:type="continuationSeparator" w:id="0">
    <w:p w14:paraId="07A11019" w14:textId="77777777" w:rsidR="006406BF" w:rsidRDefault="006406BF" w:rsidP="00DA0808">
      <w:pPr>
        <w:spacing w:after="0" w:line="240" w:lineRule="auto"/>
      </w:pPr>
      <w:r>
        <w:continuationSeparator/>
      </w:r>
    </w:p>
  </w:footnote>
  <w:footnote w:id="1">
    <w:p w14:paraId="4CBF1033" w14:textId="1FD39EAF" w:rsidR="001B3BC9" w:rsidRPr="00F835C6" w:rsidRDefault="001B3BC9" w:rsidP="002A2250">
      <w:pPr>
        <w:pStyle w:val="FootnoteText"/>
        <w:rPr>
          <w:lang w:val="en-US"/>
        </w:rPr>
      </w:pPr>
      <w:r>
        <w:rPr>
          <w:rStyle w:val="FootnoteReference"/>
        </w:rPr>
        <w:footnoteRef/>
      </w:r>
      <w:r>
        <w:t xml:space="preserve"> </w:t>
      </w:r>
      <w:r>
        <w:rPr>
          <w:lang w:val="en-US"/>
        </w:rPr>
        <w:t xml:space="preserve">World Bank Group, </w:t>
      </w:r>
      <w:r>
        <w:t>„</w:t>
      </w:r>
      <w:r w:rsidRPr="00C01DBB">
        <w:t xml:space="preserve">Capital </w:t>
      </w:r>
      <w:proofErr w:type="spellStart"/>
      <w:r w:rsidRPr="00C01DBB">
        <w:t>Markets</w:t>
      </w:r>
      <w:proofErr w:type="spellEnd"/>
      <w:r w:rsidRPr="00C01DBB">
        <w:t xml:space="preserve"> </w:t>
      </w:r>
      <w:proofErr w:type="spellStart"/>
      <w:r w:rsidRPr="00C01DBB">
        <w:t>Development</w:t>
      </w:r>
      <w:proofErr w:type="spellEnd"/>
      <w:r w:rsidRPr="00C01DBB">
        <w:t xml:space="preserve">: </w:t>
      </w:r>
      <w:proofErr w:type="spellStart"/>
      <w:r w:rsidRPr="00C01DBB">
        <w:t>Causes</w:t>
      </w:r>
      <w:proofErr w:type="spellEnd"/>
      <w:r w:rsidRPr="00C01DBB">
        <w:t xml:space="preserve">, </w:t>
      </w:r>
      <w:proofErr w:type="spellStart"/>
      <w:r w:rsidRPr="00C01DBB">
        <w:t>Effects</w:t>
      </w:r>
      <w:proofErr w:type="spellEnd"/>
      <w:r w:rsidRPr="00C01DBB">
        <w:t xml:space="preserve">, </w:t>
      </w:r>
      <w:proofErr w:type="spellStart"/>
      <w:r w:rsidRPr="00C01DBB">
        <w:t>and</w:t>
      </w:r>
      <w:proofErr w:type="spellEnd"/>
      <w:r w:rsidRPr="00C01DBB">
        <w:t xml:space="preserve"> </w:t>
      </w:r>
      <w:proofErr w:type="spellStart"/>
      <w:r w:rsidRPr="00C01DBB">
        <w:t>Sequencing</w:t>
      </w:r>
      <w:proofErr w:type="spellEnd"/>
      <w:r>
        <w:t>“</w:t>
      </w:r>
      <w:r w:rsidRPr="00C01DBB">
        <w:t xml:space="preserve">, </w:t>
      </w:r>
      <w:r>
        <w:t>(</w:t>
      </w:r>
      <w:proofErr w:type="spellStart"/>
      <w:r>
        <w:t>World</w:t>
      </w:r>
      <w:proofErr w:type="spellEnd"/>
      <w:r>
        <w:t xml:space="preserve"> Bank </w:t>
      </w:r>
      <w:r>
        <w:rPr>
          <w:lang w:val="en-US"/>
        </w:rPr>
        <w:t xml:space="preserve">Group, </w:t>
      </w:r>
      <w:r>
        <w:t>2019</w:t>
      </w:r>
      <w:r>
        <w:rPr>
          <w:lang w:val="en-US"/>
        </w:rPr>
        <w:t>)</w:t>
      </w:r>
      <w:r>
        <w:t xml:space="preserve"> доступно на енглеском језику на: </w:t>
      </w:r>
      <w:hyperlink r:id="rId1" w:history="1">
        <w:r w:rsidRPr="008A62A1">
          <w:rPr>
            <w:rStyle w:val="Hyperlink"/>
          </w:rPr>
          <w:t>https://documents.worldbank.org/en/publication/documentsreports/documentdetail/701021588343376548/capital-markets-development-causes-effects-andsequencing</w:t>
        </w:r>
      </w:hyperlink>
      <w:r>
        <w:rPr>
          <w:lang w:val="en-US"/>
        </w:rPr>
        <w:t xml:space="preserve"> </w:t>
      </w:r>
    </w:p>
  </w:footnote>
  <w:footnote w:id="2">
    <w:p w14:paraId="3BF6D17B" w14:textId="77777777" w:rsidR="001B3BC9" w:rsidRPr="00892306" w:rsidRDefault="001B3BC9" w:rsidP="000C1EAA">
      <w:pPr>
        <w:pStyle w:val="FootnoteText"/>
        <w:jc w:val="both"/>
      </w:pPr>
      <w:r>
        <w:rPr>
          <w:rStyle w:val="FootnoteReference"/>
        </w:rPr>
        <w:footnoteRef/>
      </w:r>
      <w:r>
        <w:t xml:space="preserve"> </w:t>
      </w:r>
      <w:proofErr w:type="spellStart"/>
      <w:r>
        <w:t>International</w:t>
      </w:r>
      <w:proofErr w:type="spellEnd"/>
      <w:r>
        <w:t xml:space="preserve"> </w:t>
      </w:r>
      <w:proofErr w:type="spellStart"/>
      <w:r>
        <w:t>Monetary</w:t>
      </w:r>
      <w:proofErr w:type="spellEnd"/>
      <w:r>
        <w:t xml:space="preserve"> </w:t>
      </w:r>
      <w:proofErr w:type="spellStart"/>
      <w:r>
        <w:t>Fund</w:t>
      </w:r>
      <w:proofErr w:type="spellEnd"/>
      <w:r>
        <w:t xml:space="preserve">, </w:t>
      </w:r>
      <w:r w:rsidRPr="00892306">
        <w:t>STAFF REPORT FOR THE 2019 ARTICLE IV CONSULTATION AND SECOND REVIEW UNDER THE POLICY COORDINATION INSTRUMENT—PRESS RELEASE; STAFF REPORT; INFORMATIONAL ANNEX; STAFF STATEMENT; AND STATEMENT BY THE EXECUTIVE DIRECTOR FOR REPUBLIC OF SERBIA</w:t>
      </w:r>
      <w:r>
        <w:t xml:space="preserve"> (IMF, 2019) доступно на: </w:t>
      </w:r>
      <w:hyperlink r:id="rId2" w:history="1">
        <w:r w:rsidRPr="000D122D">
          <w:rPr>
            <w:rStyle w:val="Hyperlink"/>
          </w:rPr>
          <w:t>https://www.imf.org/en/Publications/CR/Issues/2019/07/22/Republic-of-Serbia-Staff-Report-for-the-2019-Article-IV-Consultation-and-Second-Review-under-48511</w:t>
        </w:r>
      </w:hyperlink>
      <w:r>
        <w:t xml:space="preserve"> </w:t>
      </w:r>
    </w:p>
  </w:footnote>
  <w:footnote w:id="3">
    <w:p w14:paraId="06CF245E" w14:textId="77777777" w:rsidR="001B3BC9" w:rsidRPr="00892306" w:rsidRDefault="001B3BC9" w:rsidP="000C1EAA">
      <w:pPr>
        <w:pStyle w:val="FootnoteText"/>
        <w:jc w:val="both"/>
      </w:pPr>
      <w:r>
        <w:rPr>
          <w:rStyle w:val="FootnoteReference"/>
        </w:rPr>
        <w:footnoteRef/>
      </w:r>
      <w:r>
        <w:t xml:space="preserve"> </w:t>
      </w:r>
      <w:proofErr w:type="spellStart"/>
      <w:r>
        <w:t>International</w:t>
      </w:r>
      <w:proofErr w:type="spellEnd"/>
      <w:r>
        <w:t xml:space="preserve"> </w:t>
      </w:r>
      <w:proofErr w:type="spellStart"/>
      <w:r>
        <w:t>Monetary</w:t>
      </w:r>
      <w:proofErr w:type="spellEnd"/>
      <w:r>
        <w:t xml:space="preserve"> </w:t>
      </w:r>
      <w:proofErr w:type="spellStart"/>
      <w:r>
        <w:t>Fund</w:t>
      </w:r>
      <w:proofErr w:type="spellEnd"/>
      <w:r>
        <w:t xml:space="preserve">, </w:t>
      </w:r>
      <w:r w:rsidRPr="00892306">
        <w:t>2021 ARTICLE IV CONSULTATION AND REQUEST FOR A 30-MONTH POLICY COORDINATION INSTRUMENT— PRESS RELEASE; STAFF REPORT; AND STATEMENT BY THE EXECUTIVE DIRECTOR FOR REPUBLIC OF SERBIA</w:t>
      </w:r>
      <w:r>
        <w:t xml:space="preserve"> (IMF, 2021) доступно на: </w:t>
      </w:r>
      <w:hyperlink r:id="rId3" w:history="1">
        <w:r w:rsidRPr="000D122D">
          <w:rPr>
            <w:rStyle w:val="Hyperlink"/>
          </w:rPr>
          <w:t>https://www.imf.org/en/Publications/CR/Issues/2021/06/21/Republic-of-Serbia-2021-Article-IV-Consultation-and-Request-for-a-30-Month-Policy-461077</w:t>
        </w:r>
      </w:hyperlink>
      <w:r>
        <w:t xml:space="preserve"> </w:t>
      </w:r>
    </w:p>
  </w:footnote>
  <w:footnote w:id="4">
    <w:p w14:paraId="314C39E7" w14:textId="77777777" w:rsidR="001B3BC9" w:rsidRDefault="001B3BC9" w:rsidP="00E10A5E">
      <w:pPr>
        <w:pStyle w:val="FootnoteText"/>
      </w:pPr>
      <w:r>
        <w:rPr>
          <w:rStyle w:val="FootnoteReference"/>
        </w:rPr>
        <w:footnoteRef/>
      </w:r>
      <w:r>
        <w:t xml:space="preserve"> </w:t>
      </w:r>
      <w:r>
        <w:t xml:space="preserve">Према подацима Народне Банке Србије, доступни на: </w:t>
      </w:r>
      <w:hyperlink r:id="rId4" w:history="1">
        <w:r w:rsidRPr="001A154A">
          <w:rPr>
            <w:rStyle w:val="Hyperlink"/>
          </w:rPr>
          <w:t>https://www.nbs.rs/sr_RS/drugi-nivo-navigacije/statistika/</w:t>
        </w:r>
      </w:hyperlink>
      <w:r>
        <w:t xml:space="preserve"> </w:t>
      </w:r>
    </w:p>
  </w:footnote>
  <w:footnote w:id="5">
    <w:p w14:paraId="54562869" w14:textId="77777777" w:rsidR="001B3BC9" w:rsidRDefault="001B3BC9" w:rsidP="00E10A5E">
      <w:pPr>
        <w:pStyle w:val="FootnoteText"/>
      </w:pPr>
      <w:r>
        <w:rPr>
          <w:rStyle w:val="FootnoteReference"/>
        </w:rPr>
        <w:footnoteRef/>
      </w:r>
      <w:r>
        <w:t xml:space="preserve"> </w:t>
      </w:r>
      <w:r>
        <w:t xml:space="preserve">Према подацима Развојне агенције Србије, доступни на: </w:t>
      </w:r>
      <w:hyperlink r:id="rId5" w:history="1">
        <w:r w:rsidRPr="001A154A">
          <w:rPr>
            <w:rStyle w:val="Hyperlink"/>
          </w:rPr>
          <w:t>https://ras.gov.rs/uspesne-price</w:t>
        </w:r>
      </w:hyperlink>
      <w:r>
        <w:t xml:space="preserve"> </w:t>
      </w:r>
    </w:p>
  </w:footnote>
  <w:footnote w:id="6">
    <w:p w14:paraId="3B10DEA0" w14:textId="77777777" w:rsidR="001B3BC9" w:rsidRDefault="001B3BC9" w:rsidP="00546A9F">
      <w:pPr>
        <w:pStyle w:val="FootnoteText"/>
      </w:pPr>
      <w:r>
        <w:rPr>
          <w:rStyle w:val="FootnoteReference"/>
        </w:rPr>
        <w:footnoteRef/>
      </w:r>
      <w:r>
        <w:t xml:space="preserve"> </w:t>
      </w:r>
      <w:r>
        <w:t xml:space="preserve">Предметна дефиниција је доступна на: </w:t>
      </w:r>
      <w:hyperlink r:id="rId6" w:history="1">
        <w:r w:rsidRPr="000E3B0F">
          <w:rPr>
            <w:rStyle w:val="Hyperlink"/>
          </w:rPr>
          <w:t>https://www.nasdaq.com/glossary/c/capital-market</w:t>
        </w:r>
      </w:hyperlink>
    </w:p>
  </w:footnote>
  <w:footnote w:id="7">
    <w:p w14:paraId="11396FC7" w14:textId="28F82C66" w:rsidR="001B3BC9" w:rsidRPr="00EA12FF" w:rsidRDefault="001B3BC9" w:rsidP="00546A9F">
      <w:pPr>
        <w:pStyle w:val="FootnoteText"/>
        <w:rPr>
          <w:lang w:val="en-US"/>
        </w:rPr>
      </w:pPr>
      <w:r>
        <w:rPr>
          <w:rStyle w:val="FootnoteReference"/>
        </w:rPr>
        <w:footnoteRef/>
      </w:r>
      <w:r>
        <w:rPr>
          <w:lang w:val="en-US"/>
        </w:rPr>
        <w:t xml:space="preserve">World Bank Group, Practical Guide on the Potential of Capital Markets Development in Small </w:t>
      </w:r>
      <w:proofErr w:type="spellStart"/>
      <w:r>
        <w:rPr>
          <w:lang w:val="en-US"/>
        </w:rPr>
        <w:t>Econonomies</w:t>
      </w:r>
      <w:proofErr w:type="spellEnd"/>
      <w:r>
        <w:rPr>
          <w:lang w:val="en-US"/>
        </w:rPr>
        <w:t xml:space="preserve"> (World Bank Group, 2019), </w:t>
      </w:r>
      <w:r>
        <w:t xml:space="preserve">доступно на енглеском језику на: </w:t>
      </w:r>
      <w:hyperlink r:id="rId7" w:history="1">
        <w:r w:rsidRPr="008A62A1">
          <w:rPr>
            <w:rStyle w:val="Hyperlink"/>
          </w:rPr>
          <w:t>https://openknowledge.worldbank.org/bitstream/handle/10986/32067/Practical-Guide-on-the-Potential-of-Capital-Markets-Development-in-Small-Economies.pdf?sequence=1&amp;isAllowed=y</w:t>
        </w:r>
      </w:hyperlink>
      <w:r>
        <w:rPr>
          <w:lang w:val="en-US"/>
        </w:rPr>
        <w:t xml:space="preserve"> 4</w:t>
      </w:r>
    </w:p>
  </w:footnote>
  <w:footnote w:id="8">
    <w:p w14:paraId="6381DBFD" w14:textId="36236688" w:rsidR="001B3BC9" w:rsidRDefault="001B3BC9" w:rsidP="00546A9F">
      <w:pPr>
        <w:pStyle w:val="FootnoteText"/>
      </w:pPr>
      <w:r>
        <w:rPr>
          <w:rStyle w:val="FootnoteReference"/>
        </w:rPr>
        <w:footnoteRef/>
      </w:r>
      <w:r>
        <w:t xml:space="preserve"> </w:t>
      </w:r>
      <w:r w:rsidRPr="00CB7FFE">
        <w:rPr>
          <w:lang w:val="en-US"/>
        </w:rPr>
        <w:t>Mark J. Roe &amp; Jordan Siegel, Political Instability: Effects on Financial Development, Roots in the Severity of Economic Inequality, 39 J. Comp. Econ. 279 (2011)</w:t>
      </w:r>
      <w:r w:rsidRPr="00CB7FFE" w:rsidDel="00CB7FFE">
        <w:rPr>
          <w:lang w:val="en-US"/>
        </w:rPr>
        <w:t xml:space="preserve"> </w:t>
      </w:r>
      <w:r>
        <w:t xml:space="preserve">доступно на енглеском језику на: </w:t>
      </w:r>
      <w:hyperlink r:id="rId8" w:history="1">
        <w:r w:rsidRPr="00887D1F">
          <w:rPr>
            <w:rStyle w:val="Hyperlink"/>
          </w:rPr>
          <w:t>https://dash.harvard.edu/bitstream/handle/1/12019047/SSRN-id963214.pdf?sequence=1</w:t>
        </w:r>
      </w:hyperlink>
      <w:r>
        <w:rPr>
          <w:lang w:val="en-US"/>
        </w:rPr>
        <w:t xml:space="preserve"> </w:t>
      </w:r>
    </w:p>
  </w:footnote>
  <w:footnote w:id="9">
    <w:p w14:paraId="07E169AE" w14:textId="2D32F337" w:rsidR="001B3BC9" w:rsidRPr="00EA2E7B" w:rsidRDefault="001B3BC9" w:rsidP="00546A9F">
      <w:pPr>
        <w:pStyle w:val="FootnoteText"/>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rPr>
        <w:t xml:space="preserve">Joseph E. </w:t>
      </w:r>
      <w:proofErr w:type="spellStart"/>
      <w:r w:rsidRPr="00EA2E7B">
        <w:rPr>
          <w:rFonts w:ascii="Times New Roman" w:hAnsi="Times New Roman" w:cs="Times New Roman"/>
        </w:rPr>
        <w:t>Stiglitz</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Jose</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Antonio</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Ocampo</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Shari</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Spiegel</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Ricardo</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Ffrench-Davis</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Deepak</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Nayyar</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Stability</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with</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Growth</w:t>
      </w:r>
      <w:proofErr w:type="spellEnd"/>
      <w:r w:rsidRPr="00EA2E7B">
        <w:rPr>
          <w:rFonts w:ascii="Times New Roman" w:hAnsi="Times New Roman" w:cs="Times New Roman"/>
        </w:rPr>
        <w:t xml:space="preserve"> – </w:t>
      </w:r>
      <w:proofErr w:type="spellStart"/>
      <w:r w:rsidRPr="00EA2E7B">
        <w:rPr>
          <w:rFonts w:ascii="Times New Roman" w:hAnsi="Times New Roman" w:cs="Times New Roman"/>
        </w:rPr>
        <w:t>Macroeconomics</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Liberalization</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and</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Development</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Oxford</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University</w:t>
      </w:r>
      <w:proofErr w:type="spellEnd"/>
      <w:r w:rsidRPr="00EA2E7B">
        <w:rPr>
          <w:rFonts w:ascii="Times New Roman" w:hAnsi="Times New Roman" w:cs="Times New Roman"/>
        </w:rPr>
        <w:t xml:space="preserve"> Press, 2006) 197-220</w:t>
      </w:r>
    </w:p>
  </w:footnote>
  <w:footnote w:id="10">
    <w:p w14:paraId="06D4FD8D" w14:textId="77777777" w:rsidR="001B3BC9" w:rsidRPr="00EA2E7B" w:rsidRDefault="001B3BC9" w:rsidP="00F835C6">
      <w:pPr>
        <w:pStyle w:val="FootnoteText"/>
        <w:jc w:val="both"/>
        <w:rPr>
          <w:rFonts w:ascii="Times New Roman" w:hAnsi="Times New Roman" w:cs="Times New Roman"/>
          <w:lang w:val="en-US"/>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proofErr w:type="spellStart"/>
      <w:r w:rsidRPr="00EA2E7B">
        <w:rPr>
          <w:rFonts w:ascii="Times New Roman" w:hAnsi="Times New Roman" w:cs="Times New Roman"/>
        </w:rPr>
        <w:t>Dimitri</w:t>
      </w:r>
      <w:proofErr w:type="spellEnd"/>
      <w:r w:rsidRPr="00EA2E7B">
        <w:rPr>
          <w:rFonts w:ascii="Times New Roman" w:hAnsi="Times New Roman" w:cs="Times New Roman"/>
        </w:rPr>
        <w:t xml:space="preserve"> G. </w:t>
      </w:r>
      <w:proofErr w:type="spellStart"/>
      <w:r w:rsidRPr="00EA2E7B">
        <w:rPr>
          <w:rFonts w:ascii="Times New Roman" w:hAnsi="Times New Roman" w:cs="Times New Roman"/>
        </w:rPr>
        <w:t>Demekas</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and</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Anica</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Nerlich</w:t>
      </w:r>
      <w:proofErr w:type="spellEnd"/>
      <w:r w:rsidRPr="00EA2E7B">
        <w:rPr>
          <w:rFonts w:ascii="Times New Roman" w:hAnsi="Times New Roman" w:cs="Times New Roman"/>
          <w:lang w:val="en-US"/>
        </w:rPr>
        <w:t>, “Creating Domestic Capital Markets in Developing</w:t>
      </w:r>
    </w:p>
    <w:p w14:paraId="6D9FF9D8" w14:textId="3489FF3B" w:rsidR="001B3BC9" w:rsidRPr="00EA2E7B" w:rsidRDefault="001B3BC9" w:rsidP="00F835C6">
      <w:pPr>
        <w:pStyle w:val="FootnoteText"/>
        <w:jc w:val="both"/>
        <w:rPr>
          <w:rFonts w:ascii="Times New Roman" w:hAnsi="Times New Roman" w:cs="Times New Roman"/>
        </w:rPr>
      </w:pPr>
      <w:r w:rsidRPr="00EA2E7B">
        <w:rPr>
          <w:rFonts w:ascii="Times New Roman" w:hAnsi="Times New Roman" w:cs="Times New Roman"/>
          <w:lang w:val="en-US"/>
        </w:rPr>
        <w:t>Countries: Perspectives from Market Participants” (International Financial Corporation, 2020)</w:t>
      </w:r>
      <w:r>
        <w:rPr>
          <w:rFonts w:ascii="Times New Roman" w:hAnsi="Times New Roman" w:cs="Times New Roman"/>
        </w:rPr>
        <w:t xml:space="preserve">, доступно на енглеском језику на: </w:t>
      </w:r>
      <w:r w:rsidRPr="00EA2E7B">
        <w:rPr>
          <w:rFonts w:ascii="Times New Roman" w:hAnsi="Times New Roman" w:cs="Times New Roman"/>
          <w:lang w:val="en-US"/>
        </w:rPr>
        <w:t xml:space="preserve"> </w:t>
      </w:r>
      <w:hyperlink r:id="rId9" w:history="1">
        <w:r w:rsidRPr="00EA2E7B">
          <w:rPr>
            <w:rStyle w:val="Hyperlink"/>
            <w:rFonts w:ascii="Times New Roman" w:hAnsi="Times New Roman" w:cs="Times New Roman"/>
          </w:rPr>
          <w:t>https://www.ifc.org/wps/wcm/connect/dacea4f3-17da-4f4b-943f-9b107dfe3be0/EMCompass-Note+77-Creating+Domestic-Cap-Markets-Dev-Countries.pdf?MOD=AJPERES&amp;CVID=m.SUIvR</w:t>
        </w:r>
      </w:hyperlink>
      <w:r w:rsidRPr="00EA2E7B">
        <w:rPr>
          <w:rFonts w:ascii="Times New Roman" w:hAnsi="Times New Roman" w:cs="Times New Roman"/>
        </w:rPr>
        <w:t xml:space="preserve"> </w:t>
      </w:r>
    </w:p>
  </w:footnote>
  <w:footnote w:id="11">
    <w:p w14:paraId="2D40D82B" w14:textId="78131D5C" w:rsidR="001B3BC9" w:rsidRPr="00EA2E7B" w:rsidRDefault="001B3BC9" w:rsidP="00546A9F">
      <w:pPr>
        <w:pStyle w:val="FootnoteText"/>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lang w:val="en-US"/>
        </w:rPr>
        <w:t>Annamaria Lusardi, “Financial literacy and the need for financial education: evidence and implications” Swiss Journal of Economics and Statistics volum</w:t>
      </w:r>
      <w:r>
        <w:rPr>
          <w:rFonts w:ascii="Times New Roman" w:hAnsi="Times New Roman" w:cs="Times New Roman"/>
          <w:lang w:val="en-US"/>
        </w:rPr>
        <w:t xml:space="preserve">e 155, Article number: 1 (2019), </w:t>
      </w:r>
      <w:proofErr w:type="spellStart"/>
      <w:r>
        <w:rPr>
          <w:rFonts w:ascii="Times New Roman" w:hAnsi="Times New Roman" w:cs="Times New Roman"/>
          <w:lang w:val="en-US"/>
        </w:rPr>
        <w:t>доступно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на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енглеском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језику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на</w:t>
      </w:r>
      <w:proofErr w:type="spellEnd"/>
      <w:r>
        <w:rPr>
          <w:rFonts w:ascii="Times New Roman" w:hAnsi="Times New Roman" w:cs="Times New Roman"/>
        </w:rPr>
        <w:t xml:space="preserve">: </w:t>
      </w:r>
      <w:hyperlink r:id="rId10" w:history="1">
        <w:r w:rsidRPr="00EA2E7B">
          <w:rPr>
            <w:rStyle w:val="Hyperlink"/>
            <w:rFonts w:ascii="Times New Roman" w:hAnsi="Times New Roman" w:cs="Times New Roman"/>
          </w:rPr>
          <w:t>https://sjes.springeropen.com/articles/10.1186/s41937-019-0027-5</w:t>
        </w:r>
      </w:hyperlink>
      <w:r w:rsidRPr="00EA2E7B">
        <w:rPr>
          <w:rFonts w:ascii="Times New Roman" w:hAnsi="Times New Roman" w:cs="Times New Roman"/>
        </w:rPr>
        <w:t xml:space="preserve"> </w:t>
      </w:r>
    </w:p>
  </w:footnote>
  <w:footnote w:id="12">
    <w:p w14:paraId="2BB1B779" w14:textId="7B30D80B" w:rsidR="001B3BC9" w:rsidRPr="00EA2E7B" w:rsidRDefault="001B3BC9" w:rsidP="00546A9F">
      <w:pPr>
        <w:pStyle w:val="FootnoteText"/>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proofErr w:type="spellStart"/>
      <w:r w:rsidRPr="00EA2E7B">
        <w:rPr>
          <w:rFonts w:ascii="Times New Roman" w:hAnsi="Times New Roman" w:cs="Times New Roman"/>
        </w:rPr>
        <w:t>Милко</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Штимац</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Акционарство</w:t>
      </w:r>
      <w:proofErr w:type="spellEnd"/>
      <w:r w:rsidRPr="00EA2E7B">
        <w:rPr>
          <w:rFonts w:ascii="Times New Roman" w:hAnsi="Times New Roman" w:cs="Times New Roman"/>
        </w:rPr>
        <w:t xml:space="preserve"> и демократија,</w:t>
      </w:r>
      <w:r w:rsidRPr="00EA2E7B">
        <w:rPr>
          <w:rFonts w:ascii="Times New Roman" w:hAnsi="Times New Roman" w:cs="Times New Roman"/>
          <w:lang w:val="en-US"/>
        </w:rPr>
        <w:t xml:space="preserve"> (A</w:t>
      </w:r>
      <w:proofErr w:type="spellStart"/>
      <w:r w:rsidRPr="00EA2E7B">
        <w:rPr>
          <w:rFonts w:ascii="Times New Roman" w:hAnsi="Times New Roman" w:cs="Times New Roman"/>
        </w:rPr>
        <w:t>рхипелаг</w:t>
      </w:r>
      <w:proofErr w:type="spellEnd"/>
      <w:r w:rsidRPr="00EA2E7B">
        <w:rPr>
          <w:rFonts w:ascii="Times New Roman" w:hAnsi="Times New Roman" w:cs="Times New Roman"/>
        </w:rPr>
        <w:t>, 2014)</w:t>
      </w:r>
    </w:p>
  </w:footnote>
  <w:footnote w:id="13">
    <w:p w14:paraId="61C29AAB" w14:textId="696B2EDE" w:rsidR="001B3BC9" w:rsidRPr="00EA2E7B" w:rsidRDefault="001B3BC9" w:rsidP="00B81694">
      <w:pPr>
        <w:pStyle w:val="FootnoteText"/>
        <w:jc w:val="both"/>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rPr>
        <w:t xml:space="preserve">За више информација о броју метода мерења развоја тржишта капитала погледати: </w:t>
      </w:r>
      <w:r w:rsidRPr="00EA2E7B">
        <w:rPr>
          <w:rFonts w:ascii="Times New Roman" w:hAnsi="Times New Roman" w:cs="Times New Roman"/>
          <w:lang w:val="en-US"/>
        </w:rPr>
        <w:t xml:space="preserve">Nihal </w:t>
      </w:r>
      <w:proofErr w:type="spellStart"/>
      <w:r w:rsidRPr="00EA2E7B">
        <w:rPr>
          <w:rFonts w:ascii="Times New Roman" w:hAnsi="Times New Roman" w:cs="Times New Roman"/>
          <w:lang w:val="en-US"/>
        </w:rPr>
        <w:t>Bayraktar</w:t>
      </w:r>
      <w:proofErr w:type="spellEnd"/>
      <w:r w:rsidRPr="00EA2E7B">
        <w:rPr>
          <w:rFonts w:ascii="Times New Roman" w:hAnsi="Times New Roman" w:cs="Times New Roman"/>
          <w:lang w:val="en-US"/>
        </w:rPr>
        <w:t>, “Measuring relative development level of stock markets: Capacity and effort of countries”, (</w:t>
      </w:r>
      <w:proofErr w:type="spellStart"/>
      <w:r w:rsidRPr="00EA2E7B">
        <w:rPr>
          <w:rFonts w:ascii="Times New Roman" w:hAnsi="Times New Roman" w:cs="Times New Roman"/>
          <w:lang w:val="en-US"/>
        </w:rPr>
        <w:t>Borsa</w:t>
      </w:r>
      <w:proofErr w:type="spellEnd"/>
      <w:r w:rsidRPr="00EA2E7B">
        <w:rPr>
          <w:rFonts w:ascii="Times New Roman" w:hAnsi="Times New Roman" w:cs="Times New Roman"/>
          <w:lang w:val="en-US"/>
        </w:rPr>
        <w:t xml:space="preserve"> Istanbul Review, </w:t>
      </w:r>
      <w:proofErr w:type="spellStart"/>
      <w:r w:rsidRPr="00EA2E7B">
        <w:rPr>
          <w:rFonts w:ascii="Times New Roman" w:hAnsi="Times New Roman" w:cs="Times New Roman"/>
        </w:rPr>
        <w:t>June</w:t>
      </w:r>
      <w:proofErr w:type="spellEnd"/>
      <w:r w:rsidRPr="00EA2E7B">
        <w:rPr>
          <w:rFonts w:ascii="Times New Roman" w:hAnsi="Times New Roman" w:cs="Times New Roman"/>
        </w:rPr>
        <w:t xml:space="preserve"> 2014</w:t>
      </w:r>
      <w:r>
        <w:rPr>
          <w:rFonts w:ascii="Times New Roman" w:hAnsi="Times New Roman" w:cs="Times New Roman"/>
        </w:rPr>
        <w:t>)</w:t>
      </w:r>
      <w:r w:rsidRPr="00EA2E7B">
        <w:rPr>
          <w:rFonts w:ascii="Times New Roman" w:hAnsi="Times New Roman" w:cs="Times New Roman"/>
        </w:rPr>
        <w:t>74-95</w:t>
      </w:r>
      <w:r>
        <w:rPr>
          <w:rFonts w:ascii="Times New Roman" w:hAnsi="Times New Roman" w:cs="Times New Roman"/>
        </w:rPr>
        <w:t xml:space="preserve">, доступно на енглеском језику на: </w:t>
      </w:r>
      <w:hyperlink r:id="rId11" w:history="1">
        <w:r w:rsidRPr="001A154A">
          <w:rPr>
            <w:rStyle w:val="Hyperlink"/>
            <w:rFonts w:ascii="Times New Roman" w:hAnsi="Times New Roman" w:cs="Times New Roman"/>
          </w:rPr>
          <w:t>https://www.sciencedirect.com/science/article/pii/S2214845014000040</w:t>
        </w:r>
      </w:hyperlink>
      <w:r>
        <w:rPr>
          <w:rFonts w:ascii="Times New Roman" w:hAnsi="Times New Roman" w:cs="Times New Roman"/>
        </w:rPr>
        <w:t xml:space="preserve"> </w:t>
      </w:r>
      <w:r w:rsidRPr="00EA2E7B">
        <w:rPr>
          <w:rFonts w:ascii="Times New Roman" w:hAnsi="Times New Roman" w:cs="Times New Roman"/>
        </w:rPr>
        <w:t xml:space="preserve"> </w:t>
      </w:r>
      <w:r>
        <w:rPr>
          <w:rFonts w:ascii="Times New Roman" w:hAnsi="Times New Roman" w:cs="Times New Roman"/>
        </w:rPr>
        <w:t xml:space="preserve"> </w:t>
      </w:r>
    </w:p>
  </w:footnote>
  <w:footnote w:id="14">
    <w:p w14:paraId="3384CD7B" w14:textId="5B12AAC3" w:rsidR="001B3BC9" w:rsidRPr="00EA2E7B" w:rsidRDefault="001B3BC9" w:rsidP="00B81694">
      <w:pPr>
        <w:pStyle w:val="FootnoteText"/>
        <w:jc w:val="both"/>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rPr>
        <w:t xml:space="preserve">Снежана Милошевић </w:t>
      </w:r>
      <w:proofErr w:type="spellStart"/>
      <w:r w:rsidRPr="00EA2E7B">
        <w:rPr>
          <w:rFonts w:ascii="Times New Roman" w:hAnsi="Times New Roman" w:cs="Times New Roman"/>
        </w:rPr>
        <w:t>Авдаловић</w:t>
      </w:r>
      <w:proofErr w:type="spellEnd"/>
      <w:r w:rsidRPr="00EA2E7B">
        <w:rPr>
          <w:rFonts w:ascii="Times New Roman" w:hAnsi="Times New Roman" w:cs="Times New Roman"/>
        </w:rPr>
        <w:t xml:space="preserve"> &amp; Иван Миленковић, „Мерење релативног развоја тржишта капитала у земљама у региону“ (Економски погледи, </w:t>
      </w:r>
      <w:proofErr w:type="spellStart"/>
      <w:r w:rsidRPr="00EA2E7B">
        <w:rPr>
          <w:rFonts w:ascii="Times New Roman" w:hAnsi="Times New Roman" w:cs="Times New Roman"/>
        </w:rPr>
        <w:t>Vol</w:t>
      </w:r>
      <w:proofErr w:type="spellEnd"/>
      <w:r w:rsidRPr="00EA2E7B">
        <w:rPr>
          <w:rFonts w:ascii="Times New Roman" w:hAnsi="Times New Roman" w:cs="Times New Roman"/>
        </w:rPr>
        <w:t>. 18, број 3/2016) 1-12</w:t>
      </w:r>
      <w:r>
        <w:rPr>
          <w:rFonts w:ascii="Times New Roman" w:hAnsi="Times New Roman" w:cs="Times New Roman"/>
        </w:rPr>
        <w:t xml:space="preserve">, доступно на: </w:t>
      </w:r>
      <w:hyperlink r:id="rId12" w:history="1">
        <w:r w:rsidRPr="00887D1F">
          <w:rPr>
            <w:rStyle w:val="Hyperlink"/>
            <w:rFonts w:ascii="Times New Roman" w:hAnsi="Times New Roman" w:cs="Times New Roman"/>
          </w:rPr>
          <w:t>https://scindeks.ceon.rs/article.aspx?artid=1450-79511603001M</w:t>
        </w:r>
      </w:hyperlink>
      <w:r>
        <w:rPr>
          <w:rFonts w:ascii="Times New Roman" w:hAnsi="Times New Roman" w:cs="Times New Roman"/>
        </w:rPr>
        <w:t xml:space="preserve"> </w:t>
      </w:r>
    </w:p>
  </w:footnote>
  <w:footnote w:id="15">
    <w:p w14:paraId="5BD86C3B" w14:textId="0F5AF9CA" w:rsidR="001B3BC9" w:rsidRPr="00BE4597" w:rsidRDefault="001B3BC9" w:rsidP="00D3552C">
      <w:pPr>
        <w:pStyle w:val="FootnoteText"/>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rPr>
        <w:t>Више о историји развоја тржишта капитала у Европској Унији</w:t>
      </w:r>
      <w:r>
        <w:rPr>
          <w:rFonts w:ascii="Times New Roman" w:hAnsi="Times New Roman" w:cs="Times New Roman"/>
          <w:lang w:val="en-US"/>
        </w:rPr>
        <w:t>:</w:t>
      </w:r>
      <w:r w:rsidRPr="00EA2E7B">
        <w:rPr>
          <w:rFonts w:ascii="Times New Roman" w:hAnsi="Times New Roman" w:cs="Times New Roman"/>
        </w:rPr>
        <w:t xml:space="preserve"> </w:t>
      </w:r>
      <w:r w:rsidRPr="00B238B0">
        <w:rPr>
          <w:rFonts w:ascii="Times New Roman" w:hAnsi="Times New Roman" w:cs="Times New Roman"/>
          <w:lang w:val="en-US"/>
        </w:rPr>
        <w:t xml:space="preserve">Diego </w:t>
      </w:r>
      <w:proofErr w:type="spellStart"/>
      <w:r w:rsidRPr="00B238B0">
        <w:rPr>
          <w:rFonts w:ascii="Times New Roman" w:hAnsi="Times New Roman" w:cs="Times New Roman"/>
          <w:lang w:val="en-US"/>
        </w:rPr>
        <w:t>Valiante</w:t>
      </w:r>
      <w:proofErr w:type="spellEnd"/>
      <w:r>
        <w:rPr>
          <w:rFonts w:ascii="Times New Roman" w:hAnsi="Times New Roman" w:cs="Times New Roman"/>
          <w:lang w:val="en-US"/>
        </w:rPr>
        <w:t xml:space="preserve">, </w:t>
      </w:r>
      <w:r>
        <w:rPr>
          <w:rFonts w:ascii="Times New Roman" w:hAnsi="Times New Roman" w:cs="Times New Roman"/>
        </w:rPr>
        <w:t>„</w:t>
      </w:r>
      <w:r w:rsidRPr="00B238B0">
        <w:rPr>
          <w:rFonts w:ascii="Times New Roman" w:hAnsi="Times New Roman" w:cs="Times New Roman"/>
          <w:lang w:val="en-US"/>
        </w:rPr>
        <w:t xml:space="preserve"> Europe’s Untapped Capital Market Rethinking financial integration after the crisis</w:t>
      </w:r>
      <w:r>
        <w:rPr>
          <w:rFonts w:ascii="Times New Roman" w:hAnsi="Times New Roman" w:cs="Times New Roman"/>
        </w:rPr>
        <w:t>“ (</w:t>
      </w:r>
      <w:r w:rsidRPr="00BE4597">
        <w:rPr>
          <w:rFonts w:ascii="Times New Roman" w:hAnsi="Times New Roman" w:cs="Times New Roman"/>
          <w:lang w:val="en-US"/>
        </w:rPr>
        <w:t>Centre for European Policy Studies European Capital Markets Institute</w:t>
      </w:r>
      <w:r>
        <w:rPr>
          <w:rFonts w:ascii="Times New Roman" w:hAnsi="Times New Roman" w:cs="Times New Roman"/>
        </w:rPr>
        <w:t xml:space="preserve">, 2018), доступно на енглеском језику на: </w:t>
      </w:r>
      <w:hyperlink r:id="rId13" w:history="1">
        <w:r w:rsidRPr="00EA2E7B">
          <w:rPr>
            <w:rStyle w:val="Hyperlink"/>
            <w:rFonts w:ascii="Times New Roman" w:hAnsi="Times New Roman" w:cs="Times New Roman"/>
          </w:rPr>
          <w:t>https://www.eifr.eu/uploads/eventdocs/56f15217eace8.pdf</w:t>
        </w:r>
      </w:hyperlink>
    </w:p>
  </w:footnote>
  <w:footnote w:id="16">
    <w:p w14:paraId="18BCF405" w14:textId="77777777" w:rsidR="001B3BC9" w:rsidRPr="00EA2E7B" w:rsidRDefault="001B3BC9" w:rsidP="00D3552C">
      <w:pPr>
        <w:pStyle w:val="FootnoteText"/>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rPr>
        <w:t xml:space="preserve">Цео извештај је доступан на: </w:t>
      </w:r>
      <w:hyperlink r:id="rId14" w:history="1">
        <w:r w:rsidRPr="00EA2E7B">
          <w:rPr>
            <w:rStyle w:val="Hyperlink"/>
            <w:rFonts w:ascii="Times New Roman" w:hAnsi="Times New Roman" w:cs="Times New Roman"/>
          </w:rPr>
          <w:t>http://aei.pitt.edu/31823/1/Dev_Eur_Cap_Mkt_1966.pdf</w:t>
        </w:r>
      </w:hyperlink>
      <w:r w:rsidRPr="00EA2E7B">
        <w:rPr>
          <w:rFonts w:ascii="Times New Roman" w:hAnsi="Times New Roman" w:cs="Times New Roman"/>
        </w:rPr>
        <w:t xml:space="preserve"> </w:t>
      </w:r>
    </w:p>
  </w:footnote>
  <w:footnote w:id="17">
    <w:p w14:paraId="23EA1C77" w14:textId="7F562ACC" w:rsidR="001B3BC9" w:rsidRPr="007A72B3" w:rsidRDefault="001B3BC9" w:rsidP="00D3552C">
      <w:pPr>
        <w:pStyle w:val="FootnoteText"/>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lang w:val="en-US"/>
        </w:rPr>
        <w:t xml:space="preserve">Final Report of the Committee of Wise Men on the Regulation of European Securities Market </w:t>
      </w:r>
      <w:hyperlink r:id="rId15" w:history="1">
        <w:r w:rsidRPr="00EA2E7B">
          <w:rPr>
            <w:rStyle w:val="Hyperlink"/>
            <w:rFonts w:ascii="Times New Roman" w:hAnsi="Times New Roman" w:cs="Times New Roman"/>
          </w:rPr>
          <w:t>https://www.esma.europa.eu/sites/default/files/library/2015/11/lamfalussy_report.pdf</w:t>
        </w:r>
      </w:hyperlink>
      <w:r w:rsidRPr="00EA2E7B">
        <w:t xml:space="preserve"> </w:t>
      </w:r>
    </w:p>
  </w:footnote>
  <w:footnote w:id="18">
    <w:p w14:paraId="6752C0FE" w14:textId="6EA7B613" w:rsidR="001B3BC9" w:rsidRPr="00EA2E7B" w:rsidRDefault="001B3BC9" w:rsidP="00D3552C">
      <w:pPr>
        <w:pStyle w:val="FootnoteText"/>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lang w:val="en-US"/>
        </w:rPr>
        <w:t>Idem</w:t>
      </w:r>
      <w:r w:rsidRPr="00EA2E7B">
        <w:rPr>
          <w:rFonts w:ascii="Times New Roman" w:hAnsi="Times New Roman" w:cs="Times New Roman"/>
        </w:rPr>
        <w:t xml:space="preserve"> 7</w:t>
      </w:r>
    </w:p>
  </w:footnote>
  <w:footnote w:id="19">
    <w:p w14:paraId="20D17BC4" w14:textId="5E76F06B" w:rsidR="001B3BC9" w:rsidRPr="00EA2E7B" w:rsidRDefault="001B3BC9" w:rsidP="007F782F">
      <w:pPr>
        <w:pStyle w:val="FootnoteText"/>
        <w:rPr>
          <w:rFonts w:ascii="Times New Roman" w:hAnsi="Times New Roman" w:cs="Times New Roman"/>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r w:rsidRPr="00EA2E7B">
        <w:rPr>
          <w:rFonts w:ascii="Times New Roman" w:hAnsi="Times New Roman" w:cs="Times New Roman"/>
          <w:lang w:val="en-US"/>
        </w:rPr>
        <w:t>O</w:t>
      </w:r>
      <w:r w:rsidRPr="00EA2E7B">
        <w:rPr>
          <w:rFonts w:ascii="Times New Roman" w:hAnsi="Times New Roman" w:cs="Times New Roman"/>
        </w:rPr>
        <w:t xml:space="preserve">n a </w:t>
      </w:r>
      <w:proofErr w:type="spellStart"/>
      <w:r w:rsidRPr="00EA2E7B">
        <w:rPr>
          <w:rFonts w:ascii="Times New Roman" w:hAnsi="Times New Roman" w:cs="Times New Roman"/>
        </w:rPr>
        <w:t>communication</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from</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the</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Commission</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on</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the</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feasibility</w:t>
      </w:r>
      <w:proofErr w:type="spellEnd"/>
      <w:r w:rsidRPr="00EA2E7B">
        <w:rPr>
          <w:rFonts w:ascii="Times New Roman" w:hAnsi="Times New Roman" w:cs="Times New Roman"/>
        </w:rPr>
        <w:t xml:space="preserve"> of </w:t>
      </w:r>
      <w:proofErr w:type="spellStart"/>
      <w:r w:rsidRPr="00EA2E7B">
        <w:rPr>
          <w:rFonts w:ascii="Times New Roman" w:hAnsi="Times New Roman" w:cs="Times New Roman"/>
        </w:rPr>
        <w:t>the</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creation</w:t>
      </w:r>
      <w:proofErr w:type="spellEnd"/>
      <w:r w:rsidRPr="00EA2E7B">
        <w:rPr>
          <w:rFonts w:ascii="Times New Roman" w:hAnsi="Times New Roman" w:cs="Times New Roman"/>
        </w:rPr>
        <w:t xml:space="preserve"> of a </w:t>
      </w:r>
      <w:proofErr w:type="spellStart"/>
      <w:r w:rsidRPr="00EA2E7B">
        <w:rPr>
          <w:rFonts w:ascii="Times New Roman" w:hAnsi="Times New Roman" w:cs="Times New Roman"/>
        </w:rPr>
        <w:t>European</w:t>
      </w:r>
      <w:proofErr w:type="spellEnd"/>
      <w:r w:rsidRPr="00EA2E7B">
        <w:rPr>
          <w:rFonts w:ascii="Times New Roman" w:hAnsi="Times New Roman" w:cs="Times New Roman"/>
        </w:rPr>
        <w:t xml:space="preserve"> Capital </w:t>
      </w:r>
      <w:proofErr w:type="spellStart"/>
      <w:r w:rsidRPr="00EA2E7B">
        <w:rPr>
          <w:rFonts w:ascii="Times New Roman" w:hAnsi="Times New Roman" w:cs="Times New Roman"/>
        </w:rPr>
        <w:t>Market</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for</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smaller</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entrepreneurially</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managed</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growing</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companies</w:t>
      </w:r>
      <w:proofErr w:type="spellEnd"/>
    </w:p>
    <w:p w14:paraId="6CC2C037" w14:textId="6D12D776" w:rsidR="001B3BC9" w:rsidRPr="00EA2E7B" w:rsidRDefault="001B3BC9" w:rsidP="007F782F">
      <w:pPr>
        <w:pStyle w:val="FootnoteText"/>
        <w:rPr>
          <w:rFonts w:ascii="Times New Roman" w:hAnsi="Times New Roman" w:cs="Times New Roman"/>
          <w:lang w:val="en-US"/>
        </w:rPr>
      </w:pPr>
      <w:r w:rsidRPr="00EA2E7B">
        <w:rPr>
          <w:rFonts w:ascii="Times New Roman" w:hAnsi="Times New Roman" w:cs="Times New Roman"/>
        </w:rPr>
        <w:t xml:space="preserve">(COM(95)0498 - C4-0486/95) </w:t>
      </w:r>
      <w:hyperlink r:id="rId16" w:history="1">
        <w:r w:rsidRPr="00EA2E7B">
          <w:rPr>
            <w:rStyle w:val="Hyperlink"/>
            <w:rFonts w:ascii="Times New Roman" w:hAnsi="Times New Roman" w:cs="Times New Roman"/>
          </w:rPr>
          <w:t>https://www.europarl.europa.eu/sides/getDoc.do?reference=A4-1996-0168&amp;type=REPORT&amp;language=EN&amp;redirect</w:t>
        </w:r>
      </w:hyperlink>
      <w:r w:rsidRPr="00EA2E7B">
        <w:rPr>
          <w:rFonts w:ascii="Times New Roman" w:hAnsi="Times New Roman" w:cs="Times New Roman"/>
          <w:lang w:val="en-US"/>
        </w:rPr>
        <w:t xml:space="preserve"> </w:t>
      </w:r>
    </w:p>
  </w:footnote>
  <w:footnote w:id="20">
    <w:p w14:paraId="172A7041" w14:textId="77777777" w:rsidR="001B3BC9" w:rsidRPr="00EA2E7B" w:rsidRDefault="001B3BC9" w:rsidP="007F782F">
      <w:pPr>
        <w:pStyle w:val="FootnoteText"/>
        <w:rPr>
          <w:rFonts w:ascii="Times New Roman" w:hAnsi="Times New Roman" w:cs="Times New Roman"/>
          <w:lang w:val="en-US"/>
        </w:rPr>
      </w:pPr>
      <w:r w:rsidRPr="00EA2E7B">
        <w:rPr>
          <w:rStyle w:val="FootnoteReference"/>
          <w:rFonts w:ascii="Times New Roman" w:hAnsi="Times New Roman" w:cs="Times New Roman"/>
        </w:rPr>
        <w:footnoteRef/>
      </w:r>
      <w:r w:rsidRPr="00EA2E7B">
        <w:rPr>
          <w:rFonts w:ascii="Times New Roman" w:hAnsi="Times New Roman" w:cs="Times New Roman"/>
          <w:lang w:val="en-US"/>
        </w:rPr>
        <w:t>Risk Capital Action Plan (RCAP)</w:t>
      </w:r>
    </w:p>
    <w:p w14:paraId="0654E60F" w14:textId="36668FD1" w:rsidR="001B3BC9" w:rsidRPr="00EA2E7B" w:rsidRDefault="001B3BC9" w:rsidP="00D3552C">
      <w:pPr>
        <w:pStyle w:val="FootnoteText"/>
        <w:rPr>
          <w:rFonts w:ascii="Times New Roman" w:hAnsi="Times New Roman" w:cs="Times New Roman"/>
          <w:lang w:val="en-US"/>
        </w:rPr>
      </w:pPr>
      <w:r w:rsidRPr="00EA2E7B">
        <w:rPr>
          <w:rFonts w:ascii="Times New Roman" w:hAnsi="Times New Roman" w:cs="Times New Roman"/>
        </w:rPr>
        <w:t xml:space="preserve"> </w:t>
      </w:r>
      <w:hyperlink r:id="rId17" w:history="1">
        <w:r w:rsidRPr="00EA2E7B">
          <w:rPr>
            <w:rStyle w:val="Hyperlink"/>
            <w:rFonts w:ascii="Times New Roman" w:hAnsi="Times New Roman" w:cs="Times New Roman"/>
          </w:rPr>
          <w:t>https://eur-lex.europa.eu/legal-content/EN/ALL/?uri=uriserv%3Al24195</w:t>
        </w:r>
      </w:hyperlink>
      <w:r w:rsidRPr="00EA2E7B">
        <w:rPr>
          <w:rFonts w:ascii="Times New Roman" w:hAnsi="Times New Roman" w:cs="Times New Roman"/>
          <w:lang w:val="en-US"/>
        </w:rPr>
        <w:t xml:space="preserve"> </w:t>
      </w:r>
    </w:p>
  </w:footnote>
  <w:footnote w:id="21">
    <w:p w14:paraId="020A8C78" w14:textId="13D38FB1" w:rsidR="001B3BC9" w:rsidRPr="00EA2E7B" w:rsidRDefault="001B3BC9" w:rsidP="00D3552C">
      <w:pPr>
        <w:pStyle w:val="FootnoteText"/>
        <w:rPr>
          <w:rFonts w:ascii="Times New Roman" w:hAnsi="Times New Roman" w:cs="Times New Roman"/>
          <w:lang w:val="en-US"/>
        </w:rPr>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proofErr w:type="spellStart"/>
      <w:r w:rsidRPr="00EA2E7B">
        <w:rPr>
          <w:rFonts w:ascii="Times New Roman" w:hAnsi="Times New Roman" w:cs="Times New Roman"/>
        </w:rPr>
        <w:t>An</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action</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plan</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to</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improve</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access</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to</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finance</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for</w:t>
      </w:r>
      <w:proofErr w:type="spellEnd"/>
      <w:r w:rsidRPr="00EA2E7B">
        <w:rPr>
          <w:rFonts w:ascii="Times New Roman" w:hAnsi="Times New Roman" w:cs="Times New Roman"/>
        </w:rPr>
        <w:t xml:space="preserve"> </w:t>
      </w:r>
      <w:proofErr w:type="spellStart"/>
      <w:r w:rsidRPr="00EA2E7B">
        <w:rPr>
          <w:rFonts w:ascii="Times New Roman" w:hAnsi="Times New Roman" w:cs="Times New Roman"/>
        </w:rPr>
        <w:t>SMEs</w:t>
      </w:r>
      <w:proofErr w:type="spellEnd"/>
      <w:r w:rsidRPr="00EA2E7B">
        <w:rPr>
          <w:rFonts w:ascii="Times New Roman" w:hAnsi="Times New Roman" w:cs="Times New Roman"/>
        </w:rPr>
        <w:t xml:space="preserve"> </w:t>
      </w:r>
      <w:hyperlink r:id="rId18" w:history="1">
        <w:r w:rsidRPr="00EA2E7B">
          <w:rPr>
            <w:rStyle w:val="Hyperlink"/>
            <w:rFonts w:ascii="Times New Roman" w:hAnsi="Times New Roman" w:cs="Times New Roman"/>
          </w:rPr>
          <w:t>https://eur-lex.europa.eu/LexUriServ/LexUriServ.do?uri=COM:2011:0870:FIN:EN:PDF</w:t>
        </w:r>
      </w:hyperlink>
      <w:r w:rsidRPr="00EA2E7B">
        <w:rPr>
          <w:rFonts w:ascii="Times New Roman" w:hAnsi="Times New Roman" w:cs="Times New Roman"/>
          <w:lang w:val="en-US"/>
        </w:rPr>
        <w:t xml:space="preserve"> </w:t>
      </w:r>
    </w:p>
  </w:footnote>
  <w:footnote w:id="22">
    <w:p w14:paraId="6584F866" w14:textId="77777777" w:rsidR="001B3BC9" w:rsidRPr="00F148C4" w:rsidRDefault="001B3BC9" w:rsidP="00153D32">
      <w:pPr>
        <w:pStyle w:val="FootnoteText"/>
      </w:pPr>
      <w:r w:rsidRPr="00EA2E7B">
        <w:rPr>
          <w:rStyle w:val="FootnoteReference"/>
          <w:rFonts w:ascii="Times New Roman" w:hAnsi="Times New Roman" w:cs="Times New Roman"/>
        </w:rPr>
        <w:footnoteRef/>
      </w:r>
      <w:r w:rsidRPr="00EA2E7B">
        <w:rPr>
          <w:rFonts w:ascii="Times New Roman" w:hAnsi="Times New Roman" w:cs="Times New Roman"/>
        </w:rPr>
        <w:t xml:space="preserve"> </w:t>
      </w:r>
      <w:hyperlink r:id="rId19" w:history="1">
        <w:r w:rsidRPr="00EA2E7B">
          <w:rPr>
            <w:rStyle w:val="Hyperlink"/>
            <w:rFonts w:ascii="Times New Roman" w:hAnsi="Times New Roman" w:cs="Times New Roman"/>
          </w:rPr>
          <w:t>https://newfinancial.org/wp-content/uploads/2020/11/2020.11-A-reality-check-on-CMU-New-Financial.pdf</w:t>
        </w:r>
      </w:hyperlink>
      <w:r>
        <w:t xml:space="preserve"> </w:t>
      </w:r>
    </w:p>
  </w:footnote>
  <w:footnote w:id="23">
    <w:p w14:paraId="5971731E" w14:textId="3CEC29F7" w:rsidR="001B3BC9" w:rsidRPr="00B238B0" w:rsidRDefault="001B3BC9" w:rsidP="00D3552C">
      <w:pPr>
        <w:pStyle w:val="FootnoteText"/>
        <w:rPr>
          <w:rFonts w:ascii="Times New Roman" w:hAnsi="Times New Roman" w:cs="Times New Roman"/>
          <w:lang w:val="en-US"/>
        </w:rPr>
      </w:pPr>
      <w:r w:rsidRPr="00B238B0">
        <w:rPr>
          <w:rStyle w:val="FootnoteReference"/>
          <w:rFonts w:ascii="Times New Roman" w:hAnsi="Times New Roman" w:cs="Times New Roman"/>
        </w:rPr>
        <w:footnoteRef/>
      </w:r>
      <w:r w:rsidRPr="00B238B0">
        <w:rPr>
          <w:rFonts w:ascii="Times New Roman" w:hAnsi="Times New Roman" w:cs="Times New Roman"/>
        </w:rPr>
        <w:t xml:space="preserve"> </w:t>
      </w:r>
      <w:r w:rsidRPr="00B238B0">
        <w:rPr>
          <w:rFonts w:ascii="Times New Roman" w:hAnsi="Times New Roman" w:cs="Times New Roman"/>
          <w:lang w:val="en-US"/>
        </w:rPr>
        <w:t>Supra note 8</w:t>
      </w:r>
    </w:p>
  </w:footnote>
  <w:footnote w:id="24">
    <w:p w14:paraId="705A3E75" w14:textId="3FAD6E4B" w:rsidR="001B3BC9" w:rsidRPr="00B238B0" w:rsidRDefault="001B3BC9" w:rsidP="00D3552C">
      <w:pPr>
        <w:pStyle w:val="FootnoteText"/>
        <w:rPr>
          <w:rFonts w:ascii="Times New Roman" w:hAnsi="Times New Roman" w:cs="Times New Roman"/>
        </w:rPr>
      </w:pPr>
      <w:r w:rsidRPr="00B238B0">
        <w:rPr>
          <w:rStyle w:val="FootnoteReference"/>
          <w:rFonts w:ascii="Times New Roman" w:hAnsi="Times New Roman" w:cs="Times New Roman"/>
        </w:rPr>
        <w:footnoteRef/>
      </w:r>
      <w:r w:rsidRPr="00B238B0">
        <w:rPr>
          <w:rFonts w:ascii="Times New Roman" w:hAnsi="Times New Roman" w:cs="Times New Roman"/>
        </w:rPr>
        <w:t xml:space="preserve"> </w:t>
      </w:r>
      <w:r w:rsidRPr="00B238B0">
        <w:rPr>
          <w:rFonts w:ascii="Times New Roman" w:hAnsi="Times New Roman" w:cs="Times New Roman"/>
        </w:rPr>
        <w:t>Небојша Јовановић, „Берзанско право“ (Правни факултет Универзитета у Београду</w:t>
      </w:r>
      <w:r>
        <w:rPr>
          <w:rFonts w:ascii="Times New Roman" w:hAnsi="Times New Roman" w:cs="Times New Roman"/>
        </w:rPr>
        <w:t>, 2008</w:t>
      </w:r>
      <w:r w:rsidRPr="00B238B0">
        <w:rPr>
          <w:rFonts w:ascii="Times New Roman" w:hAnsi="Times New Roman" w:cs="Times New Roman"/>
        </w:rPr>
        <w:t>) 29</w:t>
      </w:r>
    </w:p>
  </w:footnote>
  <w:footnote w:id="25">
    <w:p w14:paraId="511AF24F" w14:textId="54309130" w:rsidR="001B3BC9" w:rsidRPr="00B238B0" w:rsidRDefault="001B3BC9" w:rsidP="00D3552C">
      <w:pPr>
        <w:pStyle w:val="FootnoteText"/>
        <w:rPr>
          <w:rFonts w:ascii="Times New Roman" w:hAnsi="Times New Roman" w:cs="Times New Roman"/>
        </w:rPr>
      </w:pPr>
      <w:r w:rsidRPr="00B238B0">
        <w:rPr>
          <w:rStyle w:val="FootnoteReference"/>
          <w:rFonts w:ascii="Times New Roman" w:hAnsi="Times New Roman" w:cs="Times New Roman"/>
        </w:rPr>
        <w:footnoteRef/>
      </w:r>
      <w:r w:rsidRPr="00B238B0">
        <w:rPr>
          <w:rFonts w:ascii="Times New Roman" w:hAnsi="Times New Roman" w:cs="Times New Roman"/>
        </w:rPr>
        <w:t xml:space="preserve">Соња Р. Јерковић, „Народна банка Краљевине Срба, Хрвата и Словенаца“ (Београд, 2018) доступно на: </w:t>
      </w:r>
      <w:hyperlink r:id="rId20" w:history="1">
        <w:r w:rsidRPr="00B238B0">
          <w:rPr>
            <w:rStyle w:val="Hyperlink"/>
            <w:rFonts w:ascii="Times New Roman" w:hAnsi="Times New Roman" w:cs="Times New Roman"/>
          </w:rPr>
          <w:t>https://nardus.mpn.gov.rs/bitstream/id/25493/Disertacija.pdf</w:t>
        </w:r>
      </w:hyperlink>
      <w:r w:rsidRPr="00B238B0">
        <w:rPr>
          <w:rFonts w:ascii="Times New Roman" w:hAnsi="Times New Roman" w:cs="Times New Roman"/>
        </w:rPr>
        <w:t xml:space="preserve"> </w:t>
      </w:r>
    </w:p>
  </w:footnote>
  <w:footnote w:id="26">
    <w:p w14:paraId="11CE9872" w14:textId="762DDC2B" w:rsidR="001B3BC9" w:rsidRPr="00B238B0" w:rsidRDefault="001B3BC9" w:rsidP="00D3552C">
      <w:pPr>
        <w:pStyle w:val="FootnoteText"/>
        <w:rPr>
          <w:rFonts w:ascii="Times New Roman" w:hAnsi="Times New Roman" w:cs="Times New Roman"/>
        </w:rPr>
      </w:pPr>
      <w:r w:rsidRPr="00B238B0">
        <w:rPr>
          <w:rStyle w:val="FootnoteReference"/>
          <w:rFonts w:ascii="Times New Roman" w:hAnsi="Times New Roman" w:cs="Times New Roman"/>
        </w:rPr>
        <w:footnoteRef/>
      </w:r>
      <w:r w:rsidRPr="00B238B0">
        <w:rPr>
          <w:rFonts w:ascii="Times New Roman" w:hAnsi="Times New Roman" w:cs="Times New Roman"/>
        </w:rPr>
        <w:t xml:space="preserve"> </w:t>
      </w:r>
      <w:r w:rsidRPr="00B238B0">
        <w:rPr>
          <w:rFonts w:ascii="Times New Roman" w:hAnsi="Times New Roman" w:cs="Times New Roman"/>
        </w:rPr>
        <w:t>Горан Маричић,</w:t>
      </w:r>
      <w:r w:rsidRPr="00B238B0">
        <w:rPr>
          <w:rFonts w:ascii="Times New Roman" w:hAnsi="Times New Roman" w:cs="Times New Roman"/>
          <w:lang w:val="en-US"/>
        </w:rPr>
        <w:t xml:space="preserve"> </w:t>
      </w:r>
      <w:r>
        <w:rPr>
          <w:rFonts w:ascii="Times New Roman" w:hAnsi="Times New Roman" w:cs="Times New Roman"/>
        </w:rPr>
        <w:t>„</w:t>
      </w:r>
      <w:r w:rsidRPr="006777EE">
        <w:rPr>
          <w:rFonts w:ascii="Times New Roman" w:hAnsi="Times New Roman" w:cs="Times New Roman"/>
        </w:rPr>
        <w:t>Органи управљања у акционарским друштвима</w:t>
      </w:r>
      <w:r>
        <w:rPr>
          <w:rFonts w:ascii="Times New Roman" w:hAnsi="Times New Roman" w:cs="Times New Roman"/>
        </w:rPr>
        <w:t xml:space="preserve">“ </w:t>
      </w:r>
      <w:r w:rsidRPr="006777EE">
        <w:rPr>
          <w:rFonts w:ascii="Times New Roman" w:hAnsi="Times New Roman" w:cs="Times New Roman"/>
        </w:rPr>
        <w:t xml:space="preserve">(Нови Сад, 2017) доступно на: </w:t>
      </w:r>
      <w:r w:rsidRPr="00B238B0">
        <w:rPr>
          <w:rFonts w:ascii="Times New Roman" w:hAnsi="Times New Roman" w:cs="Times New Roman"/>
        </w:rPr>
        <w:t xml:space="preserve"> </w:t>
      </w:r>
      <w:hyperlink r:id="rId21" w:history="1">
        <w:r w:rsidRPr="00B238B0">
          <w:rPr>
            <w:rStyle w:val="Hyperlink"/>
            <w:rFonts w:ascii="Times New Roman" w:hAnsi="Times New Roman" w:cs="Times New Roman"/>
          </w:rPr>
          <w:t>https://www.cris.uns.ac.rs/DownloadFileServlet/Disertacija150331489926975.pdf?controlNumber=(BISIS)104946&amp;fileName=150331489926975.pdf&amp;id=10404&amp;source=NaRDuS&amp;language=sr</w:t>
        </w:r>
      </w:hyperlink>
      <w:r w:rsidRPr="00B238B0">
        <w:rPr>
          <w:rFonts w:ascii="Times New Roman" w:hAnsi="Times New Roman" w:cs="Times New Roman"/>
        </w:rPr>
        <w:t xml:space="preserve"> </w:t>
      </w:r>
      <w:r w:rsidRPr="00B238B0">
        <w:rPr>
          <w:rFonts w:ascii="Times New Roman" w:hAnsi="Times New Roman" w:cs="Times New Roman"/>
          <w:color w:val="808080"/>
          <w:sz w:val="23"/>
          <w:szCs w:val="23"/>
        </w:rPr>
        <w:t xml:space="preserve"> </w:t>
      </w:r>
    </w:p>
  </w:footnote>
  <w:footnote w:id="27">
    <w:p w14:paraId="3DBAF56D" w14:textId="28AC909A" w:rsidR="001B3BC9" w:rsidRPr="00B238B0" w:rsidRDefault="001B3BC9" w:rsidP="00D3552C">
      <w:pPr>
        <w:pStyle w:val="FootnoteText"/>
        <w:rPr>
          <w:rFonts w:ascii="Times New Roman" w:hAnsi="Times New Roman" w:cs="Times New Roman"/>
          <w:lang w:val="en-US"/>
        </w:rPr>
      </w:pPr>
      <w:r w:rsidRPr="00B238B0">
        <w:rPr>
          <w:rStyle w:val="FootnoteReference"/>
          <w:rFonts w:ascii="Times New Roman" w:hAnsi="Times New Roman" w:cs="Times New Roman"/>
        </w:rPr>
        <w:footnoteRef/>
      </w:r>
      <w:r w:rsidRPr="00B238B0">
        <w:rPr>
          <w:rFonts w:ascii="Times New Roman" w:hAnsi="Times New Roman" w:cs="Times New Roman"/>
        </w:rPr>
        <w:t xml:space="preserve"> </w:t>
      </w:r>
      <w:r w:rsidRPr="00B238B0">
        <w:rPr>
          <w:rFonts w:ascii="Times New Roman" w:hAnsi="Times New Roman" w:cs="Times New Roman"/>
          <w:lang w:val="en-US"/>
        </w:rPr>
        <w:t>Supra note 8</w:t>
      </w:r>
    </w:p>
  </w:footnote>
  <w:footnote w:id="28">
    <w:p w14:paraId="48663049" w14:textId="669D5C14" w:rsidR="001B3BC9" w:rsidRPr="00B238B0" w:rsidRDefault="001B3BC9" w:rsidP="00D3552C">
      <w:pPr>
        <w:pStyle w:val="FootnoteText"/>
        <w:rPr>
          <w:rFonts w:ascii="Times New Roman" w:hAnsi="Times New Roman" w:cs="Times New Roman"/>
        </w:rPr>
      </w:pPr>
      <w:r w:rsidRPr="00B238B0">
        <w:rPr>
          <w:rStyle w:val="FootnoteReference"/>
          <w:rFonts w:ascii="Times New Roman" w:hAnsi="Times New Roman" w:cs="Times New Roman"/>
        </w:rPr>
        <w:footnoteRef/>
      </w:r>
      <w:r w:rsidRPr="00B238B0">
        <w:rPr>
          <w:rFonts w:ascii="Times New Roman" w:hAnsi="Times New Roman" w:cs="Times New Roman"/>
        </w:rPr>
        <w:t xml:space="preserve"> </w:t>
      </w:r>
      <w:hyperlink r:id="rId22" w:history="1">
        <w:r w:rsidRPr="00B238B0">
          <w:rPr>
            <w:rStyle w:val="Hyperlink"/>
            <w:rFonts w:ascii="Times New Roman" w:hAnsi="Times New Roman" w:cs="Times New Roman"/>
          </w:rPr>
          <w:t>https://www.belex.rs/o_berzi/istorijat</w:t>
        </w:r>
      </w:hyperlink>
      <w:r w:rsidRPr="00B238B0">
        <w:rPr>
          <w:rFonts w:ascii="Times New Roman" w:hAnsi="Times New Roman" w:cs="Times New Roman"/>
        </w:rPr>
        <w:t xml:space="preserve"> </w:t>
      </w:r>
    </w:p>
  </w:footnote>
  <w:footnote w:id="29">
    <w:p w14:paraId="13574A9F" w14:textId="70B4218F" w:rsidR="001B3BC9" w:rsidRPr="00F835C6" w:rsidRDefault="001B3BC9" w:rsidP="00D3552C">
      <w:pPr>
        <w:pStyle w:val="FootnoteText"/>
        <w:rPr>
          <w:lang w:val="en-US"/>
        </w:rPr>
      </w:pPr>
      <w:r w:rsidRPr="00B238B0">
        <w:rPr>
          <w:rStyle w:val="FootnoteReference"/>
          <w:rFonts w:ascii="Times New Roman" w:hAnsi="Times New Roman" w:cs="Times New Roman"/>
        </w:rPr>
        <w:footnoteRef/>
      </w:r>
      <w:r w:rsidRPr="00B238B0">
        <w:rPr>
          <w:rFonts w:ascii="Times New Roman" w:hAnsi="Times New Roman" w:cs="Times New Roman"/>
        </w:rPr>
        <w:t xml:space="preserve"> </w:t>
      </w:r>
      <w:r w:rsidRPr="00B238B0">
        <w:rPr>
          <w:rFonts w:ascii="Times New Roman" w:hAnsi="Times New Roman" w:cs="Times New Roman"/>
          <w:lang w:val="en-US"/>
        </w:rPr>
        <w:t>Supra note 20</w:t>
      </w:r>
    </w:p>
  </w:footnote>
  <w:footnote w:id="30">
    <w:p w14:paraId="75BEBB14" w14:textId="1AFD509D" w:rsidR="001B3BC9" w:rsidRPr="00291B6E" w:rsidRDefault="001B3BC9" w:rsidP="00122232">
      <w:pPr>
        <w:pStyle w:val="FootnoteText"/>
        <w:rPr>
          <w:lang w:val="sr-Latn-RS"/>
        </w:rPr>
      </w:pPr>
      <w:r>
        <w:rPr>
          <w:rStyle w:val="FootnoteReference"/>
        </w:rPr>
        <w:footnoteRef/>
      </w:r>
      <w:r>
        <w:rPr>
          <w:lang w:val="en-US"/>
        </w:rPr>
        <w:t xml:space="preserve"> </w:t>
      </w:r>
      <w:r>
        <w:t xml:space="preserve">Сања Бркић, </w:t>
      </w:r>
      <w:r>
        <w:rPr>
          <w:rFonts w:ascii="Times New Roman" w:hAnsi="Times New Roman" w:cs="Times New Roman"/>
        </w:rPr>
        <w:t xml:space="preserve">„Тржиште капитала у Србији“ (2019) Прегледни рад УДК 336.76 (497.11) </w:t>
      </w:r>
      <w:r>
        <w:t xml:space="preserve">  </w:t>
      </w:r>
    </w:p>
  </w:footnote>
  <w:footnote w:id="31">
    <w:p w14:paraId="7DC1E436" w14:textId="3CB72A55" w:rsidR="001B3BC9" w:rsidRPr="001908B7" w:rsidRDefault="001B3BC9" w:rsidP="00423C0F">
      <w:pPr>
        <w:pStyle w:val="FootnoteText"/>
        <w:rPr>
          <w:lang w:val="sr-Latn-RS"/>
        </w:rPr>
      </w:pPr>
      <w:r>
        <w:rPr>
          <w:rStyle w:val="FootnoteReference"/>
        </w:rPr>
        <w:footnoteRef/>
      </w:r>
      <w:r>
        <w:t xml:space="preserve"> </w:t>
      </w:r>
      <w:r>
        <w:rPr>
          <w:lang w:val="sr-Latn-RS"/>
        </w:rPr>
        <w:t xml:space="preserve">Klaus </w:t>
      </w:r>
      <w:proofErr w:type="spellStart"/>
      <w:r>
        <w:rPr>
          <w:lang w:val="sr-Latn-RS"/>
        </w:rPr>
        <w:t>Schwab</w:t>
      </w:r>
      <w:proofErr w:type="spellEnd"/>
      <w:r>
        <w:rPr>
          <w:lang w:val="sr-Latn-RS"/>
        </w:rPr>
        <w:t xml:space="preserve">, </w:t>
      </w:r>
      <w:proofErr w:type="spellStart"/>
      <w:r w:rsidRPr="00A86C8F">
        <w:rPr>
          <w:rFonts w:ascii="Times New Roman" w:hAnsi="Times New Roman" w:cs="Times New Roman"/>
        </w:rPr>
        <w:t>World</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Economic</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Forum</w:t>
      </w:r>
      <w:r>
        <w:t>,</w:t>
      </w:r>
      <w:r w:rsidRPr="00A86C8F">
        <w:rPr>
          <w:rFonts w:ascii="Times New Roman" w:hAnsi="Times New Roman" w:cs="Times New Roman"/>
        </w:rPr>
        <w:t>Global</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Competitiveness</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Report</w:t>
      </w:r>
      <w:proofErr w:type="spellEnd"/>
      <w:r w:rsidRPr="00A86C8F">
        <w:rPr>
          <w:rFonts w:ascii="Times New Roman" w:hAnsi="Times New Roman" w:cs="Times New Roman"/>
        </w:rPr>
        <w:t xml:space="preserve"> </w:t>
      </w:r>
      <w:r>
        <w:rPr>
          <w:rFonts w:ascii="Times New Roman" w:hAnsi="Times New Roman" w:cs="Times New Roman"/>
          <w:lang w:val="sr-Latn-RS"/>
        </w:rPr>
        <w:t>„</w:t>
      </w:r>
      <w:proofErr w:type="spellStart"/>
      <w:r w:rsidRPr="00A86C8F">
        <w:rPr>
          <w:rFonts w:ascii="Times New Roman" w:hAnsi="Times New Roman" w:cs="Times New Roman"/>
        </w:rPr>
        <w:t>How</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to</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end</w:t>
      </w:r>
      <w:proofErr w:type="spellEnd"/>
      <w:r w:rsidRPr="00A86C8F">
        <w:rPr>
          <w:rFonts w:ascii="Times New Roman" w:hAnsi="Times New Roman" w:cs="Times New Roman"/>
        </w:rPr>
        <w:t xml:space="preserve"> a </w:t>
      </w:r>
      <w:proofErr w:type="spellStart"/>
      <w:r w:rsidRPr="00A86C8F">
        <w:rPr>
          <w:rFonts w:ascii="Times New Roman" w:hAnsi="Times New Roman" w:cs="Times New Roman"/>
        </w:rPr>
        <w:t>lost</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decade</w:t>
      </w:r>
      <w:proofErr w:type="spellEnd"/>
      <w:r w:rsidRPr="00A86C8F">
        <w:rPr>
          <w:rFonts w:ascii="Times New Roman" w:hAnsi="Times New Roman" w:cs="Times New Roman"/>
        </w:rPr>
        <w:t xml:space="preserve"> of </w:t>
      </w:r>
      <w:proofErr w:type="spellStart"/>
      <w:r w:rsidRPr="00A86C8F">
        <w:rPr>
          <w:rFonts w:ascii="Times New Roman" w:hAnsi="Times New Roman" w:cs="Times New Roman"/>
        </w:rPr>
        <w:t>productivity</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growth</w:t>
      </w:r>
      <w:proofErr w:type="spellEnd"/>
      <w:r>
        <w:rPr>
          <w:rFonts w:ascii="Times New Roman" w:hAnsi="Times New Roman" w:cs="Times New Roman"/>
          <w:lang w:val="sr-Latn-RS"/>
        </w:rPr>
        <w:t>“</w:t>
      </w:r>
      <w:r w:rsidRPr="00A86C8F">
        <w:rPr>
          <w:rFonts w:ascii="Times New Roman" w:hAnsi="Times New Roman" w:cs="Times New Roman"/>
        </w:rPr>
        <w:t xml:space="preserve">, </w:t>
      </w:r>
      <w:r>
        <w:rPr>
          <w:rFonts w:ascii="Times New Roman" w:hAnsi="Times New Roman" w:cs="Times New Roman"/>
          <w:lang w:val="sr-Latn-RS"/>
        </w:rPr>
        <w:t>(2019)</w:t>
      </w:r>
    </w:p>
  </w:footnote>
  <w:footnote w:id="32">
    <w:p w14:paraId="01655C85" w14:textId="2EFEFA39" w:rsidR="001B3BC9" w:rsidRPr="0062720E" w:rsidRDefault="001B3BC9" w:rsidP="00B70055">
      <w:pPr>
        <w:pStyle w:val="FootnoteText"/>
        <w:rPr>
          <w:rFonts w:ascii="Times New Roman" w:hAnsi="Times New Roman" w:cs="Times New Roman"/>
          <w:lang w:val="sr-Latn-RS"/>
        </w:rPr>
      </w:pPr>
      <w:r>
        <w:rPr>
          <w:rStyle w:val="FootnoteReference"/>
        </w:rPr>
        <w:footnoteRef/>
      </w:r>
      <w:r>
        <w:t xml:space="preserve"> </w:t>
      </w:r>
      <w:r w:rsidRPr="0062720E">
        <w:rPr>
          <w:rFonts w:ascii="Times New Roman" w:hAnsi="Times New Roman" w:cs="Times New Roman"/>
          <w:lang w:val="en-US"/>
        </w:rPr>
        <w:t>EBRD</w:t>
      </w:r>
      <w:r w:rsidRPr="0062720E">
        <w:rPr>
          <w:rFonts w:ascii="Times New Roman" w:hAnsi="Times New Roman" w:cs="Times New Roman"/>
          <w:lang w:val="sr-Latn-RS"/>
        </w:rPr>
        <w:t xml:space="preserve">; </w:t>
      </w:r>
      <w:r w:rsidRPr="0062720E">
        <w:rPr>
          <w:rFonts w:ascii="Times New Roman" w:hAnsi="Times New Roman" w:cs="Times New Roman"/>
          <w:lang w:val="en-US"/>
        </w:rPr>
        <w:t>Capital Market Development Priorities for Serbia</w:t>
      </w:r>
      <w:r w:rsidRPr="0062720E">
        <w:rPr>
          <w:rFonts w:ascii="Times New Roman" w:hAnsi="Times New Roman" w:cs="Times New Roman"/>
        </w:rPr>
        <w:t xml:space="preserve"> </w:t>
      </w:r>
      <w:proofErr w:type="spellStart"/>
      <w:r w:rsidRPr="0062720E">
        <w:rPr>
          <w:rFonts w:ascii="Times New Roman" w:hAnsi="Times New Roman" w:cs="Times New Roman"/>
        </w:rPr>
        <w:t>Report</w:t>
      </w:r>
      <w:proofErr w:type="spellEnd"/>
      <w:r w:rsidRPr="0062720E">
        <w:rPr>
          <w:rFonts w:ascii="Times New Roman" w:hAnsi="Times New Roman" w:cs="Times New Roman"/>
        </w:rPr>
        <w:t xml:space="preserve"> </w:t>
      </w:r>
      <w:r>
        <w:rPr>
          <w:rFonts w:ascii="Times New Roman" w:hAnsi="Times New Roman" w:cs="Times New Roman"/>
          <w:lang w:val="sr-Latn-RS"/>
        </w:rPr>
        <w:t>(</w:t>
      </w:r>
      <w:r w:rsidRPr="0062720E">
        <w:rPr>
          <w:rFonts w:ascii="Times New Roman" w:hAnsi="Times New Roman" w:cs="Times New Roman"/>
          <w:lang w:val="en-US"/>
        </w:rPr>
        <w:t>2021</w:t>
      </w:r>
      <w:r>
        <w:rPr>
          <w:rFonts w:ascii="Times New Roman" w:hAnsi="Times New Roman" w:cs="Times New Roman"/>
          <w:lang w:val="en-US"/>
        </w:rPr>
        <w:t>)</w:t>
      </w:r>
      <w:r w:rsidRPr="0062720E">
        <w:rPr>
          <w:rFonts w:ascii="Times New Roman" w:hAnsi="Times New Roman" w:cs="Times New Roman"/>
        </w:rPr>
        <w:t xml:space="preserve">  </w:t>
      </w:r>
    </w:p>
  </w:footnote>
  <w:footnote w:id="33">
    <w:p w14:paraId="39ED6A2A" w14:textId="7266F912" w:rsidR="001B3BC9" w:rsidRPr="00291B6E" w:rsidRDefault="001B3BC9" w:rsidP="006475C7">
      <w:pPr>
        <w:pStyle w:val="FootnoteText"/>
        <w:rPr>
          <w:lang w:val="sr-Latn-RS"/>
        </w:rPr>
      </w:pPr>
      <w:r>
        <w:rPr>
          <w:rStyle w:val="FootnoteReference"/>
        </w:rPr>
        <w:footnoteRef/>
      </w:r>
      <w:r>
        <w:t xml:space="preserve"> </w:t>
      </w:r>
      <w:r>
        <w:rPr>
          <w:rFonts w:ascii="Times New Roman" w:hAnsi="Times New Roman" w:cs="Times New Roman"/>
          <w:lang w:val="sr-Latn-RS"/>
        </w:rPr>
        <w:t>www.investinginbonds.com</w:t>
      </w:r>
      <w:r>
        <w:t xml:space="preserve">  </w:t>
      </w:r>
    </w:p>
  </w:footnote>
  <w:footnote w:id="34">
    <w:p w14:paraId="4B449A09" w14:textId="77777777" w:rsidR="001B3BC9" w:rsidRPr="00291B6E" w:rsidRDefault="001B3BC9" w:rsidP="005265B9">
      <w:pPr>
        <w:pStyle w:val="FootnoteText"/>
        <w:rPr>
          <w:lang w:val="sr-Latn-RS"/>
        </w:rPr>
      </w:pPr>
      <w:r>
        <w:rPr>
          <w:rStyle w:val="FootnoteReference"/>
        </w:rPr>
        <w:footnoteRef/>
      </w:r>
      <w:r>
        <w:t xml:space="preserve"> </w:t>
      </w:r>
      <w:r w:rsidRPr="0062720E">
        <w:rPr>
          <w:rFonts w:ascii="Times New Roman" w:hAnsi="Times New Roman" w:cs="Times New Roman"/>
          <w:lang w:val="en-US"/>
        </w:rPr>
        <w:t>EBRD</w:t>
      </w:r>
      <w:r w:rsidRPr="0062720E">
        <w:rPr>
          <w:rFonts w:ascii="Times New Roman" w:hAnsi="Times New Roman" w:cs="Times New Roman"/>
          <w:lang w:val="sr-Latn-RS"/>
        </w:rPr>
        <w:t xml:space="preserve">; </w:t>
      </w:r>
      <w:r w:rsidRPr="0062720E">
        <w:rPr>
          <w:rFonts w:ascii="Times New Roman" w:hAnsi="Times New Roman" w:cs="Times New Roman"/>
          <w:lang w:val="en-US"/>
        </w:rPr>
        <w:t>Capital Market Development Priorities for Serbia</w:t>
      </w:r>
      <w:r w:rsidRPr="0062720E">
        <w:rPr>
          <w:rFonts w:ascii="Times New Roman" w:hAnsi="Times New Roman" w:cs="Times New Roman"/>
        </w:rPr>
        <w:t xml:space="preserve"> </w:t>
      </w:r>
      <w:proofErr w:type="spellStart"/>
      <w:r w:rsidRPr="0062720E">
        <w:rPr>
          <w:rFonts w:ascii="Times New Roman" w:hAnsi="Times New Roman" w:cs="Times New Roman"/>
        </w:rPr>
        <w:t>Report</w:t>
      </w:r>
      <w:proofErr w:type="spellEnd"/>
      <w:r w:rsidRPr="0062720E">
        <w:rPr>
          <w:rFonts w:ascii="Times New Roman" w:hAnsi="Times New Roman" w:cs="Times New Roman"/>
        </w:rPr>
        <w:t xml:space="preserve"> </w:t>
      </w:r>
      <w:r>
        <w:rPr>
          <w:rFonts w:ascii="Times New Roman" w:hAnsi="Times New Roman" w:cs="Times New Roman"/>
          <w:lang w:val="sr-Latn-RS"/>
        </w:rPr>
        <w:t>(</w:t>
      </w:r>
      <w:r w:rsidRPr="0062720E">
        <w:rPr>
          <w:rFonts w:ascii="Times New Roman" w:hAnsi="Times New Roman" w:cs="Times New Roman"/>
          <w:lang w:val="en-US"/>
        </w:rPr>
        <w:t>2021</w:t>
      </w:r>
      <w:r>
        <w:rPr>
          <w:rFonts w:ascii="Times New Roman" w:hAnsi="Times New Roman" w:cs="Times New Roman"/>
          <w:lang w:val="en-US"/>
        </w:rPr>
        <w:t>)</w:t>
      </w:r>
      <w:r w:rsidRPr="0062720E">
        <w:rPr>
          <w:rFonts w:ascii="Times New Roman" w:hAnsi="Times New Roman" w:cs="Times New Roman"/>
        </w:rPr>
        <w:t xml:space="preserve">  </w:t>
      </w:r>
    </w:p>
  </w:footnote>
  <w:footnote w:id="35">
    <w:p w14:paraId="76D420F7" w14:textId="1F9219C4" w:rsidR="001B3BC9" w:rsidRPr="00291B6E" w:rsidRDefault="001B3BC9" w:rsidP="00D54A1B">
      <w:pPr>
        <w:pStyle w:val="FootnoteText"/>
        <w:rPr>
          <w:lang w:val="sr-Latn-RS"/>
        </w:rPr>
      </w:pPr>
      <w:r>
        <w:rPr>
          <w:rStyle w:val="FootnoteReference"/>
        </w:rPr>
        <w:footnoteRef/>
      </w:r>
      <w:r>
        <w:rPr>
          <w:rFonts w:ascii="Times New Roman" w:hAnsi="Times New Roman" w:cs="Times New Roman"/>
        </w:rPr>
        <w:t xml:space="preserve"> </w:t>
      </w:r>
      <w:r>
        <w:rPr>
          <w:rFonts w:ascii="Times New Roman" w:hAnsi="Times New Roman" w:cs="Times New Roman"/>
        </w:rPr>
        <w:t>Александар Симић мр, „Утицај листирања великих јавних компанија на ниво ликвидности тржишта акција  у РС“, Стручни рад, Школа бизниса Бр 3/2011УДЦ 347.72.031 (497.11) 336.763.347.23 (497.11)</w:t>
      </w:r>
    </w:p>
  </w:footnote>
  <w:footnote w:id="36">
    <w:p w14:paraId="284D507A" w14:textId="3C71E76F" w:rsidR="001B3BC9" w:rsidRPr="00291B6E" w:rsidRDefault="001B3BC9" w:rsidP="00697669">
      <w:pPr>
        <w:pStyle w:val="FootnoteText"/>
        <w:rPr>
          <w:lang w:val="sr-Latn-RS"/>
        </w:rPr>
      </w:pPr>
      <w:r>
        <w:rPr>
          <w:rStyle w:val="FootnoteReference"/>
        </w:rPr>
        <w:footnoteRef/>
      </w:r>
      <w:r>
        <w:t xml:space="preserve"> </w:t>
      </w:r>
      <w:r>
        <w:t xml:space="preserve">Горан </w:t>
      </w:r>
      <w:proofErr w:type="spellStart"/>
      <w:r>
        <w:t>Селак</w:t>
      </w:r>
      <w:proofErr w:type="spellEnd"/>
      <w:r>
        <w:t xml:space="preserve"> мр, „</w:t>
      </w:r>
      <w:proofErr w:type="spellStart"/>
      <w:r>
        <w:t>Муниципалне</w:t>
      </w:r>
      <w:proofErr w:type="spellEnd"/>
      <w:r>
        <w:t xml:space="preserve"> обвезнице као хартије од вредности“ (Докторска дисертација, Правни факултет за привреду и правосуђе, Нови Сад,2016), доступно на: </w:t>
      </w:r>
      <w:hyperlink r:id="rId23" w:history="1">
        <w:r w:rsidRPr="00887D1F">
          <w:rPr>
            <w:rStyle w:val="Hyperlink"/>
          </w:rPr>
          <w:t>https://nardus.mpn.gov.rs/handle/123456789/6829</w:t>
        </w:r>
      </w:hyperlink>
      <w:r>
        <w:t xml:space="preserve"> </w:t>
      </w:r>
    </w:p>
  </w:footnote>
  <w:footnote w:id="37">
    <w:p w14:paraId="3F9F2045" w14:textId="284E7044" w:rsidR="001B3BC9" w:rsidRPr="00291B6E" w:rsidRDefault="001B3BC9" w:rsidP="00BD17F2">
      <w:pPr>
        <w:pStyle w:val="FootnoteText"/>
        <w:rPr>
          <w:lang w:val="sr-Latn-RS"/>
        </w:rPr>
      </w:pPr>
      <w:r>
        <w:rPr>
          <w:rStyle w:val="FootnoteReference"/>
        </w:rPr>
        <w:footnoteRef/>
      </w:r>
      <w:r>
        <w:t xml:space="preserve"> </w:t>
      </w:r>
      <w:r>
        <w:rPr>
          <w:lang w:val="sr-Latn-RS"/>
        </w:rPr>
        <w:t>M</w:t>
      </w:r>
      <w:proofErr w:type="spellStart"/>
      <w:r>
        <w:t>инистарство</w:t>
      </w:r>
      <w:proofErr w:type="spellEnd"/>
      <w:r>
        <w:t xml:space="preserve"> науке, просвете и технолошког развоја РС, Завод за унапређење образовања и васпитања, „Значај финансијског образовања и васпитања и модели за његово укључивање у програме наставе и учења за основну школу</w:t>
      </w:r>
      <w:r>
        <w:rPr>
          <w:lang w:val="sr-Latn-RS"/>
        </w:rPr>
        <w:t>“</w:t>
      </w:r>
      <w:r>
        <w:t xml:space="preserve">  (2018), доступно</w:t>
      </w:r>
      <w:r>
        <w:rPr>
          <w:lang w:val="en-US"/>
        </w:rPr>
        <w:t xml:space="preserve"> </w:t>
      </w:r>
      <w:r>
        <w:t xml:space="preserve">на: </w:t>
      </w:r>
      <w:r w:rsidRPr="006777EE">
        <w:t>http://finpis.mi.sanu.ac.rs/pdf/FinPis%20publikacija%20UOZ.pdf</w:t>
      </w:r>
    </w:p>
  </w:footnote>
  <w:footnote w:id="38">
    <w:p w14:paraId="2E64A7C9" w14:textId="484063E1" w:rsidR="001B3BC9" w:rsidRPr="00B238B0" w:rsidRDefault="001B3BC9">
      <w:pPr>
        <w:pStyle w:val="FootnoteText"/>
      </w:pPr>
      <w:r>
        <w:rPr>
          <w:rStyle w:val="FootnoteReference"/>
        </w:rPr>
        <w:footnoteRef/>
      </w:r>
      <w:r>
        <w:t xml:space="preserve"> </w:t>
      </w:r>
      <w:r>
        <w:rPr>
          <w:lang w:val="sr-Latn-RS"/>
        </w:rPr>
        <w:t xml:space="preserve">Klaus </w:t>
      </w:r>
      <w:proofErr w:type="spellStart"/>
      <w:r>
        <w:rPr>
          <w:lang w:val="sr-Latn-RS"/>
        </w:rPr>
        <w:t>Schwab</w:t>
      </w:r>
      <w:proofErr w:type="spellEnd"/>
      <w:r>
        <w:rPr>
          <w:lang w:val="sr-Latn-RS"/>
        </w:rPr>
        <w:t xml:space="preserve">, </w:t>
      </w:r>
      <w:r>
        <w:rPr>
          <w:rFonts w:ascii="Times New Roman" w:hAnsi="Times New Roman" w:cs="Times New Roman"/>
          <w:lang w:val="sr-Latn-RS"/>
        </w:rPr>
        <w:t>„</w:t>
      </w:r>
      <w:r w:rsidRPr="006777EE">
        <w:rPr>
          <w:rFonts w:ascii="Times New Roman" w:hAnsi="Times New Roman" w:cs="Times New Roman"/>
          <w:lang w:val="sr-Latn-RS"/>
        </w:rPr>
        <w:t xml:space="preserve">Global </w:t>
      </w:r>
      <w:proofErr w:type="spellStart"/>
      <w:r w:rsidRPr="006777EE">
        <w:rPr>
          <w:rFonts w:ascii="Times New Roman" w:hAnsi="Times New Roman" w:cs="Times New Roman"/>
          <w:lang w:val="sr-Latn-RS"/>
        </w:rPr>
        <w:t>Competitiveness</w:t>
      </w:r>
      <w:proofErr w:type="spellEnd"/>
      <w:r w:rsidRPr="006777EE">
        <w:rPr>
          <w:rFonts w:ascii="Times New Roman" w:hAnsi="Times New Roman" w:cs="Times New Roman"/>
          <w:lang w:val="sr-Latn-RS"/>
        </w:rPr>
        <w:t xml:space="preserve"> </w:t>
      </w:r>
      <w:proofErr w:type="spellStart"/>
      <w:r w:rsidRPr="006777EE">
        <w:rPr>
          <w:rFonts w:ascii="Times New Roman" w:hAnsi="Times New Roman" w:cs="Times New Roman"/>
          <w:lang w:val="sr-Latn-RS"/>
        </w:rPr>
        <w:t>Report</w:t>
      </w:r>
      <w:proofErr w:type="spellEnd"/>
      <w:r w:rsidRPr="006777EE">
        <w:rPr>
          <w:rFonts w:ascii="Times New Roman" w:hAnsi="Times New Roman" w:cs="Times New Roman"/>
          <w:lang w:val="sr-Latn-RS"/>
        </w:rPr>
        <w:t xml:space="preserve"> 2019</w:t>
      </w:r>
      <w:r>
        <w:rPr>
          <w:rFonts w:ascii="Times New Roman" w:hAnsi="Times New Roman" w:cs="Times New Roman"/>
        </w:rPr>
        <w:t xml:space="preserve">: </w:t>
      </w:r>
      <w:proofErr w:type="spellStart"/>
      <w:r w:rsidRPr="00A86C8F">
        <w:rPr>
          <w:rFonts w:ascii="Times New Roman" w:hAnsi="Times New Roman" w:cs="Times New Roman"/>
        </w:rPr>
        <w:t>How</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to</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end</w:t>
      </w:r>
      <w:proofErr w:type="spellEnd"/>
      <w:r w:rsidRPr="00A86C8F">
        <w:rPr>
          <w:rFonts w:ascii="Times New Roman" w:hAnsi="Times New Roman" w:cs="Times New Roman"/>
        </w:rPr>
        <w:t xml:space="preserve"> a </w:t>
      </w:r>
      <w:proofErr w:type="spellStart"/>
      <w:r w:rsidRPr="00A86C8F">
        <w:rPr>
          <w:rFonts w:ascii="Times New Roman" w:hAnsi="Times New Roman" w:cs="Times New Roman"/>
        </w:rPr>
        <w:t>lost</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decade</w:t>
      </w:r>
      <w:proofErr w:type="spellEnd"/>
      <w:r w:rsidRPr="00A86C8F">
        <w:rPr>
          <w:rFonts w:ascii="Times New Roman" w:hAnsi="Times New Roman" w:cs="Times New Roman"/>
        </w:rPr>
        <w:t xml:space="preserve"> of </w:t>
      </w:r>
      <w:proofErr w:type="spellStart"/>
      <w:r w:rsidRPr="00A86C8F">
        <w:rPr>
          <w:rFonts w:ascii="Times New Roman" w:hAnsi="Times New Roman" w:cs="Times New Roman"/>
        </w:rPr>
        <w:t>productivity</w:t>
      </w:r>
      <w:proofErr w:type="spellEnd"/>
      <w:r w:rsidRPr="00A86C8F">
        <w:rPr>
          <w:rFonts w:ascii="Times New Roman" w:hAnsi="Times New Roman" w:cs="Times New Roman"/>
        </w:rPr>
        <w:t xml:space="preserve"> </w:t>
      </w:r>
      <w:proofErr w:type="spellStart"/>
      <w:r w:rsidRPr="00A86C8F">
        <w:rPr>
          <w:rFonts w:ascii="Times New Roman" w:hAnsi="Times New Roman" w:cs="Times New Roman"/>
        </w:rPr>
        <w:t>growth</w:t>
      </w:r>
      <w:proofErr w:type="spellEnd"/>
      <w:r>
        <w:rPr>
          <w:rFonts w:ascii="Times New Roman" w:hAnsi="Times New Roman" w:cs="Times New Roman"/>
          <w:lang w:val="sr-Latn-RS"/>
        </w:rPr>
        <w:t>“</w:t>
      </w:r>
      <w:r w:rsidRPr="00A86C8F">
        <w:rPr>
          <w:rFonts w:ascii="Times New Roman" w:hAnsi="Times New Roman" w:cs="Times New Roman"/>
        </w:rPr>
        <w:t xml:space="preserve">, </w:t>
      </w:r>
      <w:r>
        <w:rPr>
          <w:rFonts w:ascii="Times New Roman" w:hAnsi="Times New Roman" w:cs="Times New Roman"/>
          <w:lang w:val="sr-Latn-RS"/>
        </w:rPr>
        <w:t>(</w:t>
      </w:r>
      <w:r>
        <w:rPr>
          <w:rFonts w:ascii="Times New Roman" w:hAnsi="Times New Roman" w:cs="Times New Roman"/>
          <w:lang w:val="en-US"/>
        </w:rPr>
        <w:t xml:space="preserve">World Economic Forum – Global Competitiveness Report, </w:t>
      </w:r>
      <w:r>
        <w:rPr>
          <w:rFonts w:ascii="Times New Roman" w:hAnsi="Times New Roman" w:cs="Times New Roman"/>
          <w:lang w:val="sr-Latn-RS"/>
        </w:rPr>
        <w:t>2019)</w:t>
      </w:r>
      <w:r>
        <w:rPr>
          <w:rFonts w:ascii="Times New Roman" w:hAnsi="Times New Roman" w:cs="Times New Roman"/>
        </w:rPr>
        <w:t xml:space="preserve">, доступно на енглеском језику на: </w:t>
      </w:r>
      <w:hyperlink r:id="rId24" w:history="1">
        <w:r w:rsidRPr="00887D1F">
          <w:rPr>
            <w:rStyle w:val="Hyperlink"/>
            <w:rFonts w:ascii="Times New Roman" w:hAnsi="Times New Roman" w:cs="Times New Roman"/>
          </w:rPr>
          <w:t>https://www.weforum.org/reports/how-to-end-a-decade-of-lost-productivity-growth</w:t>
        </w:r>
      </w:hyperlink>
      <w:r>
        <w:rPr>
          <w:rFonts w:ascii="Times New Roman" w:hAnsi="Times New Roman" w:cs="Times New Roman"/>
        </w:rPr>
        <w:t xml:space="preserve"> </w:t>
      </w:r>
    </w:p>
  </w:footnote>
  <w:footnote w:id="39">
    <w:p w14:paraId="16BBE1AB" w14:textId="46F5B6D4" w:rsidR="001B3BC9" w:rsidRPr="00B238B0" w:rsidRDefault="001B3BC9" w:rsidP="00863EA0">
      <w:pPr>
        <w:pStyle w:val="FootnoteText"/>
        <w:rPr>
          <w:lang w:val="en-US"/>
        </w:rPr>
      </w:pPr>
      <w:r>
        <w:rPr>
          <w:rStyle w:val="FootnoteReference"/>
        </w:rPr>
        <w:footnoteRef/>
      </w:r>
      <w:r>
        <w:t xml:space="preserve"> </w:t>
      </w:r>
      <w:r>
        <w:rPr>
          <w:lang w:val="en-US"/>
        </w:rPr>
        <w:t xml:space="preserve">supra note 32. </w:t>
      </w:r>
    </w:p>
  </w:footnote>
  <w:footnote w:id="40">
    <w:p w14:paraId="2895D48A" w14:textId="010FDB85" w:rsidR="001B3BC9" w:rsidRPr="00291B6E" w:rsidRDefault="001B3BC9" w:rsidP="006B0787">
      <w:pPr>
        <w:pStyle w:val="FootnoteText"/>
        <w:rPr>
          <w:lang w:val="sr-Latn-RS"/>
        </w:rPr>
      </w:pPr>
      <w:r>
        <w:rPr>
          <w:rStyle w:val="FootnoteReference"/>
        </w:rPr>
        <w:footnoteRef/>
      </w:r>
      <w:r>
        <w:t xml:space="preserve"> </w:t>
      </w:r>
      <w:r>
        <w:rPr>
          <w:lang w:val="en-US"/>
        </w:rPr>
        <w:t xml:space="preserve">OECD, “PISA 2018 results”, (OECD, 2018), </w:t>
      </w:r>
      <w:r>
        <w:t xml:space="preserve">доступно на енглеском језику на: </w:t>
      </w:r>
      <w:hyperlink r:id="rId25" w:history="1">
        <w:r w:rsidRPr="00887D1F">
          <w:rPr>
            <w:rStyle w:val="Hyperlink"/>
          </w:rPr>
          <w:t>https://www.oecd.org/pisa/publications/pisa-2018-results.htm</w:t>
        </w:r>
      </w:hyperlink>
      <w:r>
        <w:t xml:space="preserve">  </w:t>
      </w:r>
    </w:p>
  </w:footnote>
  <w:footnote w:id="41">
    <w:p w14:paraId="66CAA75F" w14:textId="00BB643C" w:rsidR="001B3BC9" w:rsidRPr="00073B6B" w:rsidRDefault="001B3BC9" w:rsidP="009D4E94">
      <w:pPr>
        <w:pStyle w:val="FootnoteText"/>
      </w:pPr>
      <w:r>
        <w:rPr>
          <w:rStyle w:val="FootnoteReference"/>
        </w:rPr>
        <w:footnoteRef/>
      </w:r>
      <w:r>
        <w:t xml:space="preserve"> </w:t>
      </w:r>
      <w:proofErr w:type="spellStart"/>
      <w:r>
        <w:rPr>
          <w:lang w:val="sr-Latn-RS"/>
        </w:rPr>
        <w:t>supra</w:t>
      </w:r>
      <w:proofErr w:type="spellEnd"/>
      <w:r>
        <w:rPr>
          <w:lang w:val="sr-Latn-RS"/>
        </w:rPr>
        <w:t xml:space="preserve"> note 32. </w:t>
      </w:r>
    </w:p>
  </w:footnote>
  <w:footnote w:id="42">
    <w:p w14:paraId="21EF968F" w14:textId="0C03167A" w:rsidR="001B3BC9" w:rsidRPr="00291B6E" w:rsidRDefault="001B3BC9" w:rsidP="006C6B5C">
      <w:pPr>
        <w:pStyle w:val="FootnoteText"/>
        <w:rPr>
          <w:lang w:val="sr-Latn-RS"/>
        </w:rPr>
      </w:pPr>
      <w:r>
        <w:rPr>
          <w:rStyle w:val="FootnoteReference"/>
        </w:rPr>
        <w:footnoteRef/>
      </w:r>
      <w:r>
        <w:t xml:space="preserve"> </w:t>
      </w:r>
      <w:r w:rsidRPr="0062720E">
        <w:rPr>
          <w:rFonts w:ascii="Times New Roman" w:hAnsi="Times New Roman" w:cs="Times New Roman"/>
          <w:lang w:val="en-US"/>
        </w:rPr>
        <w:t>EBRD</w:t>
      </w:r>
      <w:r w:rsidRPr="0062720E">
        <w:rPr>
          <w:rFonts w:ascii="Times New Roman" w:hAnsi="Times New Roman" w:cs="Times New Roman"/>
          <w:lang w:val="sr-Latn-RS"/>
        </w:rPr>
        <w:t xml:space="preserve">; </w:t>
      </w:r>
      <w:r w:rsidRPr="0062720E">
        <w:rPr>
          <w:rFonts w:ascii="Times New Roman" w:hAnsi="Times New Roman" w:cs="Times New Roman"/>
          <w:lang w:val="en-US"/>
        </w:rPr>
        <w:t>Capital Market Development Priorities for Serbia</w:t>
      </w:r>
      <w:r w:rsidRPr="0062720E">
        <w:rPr>
          <w:rFonts w:ascii="Times New Roman" w:hAnsi="Times New Roman" w:cs="Times New Roman"/>
        </w:rPr>
        <w:t xml:space="preserve"> </w:t>
      </w:r>
      <w:proofErr w:type="spellStart"/>
      <w:r w:rsidRPr="0062720E">
        <w:rPr>
          <w:rFonts w:ascii="Times New Roman" w:hAnsi="Times New Roman" w:cs="Times New Roman"/>
        </w:rPr>
        <w:t>Report</w:t>
      </w:r>
      <w:proofErr w:type="spellEnd"/>
      <w:r w:rsidRPr="0062720E">
        <w:rPr>
          <w:rFonts w:ascii="Times New Roman" w:hAnsi="Times New Roman" w:cs="Times New Roman"/>
        </w:rPr>
        <w:t xml:space="preserve"> </w:t>
      </w:r>
      <w:r>
        <w:rPr>
          <w:rFonts w:ascii="Times New Roman" w:hAnsi="Times New Roman" w:cs="Times New Roman"/>
          <w:lang w:val="sr-Latn-RS"/>
        </w:rPr>
        <w:t>(</w:t>
      </w:r>
      <w:r w:rsidRPr="0062720E">
        <w:rPr>
          <w:rFonts w:ascii="Times New Roman" w:hAnsi="Times New Roman" w:cs="Times New Roman"/>
          <w:lang w:val="en-US"/>
        </w:rPr>
        <w:t>2021</w:t>
      </w:r>
      <w:r>
        <w:rPr>
          <w:rFonts w:ascii="Times New Roman" w:hAnsi="Times New Roman" w:cs="Times New Roman"/>
          <w:lang w:val="en-US"/>
        </w:rPr>
        <w:t>)</w:t>
      </w:r>
      <w:r w:rsidRPr="0062720E">
        <w:rPr>
          <w:rFonts w:ascii="Times New Roman" w:hAnsi="Times New Roman" w:cs="Times New Roman"/>
        </w:rPr>
        <w:t xml:space="preserve">  </w:t>
      </w:r>
    </w:p>
  </w:footnote>
  <w:footnote w:id="43">
    <w:p w14:paraId="57DC216F" w14:textId="05424F3D" w:rsidR="001B3BC9" w:rsidRPr="00291B6E" w:rsidRDefault="001B3BC9" w:rsidP="002B27FB">
      <w:pPr>
        <w:pStyle w:val="FootnoteText"/>
        <w:rPr>
          <w:lang w:val="sr-Latn-RS"/>
        </w:rPr>
      </w:pPr>
      <w:r>
        <w:rPr>
          <w:rStyle w:val="FootnoteReference"/>
        </w:rPr>
        <w:footnoteRef/>
      </w:r>
      <w:r>
        <w:t xml:space="preserve"> </w:t>
      </w:r>
      <w:r>
        <w:t xml:space="preserve">Сања Бркић, </w:t>
      </w:r>
      <w:r>
        <w:rPr>
          <w:rFonts w:ascii="Times New Roman" w:hAnsi="Times New Roman" w:cs="Times New Roman"/>
        </w:rPr>
        <w:t>„Тржиште капитала у Србији“ (2019) Прегледни рад УДК 336.76 (497.11)</w:t>
      </w:r>
    </w:p>
  </w:footnote>
  <w:footnote w:id="44">
    <w:p w14:paraId="481F84B7" w14:textId="6F79ADDB" w:rsidR="001B3BC9" w:rsidRPr="00291B6E" w:rsidRDefault="001B3BC9" w:rsidP="00431445">
      <w:pPr>
        <w:pStyle w:val="FootnoteText"/>
        <w:rPr>
          <w:lang w:val="sr-Latn-RS"/>
        </w:rPr>
      </w:pPr>
      <w:r>
        <w:rPr>
          <w:rStyle w:val="FootnoteReference"/>
        </w:rPr>
        <w:footnoteRef/>
      </w:r>
      <w:r>
        <w:t xml:space="preserve"> </w:t>
      </w:r>
      <w:proofErr w:type="spellStart"/>
      <w:r w:rsidRPr="006B6C6C">
        <w:rPr>
          <w:rFonts w:ascii="Times New Roman" w:hAnsi="Times New Roman" w:cs="Times New Roman"/>
        </w:rPr>
        <w:t>Борјана</w:t>
      </w:r>
      <w:proofErr w:type="spellEnd"/>
      <w:r w:rsidRPr="006B6C6C">
        <w:rPr>
          <w:rFonts w:ascii="Times New Roman" w:hAnsi="Times New Roman" w:cs="Times New Roman"/>
        </w:rPr>
        <w:t xml:space="preserve"> Б. </w:t>
      </w:r>
      <w:proofErr w:type="spellStart"/>
      <w:r w:rsidRPr="006B6C6C">
        <w:rPr>
          <w:rFonts w:ascii="Times New Roman" w:hAnsi="Times New Roman" w:cs="Times New Roman"/>
        </w:rPr>
        <w:t>Мирјанић</w:t>
      </w:r>
      <w:proofErr w:type="spellEnd"/>
      <w:r w:rsidRPr="006B6C6C">
        <w:rPr>
          <w:rFonts w:ascii="Times New Roman" w:hAnsi="Times New Roman" w:cs="Times New Roman"/>
        </w:rPr>
        <w:t xml:space="preserve"> </w:t>
      </w:r>
      <w:r>
        <w:rPr>
          <w:rFonts w:ascii="Times New Roman" w:hAnsi="Times New Roman" w:cs="Times New Roman"/>
        </w:rPr>
        <w:t xml:space="preserve">др, </w:t>
      </w:r>
      <w:r w:rsidRPr="006B6C6C">
        <w:rPr>
          <w:rFonts w:ascii="Times New Roman" w:hAnsi="Times New Roman" w:cs="Times New Roman"/>
        </w:rPr>
        <w:t>„Финансијска тржишта“</w:t>
      </w:r>
      <w:r>
        <w:rPr>
          <w:rFonts w:ascii="Times New Roman" w:hAnsi="Times New Roman" w:cs="Times New Roman"/>
        </w:rPr>
        <w:t xml:space="preserve">, </w:t>
      </w:r>
      <w:r>
        <w:rPr>
          <w:rFonts w:ascii="Times New Roman" w:hAnsi="Times New Roman" w:cs="Times New Roman"/>
          <w:lang w:val="en-US"/>
        </w:rPr>
        <w:t>(</w:t>
      </w:r>
      <w:r w:rsidRPr="006B6C6C">
        <w:rPr>
          <w:rFonts w:ascii="Times New Roman" w:hAnsi="Times New Roman" w:cs="Times New Roman"/>
        </w:rPr>
        <w:t>Београдска Академија Пословања  и уметничких струковних студија</w:t>
      </w:r>
      <w:r>
        <w:rPr>
          <w:rFonts w:ascii="Times New Roman" w:hAnsi="Times New Roman" w:cs="Times New Roman"/>
          <w:lang w:val="en-US"/>
        </w:rPr>
        <w:t>, 2020)</w:t>
      </w:r>
      <w:r>
        <w:t xml:space="preserve"> </w:t>
      </w:r>
    </w:p>
  </w:footnote>
  <w:footnote w:id="45">
    <w:p w14:paraId="5497493E" w14:textId="6F0958D2" w:rsidR="001B3BC9" w:rsidRPr="007161FB" w:rsidRDefault="001B3BC9" w:rsidP="007161FB">
      <w:pPr>
        <w:pStyle w:val="FootnoteText"/>
        <w:rPr>
          <w:lang w:val="sr-Latn-RS"/>
        </w:rPr>
      </w:pPr>
      <w:r>
        <w:rPr>
          <w:rStyle w:val="FootnoteReference"/>
        </w:rPr>
        <w:footnoteRef/>
      </w:r>
      <w:r>
        <w:t xml:space="preserve"> </w:t>
      </w:r>
      <w:r w:rsidRPr="007161FB">
        <w:rPr>
          <w:lang w:val="sr-Latn-RS"/>
        </w:rPr>
        <w:t>www.belex.rs/o_berzi/vesti/aktuelno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9111E"/>
    <w:multiLevelType w:val="hybridMultilevel"/>
    <w:tmpl w:val="79896A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542456"/>
    <w:multiLevelType w:val="hybridMultilevel"/>
    <w:tmpl w:val="87A961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5D8D7B"/>
    <w:multiLevelType w:val="hybridMultilevel"/>
    <w:tmpl w:val="76E3B1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7E15FB"/>
    <w:multiLevelType w:val="multilevel"/>
    <w:tmpl w:val="8E303BE8"/>
    <w:lvl w:ilvl="0">
      <w:start w:val="1"/>
      <w:numFmt w:val="decimal"/>
      <w:lvlText w:val="%1."/>
      <w:lvlJc w:val="left"/>
      <w:pPr>
        <w:ind w:left="1485" w:hanging="360"/>
      </w:pPr>
    </w:lvl>
    <w:lvl w:ilvl="1">
      <w:start w:val="1"/>
      <w:numFmt w:val="decimal"/>
      <w:isLgl/>
      <w:lvlText w:val="%1.%2"/>
      <w:lvlJc w:val="left"/>
      <w:pPr>
        <w:ind w:left="1845" w:hanging="360"/>
      </w:pPr>
      <w:rPr>
        <w:rFonts w:hint="default"/>
      </w:rPr>
    </w:lvl>
    <w:lvl w:ilvl="2">
      <w:start w:val="1"/>
      <w:numFmt w:val="decimal"/>
      <w:isLgl/>
      <w:lvlText w:val="%1.%2.%3"/>
      <w:lvlJc w:val="left"/>
      <w:pPr>
        <w:ind w:left="2565" w:hanging="720"/>
      </w:pPr>
      <w:rPr>
        <w:rFonts w:hint="default"/>
      </w:rPr>
    </w:lvl>
    <w:lvl w:ilvl="3">
      <w:start w:val="1"/>
      <w:numFmt w:val="decimal"/>
      <w:isLgl/>
      <w:lvlText w:val="%1.%2.%3.%4"/>
      <w:lvlJc w:val="left"/>
      <w:pPr>
        <w:ind w:left="2925" w:hanging="720"/>
      </w:pPr>
      <w:rPr>
        <w:rFonts w:hint="default"/>
      </w:rPr>
    </w:lvl>
    <w:lvl w:ilvl="4">
      <w:start w:val="1"/>
      <w:numFmt w:val="decimal"/>
      <w:isLgl/>
      <w:lvlText w:val="%1.%2.%3.%4.%5"/>
      <w:lvlJc w:val="left"/>
      <w:pPr>
        <w:ind w:left="3645"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725" w:hanging="1440"/>
      </w:pPr>
      <w:rPr>
        <w:rFonts w:hint="default"/>
      </w:rPr>
    </w:lvl>
    <w:lvl w:ilvl="7">
      <w:start w:val="1"/>
      <w:numFmt w:val="decimal"/>
      <w:isLgl/>
      <w:lvlText w:val="%1.%2.%3.%4.%5.%6.%7.%8"/>
      <w:lvlJc w:val="left"/>
      <w:pPr>
        <w:ind w:left="5085" w:hanging="1440"/>
      </w:pPr>
      <w:rPr>
        <w:rFonts w:hint="default"/>
      </w:rPr>
    </w:lvl>
    <w:lvl w:ilvl="8">
      <w:start w:val="1"/>
      <w:numFmt w:val="decimal"/>
      <w:isLgl/>
      <w:lvlText w:val="%1.%2.%3.%4.%5.%6.%7.%8.%9"/>
      <w:lvlJc w:val="left"/>
      <w:pPr>
        <w:ind w:left="5445" w:hanging="1440"/>
      </w:pPr>
      <w:rPr>
        <w:rFonts w:hint="default"/>
      </w:rPr>
    </w:lvl>
  </w:abstractNum>
  <w:abstractNum w:abstractNumId="4" w15:restartNumberingAfterBreak="0">
    <w:nsid w:val="10B23F52"/>
    <w:multiLevelType w:val="multilevel"/>
    <w:tmpl w:val="8E303BE8"/>
    <w:lvl w:ilvl="0">
      <w:start w:val="1"/>
      <w:numFmt w:val="decimal"/>
      <w:lvlText w:val="%1."/>
      <w:lvlJc w:val="left"/>
      <w:pPr>
        <w:ind w:left="1485" w:hanging="360"/>
      </w:pPr>
    </w:lvl>
    <w:lvl w:ilvl="1">
      <w:start w:val="1"/>
      <w:numFmt w:val="decimal"/>
      <w:isLgl/>
      <w:lvlText w:val="%1.%2"/>
      <w:lvlJc w:val="left"/>
      <w:pPr>
        <w:ind w:left="1845" w:hanging="360"/>
      </w:pPr>
      <w:rPr>
        <w:rFonts w:hint="default"/>
      </w:rPr>
    </w:lvl>
    <w:lvl w:ilvl="2">
      <w:start w:val="1"/>
      <w:numFmt w:val="decimal"/>
      <w:isLgl/>
      <w:lvlText w:val="%1.%2.%3"/>
      <w:lvlJc w:val="left"/>
      <w:pPr>
        <w:ind w:left="2565" w:hanging="720"/>
      </w:pPr>
      <w:rPr>
        <w:rFonts w:hint="default"/>
      </w:rPr>
    </w:lvl>
    <w:lvl w:ilvl="3">
      <w:start w:val="1"/>
      <w:numFmt w:val="decimal"/>
      <w:isLgl/>
      <w:lvlText w:val="%1.%2.%3.%4"/>
      <w:lvlJc w:val="left"/>
      <w:pPr>
        <w:ind w:left="2925" w:hanging="720"/>
      </w:pPr>
      <w:rPr>
        <w:rFonts w:hint="default"/>
      </w:rPr>
    </w:lvl>
    <w:lvl w:ilvl="4">
      <w:start w:val="1"/>
      <w:numFmt w:val="decimal"/>
      <w:isLgl/>
      <w:lvlText w:val="%1.%2.%3.%4.%5"/>
      <w:lvlJc w:val="left"/>
      <w:pPr>
        <w:ind w:left="3645"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725" w:hanging="1440"/>
      </w:pPr>
      <w:rPr>
        <w:rFonts w:hint="default"/>
      </w:rPr>
    </w:lvl>
    <w:lvl w:ilvl="7">
      <w:start w:val="1"/>
      <w:numFmt w:val="decimal"/>
      <w:isLgl/>
      <w:lvlText w:val="%1.%2.%3.%4.%5.%6.%7.%8"/>
      <w:lvlJc w:val="left"/>
      <w:pPr>
        <w:ind w:left="5085" w:hanging="1440"/>
      </w:pPr>
      <w:rPr>
        <w:rFonts w:hint="default"/>
      </w:rPr>
    </w:lvl>
    <w:lvl w:ilvl="8">
      <w:start w:val="1"/>
      <w:numFmt w:val="decimal"/>
      <w:isLgl/>
      <w:lvlText w:val="%1.%2.%3.%4.%5.%6.%7.%8.%9"/>
      <w:lvlJc w:val="left"/>
      <w:pPr>
        <w:ind w:left="5445" w:hanging="1440"/>
      </w:pPr>
      <w:rPr>
        <w:rFonts w:hint="default"/>
      </w:rPr>
    </w:lvl>
  </w:abstractNum>
  <w:abstractNum w:abstractNumId="5" w15:restartNumberingAfterBreak="0">
    <w:nsid w:val="12FE474F"/>
    <w:multiLevelType w:val="hybridMultilevel"/>
    <w:tmpl w:val="4AA63646"/>
    <w:lvl w:ilvl="0" w:tplc="78EEC8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0011C"/>
    <w:multiLevelType w:val="hybridMultilevel"/>
    <w:tmpl w:val="804EB142"/>
    <w:lvl w:ilvl="0" w:tplc="833E8786">
      <w:start w:val="1"/>
      <w:numFmt w:val="decimal"/>
      <w:lvlText w:val="%1)"/>
      <w:lvlJc w:val="left"/>
      <w:pPr>
        <w:ind w:left="81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B42AB"/>
    <w:multiLevelType w:val="hybridMultilevel"/>
    <w:tmpl w:val="565092E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91A59"/>
    <w:multiLevelType w:val="multilevel"/>
    <w:tmpl w:val="1E52930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972A97"/>
    <w:multiLevelType w:val="hybridMultilevel"/>
    <w:tmpl w:val="A094E510"/>
    <w:lvl w:ilvl="0" w:tplc="06568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E6ABD"/>
    <w:multiLevelType w:val="hybridMultilevel"/>
    <w:tmpl w:val="6014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C249E"/>
    <w:multiLevelType w:val="hybridMultilevel"/>
    <w:tmpl w:val="6B5074B4"/>
    <w:lvl w:ilvl="0" w:tplc="362C8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523D4"/>
    <w:multiLevelType w:val="multilevel"/>
    <w:tmpl w:val="8E303BE8"/>
    <w:lvl w:ilvl="0">
      <w:start w:val="1"/>
      <w:numFmt w:val="decimal"/>
      <w:lvlText w:val="%1."/>
      <w:lvlJc w:val="left"/>
      <w:pPr>
        <w:ind w:left="1485" w:hanging="360"/>
      </w:pPr>
    </w:lvl>
    <w:lvl w:ilvl="1">
      <w:start w:val="1"/>
      <w:numFmt w:val="decimal"/>
      <w:isLgl/>
      <w:lvlText w:val="%1.%2"/>
      <w:lvlJc w:val="left"/>
      <w:pPr>
        <w:ind w:left="1845" w:hanging="360"/>
      </w:pPr>
      <w:rPr>
        <w:rFonts w:hint="default"/>
      </w:rPr>
    </w:lvl>
    <w:lvl w:ilvl="2">
      <w:start w:val="1"/>
      <w:numFmt w:val="decimal"/>
      <w:isLgl/>
      <w:lvlText w:val="%1.%2.%3"/>
      <w:lvlJc w:val="left"/>
      <w:pPr>
        <w:ind w:left="2565" w:hanging="720"/>
      </w:pPr>
      <w:rPr>
        <w:rFonts w:hint="default"/>
      </w:rPr>
    </w:lvl>
    <w:lvl w:ilvl="3">
      <w:start w:val="1"/>
      <w:numFmt w:val="decimal"/>
      <w:isLgl/>
      <w:lvlText w:val="%1.%2.%3.%4"/>
      <w:lvlJc w:val="left"/>
      <w:pPr>
        <w:ind w:left="2925" w:hanging="720"/>
      </w:pPr>
      <w:rPr>
        <w:rFonts w:hint="default"/>
      </w:rPr>
    </w:lvl>
    <w:lvl w:ilvl="4">
      <w:start w:val="1"/>
      <w:numFmt w:val="decimal"/>
      <w:isLgl/>
      <w:lvlText w:val="%1.%2.%3.%4.%5"/>
      <w:lvlJc w:val="left"/>
      <w:pPr>
        <w:ind w:left="3645"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725" w:hanging="1440"/>
      </w:pPr>
      <w:rPr>
        <w:rFonts w:hint="default"/>
      </w:rPr>
    </w:lvl>
    <w:lvl w:ilvl="7">
      <w:start w:val="1"/>
      <w:numFmt w:val="decimal"/>
      <w:isLgl/>
      <w:lvlText w:val="%1.%2.%3.%4.%5.%6.%7.%8"/>
      <w:lvlJc w:val="left"/>
      <w:pPr>
        <w:ind w:left="5085" w:hanging="1440"/>
      </w:pPr>
      <w:rPr>
        <w:rFonts w:hint="default"/>
      </w:rPr>
    </w:lvl>
    <w:lvl w:ilvl="8">
      <w:start w:val="1"/>
      <w:numFmt w:val="decimal"/>
      <w:isLgl/>
      <w:lvlText w:val="%1.%2.%3.%4.%5.%6.%7.%8.%9"/>
      <w:lvlJc w:val="left"/>
      <w:pPr>
        <w:ind w:left="5445" w:hanging="1440"/>
      </w:pPr>
      <w:rPr>
        <w:rFonts w:hint="default"/>
      </w:rPr>
    </w:lvl>
  </w:abstractNum>
  <w:abstractNum w:abstractNumId="13" w15:restartNumberingAfterBreak="0">
    <w:nsid w:val="2A7F0CA9"/>
    <w:multiLevelType w:val="hybridMultilevel"/>
    <w:tmpl w:val="14DA3ADE"/>
    <w:lvl w:ilvl="0" w:tplc="D6B8C83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261BAF"/>
    <w:multiLevelType w:val="hybridMultilevel"/>
    <w:tmpl w:val="E2A6C0F6"/>
    <w:lvl w:ilvl="0" w:tplc="E890885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D7C24"/>
    <w:multiLevelType w:val="multilevel"/>
    <w:tmpl w:val="670EEB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mbria" w:hint="default"/>
        <w:b/>
        <w:bCs/>
      </w:rPr>
    </w:lvl>
    <w:lvl w:ilvl="2">
      <w:start w:val="1"/>
      <w:numFmt w:val="decimal"/>
      <w:pStyle w:val="Heading2"/>
      <w:isLgl/>
      <w:lvlText w:val="%1.%2.%3"/>
      <w:lvlJc w:val="left"/>
      <w:pPr>
        <w:ind w:left="1080" w:hanging="720"/>
      </w:pPr>
      <w:rPr>
        <w:rFonts w:eastAsia="Cambria" w:hint="default"/>
      </w:rPr>
    </w:lvl>
    <w:lvl w:ilvl="3">
      <w:start w:val="1"/>
      <w:numFmt w:val="decimal"/>
      <w:isLgl/>
      <w:lvlText w:val="%1.%2.%3.%4"/>
      <w:lvlJc w:val="left"/>
      <w:pPr>
        <w:ind w:left="1080" w:hanging="720"/>
      </w:pPr>
      <w:rPr>
        <w:rFonts w:eastAsia="Cambria" w:hint="default"/>
      </w:rPr>
    </w:lvl>
    <w:lvl w:ilvl="4">
      <w:start w:val="1"/>
      <w:numFmt w:val="decimal"/>
      <w:isLgl/>
      <w:lvlText w:val="%1.%2.%3.%4.%5"/>
      <w:lvlJc w:val="left"/>
      <w:pPr>
        <w:ind w:left="1440" w:hanging="1080"/>
      </w:pPr>
      <w:rPr>
        <w:rFonts w:eastAsia="Cambria" w:hint="default"/>
      </w:rPr>
    </w:lvl>
    <w:lvl w:ilvl="5">
      <w:start w:val="1"/>
      <w:numFmt w:val="decimal"/>
      <w:isLgl/>
      <w:lvlText w:val="%1.%2.%3.%4.%5.%6"/>
      <w:lvlJc w:val="left"/>
      <w:pPr>
        <w:ind w:left="1440" w:hanging="1080"/>
      </w:pPr>
      <w:rPr>
        <w:rFonts w:eastAsia="Cambria" w:hint="default"/>
      </w:rPr>
    </w:lvl>
    <w:lvl w:ilvl="6">
      <w:start w:val="1"/>
      <w:numFmt w:val="decimal"/>
      <w:isLgl/>
      <w:lvlText w:val="%1.%2.%3.%4.%5.%6.%7"/>
      <w:lvlJc w:val="left"/>
      <w:pPr>
        <w:ind w:left="1800" w:hanging="1440"/>
      </w:pPr>
      <w:rPr>
        <w:rFonts w:eastAsia="Cambria" w:hint="default"/>
      </w:rPr>
    </w:lvl>
    <w:lvl w:ilvl="7">
      <w:start w:val="1"/>
      <w:numFmt w:val="decimal"/>
      <w:isLgl/>
      <w:lvlText w:val="%1.%2.%3.%4.%5.%6.%7.%8"/>
      <w:lvlJc w:val="left"/>
      <w:pPr>
        <w:ind w:left="1800" w:hanging="1440"/>
      </w:pPr>
      <w:rPr>
        <w:rFonts w:eastAsia="Cambria" w:hint="default"/>
      </w:rPr>
    </w:lvl>
    <w:lvl w:ilvl="8">
      <w:start w:val="1"/>
      <w:numFmt w:val="decimal"/>
      <w:isLgl/>
      <w:lvlText w:val="%1.%2.%3.%4.%5.%6.%7.%8.%9"/>
      <w:lvlJc w:val="left"/>
      <w:pPr>
        <w:ind w:left="2160" w:hanging="1800"/>
      </w:pPr>
      <w:rPr>
        <w:rFonts w:eastAsia="Cambria" w:hint="default"/>
      </w:rPr>
    </w:lvl>
  </w:abstractNum>
  <w:abstractNum w:abstractNumId="16" w15:restartNumberingAfterBreak="0">
    <w:nsid w:val="39746035"/>
    <w:multiLevelType w:val="multilevel"/>
    <w:tmpl w:val="5A8876CC"/>
    <w:lvl w:ilvl="0">
      <w:start w:val="4"/>
      <w:numFmt w:val="decimal"/>
      <w:lvlText w:val="%1."/>
      <w:lvlJc w:val="left"/>
      <w:pPr>
        <w:ind w:left="495" w:hanging="495"/>
      </w:pPr>
      <w:rPr>
        <w:rFonts w:hint="default"/>
      </w:rPr>
    </w:lvl>
    <w:lvl w:ilvl="1">
      <w:start w:val="2"/>
      <w:numFmt w:val="decimal"/>
      <w:lvlText w:val="%1.%2."/>
      <w:lvlJc w:val="left"/>
      <w:pPr>
        <w:ind w:left="1417" w:hanging="49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7" w15:restartNumberingAfterBreak="0">
    <w:nsid w:val="3AEC2CDA"/>
    <w:multiLevelType w:val="hybridMultilevel"/>
    <w:tmpl w:val="BE6C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61A08"/>
    <w:multiLevelType w:val="hybridMultilevel"/>
    <w:tmpl w:val="6B0ACA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262641"/>
    <w:multiLevelType w:val="hybridMultilevel"/>
    <w:tmpl w:val="DA22F8FA"/>
    <w:lvl w:ilvl="0" w:tplc="24B206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1033A"/>
    <w:multiLevelType w:val="hybridMultilevel"/>
    <w:tmpl w:val="A85EAAF8"/>
    <w:lvl w:ilvl="0" w:tplc="EA5EC2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D044B7"/>
    <w:multiLevelType w:val="hybridMultilevel"/>
    <w:tmpl w:val="CFD49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A3F05"/>
    <w:multiLevelType w:val="hybridMultilevel"/>
    <w:tmpl w:val="57FCD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2396A"/>
    <w:multiLevelType w:val="hybridMultilevel"/>
    <w:tmpl w:val="3B442B5E"/>
    <w:lvl w:ilvl="0" w:tplc="156AD1AA">
      <w:start w:val="1"/>
      <w:numFmt w:val="decimal"/>
      <w:lvlText w:val="%1)"/>
      <w:lvlJc w:val="left"/>
      <w:pPr>
        <w:ind w:left="720" w:hanging="360"/>
      </w:pPr>
      <w:rPr>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CF35D"/>
    <w:multiLevelType w:val="hybridMultilevel"/>
    <w:tmpl w:val="76A5D1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97521C2"/>
    <w:multiLevelType w:val="hybridMultilevel"/>
    <w:tmpl w:val="CE7E704A"/>
    <w:lvl w:ilvl="0" w:tplc="12CCA3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36CCB"/>
    <w:multiLevelType w:val="hybridMultilevel"/>
    <w:tmpl w:val="96245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15125"/>
    <w:multiLevelType w:val="hybridMultilevel"/>
    <w:tmpl w:val="99FE0E30"/>
    <w:lvl w:ilvl="0" w:tplc="EA5EC2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9327F"/>
    <w:multiLevelType w:val="hybridMultilevel"/>
    <w:tmpl w:val="8ADEF00E"/>
    <w:lvl w:ilvl="0" w:tplc="FF0C3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77A11"/>
    <w:multiLevelType w:val="hybridMultilevel"/>
    <w:tmpl w:val="71EAA8AE"/>
    <w:lvl w:ilvl="0" w:tplc="A6C8E0BE">
      <w:start w:val="4"/>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63CBB"/>
    <w:multiLevelType w:val="hybridMultilevel"/>
    <w:tmpl w:val="CA22F704"/>
    <w:lvl w:ilvl="0" w:tplc="512EC61C">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559E"/>
    <w:multiLevelType w:val="multilevel"/>
    <w:tmpl w:val="9AECB64A"/>
    <w:lvl w:ilvl="0">
      <w:start w:val="4"/>
      <w:numFmt w:val="decimal"/>
      <w:lvlText w:val="%1"/>
      <w:lvlJc w:val="left"/>
      <w:pPr>
        <w:ind w:left="435" w:hanging="435"/>
      </w:pPr>
      <w:rPr>
        <w:rFonts w:hint="default"/>
      </w:rPr>
    </w:lvl>
    <w:lvl w:ilvl="1">
      <w:start w:val="2"/>
      <w:numFmt w:val="decimal"/>
      <w:lvlText w:val="%1.%2"/>
      <w:lvlJc w:val="left"/>
      <w:pPr>
        <w:ind w:left="1357" w:hanging="435"/>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32" w15:restartNumberingAfterBreak="0">
    <w:nsid w:val="68A973DC"/>
    <w:multiLevelType w:val="hybridMultilevel"/>
    <w:tmpl w:val="804EB142"/>
    <w:lvl w:ilvl="0" w:tplc="833E8786">
      <w:start w:val="1"/>
      <w:numFmt w:val="decimal"/>
      <w:lvlText w:val="%1)"/>
      <w:lvlJc w:val="left"/>
      <w:pPr>
        <w:ind w:left="81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62ECE"/>
    <w:multiLevelType w:val="hybridMultilevel"/>
    <w:tmpl w:val="E1B47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C1FD7"/>
    <w:multiLevelType w:val="hybridMultilevel"/>
    <w:tmpl w:val="858E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47024"/>
    <w:multiLevelType w:val="multilevel"/>
    <w:tmpl w:val="01B8591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C574BC"/>
    <w:multiLevelType w:val="hybridMultilevel"/>
    <w:tmpl w:val="5CDE4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27"/>
  </w:num>
  <w:num w:numId="4">
    <w:abstractNumId w:val="34"/>
  </w:num>
  <w:num w:numId="5">
    <w:abstractNumId w:val="3"/>
  </w:num>
  <w:num w:numId="6">
    <w:abstractNumId w:val="16"/>
  </w:num>
  <w:num w:numId="7">
    <w:abstractNumId w:val="31"/>
  </w:num>
  <w:num w:numId="8">
    <w:abstractNumId w:val="22"/>
  </w:num>
  <w:num w:numId="9">
    <w:abstractNumId w:val="21"/>
  </w:num>
  <w:num w:numId="10">
    <w:abstractNumId w:val="26"/>
  </w:num>
  <w:num w:numId="11">
    <w:abstractNumId w:val="7"/>
  </w:num>
  <w:num w:numId="12">
    <w:abstractNumId w:val="32"/>
  </w:num>
  <w:num w:numId="13">
    <w:abstractNumId w:val="4"/>
  </w:num>
  <w:num w:numId="14">
    <w:abstractNumId w:val="24"/>
  </w:num>
  <w:num w:numId="15">
    <w:abstractNumId w:val="25"/>
  </w:num>
  <w:num w:numId="16">
    <w:abstractNumId w:val="33"/>
  </w:num>
  <w:num w:numId="17">
    <w:abstractNumId w:val="0"/>
  </w:num>
  <w:num w:numId="18">
    <w:abstractNumId w:val="28"/>
  </w:num>
  <w:num w:numId="19">
    <w:abstractNumId w:val="5"/>
  </w:num>
  <w:num w:numId="20">
    <w:abstractNumId w:val="35"/>
  </w:num>
  <w:num w:numId="21">
    <w:abstractNumId w:val="1"/>
  </w:num>
  <w:num w:numId="22">
    <w:abstractNumId w:val="2"/>
  </w:num>
  <w:num w:numId="23">
    <w:abstractNumId w:val="29"/>
  </w:num>
  <w:num w:numId="24">
    <w:abstractNumId w:val="8"/>
  </w:num>
  <w:num w:numId="25">
    <w:abstractNumId w:val="18"/>
  </w:num>
  <w:num w:numId="26">
    <w:abstractNumId w:val="14"/>
  </w:num>
  <w:num w:numId="27">
    <w:abstractNumId w:val="19"/>
  </w:num>
  <w:num w:numId="28">
    <w:abstractNumId w:val="9"/>
  </w:num>
  <w:num w:numId="29">
    <w:abstractNumId w:val="12"/>
  </w:num>
  <w:num w:numId="30">
    <w:abstractNumId w:val="15"/>
  </w:num>
  <w:num w:numId="31">
    <w:abstractNumId w:val="10"/>
  </w:num>
  <w:num w:numId="32">
    <w:abstractNumId w:val="36"/>
  </w:num>
  <w:num w:numId="33">
    <w:abstractNumId w:val="6"/>
  </w:num>
  <w:num w:numId="34">
    <w:abstractNumId w:val="23"/>
  </w:num>
  <w:num w:numId="35">
    <w:abstractNumId w:val="13"/>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4F"/>
    <w:rsid w:val="00001C52"/>
    <w:rsid w:val="000021EB"/>
    <w:rsid w:val="000060FA"/>
    <w:rsid w:val="0001691A"/>
    <w:rsid w:val="0001797A"/>
    <w:rsid w:val="00020922"/>
    <w:rsid w:val="00021AFF"/>
    <w:rsid w:val="00022DBE"/>
    <w:rsid w:val="00023211"/>
    <w:rsid w:val="00023B32"/>
    <w:rsid w:val="000258A5"/>
    <w:rsid w:val="00027102"/>
    <w:rsid w:val="000303EC"/>
    <w:rsid w:val="00031051"/>
    <w:rsid w:val="00035F75"/>
    <w:rsid w:val="00036EAA"/>
    <w:rsid w:val="00037D56"/>
    <w:rsid w:val="00040087"/>
    <w:rsid w:val="00041468"/>
    <w:rsid w:val="00042027"/>
    <w:rsid w:val="00045307"/>
    <w:rsid w:val="00045917"/>
    <w:rsid w:val="000462AF"/>
    <w:rsid w:val="0004743B"/>
    <w:rsid w:val="00050F17"/>
    <w:rsid w:val="000513CD"/>
    <w:rsid w:val="00052095"/>
    <w:rsid w:val="00052737"/>
    <w:rsid w:val="000533F4"/>
    <w:rsid w:val="000548EE"/>
    <w:rsid w:val="000550E5"/>
    <w:rsid w:val="000554A9"/>
    <w:rsid w:val="000560DB"/>
    <w:rsid w:val="00057801"/>
    <w:rsid w:val="0006008A"/>
    <w:rsid w:val="00061AAB"/>
    <w:rsid w:val="00062336"/>
    <w:rsid w:val="0006588A"/>
    <w:rsid w:val="00065F0A"/>
    <w:rsid w:val="000676A2"/>
    <w:rsid w:val="0006776A"/>
    <w:rsid w:val="00070EEE"/>
    <w:rsid w:val="000732E4"/>
    <w:rsid w:val="00073B6B"/>
    <w:rsid w:val="00074939"/>
    <w:rsid w:val="00074F69"/>
    <w:rsid w:val="00076721"/>
    <w:rsid w:val="00076A78"/>
    <w:rsid w:val="00076F14"/>
    <w:rsid w:val="00086881"/>
    <w:rsid w:val="0008702D"/>
    <w:rsid w:val="00087A03"/>
    <w:rsid w:val="00091D49"/>
    <w:rsid w:val="00092A62"/>
    <w:rsid w:val="00092EBA"/>
    <w:rsid w:val="00094BB8"/>
    <w:rsid w:val="00094BF7"/>
    <w:rsid w:val="000A36B1"/>
    <w:rsid w:val="000A40FE"/>
    <w:rsid w:val="000A70B8"/>
    <w:rsid w:val="000A75B5"/>
    <w:rsid w:val="000A7B81"/>
    <w:rsid w:val="000B0F9E"/>
    <w:rsid w:val="000B21C1"/>
    <w:rsid w:val="000B414E"/>
    <w:rsid w:val="000B55B0"/>
    <w:rsid w:val="000B5900"/>
    <w:rsid w:val="000B5FAF"/>
    <w:rsid w:val="000B6F6A"/>
    <w:rsid w:val="000B73F5"/>
    <w:rsid w:val="000B7CD4"/>
    <w:rsid w:val="000C1567"/>
    <w:rsid w:val="000C1EAA"/>
    <w:rsid w:val="000C2231"/>
    <w:rsid w:val="000C342D"/>
    <w:rsid w:val="000D392D"/>
    <w:rsid w:val="000D64BF"/>
    <w:rsid w:val="000D7088"/>
    <w:rsid w:val="000D76B9"/>
    <w:rsid w:val="000D7C15"/>
    <w:rsid w:val="000E2CAE"/>
    <w:rsid w:val="000E3C22"/>
    <w:rsid w:val="000E3F8E"/>
    <w:rsid w:val="000E6694"/>
    <w:rsid w:val="000F0A67"/>
    <w:rsid w:val="000F32F4"/>
    <w:rsid w:val="000F422A"/>
    <w:rsid w:val="000F5627"/>
    <w:rsid w:val="000F6158"/>
    <w:rsid w:val="000F65D6"/>
    <w:rsid w:val="000F7019"/>
    <w:rsid w:val="000F7147"/>
    <w:rsid w:val="00100DB2"/>
    <w:rsid w:val="00102210"/>
    <w:rsid w:val="00104275"/>
    <w:rsid w:val="00105379"/>
    <w:rsid w:val="00106F40"/>
    <w:rsid w:val="0010750F"/>
    <w:rsid w:val="00111AC7"/>
    <w:rsid w:val="00111E9F"/>
    <w:rsid w:val="00112AEB"/>
    <w:rsid w:val="0011484B"/>
    <w:rsid w:val="00114F5A"/>
    <w:rsid w:val="00117303"/>
    <w:rsid w:val="00117904"/>
    <w:rsid w:val="001200E2"/>
    <w:rsid w:val="00121543"/>
    <w:rsid w:val="001219EA"/>
    <w:rsid w:val="00122232"/>
    <w:rsid w:val="00123290"/>
    <w:rsid w:val="00123E78"/>
    <w:rsid w:val="001240A7"/>
    <w:rsid w:val="00124A47"/>
    <w:rsid w:val="00125428"/>
    <w:rsid w:val="00127041"/>
    <w:rsid w:val="00127228"/>
    <w:rsid w:val="0013035B"/>
    <w:rsid w:val="0013250B"/>
    <w:rsid w:val="001338A0"/>
    <w:rsid w:val="00133BAC"/>
    <w:rsid w:val="00134416"/>
    <w:rsid w:val="001369F3"/>
    <w:rsid w:val="00136A0D"/>
    <w:rsid w:val="00136F46"/>
    <w:rsid w:val="0013738A"/>
    <w:rsid w:val="001415A7"/>
    <w:rsid w:val="0014483F"/>
    <w:rsid w:val="00145196"/>
    <w:rsid w:val="001451CD"/>
    <w:rsid w:val="00145AC5"/>
    <w:rsid w:val="00146328"/>
    <w:rsid w:val="001468EB"/>
    <w:rsid w:val="00150AB9"/>
    <w:rsid w:val="001518D8"/>
    <w:rsid w:val="001529B7"/>
    <w:rsid w:val="00153D32"/>
    <w:rsid w:val="00155FCE"/>
    <w:rsid w:val="00156FF6"/>
    <w:rsid w:val="0015793F"/>
    <w:rsid w:val="00157CD1"/>
    <w:rsid w:val="001612FD"/>
    <w:rsid w:val="0016212E"/>
    <w:rsid w:val="001628BE"/>
    <w:rsid w:val="00165D9B"/>
    <w:rsid w:val="001665EC"/>
    <w:rsid w:val="00167B5A"/>
    <w:rsid w:val="00167CC3"/>
    <w:rsid w:val="001716DD"/>
    <w:rsid w:val="00173D6C"/>
    <w:rsid w:val="00175A3B"/>
    <w:rsid w:val="001761E0"/>
    <w:rsid w:val="00182768"/>
    <w:rsid w:val="00184AC5"/>
    <w:rsid w:val="0018627F"/>
    <w:rsid w:val="001869B6"/>
    <w:rsid w:val="001908B7"/>
    <w:rsid w:val="00190E21"/>
    <w:rsid w:val="00193FAB"/>
    <w:rsid w:val="00195194"/>
    <w:rsid w:val="0019633E"/>
    <w:rsid w:val="00196891"/>
    <w:rsid w:val="00196BA8"/>
    <w:rsid w:val="00197276"/>
    <w:rsid w:val="001A0327"/>
    <w:rsid w:val="001A20B9"/>
    <w:rsid w:val="001A3E60"/>
    <w:rsid w:val="001A54D6"/>
    <w:rsid w:val="001A598B"/>
    <w:rsid w:val="001B2155"/>
    <w:rsid w:val="001B24CD"/>
    <w:rsid w:val="001B3391"/>
    <w:rsid w:val="001B3BC9"/>
    <w:rsid w:val="001B422B"/>
    <w:rsid w:val="001C0463"/>
    <w:rsid w:val="001C39B0"/>
    <w:rsid w:val="001C39CB"/>
    <w:rsid w:val="001C4FFD"/>
    <w:rsid w:val="001C5361"/>
    <w:rsid w:val="001C5525"/>
    <w:rsid w:val="001C63FD"/>
    <w:rsid w:val="001C64AD"/>
    <w:rsid w:val="001C786B"/>
    <w:rsid w:val="001D0789"/>
    <w:rsid w:val="001D18F4"/>
    <w:rsid w:val="001D3D29"/>
    <w:rsid w:val="001D4FBE"/>
    <w:rsid w:val="001D520F"/>
    <w:rsid w:val="001D54FA"/>
    <w:rsid w:val="001D5E02"/>
    <w:rsid w:val="001E116C"/>
    <w:rsid w:val="001E11F0"/>
    <w:rsid w:val="001E1386"/>
    <w:rsid w:val="001E18D6"/>
    <w:rsid w:val="001E1969"/>
    <w:rsid w:val="001E1C65"/>
    <w:rsid w:val="001E2469"/>
    <w:rsid w:val="001E2EB7"/>
    <w:rsid w:val="001E2EC2"/>
    <w:rsid w:val="001E39CC"/>
    <w:rsid w:val="001E42DA"/>
    <w:rsid w:val="001E4B9F"/>
    <w:rsid w:val="001E6327"/>
    <w:rsid w:val="001E6F42"/>
    <w:rsid w:val="001E7A25"/>
    <w:rsid w:val="001E7E8C"/>
    <w:rsid w:val="001F38D2"/>
    <w:rsid w:val="001F472A"/>
    <w:rsid w:val="001F4753"/>
    <w:rsid w:val="001F5E84"/>
    <w:rsid w:val="001F5FF8"/>
    <w:rsid w:val="00202B7C"/>
    <w:rsid w:val="00202C5D"/>
    <w:rsid w:val="00202D5A"/>
    <w:rsid w:val="00202EF9"/>
    <w:rsid w:val="00203A38"/>
    <w:rsid w:val="00203DD9"/>
    <w:rsid w:val="00205341"/>
    <w:rsid w:val="002068E7"/>
    <w:rsid w:val="0020784C"/>
    <w:rsid w:val="002101D5"/>
    <w:rsid w:val="00211822"/>
    <w:rsid w:val="00212F33"/>
    <w:rsid w:val="00212FC4"/>
    <w:rsid w:val="0021500C"/>
    <w:rsid w:val="00215663"/>
    <w:rsid w:val="00216495"/>
    <w:rsid w:val="00217319"/>
    <w:rsid w:val="00222EF2"/>
    <w:rsid w:val="00223C8B"/>
    <w:rsid w:val="002244BC"/>
    <w:rsid w:val="00225E33"/>
    <w:rsid w:val="00226E54"/>
    <w:rsid w:val="00231C0D"/>
    <w:rsid w:val="00233F97"/>
    <w:rsid w:val="00234AD5"/>
    <w:rsid w:val="00234C27"/>
    <w:rsid w:val="00235443"/>
    <w:rsid w:val="0023606C"/>
    <w:rsid w:val="00236873"/>
    <w:rsid w:val="00236FB6"/>
    <w:rsid w:val="0023738C"/>
    <w:rsid w:val="002405FC"/>
    <w:rsid w:val="0024230F"/>
    <w:rsid w:val="0024295B"/>
    <w:rsid w:val="0024546F"/>
    <w:rsid w:val="00245D8F"/>
    <w:rsid w:val="00246374"/>
    <w:rsid w:val="00251F10"/>
    <w:rsid w:val="00251FD7"/>
    <w:rsid w:val="00254195"/>
    <w:rsid w:val="00254268"/>
    <w:rsid w:val="00254C28"/>
    <w:rsid w:val="002561C2"/>
    <w:rsid w:val="002561ED"/>
    <w:rsid w:val="002567D8"/>
    <w:rsid w:val="00261912"/>
    <w:rsid w:val="00262B54"/>
    <w:rsid w:val="00264DA9"/>
    <w:rsid w:val="002668FA"/>
    <w:rsid w:val="002674CC"/>
    <w:rsid w:val="002677EB"/>
    <w:rsid w:val="00271014"/>
    <w:rsid w:val="00274063"/>
    <w:rsid w:val="00275E1F"/>
    <w:rsid w:val="00277AE0"/>
    <w:rsid w:val="0028046E"/>
    <w:rsid w:val="00280953"/>
    <w:rsid w:val="00281CA5"/>
    <w:rsid w:val="00281F18"/>
    <w:rsid w:val="002822B5"/>
    <w:rsid w:val="00283407"/>
    <w:rsid w:val="002853E2"/>
    <w:rsid w:val="002854E7"/>
    <w:rsid w:val="00287BEC"/>
    <w:rsid w:val="00290D43"/>
    <w:rsid w:val="00291B6E"/>
    <w:rsid w:val="00292B66"/>
    <w:rsid w:val="002A0076"/>
    <w:rsid w:val="002A06ED"/>
    <w:rsid w:val="002A0DFE"/>
    <w:rsid w:val="002A0E83"/>
    <w:rsid w:val="002A15DA"/>
    <w:rsid w:val="002A1983"/>
    <w:rsid w:val="002A1E09"/>
    <w:rsid w:val="002A2250"/>
    <w:rsid w:val="002A292E"/>
    <w:rsid w:val="002A3531"/>
    <w:rsid w:val="002A707D"/>
    <w:rsid w:val="002A79AB"/>
    <w:rsid w:val="002A7A46"/>
    <w:rsid w:val="002A7ED7"/>
    <w:rsid w:val="002A7FB0"/>
    <w:rsid w:val="002B01ED"/>
    <w:rsid w:val="002B129D"/>
    <w:rsid w:val="002B23B8"/>
    <w:rsid w:val="002B27FB"/>
    <w:rsid w:val="002B308C"/>
    <w:rsid w:val="002B3DD7"/>
    <w:rsid w:val="002B4BD7"/>
    <w:rsid w:val="002B6DC6"/>
    <w:rsid w:val="002C20E9"/>
    <w:rsid w:val="002C2F47"/>
    <w:rsid w:val="002C625C"/>
    <w:rsid w:val="002C6DBA"/>
    <w:rsid w:val="002D16A9"/>
    <w:rsid w:val="002D2212"/>
    <w:rsid w:val="002D2F5D"/>
    <w:rsid w:val="002D3A5F"/>
    <w:rsid w:val="002D4285"/>
    <w:rsid w:val="002D51AF"/>
    <w:rsid w:val="002D5CD9"/>
    <w:rsid w:val="002D5E41"/>
    <w:rsid w:val="002D7027"/>
    <w:rsid w:val="002E0362"/>
    <w:rsid w:val="002E1B27"/>
    <w:rsid w:val="002E291A"/>
    <w:rsid w:val="002E2AAA"/>
    <w:rsid w:val="002E55C3"/>
    <w:rsid w:val="002E6790"/>
    <w:rsid w:val="002E7EDA"/>
    <w:rsid w:val="002F0696"/>
    <w:rsid w:val="002F0D44"/>
    <w:rsid w:val="002F1AD3"/>
    <w:rsid w:val="002F323F"/>
    <w:rsid w:val="002F38E1"/>
    <w:rsid w:val="002F5062"/>
    <w:rsid w:val="002F6356"/>
    <w:rsid w:val="002F6E17"/>
    <w:rsid w:val="002F6E50"/>
    <w:rsid w:val="002F73AB"/>
    <w:rsid w:val="003001FA"/>
    <w:rsid w:val="00301B44"/>
    <w:rsid w:val="0030233C"/>
    <w:rsid w:val="003025C6"/>
    <w:rsid w:val="00302603"/>
    <w:rsid w:val="00302813"/>
    <w:rsid w:val="00303173"/>
    <w:rsid w:val="00305DBF"/>
    <w:rsid w:val="00307467"/>
    <w:rsid w:val="003100F3"/>
    <w:rsid w:val="00310DFA"/>
    <w:rsid w:val="003116F8"/>
    <w:rsid w:val="003120FA"/>
    <w:rsid w:val="0031321A"/>
    <w:rsid w:val="00313618"/>
    <w:rsid w:val="003136A8"/>
    <w:rsid w:val="00316523"/>
    <w:rsid w:val="0032590D"/>
    <w:rsid w:val="003265A2"/>
    <w:rsid w:val="003269ED"/>
    <w:rsid w:val="00330706"/>
    <w:rsid w:val="003316A4"/>
    <w:rsid w:val="00331A69"/>
    <w:rsid w:val="00334D99"/>
    <w:rsid w:val="00335500"/>
    <w:rsid w:val="00336337"/>
    <w:rsid w:val="003369B9"/>
    <w:rsid w:val="00337905"/>
    <w:rsid w:val="003407B3"/>
    <w:rsid w:val="00342429"/>
    <w:rsid w:val="003435DA"/>
    <w:rsid w:val="003443FE"/>
    <w:rsid w:val="00347DE8"/>
    <w:rsid w:val="00352538"/>
    <w:rsid w:val="00353954"/>
    <w:rsid w:val="0035402C"/>
    <w:rsid w:val="00354325"/>
    <w:rsid w:val="00355B24"/>
    <w:rsid w:val="00356759"/>
    <w:rsid w:val="00357B9F"/>
    <w:rsid w:val="00360F77"/>
    <w:rsid w:val="003642E3"/>
    <w:rsid w:val="0036432C"/>
    <w:rsid w:val="00364F52"/>
    <w:rsid w:val="003653F0"/>
    <w:rsid w:val="003661AD"/>
    <w:rsid w:val="003711BC"/>
    <w:rsid w:val="003715FB"/>
    <w:rsid w:val="00373E0D"/>
    <w:rsid w:val="00375D3F"/>
    <w:rsid w:val="00376B1A"/>
    <w:rsid w:val="00376DEB"/>
    <w:rsid w:val="00382106"/>
    <w:rsid w:val="0038388D"/>
    <w:rsid w:val="003838A4"/>
    <w:rsid w:val="00384C24"/>
    <w:rsid w:val="00385EB8"/>
    <w:rsid w:val="00386E06"/>
    <w:rsid w:val="00387686"/>
    <w:rsid w:val="00387A60"/>
    <w:rsid w:val="00387EA0"/>
    <w:rsid w:val="0039016D"/>
    <w:rsid w:val="00393ADB"/>
    <w:rsid w:val="003954DB"/>
    <w:rsid w:val="003969F5"/>
    <w:rsid w:val="00396B52"/>
    <w:rsid w:val="00397C01"/>
    <w:rsid w:val="003A24AA"/>
    <w:rsid w:val="003A2A3C"/>
    <w:rsid w:val="003A48B9"/>
    <w:rsid w:val="003A5B17"/>
    <w:rsid w:val="003A6C81"/>
    <w:rsid w:val="003A7738"/>
    <w:rsid w:val="003B3828"/>
    <w:rsid w:val="003B39F9"/>
    <w:rsid w:val="003B3AF6"/>
    <w:rsid w:val="003B3DD0"/>
    <w:rsid w:val="003B41FE"/>
    <w:rsid w:val="003B551D"/>
    <w:rsid w:val="003B5D1A"/>
    <w:rsid w:val="003C1E6E"/>
    <w:rsid w:val="003C20B9"/>
    <w:rsid w:val="003C2AE0"/>
    <w:rsid w:val="003C388D"/>
    <w:rsid w:val="003C3FC6"/>
    <w:rsid w:val="003C47A7"/>
    <w:rsid w:val="003C58F2"/>
    <w:rsid w:val="003C5B19"/>
    <w:rsid w:val="003C5CB1"/>
    <w:rsid w:val="003C7578"/>
    <w:rsid w:val="003D0009"/>
    <w:rsid w:val="003D1D5A"/>
    <w:rsid w:val="003D5814"/>
    <w:rsid w:val="003E3A2C"/>
    <w:rsid w:val="003E3D7F"/>
    <w:rsid w:val="003E4559"/>
    <w:rsid w:val="003E6DA0"/>
    <w:rsid w:val="003E7368"/>
    <w:rsid w:val="003E763F"/>
    <w:rsid w:val="003F18ED"/>
    <w:rsid w:val="003F3DAC"/>
    <w:rsid w:val="003F3E13"/>
    <w:rsid w:val="003F40F0"/>
    <w:rsid w:val="003F453C"/>
    <w:rsid w:val="003F7D83"/>
    <w:rsid w:val="004005B3"/>
    <w:rsid w:val="00401CA5"/>
    <w:rsid w:val="00401DE2"/>
    <w:rsid w:val="00403925"/>
    <w:rsid w:val="0040480E"/>
    <w:rsid w:val="00404903"/>
    <w:rsid w:val="00405C53"/>
    <w:rsid w:val="0041052B"/>
    <w:rsid w:val="00410D28"/>
    <w:rsid w:val="00411ED8"/>
    <w:rsid w:val="00411EE4"/>
    <w:rsid w:val="00411F88"/>
    <w:rsid w:val="00421625"/>
    <w:rsid w:val="004223FF"/>
    <w:rsid w:val="00423C0F"/>
    <w:rsid w:val="00424435"/>
    <w:rsid w:val="0042455C"/>
    <w:rsid w:val="0043017C"/>
    <w:rsid w:val="00431445"/>
    <w:rsid w:val="004315D7"/>
    <w:rsid w:val="00435203"/>
    <w:rsid w:val="0043536B"/>
    <w:rsid w:val="004358E2"/>
    <w:rsid w:val="00436FC1"/>
    <w:rsid w:val="00442286"/>
    <w:rsid w:val="0044301B"/>
    <w:rsid w:val="004435DE"/>
    <w:rsid w:val="00444CE7"/>
    <w:rsid w:val="004560BD"/>
    <w:rsid w:val="00456C7D"/>
    <w:rsid w:val="00457104"/>
    <w:rsid w:val="00457C23"/>
    <w:rsid w:val="004619E7"/>
    <w:rsid w:val="00461D6C"/>
    <w:rsid w:val="00462A74"/>
    <w:rsid w:val="00462FCE"/>
    <w:rsid w:val="00467A01"/>
    <w:rsid w:val="0047010D"/>
    <w:rsid w:val="00470532"/>
    <w:rsid w:val="004715B9"/>
    <w:rsid w:val="00471C33"/>
    <w:rsid w:val="00472C66"/>
    <w:rsid w:val="00473327"/>
    <w:rsid w:val="004750EE"/>
    <w:rsid w:val="00476CB9"/>
    <w:rsid w:val="00477670"/>
    <w:rsid w:val="00477DE4"/>
    <w:rsid w:val="00487430"/>
    <w:rsid w:val="00490592"/>
    <w:rsid w:val="004910B1"/>
    <w:rsid w:val="004912F4"/>
    <w:rsid w:val="00492EC0"/>
    <w:rsid w:val="004940AD"/>
    <w:rsid w:val="00494180"/>
    <w:rsid w:val="0049506C"/>
    <w:rsid w:val="004960E2"/>
    <w:rsid w:val="004A0300"/>
    <w:rsid w:val="004A0431"/>
    <w:rsid w:val="004A479B"/>
    <w:rsid w:val="004A49C9"/>
    <w:rsid w:val="004A50FA"/>
    <w:rsid w:val="004A54CC"/>
    <w:rsid w:val="004A624E"/>
    <w:rsid w:val="004A7B74"/>
    <w:rsid w:val="004B0474"/>
    <w:rsid w:val="004B1623"/>
    <w:rsid w:val="004B1991"/>
    <w:rsid w:val="004B2432"/>
    <w:rsid w:val="004B281F"/>
    <w:rsid w:val="004B3014"/>
    <w:rsid w:val="004B3980"/>
    <w:rsid w:val="004B45F5"/>
    <w:rsid w:val="004B5048"/>
    <w:rsid w:val="004B5F1F"/>
    <w:rsid w:val="004B6577"/>
    <w:rsid w:val="004B77CC"/>
    <w:rsid w:val="004C03B3"/>
    <w:rsid w:val="004C13A9"/>
    <w:rsid w:val="004C1CFA"/>
    <w:rsid w:val="004C2203"/>
    <w:rsid w:val="004C268B"/>
    <w:rsid w:val="004C2DC2"/>
    <w:rsid w:val="004C48BB"/>
    <w:rsid w:val="004C59FC"/>
    <w:rsid w:val="004D30E8"/>
    <w:rsid w:val="004D794C"/>
    <w:rsid w:val="004E095D"/>
    <w:rsid w:val="004E0EF7"/>
    <w:rsid w:val="004E22F8"/>
    <w:rsid w:val="004E2302"/>
    <w:rsid w:val="004E3239"/>
    <w:rsid w:val="004E4866"/>
    <w:rsid w:val="004F07FD"/>
    <w:rsid w:val="004F1639"/>
    <w:rsid w:val="004F294F"/>
    <w:rsid w:val="004F470C"/>
    <w:rsid w:val="004F7526"/>
    <w:rsid w:val="004F7685"/>
    <w:rsid w:val="004F7A4E"/>
    <w:rsid w:val="004F7D93"/>
    <w:rsid w:val="00500A66"/>
    <w:rsid w:val="00503B7B"/>
    <w:rsid w:val="00504ED6"/>
    <w:rsid w:val="00506758"/>
    <w:rsid w:val="00510BBC"/>
    <w:rsid w:val="00511307"/>
    <w:rsid w:val="005129E6"/>
    <w:rsid w:val="00514182"/>
    <w:rsid w:val="00514563"/>
    <w:rsid w:val="00516577"/>
    <w:rsid w:val="00521233"/>
    <w:rsid w:val="00522017"/>
    <w:rsid w:val="005227CC"/>
    <w:rsid w:val="00522893"/>
    <w:rsid w:val="00522C0C"/>
    <w:rsid w:val="0052306D"/>
    <w:rsid w:val="00523A15"/>
    <w:rsid w:val="005265B9"/>
    <w:rsid w:val="00526731"/>
    <w:rsid w:val="00532290"/>
    <w:rsid w:val="00535086"/>
    <w:rsid w:val="00535C63"/>
    <w:rsid w:val="00541C4D"/>
    <w:rsid w:val="00542AA2"/>
    <w:rsid w:val="00542EB8"/>
    <w:rsid w:val="005452C0"/>
    <w:rsid w:val="00546A9F"/>
    <w:rsid w:val="00547575"/>
    <w:rsid w:val="00554A14"/>
    <w:rsid w:val="00560086"/>
    <w:rsid w:val="00560FAE"/>
    <w:rsid w:val="00561FC0"/>
    <w:rsid w:val="0056384B"/>
    <w:rsid w:val="00565FCF"/>
    <w:rsid w:val="00570355"/>
    <w:rsid w:val="00570864"/>
    <w:rsid w:val="00570BD2"/>
    <w:rsid w:val="00570F48"/>
    <w:rsid w:val="00572D43"/>
    <w:rsid w:val="00575D8D"/>
    <w:rsid w:val="0058251B"/>
    <w:rsid w:val="0058285E"/>
    <w:rsid w:val="005849ED"/>
    <w:rsid w:val="00585250"/>
    <w:rsid w:val="00585810"/>
    <w:rsid w:val="00586FF5"/>
    <w:rsid w:val="0058715B"/>
    <w:rsid w:val="0059116F"/>
    <w:rsid w:val="005924DF"/>
    <w:rsid w:val="0059301D"/>
    <w:rsid w:val="005943B0"/>
    <w:rsid w:val="00595433"/>
    <w:rsid w:val="005A0A68"/>
    <w:rsid w:val="005A1654"/>
    <w:rsid w:val="005A2E2B"/>
    <w:rsid w:val="005A40B2"/>
    <w:rsid w:val="005A46DF"/>
    <w:rsid w:val="005A46E9"/>
    <w:rsid w:val="005A69DE"/>
    <w:rsid w:val="005A6F4A"/>
    <w:rsid w:val="005A7D03"/>
    <w:rsid w:val="005B07BA"/>
    <w:rsid w:val="005B0C60"/>
    <w:rsid w:val="005B2BC7"/>
    <w:rsid w:val="005B2F9F"/>
    <w:rsid w:val="005B5DC9"/>
    <w:rsid w:val="005B641B"/>
    <w:rsid w:val="005B680C"/>
    <w:rsid w:val="005C0618"/>
    <w:rsid w:val="005C0F68"/>
    <w:rsid w:val="005C1C42"/>
    <w:rsid w:val="005C25FD"/>
    <w:rsid w:val="005C76BB"/>
    <w:rsid w:val="005D079A"/>
    <w:rsid w:val="005D0FE4"/>
    <w:rsid w:val="005D5781"/>
    <w:rsid w:val="005E1A8E"/>
    <w:rsid w:val="005E1AC7"/>
    <w:rsid w:val="005E2230"/>
    <w:rsid w:val="005F0510"/>
    <w:rsid w:val="005F0777"/>
    <w:rsid w:val="005F183F"/>
    <w:rsid w:val="005F193D"/>
    <w:rsid w:val="005F2184"/>
    <w:rsid w:val="005F218C"/>
    <w:rsid w:val="005F27AD"/>
    <w:rsid w:val="005F2A47"/>
    <w:rsid w:val="005F5666"/>
    <w:rsid w:val="005F5C51"/>
    <w:rsid w:val="005F7629"/>
    <w:rsid w:val="00604280"/>
    <w:rsid w:val="006051D2"/>
    <w:rsid w:val="0060604E"/>
    <w:rsid w:val="006104D8"/>
    <w:rsid w:val="00610CA8"/>
    <w:rsid w:val="0061147B"/>
    <w:rsid w:val="006146FB"/>
    <w:rsid w:val="00615C11"/>
    <w:rsid w:val="006172C1"/>
    <w:rsid w:val="00620DA0"/>
    <w:rsid w:val="0062343E"/>
    <w:rsid w:val="006241F1"/>
    <w:rsid w:val="00624558"/>
    <w:rsid w:val="00626C72"/>
    <w:rsid w:val="0062713E"/>
    <w:rsid w:val="0062720E"/>
    <w:rsid w:val="006308C0"/>
    <w:rsid w:val="00630E11"/>
    <w:rsid w:val="00631601"/>
    <w:rsid w:val="00632F1F"/>
    <w:rsid w:val="00634C41"/>
    <w:rsid w:val="00634F2F"/>
    <w:rsid w:val="0063612D"/>
    <w:rsid w:val="00636852"/>
    <w:rsid w:val="00636B72"/>
    <w:rsid w:val="006406BF"/>
    <w:rsid w:val="006411BF"/>
    <w:rsid w:val="00644652"/>
    <w:rsid w:val="006460F9"/>
    <w:rsid w:val="006467D8"/>
    <w:rsid w:val="006475C7"/>
    <w:rsid w:val="00655069"/>
    <w:rsid w:val="006550E6"/>
    <w:rsid w:val="00655D3F"/>
    <w:rsid w:val="00656A9D"/>
    <w:rsid w:val="00657915"/>
    <w:rsid w:val="00660F3E"/>
    <w:rsid w:val="00661765"/>
    <w:rsid w:val="00662CF4"/>
    <w:rsid w:val="00662E66"/>
    <w:rsid w:val="006633DD"/>
    <w:rsid w:val="006637B9"/>
    <w:rsid w:val="00663C29"/>
    <w:rsid w:val="00664EBA"/>
    <w:rsid w:val="0066511B"/>
    <w:rsid w:val="00665F92"/>
    <w:rsid w:val="00666B25"/>
    <w:rsid w:val="00666D04"/>
    <w:rsid w:val="0066775A"/>
    <w:rsid w:val="00670634"/>
    <w:rsid w:val="00671077"/>
    <w:rsid w:val="00673C6B"/>
    <w:rsid w:val="00674D03"/>
    <w:rsid w:val="006777EE"/>
    <w:rsid w:val="0068038A"/>
    <w:rsid w:val="0068407C"/>
    <w:rsid w:val="00685F6A"/>
    <w:rsid w:val="0069013F"/>
    <w:rsid w:val="00690880"/>
    <w:rsid w:val="00690937"/>
    <w:rsid w:val="00691E4C"/>
    <w:rsid w:val="00693BA9"/>
    <w:rsid w:val="00693ECC"/>
    <w:rsid w:val="006952DF"/>
    <w:rsid w:val="00695778"/>
    <w:rsid w:val="006960B5"/>
    <w:rsid w:val="00697669"/>
    <w:rsid w:val="006A0081"/>
    <w:rsid w:val="006A2611"/>
    <w:rsid w:val="006A2A45"/>
    <w:rsid w:val="006A2C94"/>
    <w:rsid w:val="006A3651"/>
    <w:rsid w:val="006A4690"/>
    <w:rsid w:val="006A4E64"/>
    <w:rsid w:val="006A4E87"/>
    <w:rsid w:val="006A525F"/>
    <w:rsid w:val="006A5925"/>
    <w:rsid w:val="006A6EF4"/>
    <w:rsid w:val="006A73E8"/>
    <w:rsid w:val="006B0787"/>
    <w:rsid w:val="006B078B"/>
    <w:rsid w:val="006B0907"/>
    <w:rsid w:val="006B19A1"/>
    <w:rsid w:val="006B416B"/>
    <w:rsid w:val="006B6C6C"/>
    <w:rsid w:val="006C0F3C"/>
    <w:rsid w:val="006C22D8"/>
    <w:rsid w:val="006C28D5"/>
    <w:rsid w:val="006C2FD8"/>
    <w:rsid w:val="006C4925"/>
    <w:rsid w:val="006C6B5C"/>
    <w:rsid w:val="006D008C"/>
    <w:rsid w:val="006D0139"/>
    <w:rsid w:val="006D1222"/>
    <w:rsid w:val="006D277C"/>
    <w:rsid w:val="006D2AEB"/>
    <w:rsid w:val="006D3AAE"/>
    <w:rsid w:val="006D3C14"/>
    <w:rsid w:val="006D6140"/>
    <w:rsid w:val="006D6929"/>
    <w:rsid w:val="006E0133"/>
    <w:rsid w:val="006E428F"/>
    <w:rsid w:val="006E4453"/>
    <w:rsid w:val="006E5827"/>
    <w:rsid w:val="006E6DFD"/>
    <w:rsid w:val="006F247D"/>
    <w:rsid w:val="006F578B"/>
    <w:rsid w:val="006F646F"/>
    <w:rsid w:val="00700B39"/>
    <w:rsid w:val="00701322"/>
    <w:rsid w:val="00702419"/>
    <w:rsid w:val="00704C1A"/>
    <w:rsid w:val="0070558B"/>
    <w:rsid w:val="007065F8"/>
    <w:rsid w:val="00712EE8"/>
    <w:rsid w:val="007153E8"/>
    <w:rsid w:val="007161FB"/>
    <w:rsid w:val="00722048"/>
    <w:rsid w:val="00722054"/>
    <w:rsid w:val="00722D7D"/>
    <w:rsid w:val="007232A2"/>
    <w:rsid w:val="00723E2A"/>
    <w:rsid w:val="00724179"/>
    <w:rsid w:val="00724EE7"/>
    <w:rsid w:val="007250F3"/>
    <w:rsid w:val="00727634"/>
    <w:rsid w:val="00727C89"/>
    <w:rsid w:val="00727FC9"/>
    <w:rsid w:val="0073174F"/>
    <w:rsid w:val="0073252A"/>
    <w:rsid w:val="007346DC"/>
    <w:rsid w:val="007410DC"/>
    <w:rsid w:val="0074246E"/>
    <w:rsid w:val="007477D3"/>
    <w:rsid w:val="007505A4"/>
    <w:rsid w:val="00751459"/>
    <w:rsid w:val="007545FC"/>
    <w:rsid w:val="00754B38"/>
    <w:rsid w:val="00755B6D"/>
    <w:rsid w:val="00755BA6"/>
    <w:rsid w:val="0076099D"/>
    <w:rsid w:val="00761AF8"/>
    <w:rsid w:val="007645AE"/>
    <w:rsid w:val="00764C34"/>
    <w:rsid w:val="00764CC5"/>
    <w:rsid w:val="0076578B"/>
    <w:rsid w:val="00766253"/>
    <w:rsid w:val="00766A08"/>
    <w:rsid w:val="00766D7B"/>
    <w:rsid w:val="00770577"/>
    <w:rsid w:val="00771345"/>
    <w:rsid w:val="00771761"/>
    <w:rsid w:val="00774AD3"/>
    <w:rsid w:val="00775B21"/>
    <w:rsid w:val="00777653"/>
    <w:rsid w:val="007810AA"/>
    <w:rsid w:val="00781FDE"/>
    <w:rsid w:val="007830BD"/>
    <w:rsid w:val="00783415"/>
    <w:rsid w:val="00783DB7"/>
    <w:rsid w:val="00784A0E"/>
    <w:rsid w:val="00786DB9"/>
    <w:rsid w:val="00787FA4"/>
    <w:rsid w:val="00790473"/>
    <w:rsid w:val="00793176"/>
    <w:rsid w:val="00795602"/>
    <w:rsid w:val="00795BA1"/>
    <w:rsid w:val="007969AD"/>
    <w:rsid w:val="007A0D8A"/>
    <w:rsid w:val="007A162E"/>
    <w:rsid w:val="007A3FFF"/>
    <w:rsid w:val="007A44AD"/>
    <w:rsid w:val="007A5479"/>
    <w:rsid w:val="007A694B"/>
    <w:rsid w:val="007A7C3D"/>
    <w:rsid w:val="007B02AD"/>
    <w:rsid w:val="007B08C5"/>
    <w:rsid w:val="007B1897"/>
    <w:rsid w:val="007B35B0"/>
    <w:rsid w:val="007B6728"/>
    <w:rsid w:val="007B6917"/>
    <w:rsid w:val="007B7A2A"/>
    <w:rsid w:val="007C32CD"/>
    <w:rsid w:val="007C3F42"/>
    <w:rsid w:val="007C75F7"/>
    <w:rsid w:val="007D2357"/>
    <w:rsid w:val="007D2488"/>
    <w:rsid w:val="007D3802"/>
    <w:rsid w:val="007D3C53"/>
    <w:rsid w:val="007D40B6"/>
    <w:rsid w:val="007D692B"/>
    <w:rsid w:val="007D69A9"/>
    <w:rsid w:val="007E0164"/>
    <w:rsid w:val="007E04E9"/>
    <w:rsid w:val="007E09B6"/>
    <w:rsid w:val="007E2D5D"/>
    <w:rsid w:val="007E5150"/>
    <w:rsid w:val="007E5E67"/>
    <w:rsid w:val="007E5E7A"/>
    <w:rsid w:val="007E7DBD"/>
    <w:rsid w:val="007F2204"/>
    <w:rsid w:val="007F5ED9"/>
    <w:rsid w:val="007F782F"/>
    <w:rsid w:val="007F7EEC"/>
    <w:rsid w:val="00800EBF"/>
    <w:rsid w:val="00801509"/>
    <w:rsid w:val="0080290E"/>
    <w:rsid w:val="0080312F"/>
    <w:rsid w:val="00803640"/>
    <w:rsid w:val="00804662"/>
    <w:rsid w:val="008062CE"/>
    <w:rsid w:val="00807E7E"/>
    <w:rsid w:val="00813E61"/>
    <w:rsid w:val="00813E62"/>
    <w:rsid w:val="00817EA8"/>
    <w:rsid w:val="008202F1"/>
    <w:rsid w:val="00820B4F"/>
    <w:rsid w:val="0082124F"/>
    <w:rsid w:val="00823F7A"/>
    <w:rsid w:val="00824945"/>
    <w:rsid w:val="00824D2A"/>
    <w:rsid w:val="008276A7"/>
    <w:rsid w:val="008310EA"/>
    <w:rsid w:val="00832481"/>
    <w:rsid w:val="00832934"/>
    <w:rsid w:val="0083314A"/>
    <w:rsid w:val="00833A4B"/>
    <w:rsid w:val="00833DB6"/>
    <w:rsid w:val="00833FC4"/>
    <w:rsid w:val="0083437F"/>
    <w:rsid w:val="0083783F"/>
    <w:rsid w:val="0084156D"/>
    <w:rsid w:val="0084184B"/>
    <w:rsid w:val="00842F37"/>
    <w:rsid w:val="00843162"/>
    <w:rsid w:val="00843F40"/>
    <w:rsid w:val="00843F86"/>
    <w:rsid w:val="008442E6"/>
    <w:rsid w:val="00844A42"/>
    <w:rsid w:val="0084559B"/>
    <w:rsid w:val="008507EC"/>
    <w:rsid w:val="00850FD7"/>
    <w:rsid w:val="00851209"/>
    <w:rsid w:val="00851678"/>
    <w:rsid w:val="008516FA"/>
    <w:rsid w:val="00852552"/>
    <w:rsid w:val="00852917"/>
    <w:rsid w:val="008575A7"/>
    <w:rsid w:val="00857641"/>
    <w:rsid w:val="0086045D"/>
    <w:rsid w:val="00860C22"/>
    <w:rsid w:val="008611A0"/>
    <w:rsid w:val="00861427"/>
    <w:rsid w:val="00862E00"/>
    <w:rsid w:val="0086346B"/>
    <w:rsid w:val="00863EA0"/>
    <w:rsid w:val="00865533"/>
    <w:rsid w:val="00870C3F"/>
    <w:rsid w:val="00872548"/>
    <w:rsid w:val="0087302D"/>
    <w:rsid w:val="00873592"/>
    <w:rsid w:val="008747E7"/>
    <w:rsid w:val="00874EE8"/>
    <w:rsid w:val="00875B39"/>
    <w:rsid w:val="00876091"/>
    <w:rsid w:val="008765AB"/>
    <w:rsid w:val="008816E9"/>
    <w:rsid w:val="0088352B"/>
    <w:rsid w:val="008850B4"/>
    <w:rsid w:val="00885620"/>
    <w:rsid w:val="00885C2E"/>
    <w:rsid w:val="00886597"/>
    <w:rsid w:val="00887694"/>
    <w:rsid w:val="0089211E"/>
    <w:rsid w:val="00893834"/>
    <w:rsid w:val="008943B4"/>
    <w:rsid w:val="00896442"/>
    <w:rsid w:val="00896D83"/>
    <w:rsid w:val="008A21CA"/>
    <w:rsid w:val="008A371C"/>
    <w:rsid w:val="008A4E24"/>
    <w:rsid w:val="008A673B"/>
    <w:rsid w:val="008A6C2D"/>
    <w:rsid w:val="008B0576"/>
    <w:rsid w:val="008B0B48"/>
    <w:rsid w:val="008B1BDE"/>
    <w:rsid w:val="008B2B0C"/>
    <w:rsid w:val="008B2B4A"/>
    <w:rsid w:val="008B3CDD"/>
    <w:rsid w:val="008B44AC"/>
    <w:rsid w:val="008B4A4A"/>
    <w:rsid w:val="008B4DB7"/>
    <w:rsid w:val="008B6F39"/>
    <w:rsid w:val="008B71CA"/>
    <w:rsid w:val="008C020C"/>
    <w:rsid w:val="008C1800"/>
    <w:rsid w:val="008C2039"/>
    <w:rsid w:val="008C2804"/>
    <w:rsid w:val="008C360B"/>
    <w:rsid w:val="008C5CBC"/>
    <w:rsid w:val="008C63E6"/>
    <w:rsid w:val="008D050B"/>
    <w:rsid w:val="008D1CF3"/>
    <w:rsid w:val="008D6CED"/>
    <w:rsid w:val="008D6D20"/>
    <w:rsid w:val="008D7EFB"/>
    <w:rsid w:val="008E2A52"/>
    <w:rsid w:val="008E2D2D"/>
    <w:rsid w:val="008E3B27"/>
    <w:rsid w:val="008E565D"/>
    <w:rsid w:val="008E5A40"/>
    <w:rsid w:val="008E5C9E"/>
    <w:rsid w:val="008E60C3"/>
    <w:rsid w:val="008E76D0"/>
    <w:rsid w:val="008E78F2"/>
    <w:rsid w:val="008F032C"/>
    <w:rsid w:val="008F1FC0"/>
    <w:rsid w:val="008F42E8"/>
    <w:rsid w:val="008F4669"/>
    <w:rsid w:val="008F4969"/>
    <w:rsid w:val="008F621A"/>
    <w:rsid w:val="008F6E0F"/>
    <w:rsid w:val="008F7041"/>
    <w:rsid w:val="008F79F0"/>
    <w:rsid w:val="008F7A0A"/>
    <w:rsid w:val="009008F2"/>
    <w:rsid w:val="00900AF1"/>
    <w:rsid w:val="0090242E"/>
    <w:rsid w:val="00903216"/>
    <w:rsid w:val="0090540B"/>
    <w:rsid w:val="009110C4"/>
    <w:rsid w:val="0091374A"/>
    <w:rsid w:val="00913B20"/>
    <w:rsid w:val="0091439D"/>
    <w:rsid w:val="00916123"/>
    <w:rsid w:val="009169A3"/>
    <w:rsid w:val="00917EA0"/>
    <w:rsid w:val="00917F0B"/>
    <w:rsid w:val="009208BA"/>
    <w:rsid w:val="00921526"/>
    <w:rsid w:val="00921F94"/>
    <w:rsid w:val="0092381D"/>
    <w:rsid w:val="00924A21"/>
    <w:rsid w:val="00925F45"/>
    <w:rsid w:val="009276F8"/>
    <w:rsid w:val="00932A04"/>
    <w:rsid w:val="009334BE"/>
    <w:rsid w:val="00933816"/>
    <w:rsid w:val="00933EEC"/>
    <w:rsid w:val="0094205C"/>
    <w:rsid w:val="00942D7E"/>
    <w:rsid w:val="00945B92"/>
    <w:rsid w:val="0094672D"/>
    <w:rsid w:val="00946D59"/>
    <w:rsid w:val="00951F48"/>
    <w:rsid w:val="0095302E"/>
    <w:rsid w:val="00955F67"/>
    <w:rsid w:val="00957791"/>
    <w:rsid w:val="00962402"/>
    <w:rsid w:val="00966C96"/>
    <w:rsid w:val="00972D08"/>
    <w:rsid w:val="00974FA2"/>
    <w:rsid w:val="009753AA"/>
    <w:rsid w:val="00975B74"/>
    <w:rsid w:val="00981731"/>
    <w:rsid w:val="00981D94"/>
    <w:rsid w:val="009849D2"/>
    <w:rsid w:val="00990A7A"/>
    <w:rsid w:val="00992982"/>
    <w:rsid w:val="00994767"/>
    <w:rsid w:val="00994B1D"/>
    <w:rsid w:val="009A0673"/>
    <w:rsid w:val="009A315F"/>
    <w:rsid w:val="009A3E66"/>
    <w:rsid w:val="009A5E96"/>
    <w:rsid w:val="009A6124"/>
    <w:rsid w:val="009A7458"/>
    <w:rsid w:val="009A7858"/>
    <w:rsid w:val="009B2DA8"/>
    <w:rsid w:val="009B4E16"/>
    <w:rsid w:val="009B4EA3"/>
    <w:rsid w:val="009B6DFF"/>
    <w:rsid w:val="009C19CE"/>
    <w:rsid w:val="009C27A5"/>
    <w:rsid w:val="009C3548"/>
    <w:rsid w:val="009C4409"/>
    <w:rsid w:val="009C46BA"/>
    <w:rsid w:val="009C5761"/>
    <w:rsid w:val="009C6C22"/>
    <w:rsid w:val="009C721F"/>
    <w:rsid w:val="009D05B7"/>
    <w:rsid w:val="009D3299"/>
    <w:rsid w:val="009D40F2"/>
    <w:rsid w:val="009D4E94"/>
    <w:rsid w:val="009D4FAF"/>
    <w:rsid w:val="009D5C3B"/>
    <w:rsid w:val="009D5EF6"/>
    <w:rsid w:val="009E16DB"/>
    <w:rsid w:val="009E26B6"/>
    <w:rsid w:val="009E5459"/>
    <w:rsid w:val="009E6684"/>
    <w:rsid w:val="009E66BB"/>
    <w:rsid w:val="009E6906"/>
    <w:rsid w:val="009E72E5"/>
    <w:rsid w:val="009F0DCE"/>
    <w:rsid w:val="009F3701"/>
    <w:rsid w:val="009F4275"/>
    <w:rsid w:val="009F6D9C"/>
    <w:rsid w:val="009F76BE"/>
    <w:rsid w:val="009F7A4E"/>
    <w:rsid w:val="00A013D0"/>
    <w:rsid w:val="00A04D04"/>
    <w:rsid w:val="00A05656"/>
    <w:rsid w:val="00A10670"/>
    <w:rsid w:val="00A11FEA"/>
    <w:rsid w:val="00A14467"/>
    <w:rsid w:val="00A152BE"/>
    <w:rsid w:val="00A17B14"/>
    <w:rsid w:val="00A21D50"/>
    <w:rsid w:val="00A236DD"/>
    <w:rsid w:val="00A237BB"/>
    <w:rsid w:val="00A30083"/>
    <w:rsid w:val="00A317C4"/>
    <w:rsid w:val="00A31CEF"/>
    <w:rsid w:val="00A31E54"/>
    <w:rsid w:val="00A333E8"/>
    <w:rsid w:val="00A363BD"/>
    <w:rsid w:val="00A37058"/>
    <w:rsid w:val="00A3779B"/>
    <w:rsid w:val="00A37CF5"/>
    <w:rsid w:val="00A40E48"/>
    <w:rsid w:val="00A41F04"/>
    <w:rsid w:val="00A42375"/>
    <w:rsid w:val="00A42808"/>
    <w:rsid w:val="00A44122"/>
    <w:rsid w:val="00A46F85"/>
    <w:rsid w:val="00A4731A"/>
    <w:rsid w:val="00A50A03"/>
    <w:rsid w:val="00A50BBF"/>
    <w:rsid w:val="00A50BE9"/>
    <w:rsid w:val="00A52CDF"/>
    <w:rsid w:val="00A542C9"/>
    <w:rsid w:val="00A56DAA"/>
    <w:rsid w:val="00A61DA4"/>
    <w:rsid w:val="00A63A45"/>
    <w:rsid w:val="00A6756E"/>
    <w:rsid w:val="00A679E5"/>
    <w:rsid w:val="00A71268"/>
    <w:rsid w:val="00A752EA"/>
    <w:rsid w:val="00A80784"/>
    <w:rsid w:val="00A808E3"/>
    <w:rsid w:val="00A809E8"/>
    <w:rsid w:val="00A8157D"/>
    <w:rsid w:val="00A83952"/>
    <w:rsid w:val="00A8492D"/>
    <w:rsid w:val="00A86500"/>
    <w:rsid w:val="00A86C8F"/>
    <w:rsid w:val="00A90CAA"/>
    <w:rsid w:val="00A91529"/>
    <w:rsid w:val="00A94C26"/>
    <w:rsid w:val="00A95221"/>
    <w:rsid w:val="00A9586A"/>
    <w:rsid w:val="00A96E81"/>
    <w:rsid w:val="00AA0B1A"/>
    <w:rsid w:val="00AA1465"/>
    <w:rsid w:val="00AA2626"/>
    <w:rsid w:val="00AA3547"/>
    <w:rsid w:val="00AA5DD0"/>
    <w:rsid w:val="00AA5E14"/>
    <w:rsid w:val="00AA75CA"/>
    <w:rsid w:val="00AB1FE6"/>
    <w:rsid w:val="00AB2E0D"/>
    <w:rsid w:val="00AB6C79"/>
    <w:rsid w:val="00AC082A"/>
    <w:rsid w:val="00AC2127"/>
    <w:rsid w:val="00AC31B0"/>
    <w:rsid w:val="00AC34ED"/>
    <w:rsid w:val="00AC51CA"/>
    <w:rsid w:val="00AC6185"/>
    <w:rsid w:val="00AC6BA0"/>
    <w:rsid w:val="00AC74A3"/>
    <w:rsid w:val="00AC7BD2"/>
    <w:rsid w:val="00AC7EA8"/>
    <w:rsid w:val="00AC7FC6"/>
    <w:rsid w:val="00AD102A"/>
    <w:rsid w:val="00AD2754"/>
    <w:rsid w:val="00AD30A2"/>
    <w:rsid w:val="00AD5969"/>
    <w:rsid w:val="00AD5C43"/>
    <w:rsid w:val="00AD5DF3"/>
    <w:rsid w:val="00AD6B9D"/>
    <w:rsid w:val="00AD78AD"/>
    <w:rsid w:val="00AE02A3"/>
    <w:rsid w:val="00AE2E48"/>
    <w:rsid w:val="00AE35A4"/>
    <w:rsid w:val="00AE72CA"/>
    <w:rsid w:val="00AE74EF"/>
    <w:rsid w:val="00AF2D92"/>
    <w:rsid w:val="00AF691F"/>
    <w:rsid w:val="00AF7575"/>
    <w:rsid w:val="00B02B64"/>
    <w:rsid w:val="00B02C2E"/>
    <w:rsid w:val="00B032EB"/>
    <w:rsid w:val="00B05E60"/>
    <w:rsid w:val="00B06A7C"/>
    <w:rsid w:val="00B11338"/>
    <w:rsid w:val="00B119A3"/>
    <w:rsid w:val="00B11A2F"/>
    <w:rsid w:val="00B12AD9"/>
    <w:rsid w:val="00B12DB8"/>
    <w:rsid w:val="00B14124"/>
    <w:rsid w:val="00B160A1"/>
    <w:rsid w:val="00B16B8D"/>
    <w:rsid w:val="00B16F75"/>
    <w:rsid w:val="00B20A98"/>
    <w:rsid w:val="00B21CBB"/>
    <w:rsid w:val="00B22D0B"/>
    <w:rsid w:val="00B23195"/>
    <w:rsid w:val="00B238B0"/>
    <w:rsid w:val="00B2542B"/>
    <w:rsid w:val="00B2564E"/>
    <w:rsid w:val="00B2712D"/>
    <w:rsid w:val="00B275F7"/>
    <w:rsid w:val="00B30084"/>
    <w:rsid w:val="00B3056D"/>
    <w:rsid w:val="00B32FE5"/>
    <w:rsid w:val="00B374BD"/>
    <w:rsid w:val="00B37692"/>
    <w:rsid w:val="00B40622"/>
    <w:rsid w:val="00B40A59"/>
    <w:rsid w:val="00B41856"/>
    <w:rsid w:val="00B423F2"/>
    <w:rsid w:val="00B42AC5"/>
    <w:rsid w:val="00B430F0"/>
    <w:rsid w:val="00B43FDA"/>
    <w:rsid w:val="00B44A57"/>
    <w:rsid w:val="00B4763A"/>
    <w:rsid w:val="00B478CF"/>
    <w:rsid w:val="00B5000B"/>
    <w:rsid w:val="00B51F8B"/>
    <w:rsid w:val="00B5237B"/>
    <w:rsid w:val="00B54850"/>
    <w:rsid w:val="00B64848"/>
    <w:rsid w:val="00B660AD"/>
    <w:rsid w:val="00B67CF9"/>
    <w:rsid w:val="00B70055"/>
    <w:rsid w:val="00B7229D"/>
    <w:rsid w:val="00B72681"/>
    <w:rsid w:val="00B72698"/>
    <w:rsid w:val="00B72C1F"/>
    <w:rsid w:val="00B734D7"/>
    <w:rsid w:val="00B7384A"/>
    <w:rsid w:val="00B74C8E"/>
    <w:rsid w:val="00B76071"/>
    <w:rsid w:val="00B7607A"/>
    <w:rsid w:val="00B802C1"/>
    <w:rsid w:val="00B81694"/>
    <w:rsid w:val="00B82DB8"/>
    <w:rsid w:val="00B8499E"/>
    <w:rsid w:val="00B909BD"/>
    <w:rsid w:val="00B9183E"/>
    <w:rsid w:val="00B9527B"/>
    <w:rsid w:val="00B95513"/>
    <w:rsid w:val="00B96FB6"/>
    <w:rsid w:val="00B9745A"/>
    <w:rsid w:val="00B97D16"/>
    <w:rsid w:val="00BA10F0"/>
    <w:rsid w:val="00BA1FDC"/>
    <w:rsid w:val="00BA21A9"/>
    <w:rsid w:val="00BA42F4"/>
    <w:rsid w:val="00BA470E"/>
    <w:rsid w:val="00BA5BB7"/>
    <w:rsid w:val="00BA6D34"/>
    <w:rsid w:val="00BB172D"/>
    <w:rsid w:val="00BB200C"/>
    <w:rsid w:val="00BB2EA7"/>
    <w:rsid w:val="00BB6E0D"/>
    <w:rsid w:val="00BB7E7C"/>
    <w:rsid w:val="00BC00EB"/>
    <w:rsid w:val="00BC1189"/>
    <w:rsid w:val="00BC2BE8"/>
    <w:rsid w:val="00BC35E0"/>
    <w:rsid w:val="00BC4EDE"/>
    <w:rsid w:val="00BC568D"/>
    <w:rsid w:val="00BC7F55"/>
    <w:rsid w:val="00BD17F2"/>
    <w:rsid w:val="00BD1C10"/>
    <w:rsid w:val="00BD2501"/>
    <w:rsid w:val="00BD3A7F"/>
    <w:rsid w:val="00BD6962"/>
    <w:rsid w:val="00BD6FA8"/>
    <w:rsid w:val="00BD7876"/>
    <w:rsid w:val="00BD7DD8"/>
    <w:rsid w:val="00BE1693"/>
    <w:rsid w:val="00BE34C9"/>
    <w:rsid w:val="00BE3AD8"/>
    <w:rsid w:val="00BE4597"/>
    <w:rsid w:val="00BE52D2"/>
    <w:rsid w:val="00BF3002"/>
    <w:rsid w:val="00BF3343"/>
    <w:rsid w:val="00BF3548"/>
    <w:rsid w:val="00BF3DB8"/>
    <w:rsid w:val="00BF67A5"/>
    <w:rsid w:val="00BF6BC3"/>
    <w:rsid w:val="00C00D1D"/>
    <w:rsid w:val="00C0244F"/>
    <w:rsid w:val="00C02506"/>
    <w:rsid w:val="00C025E9"/>
    <w:rsid w:val="00C10D17"/>
    <w:rsid w:val="00C1124C"/>
    <w:rsid w:val="00C1149D"/>
    <w:rsid w:val="00C119C7"/>
    <w:rsid w:val="00C11F67"/>
    <w:rsid w:val="00C12308"/>
    <w:rsid w:val="00C166DD"/>
    <w:rsid w:val="00C17BAF"/>
    <w:rsid w:val="00C20085"/>
    <w:rsid w:val="00C255F3"/>
    <w:rsid w:val="00C25AC3"/>
    <w:rsid w:val="00C25CE3"/>
    <w:rsid w:val="00C25DC1"/>
    <w:rsid w:val="00C303E6"/>
    <w:rsid w:val="00C310F6"/>
    <w:rsid w:val="00C32131"/>
    <w:rsid w:val="00C324DD"/>
    <w:rsid w:val="00C3265D"/>
    <w:rsid w:val="00C3274C"/>
    <w:rsid w:val="00C34998"/>
    <w:rsid w:val="00C34F9F"/>
    <w:rsid w:val="00C352A7"/>
    <w:rsid w:val="00C37DAA"/>
    <w:rsid w:val="00C40AF9"/>
    <w:rsid w:val="00C40DF1"/>
    <w:rsid w:val="00C448AC"/>
    <w:rsid w:val="00C448C6"/>
    <w:rsid w:val="00C449B8"/>
    <w:rsid w:val="00C44DD8"/>
    <w:rsid w:val="00C45AAA"/>
    <w:rsid w:val="00C466E6"/>
    <w:rsid w:val="00C51C28"/>
    <w:rsid w:val="00C600E5"/>
    <w:rsid w:val="00C62219"/>
    <w:rsid w:val="00C63C39"/>
    <w:rsid w:val="00C63C78"/>
    <w:rsid w:val="00C63FBA"/>
    <w:rsid w:val="00C6409A"/>
    <w:rsid w:val="00C654AA"/>
    <w:rsid w:val="00C65868"/>
    <w:rsid w:val="00C712C7"/>
    <w:rsid w:val="00C72D92"/>
    <w:rsid w:val="00C7344D"/>
    <w:rsid w:val="00C737B7"/>
    <w:rsid w:val="00C73B7C"/>
    <w:rsid w:val="00C74740"/>
    <w:rsid w:val="00C74AA8"/>
    <w:rsid w:val="00C75434"/>
    <w:rsid w:val="00C769EA"/>
    <w:rsid w:val="00C77792"/>
    <w:rsid w:val="00C8130C"/>
    <w:rsid w:val="00C82798"/>
    <w:rsid w:val="00C83CA4"/>
    <w:rsid w:val="00C85225"/>
    <w:rsid w:val="00C85AC8"/>
    <w:rsid w:val="00C86393"/>
    <w:rsid w:val="00C864A1"/>
    <w:rsid w:val="00C86A6E"/>
    <w:rsid w:val="00C9342F"/>
    <w:rsid w:val="00C94E63"/>
    <w:rsid w:val="00C967F5"/>
    <w:rsid w:val="00C97A7D"/>
    <w:rsid w:val="00C97FFA"/>
    <w:rsid w:val="00CA128F"/>
    <w:rsid w:val="00CA36A8"/>
    <w:rsid w:val="00CA3F18"/>
    <w:rsid w:val="00CA687B"/>
    <w:rsid w:val="00CA6998"/>
    <w:rsid w:val="00CA7374"/>
    <w:rsid w:val="00CB1A5D"/>
    <w:rsid w:val="00CB3DB7"/>
    <w:rsid w:val="00CB4404"/>
    <w:rsid w:val="00CB7F86"/>
    <w:rsid w:val="00CB7FFE"/>
    <w:rsid w:val="00CC0ECB"/>
    <w:rsid w:val="00CC2607"/>
    <w:rsid w:val="00CC3300"/>
    <w:rsid w:val="00CC3CA7"/>
    <w:rsid w:val="00CC3CE9"/>
    <w:rsid w:val="00CC4BDD"/>
    <w:rsid w:val="00CC570E"/>
    <w:rsid w:val="00CC672C"/>
    <w:rsid w:val="00CC6BD0"/>
    <w:rsid w:val="00CD142B"/>
    <w:rsid w:val="00CD16F6"/>
    <w:rsid w:val="00CD4508"/>
    <w:rsid w:val="00CD4764"/>
    <w:rsid w:val="00CD55F9"/>
    <w:rsid w:val="00CD597A"/>
    <w:rsid w:val="00CE0802"/>
    <w:rsid w:val="00CE16A9"/>
    <w:rsid w:val="00CE19C0"/>
    <w:rsid w:val="00CE1ACC"/>
    <w:rsid w:val="00CE30F5"/>
    <w:rsid w:val="00CE3947"/>
    <w:rsid w:val="00CE4625"/>
    <w:rsid w:val="00CE5657"/>
    <w:rsid w:val="00CE5B2C"/>
    <w:rsid w:val="00CE660C"/>
    <w:rsid w:val="00CE676A"/>
    <w:rsid w:val="00CE75E2"/>
    <w:rsid w:val="00CF0547"/>
    <w:rsid w:val="00CF06F1"/>
    <w:rsid w:val="00CF20C9"/>
    <w:rsid w:val="00CF2E65"/>
    <w:rsid w:val="00CF6580"/>
    <w:rsid w:val="00CF73B5"/>
    <w:rsid w:val="00D05334"/>
    <w:rsid w:val="00D058D1"/>
    <w:rsid w:val="00D10BE4"/>
    <w:rsid w:val="00D1262A"/>
    <w:rsid w:val="00D159F2"/>
    <w:rsid w:val="00D16017"/>
    <w:rsid w:val="00D16257"/>
    <w:rsid w:val="00D17732"/>
    <w:rsid w:val="00D17B4A"/>
    <w:rsid w:val="00D25F38"/>
    <w:rsid w:val="00D25FB9"/>
    <w:rsid w:val="00D30439"/>
    <w:rsid w:val="00D320D9"/>
    <w:rsid w:val="00D32BC0"/>
    <w:rsid w:val="00D3552C"/>
    <w:rsid w:val="00D358E4"/>
    <w:rsid w:val="00D36A74"/>
    <w:rsid w:val="00D375A3"/>
    <w:rsid w:val="00D40826"/>
    <w:rsid w:val="00D40C81"/>
    <w:rsid w:val="00D4296A"/>
    <w:rsid w:val="00D43B9A"/>
    <w:rsid w:val="00D45059"/>
    <w:rsid w:val="00D4549A"/>
    <w:rsid w:val="00D460E4"/>
    <w:rsid w:val="00D47F0E"/>
    <w:rsid w:val="00D5067C"/>
    <w:rsid w:val="00D50A4B"/>
    <w:rsid w:val="00D515EA"/>
    <w:rsid w:val="00D5249A"/>
    <w:rsid w:val="00D52ABE"/>
    <w:rsid w:val="00D54A1B"/>
    <w:rsid w:val="00D5504B"/>
    <w:rsid w:val="00D55675"/>
    <w:rsid w:val="00D574A0"/>
    <w:rsid w:val="00D61094"/>
    <w:rsid w:val="00D61105"/>
    <w:rsid w:val="00D61F80"/>
    <w:rsid w:val="00D629AD"/>
    <w:rsid w:val="00D65E93"/>
    <w:rsid w:val="00D702C7"/>
    <w:rsid w:val="00D707D4"/>
    <w:rsid w:val="00D73045"/>
    <w:rsid w:val="00D730F5"/>
    <w:rsid w:val="00D736CB"/>
    <w:rsid w:val="00D7554E"/>
    <w:rsid w:val="00D7576F"/>
    <w:rsid w:val="00D76D22"/>
    <w:rsid w:val="00D76DE2"/>
    <w:rsid w:val="00D774EB"/>
    <w:rsid w:val="00D77A80"/>
    <w:rsid w:val="00D80FCB"/>
    <w:rsid w:val="00D823B2"/>
    <w:rsid w:val="00D84101"/>
    <w:rsid w:val="00D86A76"/>
    <w:rsid w:val="00D87977"/>
    <w:rsid w:val="00D90B99"/>
    <w:rsid w:val="00D9431A"/>
    <w:rsid w:val="00DA0808"/>
    <w:rsid w:val="00DA1539"/>
    <w:rsid w:val="00DA26B8"/>
    <w:rsid w:val="00DA40D7"/>
    <w:rsid w:val="00DA52F9"/>
    <w:rsid w:val="00DA606A"/>
    <w:rsid w:val="00DA67F6"/>
    <w:rsid w:val="00DA71E5"/>
    <w:rsid w:val="00DA7799"/>
    <w:rsid w:val="00DB0329"/>
    <w:rsid w:val="00DB120C"/>
    <w:rsid w:val="00DB2788"/>
    <w:rsid w:val="00DB4876"/>
    <w:rsid w:val="00DB6024"/>
    <w:rsid w:val="00DB631F"/>
    <w:rsid w:val="00DB6D85"/>
    <w:rsid w:val="00DB7348"/>
    <w:rsid w:val="00DC236D"/>
    <w:rsid w:val="00DC3ACD"/>
    <w:rsid w:val="00DC4EF5"/>
    <w:rsid w:val="00DC61B2"/>
    <w:rsid w:val="00DD037E"/>
    <w:rsid w:val="00DD052C"/>
    <w:rsid w:val="00DD0662"/>
    <w:rsid w:val="00DD15D2"/>
    <w:rsid w:val="00DD4424"/>
    <w:rsid w:val="00DD6AF3"/>
    <w:rsid w:val="00DE0A8E"/>
    <w:rsid w:val="00DE22F1"/>
    <w:rsid w:val="00DE6E82"/>
    <w:rsid w:val="00DE7E52"/>
    <w:rsid w:val="00DF0585"/>
    <w:rsid w:val="00DF1066"/>
    <w:rsid w:val="00DF1774"/>
    <w:rsid w:val="00DF28E7"/>
    <w:rsid w:val="00DF4F49"/>
    <w:rsid w:val="00DF7658"/>
    <w:rsid w:val="00E01A17"/>
    <w:rsid w:val="00E024B6"/>
    <w:rsid w:val="00E03975"/>
    <w:rsid w:val="00E058B4"/>
    <w:rsid w:val="00E066AC"/>
    <w:rsid w:val="00E07A52"/>
    <w:rsid w:val="00E10A5E"/>
    <w:rsid w:val="00E10BD5"/>
    <w:rsid w:val="00E200F8"/>
    <w:rsid w:val="00E22297"/>
    <w:rsid w:val="00E22DA4"/>
    <w:rsid w:val="00E2502A"/>
    <w:rsid w:val="00E271B0"/>
    <w:rsid w:val="00E27B5F"/>
    <w:rsid w:val="00E31256"/>
    <w:rsid w:val="00E31B8C"/>
    <w:rsid w:val="00E32B96"/>
    <w:rsid w:val="00E34C82"/>
    <w:rsid w:val="00E35730"/>
    <w:rsid w:val="00E36BC0"/>
    <w:rsid w:val="00E36E87"/>
    <w:rsid w:val="00E3747F"/>
    <w:rsid w:val="00E377ED"/>
    <w:rsid w:val="00E40678"/>
    <w:rsid w:val="00E41724"/>
    <w:rsid w:val="00E420E9"/>
    <w:rsid w:val="00E4276F"/>
    <w:rsid w:val="00E459E7"/>
    <w:rsid w:val="00E45F04"/>
    <w:rsid w:val="00E460AE"/>
    <w:rsid w:val="00E46775"/>
    <w:rsid w:val="00E46A07"/>
    <w:rsid w:val="00E472DC"/>
    <w:rsid w:val="00E50617"/>
    <w:rsid w:val="00E5234B"/>
    <w:rsid w:val="00E541A8"/>
    <w:rsid w:val="00E557EE"/>
    <w:rsid w:val="00E623F5"/>
    <w:rsid w:val="00E63171"/>
    <w:rsid w:val="00E655A5"/>
    <w:rsid w:val="00E6655E"/>
    <w:rsid w:val="00E702B5"/>
    <w:rsid w:val="00E71710"/>
    <w:rsid w:val="00E719CC"/>
    <w:rsid w:val="00E71B8D"/>
    <w:rsid w:val="00E73539"/>
    <w:rsid w:val="00E74E1E"/>
    <w:rsid w:val="00E75E0D"/>
    <w:rsid w:val="00E76812"/>
    <w:rsid w:val="00E76CCC"/>
    <w:rsid w:val="00E77694"/>
    <w:rsid w:val="00E801EA"/>
    <w:rsid w:val="00E80384"/>
    <w:rsid w:val="00E82778"/>
    <w:rsid w:val="00E857B8"/>
    <w:rsid w:val="00E8617D"/>
    <w:rsid w:val="00E86D27"/>
    <w:rsid w:val="00E8743A"/>
    <w:rsid w:val="00E87780"/>
    <w:rsid w:val="00E87DA0"/>
    <w:rsid w:val="00E87F8A"/>
    <w:rsid w:val="00E90017"/>
    <w:rsid w:val="00E90631"/>
    <w:rsid w:val="00E912A5"/>
    <w:rsid w:val="00E91516"/>
    <w:rsid w:val="00E91B38"/>
    <w:rsid w:val="00E92BCD"/>
    <w:rsid w:val="00E92DE6"/>
    <w:rsid w:val="00E9363F"/>
    <w:rsid w:val="00E9454A"/>
    <w:rsid w:val="00E9535F"/>
    <w:rsid w:val="00E9545D"/>
    <w:rsid w:val="00E973EC"/>
    <w:rsid w:val="00E97569"/>
    <w:rsid w:val="00EA06B3"/>
    <w:rsid w:val="00EA0E2B"/>
    <w:rsid w:val="00EA0FA9"/>
    <w:rsid w:val="00EA12FF"/>
    <w:rsid w:val="00EA1A0A"/>
    <w:rsid w:val="00EA258D"/>
    <w:rsid w:val="00EA259B"/>
    <w:rsid w:val="00EA2E7B"/>
    <w:rsid w:val="00EA5991"/>
    <w:rsid w:val="00EA59A9"/>
    <w:rsid w:val="00EA5E8D"/>
    <w:rsid w:val="00EB015A"/>
    <w:rsid w:val="00EB1162"/>
    <w:rsid w:val="00EB23D1"/>
    <w:rsid w:val="00EB2AEB"/>
    <w:rsid w:val="00EB65E4"/>
    <w:rsid w:val="00EB6FAA"/>
    <w:rsid w:val="00EC22DA"/>
    <w:rsid w:val="00EC249E"/>
    <w:rsid w:val="00EC27B1"/>
    <w:rsid w:val="00EC2D97"/>
    <w:rsid w:val="00EC3297"/>
    <w:rsid w:val="00EC4B72"/>
    <w:rsid w:val="00EC5DD9"/>
    <w:rsid w:val="00EC5F90"/>
    <w:rsid w:val="00EC62EF"/>
    <w:rsid w:val="00EC73C4"/>
    <w:rsid w:val="00ED0622"/>
    <w:rsid w:val="00ED1070"/>
    <w:rsid w:val="00ED32CA"/>
    <w:rsid w:val="00ED5092"/>
    <w:rsid w:val="00EE026B"/>
    <w:rsid w:val="00EE0CEE"/>
    <w:rsid w:val="00EE1C6C"/>
    <w:rsid w:val="00EE3B32"/>
    <w:rsid w:val="00EE5457"/>
    <w:rsid w:val="00EE7318"/>
    <w:rsid w:val="00EE7375"/>
    <w:rsid w:val="00EF0740"/>
    <w:rsid w:val="00EF12ED"/>
    <w:rsid w:val="00EF2493"/>
    <w:rsid w:val="00EF334D"/>
    <w:rsid w:val="00EF5695"/>
    <w:rsid w:val="00EF5C6E"/>
    <w:rsid w:val="00EF65FA"/>
    <w:rsid w:val="00EF7549"/>
    <w:rsid w:val="00F02893"/>
    <w:rsid w:val="00F05E7A"/>
    <w:rsid w:val="00F07E4B"/>
    <w:rsid w:val="00F137A3"/>
    <w:rsid w:val="00F14101"/>
    <w:rsid w:val="00F148BE"/>
    <w:rsid w:val="00F15B68"/>
    <w:rsid w:val="00F16294"/>
    <w:rsid w:val="00F200A5"/>
    <w:rsid w:val="00F20B2F"/>
    <w:rsid w:val="00F21639"/>
    <w:rsid w:val="00F220DE"/>
    <w:rsid w:val="00F25C7E"/>
    <w:rsid w:val="00F263B6"/>
    <w:rsid w:val="00F27572"/>
    <w:rsid w:val="00F27BFB"/>
    <w:rsid w:val="00F30BB9"/>
    <w:rsid w:val="00F312CC"/>
    <w:rsid w:val="00F33EA8"/>
    <w:rsid w:val="00F35B90"/>
    <w:rsid w:val="00F3603E"/>
    <w:rsid w:val="00F36252"/>
    <w:rsid w:val="00F36764"/>
    <w:rsid w:val="00F36F7D"/>
    <w:rsid w:val="00F37304"/>
    <w:rsid w:val="00F37509"/>
    <w:rsid w:val="00F422C4"/>
    <w:rsid w:val="00F42B69"/>
    <w:rsid w:val="00F44331"/>
    <w:rsid w:val="00F453AE"/>
    <w:rsid w:val="00F45D7C"/>
    <w:rsid w:val="00F516EB"/>
    <w:rsid w:val="00F52E8A"/>
    <w:rsid w:val="00F53124"/>
    <w:rsid w:val="00F54B15"/>
    <w:rsid w:val="00F557A4"/>
    <w:rsid w:val="00F557CA"/>
    <w:rsid w:val="00F558CF"/>
    <w:rsid w:val="00F56169"/>
    <w:rsid w:val="00F56B87"/>
    <w:rsid w:val="00F57BD2"/>
    <w:rsid w:val="00F57D62"/>
    <w:rsid w:val="00F609E3"/>
    <w:rsid w:val="00F62292"/>
    <w:rsid w:val="00F63C67"/>
    <w:rsid w:val="00F64C08"/>
    <w:rsid w:val="00F64ED3"/>
    <w:rsid w:val="00F64EE3"/>
    <w:rsid w:val="00F65651"/>
    <w:rsid w:val="00F7155B"/>
    <w:rsid w:val="00F71758"/>
    <w:rsid w:val="00F72355"/>
    <w:rsid w:val="00F725CC"/>
    <w:rsid w:val="00F72A43"/>
    <w:rsid w:val="00F73914"/>
    <w:rsid w:val="00F74929"/>
    <w:rsid w:val="00F801DF"/>
    <w:rsid w:val="00F835C6"/>
    <w:rsid w:val="00F851B8"/>
    <w:rsid w:val="00F86C24"/>
    <w:rsid w:val="00F87DED"/>
    <w:rsid w:val="00F915B6"/>
    <w:rsid w:val="00F92386"/>
    <w:rsid w:val="00F924EF"/>
    <w:rsid w:val="00F94D01"/>
    <w:rsid w:val="00F95B4C"/>
    <w:rsid w:val="00F9636D"/>
    <w:rsid w:val="00F96413"/>
    <w:rsid w:val="00FA0933"/>
    <w:rsid w:val="00FA4271"/>
    <w:rsid w:val="00FA49E2"/>
    <w:rsid w:val="00FA7544"/>
    <w:rsid w:val="00FB01F9"/>
    <w:rsid w:val="00FB03D3"/>
    <w:rsid w:val="00FB0C82"/>
    <w:rsid w:val="00FB1857"/>
    <w:rsid w:val="00FB19E1"/>
    <w:rsid w:val="00FB4FF6"/>
    <w:rsid w:val="00FB6D37"/>
    <w:rsid w:val="00FB7506"/>
    <w:rsid w:val="00FC013C"/>
    <w:rsid w:val="00FC0666"/>
    <w:rsid w:val="00FC0AD7"/>
    <w:rsid w:val="00FC184F"/>
    <w:rsid w:val="00FC377A"/>
    <w:rsid w:val="00FC56A4"/>
    <w:rsid w:val="00FC5C65"/>
    <w:rsid w:val="00FC5CCD"/>
    <w:rsid w:val="00FC6151"/>
    <w:rsid w:val="00FC7C8C"/>
    <w:rsid w:val="00FD0644"/>
    <w:rsid w:val="00FD0B28"/>
    <w:rsid w:val="00FD0FB6"/>
    <w:rsid w:val="00FD1591"/>
    <w:rsid w:val="00FD3A67"/>
    <w:rsid w:val="00FD562A"/>
    <w:rsid w:val="00FD69AB"/>
    <w:rsid w:val="00FD6DCC"/>
    <w:rsid w:val="00FD6FB2"/>
    <w:rsid w:val="00FD74D6"/>
    <w:rsid w:val="00FD7AD9"/>
    <w:rsid w:val="00FD7D35"/>
    <w:rsid w:val="00FE1F5F"/>
    <w:rsid w:val="00FE2543"/>
    <w:rsid w:val="00FE258B"/>
    <w:rsid w:val="00FE69D1"/>
    <w:rsid w:val="00FF0E2A"/>
    <w:rsid w:val="00FF1383"/>
    <w:rsid w:val="00FF23F8"/>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41568"/>
  <w15:chartTrackingRefBased/>
  <w15:docId w15:val="{81E51741-42C9-4009-BC89-3B0AAF5E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5E1F"/>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autoRedefine/>
    <w:uiPriority w:val="9"/>
    <w:unhideWhenUsed/>
    <w:qFormat/>
    <w:rsid w:val="00275E1F"/>
    <w:pPr>
      <w:keepNext/>
      <w:keepLines/>
      <w:numPr>
        <w:ilvl w:val="2"/>
        <w:numId w:val="30"/>
      </w:numPr>
      <w:snapToGrid w:val="0"/>
      <w:spacing w:before="120" w:after="120" w:line="276" w:lineRule="auto"/>
      <w:jc w:val="both"/>
      <w:outlineLvl w:val="1"/>
    </w:pPr>
    <w:rPr>
      <w:rFonts w:ascii="Times New Roman" w:eastAsiaTheme="majorEastAsia" w:hAnsi="Times New Roman" w:cs="Times New Roman"/>
      <w:b/>
      <w:bCs/>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E1F"/>
    <w:rPr>
      <w:rFonts w:ascii="Times New Roman" w:eastAsia="Times New Roman" w:hAnsi="Times New Roman" w:cs="Times New Roman"/>
      <w:b/>
      <w:bCs/>
      <w:kern w:val="36"/>
      <w:sz w:val="28"/>
      <w:szCs w:val="48"/>
    </w:rPr>
  </w:style>
  <w:style w:type="character" w:customStyle="1" w:styleId="Heading2Char">
    <w:name w:val="Heading 2 Char"/>
    <w:basedOn w:val="DefaultParagraphFont"/>
    <w:link w:val="Heading2"/>
    <w:uiPriority w:val="9"/>
    <w:rsid w:val="00275E1F"/>
    <w:rPr>
      <w:rFonts w:ascii="Times New Roman" w:eastAsiaTheme="majorEastAsia" w:hAnsi="Times New Roman" w:cs="Times New Roman"/>
      <w:b/>
      <w:bCs/>
      <w:sz w:val="24"/>
      <w:szCs w:val="24"/>
      <w:lang w:val="sr-Cyrl-RS"/>
    </w:rPr>
  </w:style>
  <w:style w:type="paragraph" w:styleId="ListParagraph">
    <w:name w:val="List Paragraph"/>
    <w:basedOn w:val="Normal"/>
    <w:link w:val="ListParagraphChar"/>
    <w:uiPriority w:val="34"/>
    <w:qFormat/>
    <w:rsid w:val="00FC184F"/>
    <w:pPr>
      <w:ind w:left="720"/>
      <w:contextualSpacing/>
    </w:pPr>
  </w:style>
  <w:style w:type="paragraph" w:customStyle="1" w:styleId="Default">
    <w:name w:val="Default"/>
    <w:rsid w:val="00F30B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E2543"/>
    <w:rPr>
      <w:color w:val="0000FF"/>
      <w:u w:val="single"/>
    </w:rPr>
  </w:style>
  <w:style w:type="paragraph" w:styleId="NormalWeb">
    <w:name w:val="Normal (Web)"/>
    <w:basedOn w:val="Normal"/>
    <w:uiPriority w:val="99"/>
    <w:unhideWhenUsed/>
    <w:rsid w:val="00FE254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4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60F9"/>
    <w:rPr>
      <w:rFonts w:ascii="Courier New" w:eastAsia="Times New Roman" w:hAnsi="Courier New" w:cs="Courier New"/>
      <w:sz w:val="20"/>
      <w:szCs w:val="20"/>
    </w:rPr>
  </w:style>
  <w:style w:type="character" w:customStyle="1" w:styleId="y2iqfc">
    <w:name w:val="y2iqfc"/>
    <w:basedOn w:val="DefaultParagraphFont"/>
    <w:rsid w:val="006460F9"/>
  </w:style>
  <w:style w:type="table" w:styleId="TableGrid">
    <w:name w:val="Table Grid"/>
    <w:basedOn w:val="TableNormal"/>
    <w:uiPriority w:val="39"/>
    <w:rsid w:val="00D75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808"/>
    <w:pPr>
      <w:tabs>
        <w:tab w:val="center" w:pos="4703"/>
        <w:tab w:val="right" w:pos="9406"/>
      </w:tabs>
      <w:spacing w:after="0" w:line="240" w:lineRule="auto"/>
    </w:pPr>
  </w:style>
  <w:style w:type="character" w:customStyle="1" w:styleId="HeaderChar">
    <w:name w:val="Header Char"/>
    <w:basedOn w:val="DefaultParagraphFont"/>
    <w:link w:val="Header"/>
    <w:uiPriority w:val="99"/>
    <w:rsid w:val="00DA0808"/>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DA0808"/>
    <w:pPr>
      <w:tabs>
        <w:tab w:val="center" w:pos="4703"/>
        <w:tab w:val="right" w:pos="9406"/>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DA0808"/>
  </w:style>
  <w:style w:type="character" w:styleId="CommentReference">
    <w:name w:val="annotation reference"/>
    <w:basedOn w:val="DefaultParagraphFont"/>
    <w:uiPriority w:val="99"/>
    <w:semiHidden/>
    <w:unhideWhenUsed/>
    <w:rsid w:val="00FC0666"/>
    <w:rPr>
      <w:sz w:val="16"/>
      <w:szCs w:val="16"/>
    </w:rPr>
  </w:style>
  <w:style w:type="paragraph" w:styleId="CommentText">
    <w:name w:val="annotation text"/>
    <w:basedOn w:val="Normal"/>
    <w:link w:val="CommentTextChar"/>
    <w:uiPriority w:val="99"/>
    <w:unhideWhenUsed/>
    <w:rsid w:val="00FC0666"/>
    <w:pPr>
      <w:spacing w:line="240" w:lineRule="auto"/>
    </w:pPr>
    <w:rPr>
      <w:sz w:val="20"/>
      <w:szCs w:val="20"/>
    </w:rPr>
  </w:style>
  <w:style w:type="character" w:customStyle="1" w:styleId="CommentTextChar">
    <w:name w:val="Comment Text Char"/>
    <w:basedOn w:val="DefaultParagraphFont"/>
    <w:link w:val="CommentText"/>
    <w:uiPriority w:val="99"/>
    <w:rsid w:val="00FC0666"/>
    <w:rPr>
      <w:sz w:val="20"/>
      <w:szCs w:val="20"/>
    </w:rPr>
  </w:style>
  <w:style w:type="paragraph" w:styleId="CommentSubject">
    <w:name w:val="annotation subject"/>
    <w:basedOn w:val="CommentText"/>
    <w:next w:val="CommentText"/>
    <w:link w:val="CommentSubjectChar"/>
    <w:uiPriority w:val="99"/>
    <w:semiHidden/>
    <w:unhideWhenUsed/>
    <w:rsid w:val="00FC0666"/>
    <w:rPr>
      <w:b/>
      <w:bCs/>
    </w:rPr>
  </w:style>
  <w:style w:type="character" w:customStyle="1" w:styleId="CommentSubjectChar">
    <w:name w:val="Comment Subject Char"/>
    <w:basedOn w:val="CommentTextChar"/>
    <w:link w:val="CommentSubject"/>
    <w:uiPriority w:val="99"/>
    <w:semiHidden/>
    <w:rsid w:val="00FC0666"/>
    <w:rPr>
      <w:b/>
      <w:bCs/>
      <w:sz w:val="20"/>
      <w:szCs w:val="20"/>
    </w:rPr>
  </w:style>
  <w:style w:type="paragraph" w:styleId="BalloonText">
    <w:name w:val="Balloon Text"/>
    <w:basedOn w:val="Normal"/>
    <w:link w:val="BalloonTextChar"/>
    <w:uiPriority w:val="99"/>
    <w:semiHidden/>
    <w:unhideWhenUsed/>
    <w:rsid w:val="00FC0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666"/>
    <w:rPr>
      <w:rFonts w:ascii="Segoe UI" w:hAnsi="Segoe UI" w:cs="Segoe UI"/>
      <w:sz w:val="18"/>
      <w:szCs w:val="18"/>
    </w:rPr>
  </w:style>
  <w:style w:type="paragraph" w:customStyle="1" w:styleId="basic-paragraph">
    <w:name w:val="basic-paragraph"/>
    <w:basedOn w:val="Normal"/>
    <w:rsid w:val="000B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1">
    <w:name w:val="v2-clan-left-1"/>
    <w:basedOn w:val="DefaultParagraphFont"/>
    <w:rsid w:val="00535C63"/>
  </w:style>
  <w:style w:type="character" w:styleId="Strong">
    <w:name w:val="Strong"/>
    <w:basedOn w:val="DefaultParagraphFont"/>
    <w:uiPriority w:val="22"/>
    <w:qFormat/>
    <w:rsid w:val="00C45AAA"/>
    <w:rPr>
      <w:b/>
      <w:bCs/>
    </w:rPr>
  </w:style>
  <w:style w:type="paragraph" w:styleId="NoSpacing">
    <w:name w:val="No Spacing"/>
    <w:link w:val="NoSpacingChar"/>
    <w:uiPriority w:val="1"/>
    <w:qFormat/>
    <w:rsid w:val="008F4969"/>
    <w:pPr>
      <w:spacing w:after="0" w:line="240" w:lineRule="auto"/>
    </w:pPr>
    <w:rPr>
      <w:rFonts w:eastAsiaTheme="minorEastAsia"/>
    </w:rPr>
  </w:style>
  <w:style w:type="character" w:customStyle="1" w:styleId="NoSpacingChar">
    <w:name w:val="No Spacing Char"/>
    <w:basedOn w:val="DefaultParagraphFont"/>
    <w:link w:val="NoSpacing"/>
    <w:uiPriority w:val="1"/>
    <w:rsid w:val="008F4969"/>
    <w:rPr>
      <w:rFonts w:eastAsiaTheme="minorEastAsia"/>
    </w:rPr>
  </w:style>
  <w:style w:type="character" w:customStyle="1" w:styleId="FootnoteTextChar">
    <w:name w:val="Footnote Text Char"/>
    <w:basedOn w:val="DefaultParagraphFont"/>
    <w:link w:val="FootnoteText"/>
    <w:uiPriority w:val="99"/>
    <w:rsid w:val="00B74C8E"/>
    <w:rPr>
      <w:rFonts w:eastAsia="Yu Mincho"/>
      <w:sz w:val="20"/>
      <w:szCs w:val="20"/>
      <w:lang w:val="sr-Cyrl-RS"/>
    </w:rPr>
  </w:style>
  <w:style w:type="paragraph" w:styleId="FootnoteText">
    <w:name w:val="footnote text"/>
    <w:basedOn w:val="Normal"/>
    <w:link w:val="FootnoteTextChar"/>
    <w:uiPriority w:val="99"/>
    <w:unhideWhenUsed/>
    <w:rsid w:val="00B74C8E"/>
    <w:pPr>
      <w:spacing w:after="0" w:line="240" w:lineRule="auto"/>
    </w:pPr>
    <w:rPr>
      <w:rFonts w:eastAsia="Yu Mincho"/>
      <w:sz w:val="20"/>
      <w:szCs w:val="20"/>
      <w:lang w:val="sr-Cyrl-RS"/>
    </w:rPr>
  </w:style>
  <w:style w:type="character" w:styleId="FootnoteReference">
    <w:name w:val="footnote reference"/>
    <w:basedOn w:val="DefaultParagraphFont"/>
    <w:uiPriority w:val="99"/>
    <w:semiHidden/>
    <w:unhideWhenUsed/>
    <w:rsid w:val="00A83952"/>
    <w:rPr>
      <w:vertAlign w:val="superscript"/>
    </w:rPr>
  </w:style>
  <w:style w:type="paragraph" w:styleId="Title">
    <w:name w:val="Title"/>
    <w:basedOn w:val="Normal"/>
    <w:next w:val="Normal"/>
    <w:link w:val="TitleChar"/>
    <w:uiPriority w:val="10"/>
    <w:qFormat/>
    <w:rsid w:val="002A2250"/>
    <w:pPr>
      <w:spacing w:after="0" w:line="240" w:lineRule="auto"/>
      <w:contextualSpacing/>
    </w:pPr>
    <w:rPr>
      <w:rFonts w:asciiTheme="majorHAnsi" w:eastAsiaTheme="majorEastAsia" w:hAnsiTheme="majorHAnsi" w:cstheme="majorBidi"/>
      <w:spacing w:val="-10"/>
      <w:sz w:val="56"/>
      <w:szCs w:val="56"/>
      <w:lang w:val="sr-Cyrl-RS"/>
    </w:rPr>
  </w:style>
  <w:style w:type="character" w:customStyle="1" w:styleId="TitleChar">
    <w:name w:val="Title Char"/>
    <w:basedOn w:val="DefaultParagraphFont"/>
    <w:link w:val="Title"/>
    <w:uiPriority w:val="10"/>
    <w:rsid w:val="002A2250"/>
    <w:rPr>
      <w:rFonts w:asciiTheme="majorHAnsi" w:eastAsiaTheme="majorEastAsia" w:hAnsiTheme="majorHAnsi" w:cstheme="majorBidi"/>
      <w:spacing w:val="-10"/>
      <w:sz w:val="56"/>
      <w:szCs w:val="56"/>
      <w:lang w:val="sr-Cyrl-RS"/>
    </w:rPr>
  </w:style>
  <w:style w:type="paragraph" w:customStyle="1" w:styleId="Pasus">
    <w:name w:val="Pasus"/>
    <w:basedOn w:val="Normal"/>
    <w:link w:val="PasusChar"/>
    <w:qFormat/>
    <w:rsid w:val="002A2250"/>
    <w:pPr>
      <w:spacing w:after="0"/>
      <w:ind w:firstLine="720"/>
      <w:jc w:val="both"/>
    </w:pPr>
    <w:rPr>
      <w:rFonts w:eastAsia="Cambria"/>
      <w:lang w:val="sr-Cyrl-RS"/>
    </w:rPr>
  </w:style>
  <w:style w:type="character" w:customStyle="1" w:styleId="PasusChar">
    <w:name w:val="Pasus Char"/>
    <w:basedOn w:val="DefaultParagraphFont"/>
    <w:link w:val="Pasus"/>
    <w:rsid w:val="002A2250"/>
    <w:rPr>
      <w:rFonts w:eastAsia="Cambria"/>
      <w:lang w:val="sr-Cyrl-RS"/>
    </w:rPr>
  </w:style>
  <w:style w:type="paragraph" w:styleId="EndnoteText">
    <w:name w:val="endnote text"/>
    <w:basedOn w:val="Normal"/>
    <w:link w:val="EndnoteTextChar"/>
    <w:uiPriority w:val="99"/>
    <w:semiHidden/>
    <w:unhideWhenUsed/>
    <w:rsid w:val="00291B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1B6E"/>
    <w:rPr>
      <w:sz w:val="20"/>
      <w:szCs w:val="20"/>
    </w:rPr>
  </w:style>
  <w:style w:type="character" w:styleId="EndnoteReference">
    <w:name w:val="endnote reference"/>
    <w:basedOn w:val="DefaultParagraphFont"/>
    <w:uiPriority w:val="99"/>
    <w:semiHidden/>
    <w:unhideWhenUsed/>
    <w:rsid w:val="00291B6E"/>
    <w:rPr>
      <w:vertAlign w:val="superscript"/>
    </w:rPr>
  </w:style>
  <w:style w:type="character" w:styleId="Emphasis">
    <w:name w:val="Emphasis"/>
    <w:basedOn w:val="DefaultParagraphFont"/>
    <w:uiPriority w:val="20"/>
    <w:qFormat/>
    <w:rsid w:val="00870C3F"/>
    <w:rPr>
      <w:i/>
      <w:iCs/>
    </w:rPr>
  </w:style>
  <w:style w:type="character" w:styleId="FollowedHyperlink">
    <w:name w:val="FollowedHyperlink"/>
    <w:basedOn w:val="DefaultParagraphFont"/>
    <w:uiPriority w:val="99"/>
    <w:semiHidden/>
    <w:unhideWhenUsed/>
    <w:rsid w:val="00F835C6"/>
    <w:rPr>
      <w:color w:val="954F72" w:themeColor="followedHyperlink"/>
      <w:u w:val="single"/>
    </w:rPr>
  </w:style>
  <w:style w:type="paragraph" w:styleId="Revision">
    <w:name w:val="Revision"/>
    <w:hidden/>
    <w:uiPriority w:val="99"/>
    <w:semiHidden/>
    <w:rsid w:val="003F3E13"/>
    <w:pPr>
      <w:spacing w:after="0" w:line="240" w:lineRule="auto"/>
    </w:pPr>
  </w:style>
  <w:style w:type="character" w:customStyle="1" w:styleId="ListParagraphChar">
    <w:name w:val="List Paragraph Char"/>
    <w:link w:val="ListParagraph"/>
    <w:uiPriority w:val="34"/>
    <w:locked/>
    <w:rsid w:val="00D2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916">
      <w:bodyDiv w:val="1"/>
      <w:marLeft w:val="0"/>
      <w:marRight w:val="0"/>
      <w:marTop w:val="0"/>
      <w:marBottom w:val="0"/>
      <w:divBdr>
        <w:top w:val="none" w:sz="0" w:space="0" w:color="auto"/>
        <w:left w:val="none" w:sz="0" w:space="0" w:color="auto"/>
        <w:bottom w:val="none" w:sz="0" w:space="0" w:color="auto"/>
        <w:right w:val="none" w:sz="0" w:space="0" w:color="auto"/>
      </w:divBdr>
    </w:div>
    <w:div w:id="7175389">
      <w:bodyDiv w:val="1"/>
      <w:marLeft w:val="0"/>
      <w:marRight w:val="0"/>
      <w:marTop w:val="0"/>
      <w:marBottom w:val="0"/>
      <w:divBdr>
        <w:top w:val="none" w:sz="0" w:space="0" w:color="auto"/>
        <w:left w:val="none" w:sz="0" w:space="0" w:color="auto"/>
        <w:bottom w:val="none" w:sz="0" w:space="0" w:color="auto"/>
        <w:right w:val="none" w:sz="0" w:space="0" w:color="auto"/>
      </w:divBdr>
    </w:div>
    <w:div w:id="14230393">
      <w:bodyDiv w:val="1"/>
      <w:marLeft w:val="0"/>
      <w:marRight w:val="0"/>
      <w:marTop w:val="0"/>
      <w:marBottom w:val="0"/>
      <w:divBdr>
        <w:top w:val="none" w:sz="0" w:space="0" w:color="auto"/>
        <w:left w:val="none" w:sz="0" w:space="0" w:color="auto"/>
        <w:bottom w:val="none" w:sz="0" w:space="0" w:color="auto"/>
        <w:right w:val="none" w:sz="0" w:space="0" w:color="auto"/>
      </w:divBdr>
    </w:div>
    <w:div w:id="63652197">
      <w:bodyDiv w:val="1"/>
      <w:marLeft w:val="0"/>
      <w:marRight w:val="0"/>
      <w:marTop w:val="0"/>
      <w:marBottom w:val="0"/>
      <w:divBdr>
        <w:top w:val="none" w:sz="0" w:space="0" w:color="auto"/>
        <w:left w:val="none" w:sz="0" w:space="0" w:color="auto"/>
        <w:bottom w:val="none" w:sz="0" w:space="0" w:color="auto"/>
        <w:right w:val="none" w:sz="0" w:space="0" w:color="auto"/>
      </w:divBdr>
    </w:div>
    <w:div w:id="64845323">
      <w:bodyDiv w:val="1"/>
      <w:marLeft w:val="0"/>
      <w:marRight w:val="0"/>
      <w:marTop w:val="0"/>
      <w:marBottom w:val="0"/>
      <w:divBdr>
        <w:top w:val="none" w:sz="0" w:space="0" w:color="auto"/>
        <w:left w:val="none" w:sz="0" w:space="0" w:color="auto"/>
        <w:bottom w:val="none" w:sz="0" w:space="0" w:color="auto"/>
        <w:right w:val="none" w:sz="0" w:space="0" w:color="auto"/>
      </w:divBdr>
    </w:div>
    <w:div w:id="81335873">
      <w:bodyDiv w:val="1"/>
      <w:marLeft w:val="0"/>
      <w:marRight w:val="0"/>
      <w:marTop w:val="0"/>
      <w:marBottom w:val="0"/>
      <w:divBdr>
        <w:top w:val="none" w:sz="0" w:space="0" w:color="auto"/>
        <w:left w:val="none" w:sz="0" w:space="0" w:color="auto"/>
        <w:bottom w:val="none" w:sz="0" w:space="0" w:color="auto"/>
        <w:right w:val="none" w:sz="0" w:space="0" w:color="auto"/>
      </w:divBdr>
    </w:div>
    <w:div w:id="92866758">
      <w:bodyDiv w:val="1"/>
      <w:marLeft w:val="0"/>
      <w:marRight w:val="0"/>
      <w:marTop w:val="0"/>
      <w:marBottom w:val="0"/>
      <w:divBdr>
        <w:top w:val="none" w:sz="0" w:space="0" w:color="auto"/>
        <w:left w:val="none" w:sz="0" w:space="0" w:color="auto"/>
        <w:bottom w:val="none" w:sz="0" w:space="0" w:color="auto"/>
        <w:right w:val="none" w:sz="0" w:space="0" w:color="auto"/>
      </w:divBdr>
    </w:div>
    <w:div w:id="127599437">
      <w:bodyDiv w:val="1"/>
      <w:marLeft w:val="0"/>
      <w:marRight w:val="0"/>
      <w:marTop w:val="0"/>
      <w:marBottom w:val="0"/>
      <w:divBdr>
        <w:top w:val="none" w:sz="0" w:space="0" w:color="auto"/>
        <w:left w:val="none" w:sz="0" w:space="0" w:color="auto"/>
        <w:bottom w:val="none" w:sz="0" w:space="0" w:color="auto"/>
        <w:right w:val="none" w:sz="0" w:space="0" w:color="auto"/>
      </w:divBdr>
    </w:div>
    <w:div w:id="135150764">
      <w:bodyDiv w:val="1"/>
      <w:marLeft w:val="0"/>
      <w:marRight w:val="0"/>
      <w:marTop w:val="0"/>
      <w:marBottom w:val="0"/>
      <w:divBdr>
        <w:top w:val="none" w:sz="0" w:space="0" w:color="auto"/>
        <w:left w:val="none" w:sz="0" w:space="0" w:color="auto"/>
        <w:bottom w:val="none" w:sz="0" w:space="0" w:color="auto"/>
        <w:right w:val="none" w:sz="0" w:space="0" w:color="auto"/>
      </w:divBdr>
    </w:div>
    <w:div w:id="155995445">
      <w:bodyDiv w:val="1"/>
      <w:marLeft w:val="0"/>
      <w:marRight w:val="0"/>
      <w:marTop w:val="0"/>
      <w:marBottom w:val="0"/>
      <w:divBdr>
        <w:top w:val="none" w:sz="0" w:space="0" w:color="auto"/>
        <w:left w:val="none" w:sz="0" w:space="0" w:color="auto"/>
        <w:bottom w:val="none" w:sz="0" w:space="0" w:color="auto"/>
        <w:right w:val="none" w:sz="0" w:space="0" w:color="auto"/>
      </w:divBdr>
    </w:div>
    <w:div w:id="177697639">
      <w:bodyDiv w:val="1"/>
      <w:marLeft w:val="0"/>
      <w:marRight w:val="0"/>
      <w:marTop w:val="0"/>
      <w:marBottom w:val="0"/>
      <w:divBdr>
        <w:top w:val="none" w:sz="0" w:space="0" w:color="auto"/>
        <w:left w:val="none" w:sz="0" w:space="0" w:color="auto"/>
        <w:bottom w:val="none" w:sz="0" w:space="0" w:color="auto"/>
        <w:right w:val="none" w:sz="0" w:space="0" w:color="auto"/>
      </w:divBdr>
    </w:div>
    <w:div w:id="191656612">
      <w:bodyDiv w:val="1"/>
      <w:marLeft w:val="0"/>
      <w:marRight w:val="0"/>
      <w:marTop w:val="0"/>
      <w:marBottom w:val="0"/>
      <w:divBdr>
        <w:top w:val="none" w:sz="0" w:space="0" w:color="auto"/>
        <w:left w:val="none" w:sz="0" w:space="0" w:color="auto"/>
        <w:bottom w:val="none" w:sz="0" w:space="0" w:color="auto"/>
        <w:right w:val="none" w:sz="0" w:space="0" w:color="auto"/>
      </w:divBdr>
    </w:div>
    <w:div w:id="200216150">
      <w:bodyDiv w:val="1"/>
      <w:marLeft w:val="0"/>
      <w:marRight w:val="0"/>
      <w:marTop w:val="0"/>
      <w:marBottom w:val="0"/>
      <w:divBdr>
        <w:top w:val="none" w:sz="0" w:space="0" w:color="auto"/>
        <w:left w:val="none" w:sz="0" w:space="0" w:color="auto"/>
        <w:bottom w:val="none" w:sz="0" w:space="0" w:color="auto"/>
        <w:right w:val="none" w:sz="0" w:space="0" w:color="auto"/>
      </w:divBdr>
    </w:div>
    <w:div w:id="211312124">
      <w:bodyDiv w:val="1"/>
      <w:marLeft w:val="0"/>
      <w:marRight w:val="0"/>
      <w:marTop w:val="0"/>
      <w:marBottom w:val="0"/>
      <w:divBdr>
        <w:top w:val="none" w:sz="0" w:space="0" w:color="auto"/>
        <w:left w:val="none" w:sz="0" w:space="0" w:color="auto"/>
        <w:bottom w:val="none" w:sz="0" w:space="0" w:color="auto"/>
        <w:right w:val="none" w:sz="0" w:space="0" w:color="auto"/>
      </w:divBdr>
    </w:div>
    <w:div w:id="215507327">
      <w:bodyDiv w:val="1"/>
      <w:marLeft w:val="0"/>
      <w:marRight w:val="0"/>
      <w:marTop w:val="0"/>
      <w:marBottom w:val="0"/>
      <w:divBdr>
        <w:top w:val="none" w:sz="0" w:space="0" w:color="auto"/>
        <w:left w:val="none" w:sz="0" w:space="0" w:color="auto"/>
        <w:bottom w:val="none" w:sz="0" w:space="0" w:color="auto"/>
        <w:right w:val="none" w:sz="0" w:space="0" w:color="auto"/>
      </w:divBdr>
    </w:div>
    <w:div w:id="245188547">
      <w:bodyDiv w:val="1"/>
      <w:marLeft w:val="0"/>
      <w:marRight w:val="0"/>
      <w:marTop w:val="0"/>
      <w:marBottom w:val="0"/>
      <w:divBdr>
        <w:top w:val="none" w:sz="0" w:space="0" w:color="auto"/>
        <w:left w:val="none" w:sz="0" w:space="0" w:color="auto"/>
        <w:bottom w:val="none" w:sz="0" w:space="0" w:color="auto"/>
        <w:right w:val="none" w:sz="0" w:space="0" w:color="auto"/>
      </w:divBdr>
    </w:div>
    <w:div w:id="252587893">
      <w:bodyDiv w:val="1"/>
      <w:marLeft w:val="0"/>
      <w:marRight w:val="0"/>
      <w:marTop w:val="0"/>
      <w:marBottom w:val="0"/>
      <w:divBdr>
        <w:top w:val="none" w:sz="0" w:space="0" w:color="auto"/>
        <w:left w:val="none" w:sz="0" w:space="0" w:color="auto"/>
        <w:bottom w:val="none" w:sz="0" w:space="0" w:color="auto"/>
        <w:right w:val="none" w:sz="0" w:space="0" w:color="auto"/>
      </w:divBdr>
    </w:div>
    <w:div w:id="279454743">
      <w:bodyDiv w:val="1"/>
      <w:marLeft w:val="0"/>
      <w:marRight w:val="0"/>
      <w:marTop w:val="0"/>
      <w:marBottom w:val="0"/>
      <w:divBdr>
        <w:top w:val="none" w:sz="0" w:space="0" w:color="auto"/>
        <w:left w:val="none" w:sz="0" w:space="0" w:color="auto"/>
        <w:bottom w:val="none" w:sz="0" w:space="0" w:color="auto"/>
        <w:right w:val="none" w:sz="0" w:space="0" w:color="auto"/>
      </w:divBdr>
    </w:div>
    <w:div w:id="304313895">
      <w:bodyDiv w:val="1"/>
      <w:marLeft w:val="0"/>
      <w:marRight w:val="0"/>
      <w:marTop w:val="0"/>
      <w:marBottom w:val="0"/>
      <w:divBdr>
        <w:top w:val="none" w:sz="0" w:space="0" w:color="auto"/>
        <w:left w:val="none" w:sz="0" w:space="0" w:color="auto"/>
        <w:bottom w:val="none" w:sz="0" w:space="0" w:color="auto"/>
        <w:right w:val="none" w:sz="0" w:space="0" w:color="auto"/>
      </w:divBdr>
    </w:div>
    <w:div w:id="317002227">
      <w:bodyDiv w:val="1"/>
      <w:marLeft w:val="0"/>
      <w:marRight w:val="0"/>
      <w:marTop w:val="0"/>
      <w:marBottom w:val="0"/>
      <w:divBdr>
        <w:top w:val="none" w:sz="0" w:space="0" w:color="auto"/>
        <w:left w:val="none" w:sz="0" w:space="0" w:color="auto"/>
        <w:bottom w:val="none" w:sz="0" w:space="0" w:color="auto"/>
        <w:right w:val="none" w:sz="0" w:space="0" w:color="auto"/>
      </w:divBdr>
    </w:div>
    <w:div w:id="318190052">
      <w:bodyDiv w:val="1"/>
      <w:marLeft w:val="0"/>
      <w:marRight w:val="0"/>
      <w:marTop w:val="0"/>
      <w:marBottom w:val="0"/>
      <w:divBdr>
        <w:top w:val="none" w:sz="0" w:space="0" w:color="auto"/>
        <w:left w:val="none" w:sz="0" w:space="0" w:color="auto"/>
        <w:bottom w:val="none" w:sz="0" w:space="0" w:color="auto"/>
        <w:right w:val="none" w:sz="0" w:space="0" w:color="auto"/>
      </w:divBdr>
    </w:div>
    <w:div w:id="384380859">
      <w:bodyDiv w:val="1"/>
      <w:marLeft w:val="0"/>
      <w:marRight w:val="0"/>
      <w:marTop w:val="0"/>
      <w:marBottom w:val="0"/>
      <w:divBdr>
        <w:top w:val="none" w:sz="0" w:space="0" w:color="auto"/>
        <w:left w:val="none" w:sz="0" w:space="0" w:color="auto"/>
        <w:bottom w:val="none" w:sz="0" w:space="0" w:color="auto"/>
        <w:right w:val="none" w:sz="0" w:space="0" w:color="auto"/>
      </w:divBdr>
    </w:div>
    <w:div w:id="398478312">
      <w:bodyDiv w:val="1"/>
      <w:marLeft w:val="0"/>
      <w:marRight w:val="0"/>
      <w:marTop w:val="0"/>
      <w:marBottom w:val="0"/>
      <w:divBdr>
        <w:top w:val="none" w:sz="0" w:space="0" w:color="auto"/>
        <w:left w:val="none" w:sz="0" w:space="0" w:color="auto"/>
        <w:bottom w:val="none" w:sz="0" w:space="0" w:color="auto"/>
        <w:right w:val="none" w:sz="0" w:space="0" w:color="auto"/>
      </w:divBdr>
    </w:div>
    <w:div w:id="399062452">
      <w:bodyDiv w:val="1"/>
      <w:marLeft w:val="0"/>
      <w:marRight w:val="0"/>
      <w:marTop w:val="0"/>
      <w:marBottom w:val="0"/>
      <w:divBdr>
        <w:top w:val="none" w:sz="0" w:space="0" w:color="auto"/>
        <w:left w:val="none" w:sz="0" w:space="0" w:color="auto"/>
        <w:bottom w:val="none" w:sz="0" w:space="0" w:color="auto"/>
        <w:right w:val="none" w:sz="0" w:space="0" w:color="auto"/>
      </w:divBdr>
    </w:div>
    <w:div w:id="423116643">
      <w:bodyDiv w:val="1"/>
      <w:marLeft w:val="0"/>
      <w:marRight w:val="0"/>
      <w:marTop w:val="0"/>
      <w:marBottom w:val="0"/>
      <w:divBdr>
        <w:top w:val="none" w:sz="0" w:space="0" w:color="auto"/>
        <w:left w:val="none" w:sz="0" w:space="0" w:color="auto"/>
        <w:bottom w:val="none" w:sz="0" w:space="0" w:color="auto"/>
        <w:right w:val="none" w:sz="0" w:space="0" w:color="auto"/>
      </w:divBdr>
    </w:div>
    <w:div w:id="425419078">
      <w:bodyDiv w:val="1"/>
      <w:marLeft w:val="0"/>
      <w:marRight w:val="0"/>
      <w:marTop w:val="0"/>
      <w:marBottom w:val="0"/>
      <w:divBdr>
        <w:top w:val="none" w:sz="0" w:space="0" w:color="auto"/>
        <w:left w:val="none" w:sz="0" w:space="0" w:color="auto"/>
        <w:bottom w:val="none" w:sz="0" w:space="0" w:color="auto"/>
        <w:right w:val="none" w:sz="0" w:space="0" w:color="auto"/>
      </w:divBdr>
      <w:divsChild>
        <w:div w:id="888221293">
          <w:marLeft w:val="0"/>
          <w:marRight w:val="0"/>
          <w:marTop w:val="100"/>
          <w:marBottom w:val="100"/>
          <w:divBdr>
            <w:top w:val="none" w:sz="0" w:space="0" w:color="auto"/>
            <w:left w:val="none" w:sz="0" w:space="0" w:color="auto"/>
            <w:bottom w:val="none" w:sz="0" w:space="0" w:color="auto"/>
            <w:right w:val="none" w:sz="0" w:space="0" w:color="auto"/>
          </w:divBdr>
          <w:divsChild>
            <w:div w:id="1179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7174">
      <w:bodyDiv w:val="1"/>
      <w:marLeft w:val="0"/>
      <w:marRight w:val="0"/>
      <w:marTop w:val="0"/>
      <w:marBottom w:val="0"/>
      <w:divBdr>
        <w:top w:val="none" w:sz="0" w:space="0" w:color="auto"/>
        <w:left w:val="none" w:sz="0" w:space="0" w:color="auto"/>
        <w:bottom w:val="none" w:sz="0" w:space="0" w:color="auto"/>
        <w:right w:val="none" w:sz="0" w:space="0" w:color="auto"/>
      </w:divBdr>
    </w:div>
    <w:div w:id="431782144">
      <w:bodyDiv w:val="1"/>
      <w:marLeft w:val="0"/>
      <w:marRight w:val="0"/>
      <w:marTop w:val="0"/>
      <w:marBottom w:val="0"/>
      <w:divBdr>
        <w:top w:val="none" w:sz="0" w:space="0" w:color="auto"/>
        <w:left w:val="none" w:sz="0" w:space="0" w:color="auto"/>
        <w:bottom w:val="none" w:sz="0" w:space="0" w:color="auto"/>
        <w:right w:val="none" w:sz="0" w:space="0" w:color="auto"/>
      </w:divBdr>
    </w:div>
    <w:div w:id="443886117">
      <w:bodyDiv w:val="1"/>
      <w:marLeft w:val="0"/>
      <w:marRight w:val="0"/>
      <w:marTop w:val="0"/>
      <w:marBottom w:val="0"/>
      <w:divBdr>
        <w:top w:val="none" w:sz="0" w:space="0" w:color="auto"/>
        <w:left w:val="none" w:sz="0" w:space="0" w:color="auto"/>
        <w:bottom w:val="none" w:sz="0" w:space="0" w:color="auto"/>
        <w:right w:val="none" w:sz="0" w:space="0" w:color="auto"/>
      </w:divBdr>
    </w:div>
    <w:div w:id="457921066">
      <w:bodyDiv w:val="1"/>
      <w:marLeft w:val="0"/>
      <w:marRight w:val="0"/>
      <w:marTop w:val="0"/>
      <w:marBottom w:val="0"/>
      <w:divBdr>
        <w:top w:val="none" w:sz="0" w:space="0" w:color="auto"/>
        <w:left w:val="none" w:sz="0" w:space="0" w:color="auto"/>
        <w:bottom w:val="none" w:sz="0" w:space="0" w:color="auto"/>
        <w:right w:val="none" w:sz="0" w:space="0" w:color="auto"/>
      </w:divBdr>
    </w:div>
    <w:div w:id="488982818">
      <w:bodyDiv w:val="1"/>
      <w:marLeft w:val="0"/>
      <w:marRight w:val="0"/>
      <w:marTop w:val="0"/>
      <w:marBottom w:val="0"/>
      <w:divBdr>
        <w:top w:val="none" w:sz="0" w:space="0" w:color="auto"/>
        <w:left w:val="none" w:sz="0" w:space="0" w:color="auto"/>
        <w:bottom w:val="none" w:sz="0" w:space="0" w:color="auto"/>
        <w:right w:val="none" w:sz="0" w:space="0" w:color="auto"/>
      </w:divBdr>
    </w:div>
    <w:div w:id="546914611">
      <w:bodyDiv w:val="1"/>
      <w:marLeft w:val="0"/>
      <w:marRight w:val="0"/>
      <w:marTop w:val="0"/>
      <w:marBottom w:val="0"/>
      <w:divBdr>
        <w:top w:val="none" w:sz="0" w:space="0" w:color="auto"/>
        <w:left w:val="none" w:sz="0" w:space="0" w:color="auto"/>
        <w:bottom w:val="none" w:sz="0" w:space="0" w:color="auto"/>
        <w:right w:val="none" w:sz="0" w:space="0" w:color="auto"/>
      </w:divBdr>
    </w:div>
    <w:div w:id="558977981">
      <w:bodyDiv w:val="1"/>
      <w:marLeft w:val="0"/>
      <w:marRight w:val="0"/>
      <w:marTop w:val="0"/>
      <w:marBottom w:val="0"/>
      <w:divBdr>
        <w:top w:val="none" w:sz="0" w:space="0" w:color="auto"/>
        <w:left w:val="none" w:sz="0" w:space="0" w:color="auto"/>
        <w:bottom w:val="none" w:sz="0" w:space="0" w:color="auto"/>
        <w:right w:val="none" w:sz="0" w:space="0" w:color="auto"/>
      </w:divBdr>
    </w:div>
    <w:div w:id="611475416">
      <w:bodyDiv w:val="1"/>
      <w:marLeft w:val="0"/>
      <w:marRight w:val="0"/>
      <w:marTop w:val="0"/>
      <w:marBottom w:val="0"/>
      <w:divBdr>
        <w:top w:val="none" w:sz="0" w:space="0" w:color="auto"/>
        <w:left w:val="none" w:sz="0" w:space="0" w:color="auto"/>
        <w:bottom w:val="none" w:sz="0" w:space="0" w:color="auto"/>
        <w:right w:val="none" w:sz="0" w:space="0" w:color="auto"/>
      </w:divBdr>
    </w:div>
    <w:div w:id="640767670">
      <w:bodyDiv w:val="1"/>
      <w:marLeft w:val="0"/>
      <w:marRight w:val="0"/>
      <w:marTop w:val="0"/>
      <w:marBottom w:val="0"/>
      <w:divBdr>
        <w:top w:val="none" w:sz="0" w:space="0" w:color="auto"/>
        <w:left w:val="none" w:sz="0" w:space="0" w:color="auto"/>
        <w:bottom w:val="none" w:sz="0" w:space="0" w:color="auto"/>
        <w:right w:val="none" w:sz="0" w:space="0" w:color="auto"/>
      </w:divBdr>
    </w:div>
    <w:div w:id="650213957">
      <w:bodyDiv w:val="1"/>
      <w:marLeft w:val="0"/>
      <w:marRight w:val="0"/>
      <w:marTop w:val="0"/>
      <w:marBottom w:val="0"/>
      <w:divBdr>
        <w:top w:val="none" w:sz="0" w:space="0" w:color="auto"/>
        <w:left w:val="none" w:sz="0" w:space="0" w:color="auto"/>
        <w:bottom w:val="none" w:sz="0" w:space="0" w:color="auto"/>
        <w:right w:val="none" w:sz="0" w:space="0" w:color="auto"/>
      </w:divBdr>
    </w:div>
    <w:div w:id="657804711">
      <w:bodyDiv w:val="1"/>
      <w:marLeft w:val="0"/>
      <w:marRight w:val="0"/>
      <w:marTop w:val="0"/>
      <w:marBottom w:val="0"/>
      <w:divBdr>
        <w:top w:val="none" w:sz="0" w:space="0" w:color="auto"/>
        <w:left w:val="none" w:sz="0" w:space="0" w:color="auto"/>
        <w:bottom w:val="none" w:sz="0" w:space="0" w:color="auto"/>
        <w:right w:val="none" w:sz="0" w:space="0" w:color="auto"/>
      </w:divBdr>
      <w:divsChild>
        <w:div w:id="251856540">
          <w:marLeft w:val="0"/>
          <w:marRight w:val="0"/>
          <w:marTop w:val="100"/>
          <w:marBottom w:val="100"/>
          <w:divBdr>
            <w:top w:val="none" w:sz="0" w:space="0" w:color="auto"/>
            <w:left w:val="none" w:sz="0" w:space="0" w:color="auto"/>
            <w:bottom w:val="none" w:sz="0" w:space="0" w:color="auto"/>
            <w:right w:val="none" w:sz="0" w:space="0" w:color="auto"/>
          </w:divBdr>
          <w:divsChild>
            <w:div w:id="7251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2908">
      <w:bodyDiv w:val="1"/>
      <w:marLeft w:val="0"/>
      <w:marRight w:val="0"/>
      <w:marTop w:val="0"/>
      <w:marBottom w:val="0"/>
      <w:divBdr>
        <w:top w:val="none" w:sz="0" w:space="0" w:color="auto"/>
        <w:left w:val="none" w:sz="0" w:space="0" w:color="auto"/>
        <w:bottom w:val="none" w:sz="0" w:space="0" w:color="auto"/>
        <w:right w:val="none" w:sz="0" w:space="0" w:color="auto"/>
      </w:divBdr>
    </w:div>
    <w:div w:id="763067226">
      <w:bodyDiv w:val="1"/>
      <w:marLeft w:val="0"/>
      <w:marRight w:val="0"/>
      <w:marTop w:val="0"/>
      <w:marBottom w:val="0"/>
      <w:divBdr>
        <w:top w:val="none" w:sz="0" w:space="0" w:color="auto"/>
        <w:left w:val="none" w:sz="0" w:space="0" w:color="auto"/>
        <w:bottom w:val="none" w:sz="0" w:space="0" w:color="auto"/>
        <w:right w:val="none" w:sz="0" w:space="0" w:color="auto"/>
      </w:divBdr>
    </w:div>
    <w:div w:id="778068362">
      <w:bodyDiv w:val="1"/>
      <w:marLeft w:val="0"/>
      <w:marRight w:val="0"/>
      <w:marTop w:val="0"/>
      <w:marBottom w:val="0"/>
      <w:divBdr>
        <w:top w:val="none" w:sz="0" w:space="0" w:color="auto"/>
        <w:left w:val="none" w:sz="0" w:space="0" w:color="auto"/>
        <w:bottom w:val="none" w:sz="0" w:space="0" w:color="auto"/>
        <w:right w:val="none" w:sz="0" w:space="0" w:color="auto"/>
      </w:divBdr>
    </w:div>
    <w:div w:id="801194810">
      <w:bodyDiv w:val="1"/>
      <w:marLeft w:val="0"/>
      <w:marRight w:val="0"/>
      <w:marTop w:val="0"/>
      <w:marBottom w:val="0"/>
      <w:divBdr>
        <w:top w:val="none" w:sz="0" w:space="0" w:color="auto"/>
        <w:left w:val="none" w:sz="0" w:space="0" w:color="auto"/>
        <w:bottom w:val="none" w:sz="0" w:space="0" w:color="auto"/>
        <w:right w:val="none" w:sz="0" w:space="0" w:color="auto"/>
      </w:divBdr>
    </w:div>
    <w:div w:id="837615849">
      <w:bodyDiv w:val="1"/>
      <w:marLeft w:val="0"/>
      <w:marRight w:val="0"/>
      <w:marTop w:val="0"/>
      <w:marBottom w:val="0"/>
      <w:divBdr>
        <w:top w:val="none" w:sz="0" w:space="0" w:color="auto"/>
        <w:left w:val="none" w:sz="0" w:space="0" w:color="auto"/>
        <w:bottom w:val="none" w:sz="0" w:space="0" w:color="auto"/>
        <w:right w:val="none" w:sz="0" w:space="0" w:color="auto"/>
      </w:divBdr>
    </w:div>
    <w:div w:id="866600294">
      <w:bodyDiv w:val="1"/>
      <w:marLeft w:val="0"/>
      <w:marRight w:val="0"/>
      <w:marTop w:val="0"/>
      <w:marBottom w:val="0"/>
      <w:divBdr>
        <w:top w:val="none" w:sz="0" w:space="0" w:color="auto"/>
        <w:left w:val="none" w:sz="0" w:space="0" w:color="auto"/>
        <w:bottom w:val="none" w:sz="0" w:space="0" w:color="auto"/>
        <w:right w:val="none" w:sz="0" w:space="0" w:color="auto"/>
      </w:divBdr>
    </w:div>
    <w:div w:id="886332546">
      <w:bodyDiv w:val="1"/>
      <w:marLeft w:val="0"/>
      <w:marRight w:val="0"/>
      <w:marTop w:val="0"/>
      <w:marBottom w:val="0"/>
      <w:divBdr>
        <w:top w:val="none" w:sz="0" w:space="0" w:color="auto"/>
        <w:left w:val="none" w:sz="0" w:space="0" w:color="auto"/>
        <w:bottom w:val="none" w:sz="0" w:space="0" w:color="auto"/>
        <w:right w:val="none" w:sz="0" w:space="0" w:color="auto"/>
      </w:divBdr>
    </w:div>
    <w:div w:id="892305014">
      <w:bodyDiv w:val="1"/>
      <w:marLeft w:val="0"/>
      <w:marRight w:val="0"/>
      <w:marTop w:val="0"/>
      <w:marBottom w:val="0"/>
      <w:divBdr>
        <w:top w:val="none" w:sz="0" w:space="0" w:color="auto"/>
        <w:left w:val="none" w:sz="0" w:space="0" w:color="auto"/>
        <w:bottom w:val="none" w:sz="0" w:space="0" w:color="auto"/>
        <w:right w:val="none" w:sz="0" w:space="0" w:color="auto"/>
      </w:divBdr>
    </w:div>
    <w:div w:id="901020271">
      <w:bodyDiv w:val="1"/>
      <w:marLeft w:val="0"/>
      <w:marRight w:val="0"/>
      <w:marTop w:val="0"/>
      <w:marBottom w:val="0"/>
      <w:divBdr>
        <w:top w:val="none" w:sz="0" w:space="0" w:color="auto"/>
        <w:left w:val="none" w:sz="0" w:space="0" w:color="auto"/>
        <w:bottom w:val="none" w:sz="0" w:space="0" w:color="auto"/>
        <w:right w:val="none" w:sz="0" w:space="0" w:color="auto"/>
      </w:divBdr>
    </w:div>
    <w:div w:id="903487942">
      <w:bodyDiv w:val="1"/>
      <w:marLeft w:val="0"/>
      <w:marRight w:val="0"/>
      <w:marTop w:val="0"/>
      <w:marBottom w:val="0"/>
      <w:divBdr>
        <w:top w:val="none" w:sz="0" w:space="0" w:color="auto"/>
        <w:left w:val="none" w:sz="0" w:space="0" w:color="auto"/>
        <w:bottom w:val="none" w:sz="0" w:space="0" w:color="auto"/>
        <w:right w:val="none" w:sz="0" w:space="0" w:color="auto"/>
      </w:divBdr>
    </w:div>
    <w:div w:id="905795152">
      <w:bodyDiv w:val="1"/>
      <w:marLeft w:val="0"/>
      <w:marRight w:val="0"/>
      <w:marTop w:val="0"/>
      <w:marBottom w:val="0"/>
      <w:divBdr>
        <w:top w:val="none" w:sz="0" w:space="0" w:color="auto"/>
        <w:left w:val="none" w:sz="0" w:space="0" w:color="auto"/>
        <w:bottom w:val="none" w:sz="0" w:space="0" w:color="auto"/>
        <w:right w:val="none" w:sz="0" w:space="0" w:color="auto"/>
      </w:divBdr>
    </w:div>
    <w:div w:id="921374901">
      <w:bodyDiv w:val="1"/>
      <w:marLeft w:val="0"/>
      <w:marRight w:val="0"/>
      <w:marTop w:val="0"/>
      <w:marBottom w:val="0"/>
      <w:divBdr>
        <w:top w:val="none" w:sz="0" w:space="0" w:color="auto"/>
        <w:left w:val="none" w:sz="0" w:space="0" w:color="auto"/>
        <w:bottom w:val="none" w:sz="0" w:space="0" w:color="auto"/>
        <w:right w:val="none" w:sz="0" w:space="0" w:color="auto"/>
      </w:divBdr>
    </w:div>
    <w:div w:id="933587201">
      <w:bodyDiv w:val="1"/>
      <w:marLeft w:val="0"/>
      <w:marRight w:val="0"/>
      <w:marTop w:val="0"/>
      <w:marBottom w:val="0"/>
      <w:divBdr>
        <w:top w:val="none" w:sz="0" w:space="0" w:color="auto"/>
        <w:left w:val="none" w:sz="0" w:space="0" w:color="auto"/>
        <w:bottom w:val="none" w:sz="0" w:space="0" w:color="auto"/>
        <w:right w:val="none" w:sz="0" w:space="0" w:color="auto"/>
      </w:divBdr>
    </w:div>
    <w:div w:id="962615281">
      <w:bodyDiv w:val="1"/>
      <w:marLeft w:val="0"/>
      <w:marRight w:val="0"/>
      <w:marTop w:val="0"/>
      <w:marBottom w:val="0"/>
      <w:divBdr>
        <w:top w:val="none" w:sz="0" w:space="0" w:color="auto"/>
        <w:left w:val="none" w:sz="0" w:space="0" w:color="auto"/>
        <w:bottom w:val="none" w:sz="0" w:space="0" w:color="auto"/>
        <w:right w:val="none" w:sz="0" w:space="0" w:color="auto"/>
      </w:divBdr>
    </w:div>
    <w:div w:id="971059522">
      <w:bodyDiv w:val="1"/>
      <w:marLeft w:val="0"/>
      <w:marRight w:val="0"/>
      <w:marTop w:val="0"/>
      <w:marBottom w:val="0"/>
      <w:divBdr>
        <w:top w:val="none" w:sz="0" w:space="0" w:color="auto"/>
        <w:left w:val="none" w:sz="0" w:space="0" w:color="auto"/>
        <w:bottom w:val="none" w:sz="0" w:space="0" w:color="auto"/>
        <w:right w:val="none" w:sz="0" w:space="0" w:color="auto"/>
      </w:divBdr>
    </w:div>
    <w:div w:id="992024934">
      <w:bodyDiv w:val="1"/>
      <w:marLeft w:val="0"/>
      <w:marRight w:val="0"/>
      <w:marTop w:val="0"/>
      <w:marBottom w:val="0"/>
      <w:divBdr>
        <w:top w:val="none" w:sz="0" w:space="0" w:color="auto"/>
        <w:left w:val="none" w:sz="0" w:space="0" w:color="auto"/>
        <w:bottom w:val="none" w:sz="0" w:space="0" w:color="auto"/>
        <w:right w:val="none" w:sz="0" w:space="0" w:color="auto"/>
      </w:divBdr>
    </w:div>
    <w:div w:id="1022122976">
      <w:bodyDiv w:val="1"/>
      <w:marLeft w:val="0"/>
      <w:marRight w:val="0"/>
      <w:marTop w:val="0"/>
      <w:marBottom w:val="0"/>
      <w:divBdr>
        <w:top w:val="none" w:sz="0" w:space="0" w:color="auto"/>
        <w:left w:val="none" w:sz="0" w:space="0" w:color="auto"/>
        <w:bottom w:val="none" w:sz="0" w:space="0" w:color="auto"/>
        <w:right w:val="none" w:sz="0" w:space="0" w:color="auto"/>
      </w:divBdr>
    </w:div>
    <w:div w:id="1090196471">
      <w:bodyDiv w:val="1"/>
      <w:marLeft w:val="0"/>
      <w:marRight w:val="0"/>
      <w:marTop w:val="0"/>
      <w:marBottom w:val="0"/>
      <w:divBdr>
        <w:top w:val="none" w:sz="0" w:space="0" w:color="auto"/>
        <w:left w:val="none" w:sz="0" w:space="0" w:color="auto"/>
        <w:bottom w:val="none" w:sz="0" w:space="0" w:color="auto"/>
        <w:right w:val="none" w:sz="0" w:space="0" w:color="auto"/>
      </w:divBdr>
    </w:div>
    <w:div w:id="1112092051">
      <w:bodyDiv w:val="1"/>
      <w:marLeft w:val="0"/>
      <w:marRight w:val="0"/>
      <w:marTop w:val="0"/>
      <w:marBottom w:val="0"/>
      <w:divBdr>
        <w:top w:val="none" w:sz="0" w:space="0" w:color="auto"/>
        <w:left w:val="none" w:sz="0" w:space="0" w:color="auto"/>
        <w:bottom w:val="none" w:sz="0" w:space="0" w:color="auto"/>
        <w:right w:val="none" w:sz="0" w:space="0" w:color="auto"/>
      </w:divBdr>
    </w:div>
    <w:div w:id="1130980539">
      <w:bodyDiv w:val="1"/>
      <w:marLeft w:val="0"/>
      <w:marRight w:val="0"/>
      <w:marTop w:val="0"/>
      <w:marBottom w:val="0"/>
      <w:divBdr>
        <w:top w:val="none" w:sz="0" w:space="0" w:color="auto"/>
        <w:left w:val="none" w:sz="0" w:space="0" w:color="auto"/>
        <w:bottom w:val="none" w:sz="0" w:space="0" w:color="auto"/>
        <w:right w:val="none" w:sz="0" w:space="0" w:color="auto"/>
      </w:divBdr>
    </w:div>
    <w:div w:id="1135180860">
      <w:bodyDiv w:val="1"/>
      <w:marLeft w:val="0"/>
      <w:marRight w:val="0"/>
      <w:marTop w:val="0"/>
      <w:marBottom w:val="0"/>
      <w:divBdr>
        <w:top w:val="none" w:sz="0" w:space="0" w:color="auto"/>
        <w:left w:val="none" w:sz="0" w:space="0" w:color="auto"/>
        <w:bottom w:val="none" w:sz="0" w:space="0" w:color="auto"/>
        <w:right w:val="none" w:sz="0" w:space="0" w:color="auto"/>
      </w:divBdr>
    </w:div>
    <w:div w:id="1158810331">
      <w:bodyDiv w:val="1"/>
      <w:marLeft w:val="0"/>
      <w:marRight w:val="0"/>
      <w:marTop w:val="0"/>
      <w:marBottom w:val="0"/>
      <w:divBdr>
        <w:top w:val="none" w:sz="0" w:space="0" w:color="auto"/>
        <w:left w:val="none" w:sz="0" w:space="0" w:color="auto"/>
        <w:bottom w:val="none" w:sz="0" w:space="0" w:color="auto"/>
        <w:right w:val="none" w:sz="0" w:space="0" w:color="auto"/>
      </w:divBdr>
      <w:divsChild>
        <w:div w:id="191185072">
          <w:marLeft w:val="0"/>
          <w:marRight w:val="0"/>
          <w:marTop w:val="0"/>
          <w:marBottom w:val="0"/>
          <w:divBdr>
            <w:top w:val="single" w:sz="6" w:space="3" w:color="DBDEE1"/>
            <w:left w:val="single" w:sz="6" w:space="6" w:color="DBDEE1"/>
            <w:bottom w:val="single" w:sz="6" w:space="3" w:color="DBDEE1"/>
            <w:right w:val="single" w:sz="6" w:space="6" w:color="DBDEE1"/>
          </w:divBdr>
        </w:div>
      </w:divsChild>
    </w:div>
    <w:div w:id="1160536715">
      <w:bodyDiv w:val="1"/>
      <w:marLeft w:val="0"/>
      <w:marRight w:val="0"/>
      <w:marTop w:val="0"/>
      <w:marBottom w:val="0"/>
      <w:divBdr>
        <w:top w:val="none" w:sz="0" w:space="0" w:color="auto"/>
        <w:left w:val="none" w:sz="0" w:space="0" w:color="auto"/>
        <w:bottom w:val="none" w:sz="0" w:space="0" w:color="auto"/>
        <w:right w:val="none" w:sz="0" w:space="0" w:color="auto"/>
      </w:divBdr>
      <w:divsChild>
        <w:div w:id="1235122076">
          <w:marLeft w:val="0"/>
          <w:marRight w:val="0"/>
          <w:marTop w:val="0"/>
          <w:marBottom w:val="0"/>
          <w:divBdr>
            <w:top w:val="single" w:sz="6" w:space="3" w:color="DBDEE1"/>
            <w:left w:val="single" w:sz="6" w:space="6" w:color="DBDEE1"/>
            <w:bottom w:val="single" w:sz="6" w:space="3" w:color="DBDEE1"/>
            <w:right w:val="single" w:sz="6" w:space="6" w:color="DBDEE1"/>
          </w:divBdr>
        </w:div>
      </w:divsChild>
    </w:div>
    <w:div w:id="1166287521">
      <w:bodyDiv w:val="1"/>
      <w:marLeft w:val="0"/>
      <w:marRight w:val="0"/>
      <w:marTop w:val="0"/>
      <w:marBottom w:val="0"/>
      <w:divBdr>
        <w:top w:val="none" w:sz="0" w:space="0" w:color="auto"/>
        <w:left w:val="none" w:sz="0" w:space="0" w:color="auto"/>
        <w:bottom w:val="none" w:sz="0" w:space="0" w:color="auto"/>
        <w:right w:val="none" w:sz="0" w:space="0" w:color="auto"/>
      </w:divBdr>
    </w:div>
    <w:div w:id="1186944060">
      <w:bodyDiv w:val="1"/>
      <w:marLeft w:val="0"/>
      <w:marRight w:val="0"/>
      <w:marTop w:val="0"/>
      <w:marBottom w:val="0"/>
      <w:divBdr>
        <w:top w:val="none" w:sz="0" w:space="0" w:color="auto"/>
        <w:left w:val="none" w:sz="0" w:space="0" w:color="auto"/>
        <w:bottom w:val="none" w:sz="0" w:space="0" w:color="auto"/>
        <w:right w:val="none" w:sz="0" w:space="0" w:color="auto"/>
      </w:divBdr>
    </w:div>
    <w:div w:id="1245720220">
      <w:bodyDiv w:val="1"/>
      <w:marLeft w:val="0"/>
      <w:marRight w:val="0"/>
      <w:marTop w:val="0"/>
      <w:marBottom w:val="0"/>
      <w:divBdr>
        <w:top w:val="none" w:sz="0" w:space="0" w:color="auto"/>
        <w:left w:val="none" w:sz="0" w:space="0" w:color="auto"/>
        <w:bottom w:val="none" w:sz="0" w:space="0" w:color="auto"/>
        <w:right w:val="none" w:sz="0" w:space="0" w:color="auto"/>
      </w:divBdr>
    </w:div>
    <w:div w:id="1251156177">
      <w:bodyDiv w:val="1"/>
      <w:marLeft w:val="0"/>
      <w:marRight w:val="0"/>
      <w:marTop w:val="0"/>
      <w:marBottom w:val="0"/>
      <w:divBdr>
        <w:top w:val="none" w:sz="0" w:space="0" w:color="auto"/>
        <w:left w:val="none" w:sz="0" w:space="0" w:color="auto"/>
        <w:bottom w:val="none" w:sz="0" w:space="0" w:color="auto"/>
        <w:right w:val="none" w:sz="0" w:space="0" w:color="auto"/>
      </w:divBdr>
    </w:div>
    <w:div w:id="1374573068">
      <w:bodyDiv w:val="1"/>
      <w:marLeft w:val="0"/>
      <w:marRight w:val="0"/>
      <w:marTop w:val="0"/>
      <w:marBottom w:val="0"/>
      <w:divBdr>
        <w:top w:val="none" w:sz="0" w:space="0" w:color="auto"/>
        <w:left w:val="none" w:sz="0" w:space="0" w:color="auto"/>
        <w:bottom w:val="none" w:sz="0" w:space="0" w:color="auto"/>
        <w:right w:val="none" w:sz="0" w:space="0" w:color="auto"/>
      </w:divBdr>
    </w:div>
    <w:div w:id="1380739438">
      <w:bodyDiv w:val="1"/>
      <w:marLeft w:val="0"/>
      <w:marRight w:val="0"/>
      <w:marTop w:val="0"/>
      <w:marBottom w:val="0"/>
      <w:divBdr>
        <w:top w:val="none" w:sz="0" w:space="0" w:color="auto"/>
        <w:left w:val="none" w:sz="0" w:space="0" w:color="auto"/>
        <w:bottom w:val="none" w:sz="0" w:space="0" w:color="auto"/>
        <w:right w:val="none" w:sz="0" w:space="0" w:color="auto"/>
      </w:divBdr>
    </w:div>
    <w:div w:id="1393697161">
      <w:bodyDiv w:val="1"/>
      <w:marLeft w:val="0"/>
      <w:marRight w:val="0"/>
      <w:marTop w:val="0"/>
      <w:marBottom w:val="0"/>
      <w:divBdr>
        <w:top w:val="none" w:sz="0" w:space="0" w:color="auto"/>
        <w:left w:val="none" w:sz="0" w:space="0" w:color="auto"/>
        <w:bottom w:val="none" w:sz="0" w:space="0" w:color="auto"/>
        <w:right w:val="none" w:sz="0" w:space="0" w:color="auto"/>
      </w:divBdr>
    </w:div>
    <w:div w:id="1401294368">
      <w:bodyDiv w:val="1"/>
      <w:marLeft w:val="0"/>
      <w:marRight w:val="0"/>
      <w:marTop w:val="0"/>
      <w:marBottom w:val="0"/>
      <w:divBdr>
        <w:top w:val="none" w:sz="0" w:space="0" w:color="auto"/>
        <w:left w:val="none" w:sz="0" w:space="0" w:color="auto"/>
        <w:bottom w:val="none" w:sz="0" w:space="0" w:color="auto"/>
        <w:right w:val="none" w:sz="0" w:space="0" w:color="auto"/>
      </w:divBdr>
      <w:divsChild>
        <w:div w:id="133256790">
          <w:marLeft w:val="0"/>
          <w:marRight w:val="0"/>
          <w:marTop w:val="0"/>
          <w:marBottom w:val="0"/>
          <w:divBdr>
            <w:top w:val="none" w:sz="0" w:space="0" w:color="auto"/>
            <w:left w:val="none" w:sz="0" w:space="0" w:color="auto"/>
            <w:bottom w:val="none" w:sz="0" w:space="0" w:color="auto"/>
            <w:right w:val="none" w:sz="0" w:space="0" w:color="auto"/>
          </w:divBdr>
          <w:divsChild>
            <w:div w:id="252856629">
              <w:marLeft w:val="0"/>
              <w:marRight w:val="0"/>
              <w:marTop w:val="0"/>
              <w:marBottom w:val="0"/>
              <w:divBdr>
                <w:top w:val="none" w:sz="0" w:space="0" w:color="auto"/>
                <w:left w:val="none" w:sz="0" w:space="0" w:color="auto"/>
                <w:bottom w:val="none" w:sz="0" w:space="0" w:color="auto"/>
                <w:right w:val="none" w:sz="0" w:space="0" w:color="auto"/>
              </w:divBdr>
              <w:divsChild>
                <w:div w:id="9867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0709">
      <w:bodyDiv w:val="1"/>
      <w:marLeft w:val="0"/>
      <w:marRight w:val="0"/>
      <w:marTop w:val="0"/>
      <w:marBottom w:val="0"/>
      <w:divBdr>
        <w:top w:val="none" w:sz="0" w:space="0" w:color="auto"/>
        <w:left w:val="none" w:sz="0" w:space="0" w:color="auto"/>
        <w:bottom w:val="none" w:sz="0" w:space="0" w:color="auto"/>
        <w:right w:val="none" w:sz="0" w:space="0" w:color="auto"/>
      </w:divBdr>
    </w:div>
    <w:div w:id="1473131969">
      <w:bodyDiv w:val="1"/>
      <w:marLeft w:val="0"/>
      <w:marRight w:val="0"/>
      <w:marTop w:val="0"/>
      <w:marBottom w:val="0"/>
      <w:divBdr>
        <w:top w:val="none" w:sz="0" w:space="0" w:color="auto"/>
        <w:left w:val="none" w:sz="0" w:space="0" w:color="auto"/>
        <w:bottom w:val="none" w:sz="0" w:space="0" w:color="auto"/>
        <w:right w:val="none" w:sz="0" w:space="0" w:color="auto"/>
      </w:divBdr>
    </w:div>
    <w:div w:id="1533031762">
      <w:bodyDiv w:val="1"/>
      <w:marLeft w:val="0"/>
      <w:marRight w:val="0"/>
      <w:marTop w:val="0"/>
      <w:marBottom w:val="0"/>
      <w:divBdr>
        <w:top w:val="none" w:sz="0" w:space="0" w:color="auto"/>
        <w:left w:val="none" w:sz="0" w:space="0" w:color="auto"/>
        <w:bottom w:val="none" w:sz="0" w:space="0" w:color="auto"/>
        <w:right w:val="none" w:sz="0" w:space="0" w:color="auto"/>
      </w:divBdr>
    </w:div>
    <w:div w:id="1535344497">
      <w:bodyDiv w:val="1"/>
      <w:marLeft w:val="0"/>
      <w:marRight w:val="0"/>
      <w:marTop w:val="0"/>
      <w:marBottom w:val="0"/>
      <w:divBdr>
        <w:top w:val="none" w:sz="0" w:space="0" w:color="auto"/>
        <w:left w:val="none" w:sz="0" w:space="0" w:color="auto"/>
        <w:bottom w:val="none" w:sz="0" w:space="0" w:color="auto"/>
        <w:right w:val="none" w:sz="0" w:space="0" w:color="auto"/>
      </w:divBdr>
    </w:div>
    <w:div w:id="1622414158">
      <w:bodyDiv w:val="1"/>
      <w:marLeft w:val="0"/>
      <w:marRight w:val="0"/>
      <w:marTop w:val="0"/>
      <w:marBottom w:val="0"/>
      <w:divBdr>
        <w:top w:val="none" w:sz="0" w:space="0" w:color="auto"/>
        <w:left w:val="none" w:sz="0" w:space="0" w:color="auto"/>
        <w:bottom w:val="none" w:sz="0" w:space="0" w:color="auto"/>
        <w:right w:val="none" w:sz="0" w:space="0" w:color="auto"/>
      </w:divBdr>
    </w:div>
    <w:div w:id="1635021335">
      <w:bodyDiv w:val="1"/>
      <w:marLeft w:val="0"/>
      <w:marRight w:val="0"/>
      <w:marTop w:val="0"/>
      <w:marBottom w:val="0"/>
      <w:divBdr>
        <w:top w:val="none" w:sz="0" w:space="0" w:color="auto"/>
        <w:left w:val="none" w:sz="0" w:space="0" w:color="auto"/>
        <w:bottom w:val="none" w:sz="0" w:space="0" w:color="auto"/>
        <w:right w:val="none" w:sz="0" w:space="0" w:color="auto"/>
      </w:divBdr>
    </w:div>
    <w:div w:id="1639140821">
      <w:bodyDiv w:val="1"/>
      <w:marLeft w:val="0"/>
      <w:marRight w:val="0"/>
      <w:marTop w:val="0"/>
      <w:marBottom w:val="0"/>
      <w:divBdr>
        <w:top w:val="none" w:sz="0" w:space="0" w:color="auto"/>
        <w:left w:val="none" w:sz="0" w:space="0" w:color="auto"/>
        <w:bottom w:val="none" w:sz="0" w:space="0" w:color="auto"/>
        <w:right w:val="none" w:sz="0" w:space="0" w:color="auto"/>
      </w:divBdr>
    </w:div>
    <w:div w:id="1641957637">
      <w:bodyDiv w:val="1"/>
      <w:marLeft w:val="0"/>
      <w:marRight w:val="0"/>
      <w:marTop w:val="0"/>
      <w:marBottom w:val="0"/>
      <w:divBdr>
        <w:top w:val="none" w:sz="0" w:space="0" w:color="auto"/>
        <w:left w:val="none" w:sz="0" w:space="0" w:color="auto"/>
        <w:bottom w:val="none" w:sz="0" w:space="0" w:color="auto"/>
        <w:right w:val="none" w:sz="0" w:space="0" w:color="auto"/>
      </w:divBdr>
    </w:div>
    <w:div w:id="1654093367">
      <w:bodyDiv w:val="1"/>
      <w:marLeft w:val="0"/>
      <w:marRight w:val="0"/>
      <w:marTop w:val="0"/>
      <w:marBottom w:val="0"/>
      <w:divBdr>
        <w:top w:val="none" w:sz="0" w:space="0" w:color="auto"/>
        <w:left w:val="none" w:sz="0" w:space="0" w:color="auto"/>
        <w:bottom w:val="none" w:sz="0" w:space="0" w:color="auto"/>
        <w:right w:val="none" w:sz="0" w:space="0" w:color="auto"/>
      </w:divBdr>
    </w:div>
    <w:div w:id="1660230480">
      <w:bodyDiv w:val="1"/>
      <w:marLeft w:val="0"/>
      <w:marRight w:val="0"/>
      <w:marTop w:val="0"/>
      <w:marBottom w:val="0"/>
      <w:divBdr>
        <w:top w:val="none" w:sz="0" w:space="0" w:color="auto"/>
        <w:left w:val="none" w:sz="0" w:space="0" w:color="auto"/>
        <w:bottom w:val="none" w:sz="0" w:space="0" w:color="auto"/>
        <w:right w:val="none" w:sz="0" w:space="0" w:color="auto"/>
      </w:divBdr>
    </w:div>
    <w:div w:id="1667781257">
      <w:bodyDiv w:val="1"/>
      <w:marLeft w:val="0"/>
      <w:marRight w:val="0"/>
      <w:marTop w:val="0"/>
      <w:marBottom w:val="0"/>
      <w:divBdr>
        <w:top w:val="none" w:sz="0" w:space="0" w:color="auto"/>
        <w:left w:val="none" w:sz="0" w:space="0" w:color="auto"/>
        <w:bottom w:val="none" w:sz="0" w:space="0" w:color="auto"/>
        <w:right w:val="none" w:sz="0" w:space="0" w:color="auto"/>
      </w:divBdr>
    </w:div>
    <w:div w:id="1685673209">
      <w:bodyDiv w:val="1"/>
      <w:marLeft w:val="0"/>
      <w:marRight w:val="0"/>
      <w:marTop w:val="0"/>
      <w:marBottom w:val="0"/>
      <w:divBdr>
        <w:top w:val="none" w:sz="0" w:space="0" w:color="auto"/>
        <w:left w:val="none" w:sz="0" w:space="0" w:color="auto"/>
        <w:bottom w:val="none" w:sz="0" w:space="0" w:color="auto"/>
        <w:right w:val="none" w:sz="0" w:space="0" w:color="auto"/>
      </w:divBdr>
    </w:div>
    <w:div w:id="1702124035">
      <w:bodyDiv w:val="1"/>
      <w:marLeft w:val="0"/>
      <w:marRight w:val="0"/>
      <w:marTop w:val="0"/>
      <w:marBottom w:val="0"/>
      <w:divBdr>
        <w:top w:val="none" w:sz="0" w:space="0" w:color="auto"/>
        <w:left w:val="none" w:sz="0" w:space="0" w:color="auto"/>
        <w:bottom w:val="none" w:sz="0" w:space="0" w:color="auto"/>
        <w:right w:val="none" w:sz="0" w:space="0" w:color="auto"/>
      </w:divBdr>
    </w:div>
    <w:div w:id="1719162867">
      <w:bodyDiv w:val="1"/>
      <w:marLeft w:val="0"/>
      <w:marRight w:val="0"/>
      <w:marTop w:val="0"/>
      <w:marBottom w:val="0"/>
      <w:divBdr>
        <w:top w:val="none" w:sz="0" w:space="0" w:color="auto"/>
        <w:left w:val="none" w:sz="0" w:space="0" w:color="auto"/>
        <w:bottom w:val="none" w:sz="0" w:space="0" w:color="auto"/>
        <w:right w:val="none" w:sz="0" w:space="0" w:color="auto"/>
      </w:divBdr>
    </w:div>
    <w:div w:id="1720085182">
      <w:bodyDiv w:val="1"/>
      <w:marLeft w:val="0"/>
      <w:marRight w:val="0"/>
      <w:marTop w:val="0"/>
      <w:marBottom w:val="0"/>
      <w:divBdr>
        <w:top w:val="none" w:sz="0" w:space="0" w:color="auto"/>
        <w:left w:val="none" w:sz="0" w:space="0" w:color="auto"/>
        <w:bottom w:val="none" w:sz="0" w:space="0" w:color="auto"/>
        <w:right w:val="none" w:sz="0" w:space="0" w:color="auto"/>
      </w:divBdr>
    </w:div>
    <w:div w:id="1728842053">
      <w:bodyDiv w:val="1"/>
      <w:marLeft w:val="0"/>
      <w:marRight w:val="0"/>
      <w:marTop w:val="0"/>
      <w:marBottom w:val="0"/>
      <w:divBdr>
        <w:top w:val="none" w:sz="0" w:space="0" w:color="auto"/>
        <w:left w:val="none" w:sz="0" w:space="0" w:color="auto"/>
        <w:bottom w:val="none" w:sz="0" w:space="0" w:color="auto"/>
        <w:right w:val="none" w:sz="0" w:space="0" w:color="auto"/>
      </w:divBdr>
    </w:div>
    <w:div w:id="1743336466">
      <w:bodyDiv w:val="1"/>
      <w:marLeft w:val="0"/>
      <w:marRight w:val="0"/>
      <w:marTop w:val="0"/>
      <w:marBottom w:val="0"/>
      <w:divBdr>
        <w:top w:val="none" w:sz="0" w:space="0" w:color="auto"/>
        <w:left w:val="none" w:sz="0" w:space="0" w:color="auto"/>
        <w:bottom w:val="none" w:sz="0" w:space="0" w:color="auto"/>
        <w:right w:val="none" w:sz="0" w:space="0" w:color="auto"/>
      </w:divBdr>
      <w:divsChild>
        <w:div w:id="98643659">
          <w:marLeft w:val="0"/>
          <w:marRight w:val="0"/>
          <w:marTop w:val="0"/>
          <w:marBottom w:val="0"/>
          <w:divBdr>
            <w:top w:val="none" w:sz="0" w:space="0" w:color="auto"/>
            <w:left w:val="none" w:sz="0" w:space="0" w:color="auto"/>
            <w:bottom w:val="none" w:sz="0" w:space="0" w:color="auto"/>
            <w:right w:val="none" w:sz="0" w:space="0" w:color="auto"/>
          </w:divBdr>
        </w:div>
        <w:div w:id="681131128">
          <w:marLeft w:val="0"/>
          <w:marRight w:val="0"/>
          <w:marTop w:val="0"/>
          <w:marBottom w:val="0"/>
          <w:divBdr>
            <w:top w:val="none" w:sz="0" w:space="0" w:color="auto"/>
            <w:left w:val="none" w:sz="0" w:space="0" w:color="auto"/>
            <w:bottom w:val="none" w:sz="0" w:space="0" w:color="auto"/>
            <w:right w:val="none" w:sz="0" w:space="0" w:color="auto"/>
          </w:divBdr>
        </w:div>
      </w:divsChild>
    </w:div>
    <w:div w:id="1746874918">
      <w:bodyDiv w:val="1"/>
      <w:marLeft w:val="0"/>
      <w:marRight w:val="0"/>
      <w:marTop w:val="0"/>
      <w:marBottom w:val="0"/>
      <w:divBdr>
        <w:top w:val="none" w:sz="0" w:space="0" w:color="auto"/>
        <w:left w:val="none" w:sz="0" w:space="0" w:color="auto"/>
        <w:bottom w:val="none" w:sz="0" w:space="0" w:color="auto"/>
        <w:right w:val="none" w:sz="0" w:space="0" w:color="auto"/>
      </w:divBdr>
    </w:div>
    <w:div w:id="1761415749">
      <w:bodyDiv w:val="1"/>
      <w:marLeft w:val="0"/>
      <w:marRight w:val="0"/>
      <w:marTop w:val="0"/>
      <w:marBottom w:val="0"/>
      <w:divBdr>
        <w:top w:val="none" w:sz="0" w:space="0" w:color="auto"/>
        <w:left w:val="none" w:sz="0" w:space="0" w:color="auto"/>
        <w:bottom w:val="none" w:sz="0" w:space="0" w:color="auto"/>
        <w:right w:val="none" w:sz="0" w:space="0" w:color="auto"/>
      </w:divBdr>
    </w:div>
    <w:div w:id="1770005770">
      <w:bodyDiv w:val="1"/>
      <w:marLeft w:val="0"/>
      <w:marRight w:val="0"/>
      <w:marTop w:val="0"/>
      <w:marBottom w:val="0"/>
      <w:divBdr>
        <w:top w:val="none" w:sz="0" w:space="0" w:color="auto"/>
        <w:left w:val="none" w:sz="0" w:space="0" w:color="auto"/>
        <w:bottom w:val="none" w:sz="0" w:space="0" w:color="auto"/>
        <w:right w:val="none" w:sz="0" w:space="0" w:color="auto"/>
      </w:divBdr>
      <w:divsChild>
        <w:div w:id="2126801520">
          <w:marLeft w:val="0"/>
          <w:marRight w:val="0"/>
          <w:marTop w:val="0"/>
          <w:marBottom w:val="0"/>
          <w:divBdr>
            <w:top w:val="single" w:sz="6" w:space="3" w:color="DBDEE1"/>
            <w:left w:val="single" w:sz="6" w:space="6" w:color="DBDEE1"/>
            <w:bottom w:val="single" w:sz="6" w:space="3" w:color="DBDEE1"/>
            <w:right w:val="single" w:sz="6" w:space="6" w:color="DBDEE1"/>
          </w:divBdr>
        </w:div>
      </w:divsChild>
    </w:div>
    <w:div w:id="1791196183">
      <w:bodyDiv w:val="1"/>
      <w:marLeft w:val="0"/>
      <w:marRight w:val="0"/>
      <w:marTop w:val="0"/>
      <w:marBottom w:val="0"/>
      <w:divBdr>
        <w:top w:val="none" w:sz="0" w:space="0" w:color="auto"/>
        <w:left w:val="none" w:sz="0" w:space="0" w:color="auto"/>
        <w:bottom w:val="none" w:sz="0" w:space="0" w:color="auto"/>
        <w:right w:val="none" w:sz="0" w:space="0" w:color="auto"/>
      </w:divBdr>
    </w:div>
    <w:div w:id="1795059895">
      <w:bodyDiv w:val="1"/>
      <w:marLeft w:val="0"/>
      <w:marRight w:val="0"/>
      <w:marTop w:val="0"/>
      <w:marBottom w:val="0"/>
      <w:divBdr>
        <w:top w:val="none" w:sz="0" w:space="0" w:color="auto"/>
        <w:left w:val="none" w:sz="0" w:space="0" w:color="auto"/>
        <w:bottom w:val="none" w:sz="0" w:space="0" w:color="auto"/>
        <w:right w:val="none" w:sz="0" w:space="0" w:color="auto"/>
      </w:divBdr>
    </w:div>
    <w:div w:id="1834367954">
      <w:bodyDiv w:val="1"/>
      <w:marLeft w:val="0"/>
      <w:marRight w:val="0"/>
      <w:marTop w:val="0"/>
      <w:marBottom w:val="0"/>
      <w:divBdr>
        <w:top w:val="none" w:sz="0" w:space="0" w:color="auto"/>
        <w:left w:val="none" w:sz="0" w:space="0" w:color="auto"/>
        <w:bottom w:val="none" w:sz="0" w:space="0" w:color="auto"/>
        <w:right w:val="none" w:sz="0" w:space="0" w:color="auto"/>
      </w:divBdr>
    </w:div>
    <w:div w:id="1862694912">
      <w:bodyDiv w:val="1"/>
      <w:marLeft w:val="0"/>
      <w:marRight w:val="0"/>
      <w:marTop w:val="0"/>
      <w:marBottom w:val="0"/>
      <w:divBdr>
        <w:top w:val="none" w:sz="0" w:space="0" w:color="auto"/>
        <w:left w:val="none" w:sz="0" w:space="0" w:color="auto"/>
        <w:bottom w:val="none" w:sz="0" w:space="0" w:color="auto"/>
        <w:right w:val="none" w:sz="0" w:space="0" w:color="auto"/>
      </w:divBdr>
    </w:div>
    <w:div w:id="1867480084">
      <w:bodyDiv w:val="1"/>
      <w:marLeft w:val="0"/>
      <w:marRight w:val="0"/>
      <w:marTop w:val="0"/>
      <w:marBottom w:val="0"/>
      <w:divBdr>
        <w:top w:val="none" w:sz="0" w:space="0" w:color="auto"/>
        <w:left w:val="none" w:sz="0" w:space="0" w:color="auto"/>
        <w:bottom w:val="none" w:sz="0" w:space="0" w:color="auto"/>
        <w:right w:val="none" w:sz="0" w:space="0" w:color="auto"/>
      </w:divBdr>
    </w:div>
    <w:div w:id="1870333069">
      <w:bodyDiv w:val="1"/>
      <w:marLeft w:val="0"/>
      <w:marRight w:val="0"/>
      <w:marTop w:val="0"/>
      <w:marBottom w:val="0"/>
      <w:divBdr>
        <w:top w:val="none" w:sz="0" w:space="0" w:color="auto"/>
        <w:left w:val="none" w:sz="0" w:space="0" w:color="auto"/>
        <w:bottom w:val="none" w:sz="0" w:space="0" w:color="auto"/>
        <w:right w:val="none" w:sz="0" w:space="0" w:color="auto"/>
      </w:divBdr>
    </w:div>
    <w:div w:id="1873228284">
      <w:bodyDiv w:val="1"/>
      <w:marLeft w:val="0"/>
      <w:marRight w:val="0"/>
      <w:marTop w:val="0"/>
      <w:marBottom w:val="0"/>
      <w:divBdr>
        <w:top w:val="none" w:sz="0" w:space="0" w:color="auto"/>
        <w:left w:val="none" w:sz="0" w:space="0" w:color="auto"/>
        <w:bottom w:val="none" w:sz="0" w:space="0" w:color="auto"/>
        <w:right w:val="none" w:sz="0" w:space="0" w:color="auto"/>
      </w:divBdr>
    </w:div>
    <w:div w:id="1881741095">
      <w:bodyDiv w:val="1"/>
      <w:marLeft w:val="0"/>
      <w:marRight w:val="0"/>
      <w:marTop w:val="0"/>
      <w:marBottom w:val="0"/>
      <w:divBdr>
        <w:top w:val="none" w:sz="0" w:space="0" w:color="auto"/>
        <w:left w:val="none" w:sz="0" w:space="0" w:color="auto"/>
        <w:bottom w:val="none" w:sz="0" w:space="0" w:color="auto"/>
        <w:right w:val="none" w:sz="0" w:space="0" w:color="auto"/>
      </w:divBdr>
    </w:div>
    <w:div w:id="1924754013">
      <w:bodyDiv w:val="1"/>
      <w:marLeft w:val="0"/>
      <w:marRight w:val="0"/>
      <w:marTop w:val="0"/>
      <w:marBottom w:val="0"/>
      <w:divBdr>
        <w:top w:val="none" w:sz="0" w:space="0" w:color="auto"/>
        <w:left w:val="none" w:sz="0" w:space="0" w:color="auto"/>
        <w:bottom w:val="none" w:sz="0" w:space="0" w:color="auto"/>
        <w:right w:val="none" w:sz="0" w:space="0" w:color="auto"/>
      </w:divBdr>
    </w:div>
    <w:div w:id="1936546863">
      <w:bodyDiv w:val="1"/>
      <w:marLeft w:val="0"/>
      <w:marRight w:val="0"/>
      <w:marTop w:val="0"/>
      <w:marBottom w:val="0"/>
      <w:divBdr>
        <w:top w:val="none" w:sz="0" w:space="0" w:color="auto"/>
        <w:left w:val="none" w:sz="0" w:space="0" w:color="auto"/>
        <w:bottom w:val="none" w:sz="0" w:space="0" w:color="auto"/>
        <w:right w:val="none" w:sz="0" w:space="0" w:color="auto"/>
      </w:divBdr>
    </w:div>
    <w:div w:id="1979602976">
      <w:bodyDiv w:val="1"/>
      <w:marLeft w:val="0"/>
      <w:marRight w:val="0"/>
      <w:marTop w:val="0"/>
      <w:marBottom w:val="0"/>
      <w:divBdr>
        <w:top w:val="none" w:sz="0" w:space="0" w:color="auto"/>
        <w:left w:val="none" w:sz="0" w:space="0" w:color="auto"/>
        <w:bottom w:val="none" w:sz="0" w:space="0" w:color="auto"/>
        <w:right w:val="none" w:sz="0" w:space="0" w:color="auto"/>
      </w:divBdr>
    </w:div>
    <w:div w:id="1982614248">
      <w:bodyDiv w:val="1"/>
      <w:marLeft w:val="0"/>
      <w:marRight w:val="0"/>
      <w:marTop w:val="0"/>
      <w:marBottom w:val="0"/>
      <w:divBdr>
        <w:top w:val="none" w:sz="0" w:space="0" w:color="auto"/>
        <w:left w:val="none" w:sz="0" w:space="0" w:color="auto"/>
        <w:bottom w:val="none" w:sz="0" w:space="0" w:color="auto"/>
        <w:right w:val="none" w:sz="0" w:space="0" w:color="auto"/>
      </w:divBdr>
    </w:div>
    <w:div w:id="2115587601">
      <w:bodyDiv w:val="1"/>
      <w:marLeft w:val="0"/>
      <w:marRight w:val="0"/>
      <w:marTop w:val="0"/>
      <w:marBottom w:val="0"/>
      <w:divBdr>
        <w:top w:val="none" w:sz="0" w:space="0" w:color="auto"/>
        <w:left w:val="none" w:sz="0" w:space="0" w:color="auto"/>
        <w:bottom w:val="none" w:sz="0" w:space="0" w:color="auto"/>
        <w:right w:val="none" w:sz="0" w:space="0" w:color="auto"/>
      </w:divBdr>
    </w:div>
    <w:div w:id="21331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ex.rs" TargetMode="External"/><Relationship Id="rId13" Type="http://schemas.openxmlformats.org/officeDocument/2006/relationships/hyperlink" Target="http://www.nbs.rs"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bs.r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ex.rs" TargetMode="External"/><Relationship Id="rId5" Type="http://schemas.openxmlformats.org/officeDocument/2006/relationships/webSettings" Target="webSettings.xml"/><Relationship Id="rId15" Type="http://schemas.openxmlformats.org/officeDocument/2006/relationships/hyperlink" Target="http://www.crhov.r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belex.rs" TargetMode="External"/><Relationship Id="rId14" Type="http://schemas.openxmlformats.org/officeDocument/2006/relationships/hyperlink" Target="http://www.belex.r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ash.harvard.edu/bitstream/handle/1/12019047/SSRN-id963214.pdf?sequence=1" TargetMode="External"/><Relationship Id="rId13" Type="http://schemas.openxmlformats.org/officeDocument/2006/relationships/hyperlink" Target="https://www.eifr.eu/uploads/eventdocs/56f15217eace8.pdf" TargetMode="External"/><Relationship Id="rId18" Type="http://schemas.openxmlformats.org/officeDocument/2006/relationships/hyperlink" Target="https://eur-lex.europa.eu/LexUriServ/LexUriServ.do?uri=COM:2011:0870:FIN:EN:PDF" TargetMode="External"/><Relationship Id="rId3" Type="http://schemas.openxmlformats.org/officeDocument/2006/relationships/hyperlink" Target="https://www.imf.org/en/Publications/CR/Issues/2021/06/21/Republic-of-Serbia-2021-Article-IV-Consultation-and-Request-for-a-30-Month-Policy-461077" TargetMode="External"/><Relationship Id="rId21" Type="http://schemas.openxmlformats.org/officeDocument/2006/relationships/hyperlink" Target="https://www.cris.uns.ac.rs/DownloadFileServlet/Disertacija150331489926975.pdf?controlNumber=(BISIS)104946&amp;fileName=150331489926975.pdf&amp;id=10404&amp;source=NaRDuS&amp;language=sr" TargetMode="External"/><Relationship Id="rId7" Type="http://schemas.openxmlformats.org/officeDocument/2006/relationships/hyperlink" Target="https://openknowledge.worldbank.org/bitstream/handle/10986/32067/Practical-Guide-on-the-Potential-of-Capital-Markets-Development-in-Small-Economies.pdf?sequence=1&amp;isAllowed=y" TargetMode="External"/><Relationship Id="rId12" Type="http://schemas.openxmlformats.org/officeDocument/2006/relationships/hyperlink" Target="https://scindeks.ceon.rs/article.aspx?artid=1450-79511603001M" TargetMode="External"/><Relationship Id="rId17" Type="http://schemas.openxmlformats.org/officeDocument/2006/relationships/hyperlink" Target="https://eur-lex.europa.eu/legal-content/EN/ALL/?uri=uriserv%3Al24195" TargetMode="External"/><Relationship Id="rId25" Type="http://schemas.openxmlformats.org/officeDocument/2006/relationships/hyperlink" Target="https://www.oecd.org/pisa/publications/pisa-2018-results.htm" TargetMode="External"/><Relationship Id="rId2" Type="http://schemas.openxmlformats.org/officeDocument/2006/relationships/hyperlink" Target="https://www.imf.org/en/Publications/CR/Issues/2019/07/22/Republic-of-Serbia-Staff-Report-for-the-2019-Article-IV-Consultation-and-Second-Review-under-48511" TargetMode="External"/><Relationship Id="rId16" Type="http://schemas.openxmlformats.org/officeDocument/2006/relationships/hyperlink" Target="https://www.europarl.europa.eu/sides/getDoc.do?reference=A4-1996-0168&amp;type=REPORT&amp;language=EN&amp;redirect" TargetMode="External"/><Relationship Id="rId20" Type="http://schemas.openxmlformats.org/officeDocument/2006/relationships/hyperlink" Target="https://nardus.mpn.gov.rs/bitstream/id/25493/Disertacija.pdf" TargetMode="External"/><Relationship Id="rId1" Type="http://schemas.openxmlformats.org/officeDocument/2006/relationships/hyperlink" Target="https://documents.worldbank.org/en/publication/documentsreports/documentdetail/701021588343376548/capital-markets-development-causes-effects-andsequencing" TargetMode="External"/><Relationship Id="rId6" Type="http://schemas.openxmlformats.org/officeDocument/2006/relationships/hyperlink" Target="https://www.nasdaq.com/glossary/c/capital-market" TargetMode="External"/><Relationship Id="rId11" Type="http://schemas.openxmlformats.org/officeDocument/2006/relationships/hyperlink" Target="https://www.sciencedirect.com/science/article/pii/S2214845014000040" TargetMode="External"/><Relationship Id="rId24" Type="http://schemas.openxmlformats.org/officeDocument/2006/relationships/hyperlink" Target="https://www.weforum.org/reports/how-to-end-a-decade-of-lost-productivity-growth" TargetMode="External"/><Relationship Id="rId5" Type="http://schemas.openxmlformats.org/officeDocument/2006/relationships/hyperlink" Target="https://ras.gov.rs/uspesne-price" TargetMode="External"/><Relationship Id="rId15" Type="http://schemas.openxmlformats.org/officeDocument/2006/relationships/hyperlink" Target="https://www.esma.europa.eu/sites/default/files/library/2015/11/lamfalussy_report.pdf" TargetMode="External"/><Relationship Id="rId23" Type="http://schemas.openxmlformats.org/officeDocument/2006/relationships/hyperlink" Target="https://nardus.mpn.gov.rs/handle/123456789/6829" TargetMode="External"/><Relationship Id="rId10" Type="http://schemas.openxmlformats.org/officeDocument/2006/relationships/hyperlink" Target="https://sjes.springeropen.com/articles/10.1186/s41937-019-0027-5" TargetMode="External"/><Relationship Id="rId19" Type="http://schemas.openxmlformats.org/officeDocument/2006/relationships/hyperlink" Target="https://newfinancial.org/wp-content/uploads/2020/11/2020.11-A-reality-check-on-CMU-New-Financial.pdf" TargetMode="External"/><Relationship Id="rId4" Type="http://schemas.openxmlformats.org/officeDocument/2006/relationships/hyperlink" Target="https://www.nbs.rs/sr_RS/drugi-nivo-navigacije/statistika/" TargetMode="External"/><Relationship Id="rId9" Type="http://schemas.openxmlformats.org/officeDocument/2006/relationships/hyperlink" Target="https://www.ifc.org/wps/wcm/connect/dacea4f3-17da-4f4b-943f-9b107dfe3be0/EMCompass-Note+77-Creating+Domestic-Cap-Markets-Dev-Countries.pdf?MOD=AJPERES&amp;CVID=m.SUIvR" TargetMode="External"/><Relationship Id="rId14" Type="http://schemas.openxmlformats.org/officeDocument/2006/relationships/hyperlink" Target="http://aei.pitt.edu/31823/1/Dev_Eur_Cap_Mkt_1966.pdf" TargetMode="External"/><Relationship Id="rId22" Type="http://schemas.openxmlformats.org/officeDocument/2006/relationships/hyperlink" Target="https://www.belex.rs/o_berzi/istorij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E3680-8C8F-45E2-89EC-F7408964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15282</Words>
  <Characters>87110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ЈПП</cp:lastModifiedBy>
  <cp:revision>3</cp:revision>
  <cp:lastPrinted>2021-09-13T10:49:00Z</cp:lastPrinted>
  <dcterms:created xsi:type="dcterms:W3CDTF">2021-09-15T07:43:00Z</dcterms:created>
  <dcterms:modified xsi:type="dcterms:W3CDTF">2021-09-15T10:14:00Z</dcterms:modified>
</cp:coreProperties>
</file>