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E9" w:rsidRDefault="0088431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основу члана 17. став 2. Закона о буџету Републике Србије за 2026. годину („Службени гласник РС”, број 108/25), 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Министар финансија доноси 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контроли обрачуна и исплате зарада у друштвима капитала, односно јавним предузећима у 2026. години 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</w:t>
      </w:r>
      <w:r>
        <w:rPr>
          <w:rFonts w:ascii="Verdana" w:eastAsia="Verdana" w:hAnsi="Verdana" w:cs="Verdana"/>
        </w:rPr>
        <w:t>лан 1.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Овим правилником прописује се контрола обрачуна и исплате зарада, као и начин достављања месечних извештаја о обрачунатим средствима за исплату зарада у друштвима капитала која послују у складу са законом којим се уређује управљање привредним друштв</w:t>
      </w:r>
      <w:r>
        <w:rPr>
          <w:rFonts w:ascii="Verdana" w:eastAsia="Verdana" w:hAnsi="Verdana" w:cs="Verdana"/>
        </w:rPr>
        <w:t>има која су у власништву Републике Србије, као и јавним предузећима чији је оснивач Република Србија, а која су дужна да своју организацију, као и своје опште акте ускладе са одредбама тог закона, а према листи утврђеној уредбом којом се прописује садржина</w:t>
      </w:r>
      <w:r>
        <w:rPr>
          <w:rFonts w:ascii="Verdana" w:eastAsia="Verdana" w:hAnsi="Verdana" w:cs="Verdana"/>
        </w:rPr>
        <w:t>, израда, рокови и начин достављања планова и периодичних извештаја друштава капитала у власништву Републике Србије (у даљем тексту: привредни субјекти) у 2026. години.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Обрачун и исплата зарада код привредних субјеката врши се у складу са годишњим </w:t>
      </w:r>
      <w:r>
        <w:rPr>
          <w:rFonts w:ascii="Verdana" w:eastAsia="Verdana" w:hAnsi="Verdana" w:cs="Verdana"/>
        </w:rPr>
        <w:t>планом, односно програмом пословања и општим актом, у смислу закона којим се уређују права, обавезе и одговорности из радног односа, односно по основу рада (у даљем тексту: општи акт).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Уколико годишњи план, односно програм пословања није донет до почетка к</w:t>
      </w:r>
      <w:r>
        <w:rPr>
          <w:rFonts w:ascii="Verdana" w:eastAsia="Verdana" w:hAnsi="Verdana" w:cs="Verdana"/>
        </w:rPr>
        <w:t>алендарске године за коју се доноси, обрачун и исплата зарада врши се на начин и под условима утврђеним планом, односно програмом за претходну годину, до доношења годишњег плана, односно програма пословања за текућу календарску годину.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Привредни су</w:t>
      </w:r>
      <w:r>
        <w:rPr>
          <w:rFonts w:ascii="Verdana" w:eastAsia="Verdana" w:hAnsi="Verdana" w:cs="Verdana"/>
        </w:rPr>
        <w:t>бјекти подносе Министарству финансија месечне извештаје о обрачунатим средствима за исплату зарада на Обрасцу ОСИЗ – Обрачун средстава за исплату зарада (у даљем тексту: Образац ОСИЗ), који je oдштампан уз овај правилник и са упутством за попуњавање чини њ</w:t>
      </w:r>
      <w:r>
        <w:rPr>
          <w:rFonts w:ascii="Verdana" w:eastAsia="Verdana" w:hAnsi="Verdana" w:cs="Verdana"/>
        </w:rPr>
        <w:t>егов саставни део.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Образац ОСИЗ може се преузети, ради попуњавања, на интернет страници Министарства финансија – www.mfin.gov.rs.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Образац ОСИЗ доставља се Министарству финансија, ради контроле и овере, пре подношења Појединачне пореске пријаве о об</w:t>
      </w:r>
      <w:r>
        <w:rPr>
          <w:rFonts w:ascii="Verdana" w:eastAsia="Verdana" w:hAnsi="Verdana" w:cs="Verdana"/>
        </w:rPr>
        <w:t>рачунатим порезима и доприносима (Образац ППП-ПД), прописане Правилником о пореској пријави за порез по одбитку („Службени гласник РС”, бр. 74/13, 118/13, 66/14, 71/14 – исправка, 14/16, 21/17, 20/18, 104/18, 96/19 и 132/21).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Попуњен Образац ОСИЗ доставља </w:t>
      </w:r>
      <w:r>
        <w:rPr>
          <w:rFonts w:ascii="Verdana" w:eastAsia="Verdana" w:hAnsi="Verdana" w:cs="Verdana"/>
        </w:rPr>
        <w:t xml:space="preserve">се Министарству финансија електронским путем у МS Excel формату, као и потписан и скениран на имејл адресу: overa.zarada@mfin.gov.rs. 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Министарство финансија врши контролу усклађености обрачунатих зарада са годишњим планом, односно програмом послов</w:t>
      </w:r>
      <w:r>
        <w:rPr>
          <w:rFonts w:ascii="Verdana" w:eastAsia="Verdana" w:hAnsi="Verdana" w:cs="Verdana"/>
        </w:rPr>
        <w:t>ања и општим актом.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Привредни субјект не може извршити исплату зарада пре овере Обрасца ОСИЗ.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Оверу Обрасца ОСИЗ из става 1. овог члана врши министар финансија или лице које он овласти.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Директор привредног субјекта одговоран је за тачност података </w:t>
      </w:r>
      <w:r>
        <w:rPr>
          <w:rFonts w:ascii="Verdana" w:eastAsia="Verdana" w:hAnsi="Verdana" w:cs="Verdana"/>
        </w:rPr>
        <w:t>унетих у Образац ОСИЗ и исплату зарада у складу са овим правилником.</w:t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Овај правилник ступа на снагу наредног дана од дана објављивања у „Службеном гласнику Републике Србије”.</w:t>
      </w:r>
    </w:p>
    <w:p w:rsidR="00E249E9" w:rsidRDefault="0088431C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005153086 2025 10520 003 010 113 004</w:t>
      </w:r>
    </w:p>
    <w:p w:rsidR="00E249E9" w:rsidRDefault="0088431C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16. јануара 2026. године</w:t>
      </w:r>
    </w:p>
    <w:p w:rsidR="00E249E9" w:rsidRDefault="0088431C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:rsidR="00E249E9" w:rsidRDefault="0088431C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Синиша Мали,</w:t>
      </w:r>
      <w:r>
        <w:rPr>
          <w:rFonts w:ascii="Verdana" w:eastAsia="Verdana" w:hAnsi="Verdana" w:cs="Verdana"/>
        </w:rPr>
        <w:t xml:space="preserve"> с.р.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5000000" cy="3560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AAAAAAAAAECW+X9YN87sbJ0SSAAAAABJRU5ErkJggg=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9E9" w:rsidRDefault="0088431C">
      <w:pPr>
        <w:spacing w:line="210" w:lineRule="atLeast"/>
        <w:jc w:val="center"/>
      </w:pPr>
      <w:r>
        <w:rPr>
          <w:rFonts w:ascii="Verdana" w:eastAsia="Verdana" w:hAnsi="Verdana" w:cs="Verdana"/>
        </w:rPr>
        <w:t>Упутство за попуњавање Обрасца ОСИЗ – Обрачун средстава за исплату зарада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lastRenderedPageBreak/>
        <w:t>Образац ОСИЗ – Обрачун средстава за исплату зарада попуњава се на следећи начин: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У заглављу Обрасца ОСИЗ – Обрачун средстава за исплату зарада уносе се: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– општи подаци о привредном субјекту (избором ЈБКЈС из падајућег менија, аутоматски ће се попунити следећа поља: Назив привредног субјекта, Седиште, ПИБ, Матични број и Шифра делатност</w:t>
      </w:r>
      <w:r>
        <w:rPr>
          <w:rFonts w:ascii="Verdana" w:eastAsia="Verdana" w:hAnsi="Verdana" w:cs="Verdana"/>
        </w:rPr>
        <w:t>и);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– месец за који се врши обрачун зарада, као и подаци који се односе на начин исплате зараде (у деловима или једнократно), избором одговарајуће опције из падајућег менија, као и планирани датум исплате зарада.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1. Под редним бројем 1. уноси се укупан бро</w:t>
      </w:r>
      <w:r>
        <w:rPr>
          <w:rFonts w:ascii="Verdana" w:eastAsia="Verdana" w:hAnsi="Verdana" w:cs="Verdana"/>
        </w:rPr>
        <w:t>ј запослених (на неодређено и одређено време) за који је извршен месечни обрачун зараде.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2. Под редним бројем 1а уноси се укупан број часова рада за запослене под редним бројем 1.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3. Под редним бројем 1б уноси се број запослених који је у обрачунском месец</w:t>
      </w:r>
      <w:r>
        <w:rPr>
          <w:rFonts w:ascii="Verdana" w:eastAsia="Verdana" w:hAnsi="Verdana" w:cs="Verdana"/>
        </w:rPr>
        <w:t>у имао прековремени рад.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4. Под редним бројем 1в уноси се укупан број прековремених часова за запослене под редним бројем 1б.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5. Под редним бројем 2. уноси се укупно обрачуната маса средстава за исплату зарада за месец за који је извршен обрачун. 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6. Под р</w:t>
      </w:r>
      <w:r>
        <w:rPr>
          <w:rFonts w:ascii="Verdana" w:eastAsia="Verdana" w:hAnsi="Verdana" w:cs="Verdana"/>
        </w:rPr>
        <w:t>едним бројем 2а уноси се податак о укупно обрачунатим основним зарадама.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7. Под редним бројем 2б уноси се податак о увећању зараде по основу времена проведеног на раду за сваку пуну годину рада остварену у радном односу код послодавца („минули рад”).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8. По</w:t>
      </w:r>
      <w:r>
        <w:rPr>
          <w:rFonts w:ascii="Verdana" w:eastAsia="Verdana" w:hAnsi="Verdana" w:cs="Verdana"/>
        </w:rPr>
        <w:t>д редним бројем 2в уноси се податак о увећању зараде по основу прековременог рада.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9. Под редним бројем 2г уноси се податак о увећању зараде по основу рада на дан државног празника.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10. Под редним бројем 2д уноси се податак о другим увећањима основне зарад</w:t>
      </w:r>
      <w:r>
        <w:rPr>
          <w:rFonts w:ascii="Verdana" w:eastAsia="Verdana" w:hAnsi="Verdana" w:cs="Verdana"/>
        </w:rPr>
        <w:t>е.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11. Под редним бројем 2ђ уноси се податак о обрачунатој накнади за исхрану у току рада („топли оброк”), уколико иста није обухваћена коефицијентом за обрачун и исплату зарада.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12. Под редним бројем 2е уноси се податак о обрачунатом регресу за коришћење </w:t>
      </w:r>
      <w:r>
        <w:rPr>
          <w:rFonts w:ascii="Verdana" w:eastAsia="Verdana" w:hAnsi="Verdana" w:cs="Verdana"/>
        </w:rPr>
        <w:t>годишњег одмора, уколико исти није обухваћен коефицијентом за обрачун и исплату зарада.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13. Поља под редним бројем 3. аутоматски се попуњавају након уноса података у поља под редним бр. 1. и 2. 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 xml:space="preserve">14. Под редним бројем 4. уноси се податак о планираном броју </w:t>
      </w:r>
      <w:r>
        <w:rPr>
          <w:rFonts w:ascii="Verdana" w:eastAsia="Verdana" w:hAnsi="Verdana" w:cs="Verdana"/>
        </w:rPr>
        <w:t>запослених за месец за који се врши обрачун зарада.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lastRenderedPageBreak/>
        <w:t>15. Под редним бројем 5. уноси се податак о планираној маси средстава за зараде за месец за који се подноси обрачун.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16. Под редним бројем 6. уноси се просечна планирана зарада по запосленом.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17. Под редн</w:t>
      </w:r>
      <w:r>
        <w:rPr>
          <w:rFonts w:ascii="Verdana" w:eastAsia="Verdana" w:hAnsi="Verdana" w:cs="Verdana"/>
        </w:rPr>
        <w:t>им бројем 7. уноси се укупна планирана годишња маса средстава за зараде запослених.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Подаци из тач. 14–17. односе се на категорије предвиђене донетим планом, односно програмом пословања за текућу календарску годину. Уколико годишњи план, односно програм пос</w:t>
      </w:r>
      <w:r>
        <w:rPr>
          <w:rFonts w:ascii="Verdana" w:eastAsia="Verdana" w:hAnsi="Verdana" w:cs="Verdana"/>
        </w:rPr>
        <w:t>ловања није донет, уносе се подаци из плана, односно програма за претходну календарску годину.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18. Под редним бројем 8. уноси се укупан број запослених (на неодређено и одређено време) према кадровској евиденцији.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19. Под редним бројем 9. уноси се број запослених који су одсутни са рада по било ком основу и којима није обрачуната зарада за месец за који се подноси Образац ОСИЗ – Обрачун средстава за исплату зарада (привремена спреченост за рад преко 30 дана и разлоз</w:t>
      </w:r>
      <w:r>
        <w:rPr>
          <w:rFonts w:ascii="Verdana" w:eastAsia="Verdana" w:hAnsi="Verdana" w:cs="Verdana"/>
        </w:rPr>
        <w:t>и за мировање радног односа).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20. У колоне „Старозапослени” уноси се податак о броју запослених који су били у радном односу на дан 31. децембра претходне године.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21. У колоне „Новозапослени” уноси се податак о броју запослених који су засновали радни одно</w:t>
      </w:r>
      <w:r>
        <w:rPr>
          <w:rFonts w:ascii="Verdana" w:eastAsia="Verdana" w:hAnsi="Verdana" w:cs="Verdana"/>
        </w:rPr>
        <w:t>с у текућој години, након 1. јануара текуће године.</w:t>
      </w:r>
    </w:p>
    <w:p w:rsidR="00E249E9" w:rsidRDefault="0088431C">
      <w:pPr>
        <w:spacing w:line="210" w:lineRule="atLeast"/>
      </w:pPr>
      <w:r>
        <w:rPr>
          <w:rFonts w:ascii="Verdana" w:eastAsia="Verdana" w:hAnsi="Verdana" w:cs="Verdana"/>
        </w:rPr>
        <w:t>22. У колону „Укупно” уноси се податак о броју запослених који представља збир бројева из колона „Запослени” и „Пословодство”.</w:t>
      </w:r>
    </w:p>
    <w:sectPr w:rsidR="00E249E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49E9"/>
    <w:rsid w:val="0088431C"/>
    <w:rsid w:val="00E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BA7BA-5023-419C-909A-F030F97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2026-01-19T09:09:00Z</dcterms:created>
  <dcterms:modified xsi:type="dcterms:W3CDTF">2026-01-19T09:09:00Z</dcterms:modified>
</cp:coreProperties>
</file>