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C7AA" w14:textId="77777777" w:rsidR="008F2B76" w:rsidRPr="002C3A49" w:rsidRDefault="008F2B76" w:rsidP="00897301">
      <w:pPr>
        <w:tabs>
          <w:tab w:val="left" w:pos="900"/>
        </w:tabs>
        <w:jc w:val="center"/>
        <w:rPr>
          <w:rFonts w:ascii="Times New Roman" w:hAnsi="Times New Roman"/>
          <w:b/>
          <w:noProof/>
          <w:sz w:val="23"/>
          <w:szCs w:val="23"/>
          <w:lang w:val="sr-Cyrl-RS"/>
        </w:rPr>
      </w:pPr>
    </w:p>
    <w:p w14:paraId="57CEBEAA" w14:textId="7D8BDC27" w:rsidR="007104F0" w:rsidRPr="002C3A49" w:rsidRDefault="007104F0" w:rsidP="00897301">
      <w:pPr>
        <w:tabs>
          <w:tab w:val="left" w:pos="900"/>
        </w:tabs>
        <w:jc w:val="center"/>
        <w:rPr>
          <w:rFonts w:ascii="Times New Roman" w:hAnsi="Times New Roman"/>
          <w:b/>
          <w:noProof/>
          <w:sz w:val="23"/>
          <w:szCs w:val="23"/>
          <w:lang w:val="sr-Cyrl-RS"/>
        </w:rPr>
      </w:pPr>
      <w:r w:rsidRPr="002C3A49">
        <w:rPr>
          <w:rFonts w:ascii="Times New Roman" w:hAnsi="Times New Roman"/>
          <w:b/>
          <w:noProof/>
          <w:sz w:val="23"/>
          <w:szCs w:val="23"/>
          <w:lang w:val="sr-Cyrl-RS"/>
        </w:rPr>
        <w:t>О Б Р А З Л О Ж Е Њ Е</w:t>
      </w:r>
    </w:p>
    <w:p w14:paraId="31756B22" w14:textId="77777777" w:rsidR="007104F0" w:rsidRPr="002C3A49" w:rsidRDefault="007104F0" w:rsidP="007104F0">
      <w:pPr>
        <w:tabs>
          <w:tab w:val="left" w:pos="900"/>
        </w:tabs>
        <w:rPr>
          <w:rFonts w:ascii="Times New Roman" w:hAnsi="Times New Roman"/>
          <w:b/>
          <w:noProof/>
          <w:sz w:val="23"/>
          <w:szCs w:val="23"/>
          <w:lang w:val="sr-Cyrl-RS"/>
        </w:rPr>
      </w:pPr>
    </w:p>
    <w:p w14:paraId="009BB5FF" w14:textId="77777777" w:rsidR="00A55878" w:rsidRPr="002C3A49" w:rsidRDefault="00A55878" w:rsidP="007104F0">
      <w:pPr>
        <w:tabs>
          <w:tab w:val="left" w:pos="900"/>
        </w:tabs>
        <w:rPr>
          <w:rFonts w:ascii="Times New Roman" w:hAnsi="Times New Roman"/>
          <w:b/>
          <w:noProof/>
          <w:sz w:val="23"/>
          <w:szCs w:val="23"/>
          <w:highlight w:val="yellow"/>
          <w:lang w:val="sr-Cyrl-RS"/>
        </w:rPr>
      </w:pPr>
    </w:p>
    <w:p w14:paraId="70A1A56A" w14:textId="77777777" w:rsidR="007104F0" w:rsidRPr="002C3A49" w:rsidRDefault="006C2F74" w:rsidP="007104F0">
      <w:pPr>
        <w:pStyle w:val="Heading2"/>
        <w:tabs>
          <w:tab w:val="left" w:pos="900"/>
        </w:tabs>
        <w:spacing w:before="0" w:after="0"/>
        <w:jc w:val="both"/>
        <w:rPr>
          <w:rFonts w:ascii="Times New Roman" w:hAnsi="Times New Roman"/>
          <w:noProof/>
          <w:sz w:val="24"/>
          <w:szCs w:val="24"/>
          <w:lang w:val="sr-Cyrl-RS"/>
        </w:rPr>
      </w:pPr>
      <w:r w:rsidRPr="002C3A49">
        <w:rPr>
          <w:rFonts w:ascii="Times New Roman" w:hAnsi="Times New Roman"/>
          <w:noProof/>
          <w:sz w:val="23"/>
          <w:szCs w:val="23"/>
          <w:lang w:val="sr-Cyrl-RS"/>
        </w:rPr>
        <w:tab/>
      </w:r>
      <w:r w:rsidR="007104F0" w:rsidRPr="002C3A49">
        <w:rPr>
          <w:rFonts w:ascii="Times New Roman" w:hAnsi="Times New Roman"/>
          <w:noProof/>
          <w:sz w:val="24"/>
          <w:szCs w:val="24"/>
          <w:lang w:val="sr-Cyrl-RS"/>
        </w:rPr>
        <w:t>I. УСТАВНИ ОСНОВ</w:t>
      </w:r>
    </w:p>
    <w:p w14:paraId="0453D30A" w14:textId="77777777" w:rsidR="007104F0" w:rsidRPr="002C3A49" w:rsidRDefault="007104F0" w:rsidP="007104F0">
      <w:pPr>
        <w:tabs>
          <w:tab w:val="left" w:pos="900"/>
        </w:tabs>
        <w:rPr>
          <w:rFonts w:ascii="Times New Roman" w:hAnsi="Times New Roman"/>
          <w:noProof/>
          <w:szCs w:val="24"/>
          <w:lang w:val="sr-Cyrl-RS"/>
        </w:rPr>
      </w:pPr>
    </w:p>
    <w:p w14:paraId="1ED3EB7F" w14:textId="77777777" w:rsidR="007104F0" w:rsidRPr="002C3A49" w:rsidRDefault="00821B52" w:rsidP="00821B52">
      <w:pPr>
        <w:tabs>
          <w:tab w:val="left" w:pos="709"/>
        </w:tabs>
        <w:rPr>
          <w:rFonts w:ascii="Times New Roman" w:hAnsi="Times New Roman"/>
          <w:noProof/>
          <w:szCs w:val="24"/>
          <w:lang w:val="sr-Cyrl-RS"/>
        </w:rPr>
      </w:pPr>
      <w:r w:rsidRPr="002C3A49">
        <w:rPr>
          <w:rFonts w:ascii="Times New Roman" w:hAnsi="Times New Roman"/>
          <w:noProof/>
          <w:szCs w:val="24"/>
          <w:lang w:val="sr-Cyrl-RS"/>
        </w:rPr>
        <w:tab/>
      </w:r>
      <w:r w:rsidR="007104F0" w:rsidRPr="002C3A49">
        <w:rPr>
          <w:rFonts w:ascii="Times New Roman" w:hAnsi="Times New Roman"/>
          <w:noProof/>
          <w:szCs w:val="24"/>
          <w:lang w:val="sr-Cyrl-RS"/>
        </w:rPr>
        <w:t>Уставни основ за доношење овог закона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 и да Република Србија, између осталог, уређује и обезбеђује финансирање остваривања права и дужности Републике Србије, утврђених Уставом и законом.</w:t>
      </w:r>
    </w:p>
    <w:p w14:paraId="42FE17D7" w14:textId="77777777" w:rsidR="00632A97" w:rsidRPr="002C3A49" w:rsidRDefault="00821B52" w:rsidP="00821B52">
      <w:pPr>
        <w:tabs>
          <w:tab w:val="left" w:pos="709"/>
        </w:tabs>
        <w:rPr>
          <w:rFonts w:ascii="Times New Roman" w:hAnsi="Times New Roman"/>
          <w:noProof/>
          <w:szCs w:val="24"/>
          <w:lang w:val="sr-Cyrl-RS"/>
        </w:rPr>
      </w:pPr>
      <w:r w:rsidRPr="002C3A49">
        <w:rPr>
          <w:rFonts w:ascii="Times New Roman" w:hAnsi="Times New Roman"/>
          <w:noProof/>
          <w:szCs w:val="24"/>
          <w:lang w:val="sr-Cyrl-RS"/>
        </w:rPr>
        <w:tab/>
      </w:r>
      <w:r w:rsidR="007104F0" w:rsidRPr="002C3A49">
        <w:rPr>
          <w:rFonts w:ascii="Times New Roman" w:hAnsi="Times New Roman"/>
          <w:noProof/>
          <w:szCs w:val="24"/>
          <w:lang w:val="sr-Cyrl-RS"/>
        </w:rPr>
        <w:t>Чланом 99. став 1. тачка 11. Устава Републике Србије утврђено је да Народна скупштина усваја буџет Репу</w:t>
      </w:r>
      <w:r w:rsidR="000008C6" w:rsidRPr="002C3A49">
        <w:rPr>
          <w:rFonts w:ascii="Times New Roman" w:hAnsi="Times New Roman"/>
          <w:noProof/>
          <w:szCs w:val="24"/>
          <w:lang w:val="sr-Cyrl-RS"/>
        </w:rPr>
        <w:t>блике Србије, на предлог Владе.</w:t>
      </w:r>
    </w:p>
    <w:p w14:paraId="28E56F7E" w14:textId="77777777" w:rsidR="00A45AD2" w:rsidRPr="002C3A49" w:rsidRDefault="00A45AD2" w:rsidP="00821B52">
      <w:pPr>
        <w:tabs>
          <w:tab w:val="left" w:pos="709"/>
        </w:tabs>
        <w:rPr>
          <w:rFonts w:ascii="Times New Roman" w:hAnsi="Times New Roman"/>
          <w:noProof/>
          <w:szCs w:val="24"/>
          <w:highlight w:val="yellow"/>
          <w:lang w:val="sr-Cyrl-RS"/>
        </w:rPr>
      </w:pPr>
    </w:p>
    <w:p w14:paraId="175BD6ED" w14:textId="77777777" w:rsidR="00614BA4" w:rsidRPr="002C3A49" w:rsidRDefault="008C16FD" w:rsidP="00614BA4">
      <w:pPr>
        <w:tabs>
          <w:tab w:val="left" w:pos="720"/>
        </w:tabs>
        <w:spacing w:after="120"/>
        <w:rPr>
          <w:rFonts w:ascii="Times New Roman" w:hAnsi="Times New Roman"/>
          <w:b/>
          <w:noProof/>
          <w:lang w:val="sr-Cyrl-RS"/>
        </w:rPr>
      </w:pPr>
      <w:r w:rsidRPr="002C3A49">
        <w:rPr>
          <w:rFonts w:ascii="Times New Roman" w:hAnsi="Times New Roman"/>
          <w:b/>
          <w:noProof/>
          <w:szCs w:val="24"/>
          <w:lang w:val="sr-Cyrl-RS"/>
        </w:rPr>
        <w:tab/>
      </w:r>
      <w:r w:rsidR="00614BA4" w:rsidRPr="002C3A49">
        <w:rPr>
          <w:rFonts w:ascii="Times New Roman" w:hAnsi="Times New Roman"/>
          <w:b/>
          <w:noProof/>
          <w:lang w:val="sr-Cyrl-RS"/>
        </w:rPr>
        <w:t>II. МАКРОЕКОНОМСКЕ ПРЕТПОСТАВКЕ БУЏЕТА РЕПУБЛИКЕ СРБИЈЕ ЗА 2024. ГОДИНУ</w:t>
      </w:r>
    </w:p>
    <w:p w14:paraId="3950EF81" w14:textId="77777777" w:rsidR="00614BA4" w:rsidRPr="002C3A49" w:rsidRDefault="00614BA4" w:rsidP="00614BA4">
      <w:pPr>
        <w:pStyle w:val="Heading3"/>
        <w:numPr>
          <w:ilvl w:val="0"/>
          <w:numId w:val="7"/>
        </w:numPr>
        <w:tabs>
          <w:tab w:val="left" w:pos="1440"/>
        </w:tabs>
        <w:rPr>
          <w:rFonts w:ascii="Times New Roman" w:hAnsi="Times New Roman"/>
          <w:noProof/>
          <w:lang w:val="sr-Cyrl-RS"/>
        </w:rPr>
      </w:pPr>
      <w:r w:rsidRPr="002C3A49">
        <w:rPr>
          <w:rFonts w:ascii="Times New Roman" w:hAnsi="Times New Roman"/>
          <w:noProof/>
          <w:lang w:val="sr-Cyrl-RS"/>
        </w:rPr>
        <w:t xml:space="preserve">Текућа </w:t>
      </w:r>
      <w:r w:rsidRPr="002C3A49">
        <w:rPr>
          <w:rFonts w:ascii="Times New Roman" w:hAnsi="Times New Roman"/>
          <w:noProof/>
          <w:sz w:val="24"/>
          <w:szCs w:val="24"/>
          <w:lang w:val="sr-Cyrl-RS"/>
        </w:rPr>
        <w:t>макроекономска</w:t>
      </w:r>
      <w:r w:rsidRPr="002C3A49">
        <w:rPr>
          <w:rFonts w:ascii="Times New Roman" w:hAnsi="Times New Roman"/>
          <w:noProof/>
          <w:lang w:val="sr-Cyrl-RS"/>
        </w:rPr>
        <w:t xml:space="preserve"> кретања</w:t>
      </w:r>
    </w:p>
    <w:p w14:paraId="7101048C"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Макроекономска кретања у протеклом периоду под снажним су утицајем изласка из кризе изазване пандемијом и уласка у нову кризу услед конфликата у Украјини. У протеклих, више од годину и по дана, економија је погођена високим ценама хране и енергената, слабијим растом најзначајнијих трговинских партнера и пооштравањем услова финансирања. Ипак и у таквим околностима привреда је показала довољну отпорност, имајући у виду проблеме и неизвесности са којима је суочена.</w:t>
      </w:r>
    </w:p>
    <w:p w14:paraId="4F186326" w14:textId="244FC9DF"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Макроекономска кретања током 2023. године била су генерално на нивоу пројектованих. Према подацима РЗС, раст БДП у првом кварталу 2023. године износио је 0,9% мг., док је у другом тромесечју раст привреде убрзао на 1,7%. Посматрано са производне стране, економски раст у првој половини године био је вођен услужним сектором, који је остварио раст од 1,2%. Повећање економске активности забележено је код већине услужних делатности, а најзначајнији допринос дошао је од ИКТ сектора, као и од стручно-техничких услуга. Најзначајнији негативан допринос имао је сектор трговине, делом и због високе базе у истом периоду претходне године услед импулсивних куповина становништва након избијања конфликта у Украјини, али и услед нешто више међугодишње стопе инфлације у првој половини ове године која се одразила на нижи реални промет у трговини на мало. Снажан раст грађевинарства у другом кварталу у потпуности је неутралисао пад из првог тромесечја, што је резултирало растом овог сектора од 7,4% у првој половини године. У првих шест месеци 2023. године индустријска производња је остварила раст БДВ од 1,7%, пре свега као резултат повећања производње у електро-енергетском сектору, док је прерађивачка индустрија забележила пад физичког обима од 1,0% услед нешто ниже спољне тражње, али и базног ефекта. Позитиван допринос расту БДП дошао је и од пољопривреде која је према првим проценама остварила приносе у 2023. години изнад вишегодишњег просека и забележила раст од око 10% у односу на претходну, сушну годину.</w:t>
      </w:r>
    </w:p>
    <w:p w14:paraId="75A07F0B"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Посматрано по агрегатима употребе, раст БДП у првој половини 2023. године у потпуности је био вођен нето извозом, док је домаћа тражња имала негативан допринос, пре свега услед утицаја промена у залихама. Активирање нових производних капацитета резултирало је реалним растом извозне активности који је износио 5,1% упркос нешто мањој спољној тражњи. С друге стране, пад увоза енергената и мањи увоз репроматеријала имали су за последицу смањење реалне увозне активности од 3,8%. Приватна потрошња под утицајем високе базе услед импулсивних куповина становништва након избијања конфликта у Украјини, али и услед нешто више инфлације је забележила реални пад од 0,4%. Истовремено, инвестиције у основне фондове оствариле су раст од 3,1% захваљујући пре </w:t>
      </w:r>
      <w:r w:rsidRPr="002C3A49">
        <w:rPr>
          <w:rFonts w:ascii="Times New Roman" w:hAnsi="Times New Roman"/>
          <w:noProof/>
          <w:szCs w:val="24"/>
          <w:lang w:val="sr-Cyrl-RS"/>
        </w:rPr>
        <w:lastRenderedPageBreak/>
        <w:t>свега расту грађевинских радова. Под утицајем потрошње залиха у зимским месецима и високе базе, допринос промена у залихама био је негативан.</w:t>
      </w:r>
    </w:p>
    <w:p w14:paraId="2936CBD3"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4BA4" w:rsidRPr="002C3A49" w14:paraId="67BC81AE" w14:textId="77777777" w:rsidTr="00DA63A8">
        <w:tc>
          <w:tcPr>
            <w:tcW w:w="4675" w:type="dxa"/>
          </w:tcPr>
          <w:p w14:paraId="363616D3" w14:textId="77777777" w:rsidR="00614BA4" w:rsidRPr="002C3A49" w:rsidRDefault="00614BA4" w:rsidP="00DA63A8">
            <w:pPr>
              <w:tabs>
                <w:tab w:val="left" w:pos="720"/>
                <w:tab w:val="left" w:pos="1440"/>
              </w:tabs>
              <w:spacing w:before="120" w:after="120"/>
              <w:jc w:val="center"/>
              <w:rPr>
                <w:rFonts w:ascii="Times New Roman" w:hAnsi="Times New Roman"/>
                <w:b/>
                <w:noProof/>
                <w:szCs w:val="24"/>
                <w:lang w:val="sr-Cyrl-RS"/>
              </w:rPr>
            </w:pPr>
            <w:r w:rsidRPr="002C3A49">
              <w:rPr>
                <w:rFonts w:ascii="Times New Roman" w:hAnsi="Times New Roman"/>
                <w:b/>
                <w:noProof/>
                <w:szCs w:val="24"/>
                <w:lang w:val="sr-Cyrl-RS"/>
              </w:rPr>
              <w:t>Доприноси стопи реалног раста БДП, производни приступ, п.п.</w:t>
            </w:r>
          </w:p>
          <w:p w14:paraId="541666D5" w14:textId="77777777" w:rsidR="00614BA4" w:rsidRPr="002C3A49" w:rsidRDefault="00614BA4" w:rsidP="00DA63A8">
            <w:pPr>
              <w:tabs>
                <w:tab w:val="left" w:pos="720"/>
                <w:tab w:val="left" w:pos="1440"/>
              </w:tabs>
              <w:spacing w:before="120" w:after="120"/>
              <w:jc w:val="center"/>
              <w:rPr>
                <w:rFonts w:ascii="Times New Roman" w:hAnsi="Times New Roman"/>
                <w:noProof/>
                <w:szCs w:val="24"/>
                <w:lang w:val="sr-Cyrl-RS"/>
              </w:rPr>
            </w:pPr>
            <w:r w:rsidRPr="002C3A49">
              <w:rPr>
                <w:noProof/>
                <w:lang w:val="sr-Cyrl-RS"/>
              </w:rPr>
              <w:drawing>
                <wp:inline distT="0" distB="0" distL="0" distR="0" wp14:anchorId="7B4CB2D1" wp14:editId="487504D2">
                  <wp:extent cx="2743200" cy="2141775"/>
                  <wp:effectExtent l="0" t="0" r="0" b="0"/>
                  <wp:docPr id="1" name="Chart 1">
                    <a:extLst xmlns:a="http://schemas.openxmlformats.org/drawingml/2006/main">
                      <a:ext uri="{FF2B5EF4-FFF2-40B4-BE49-F238E27FC236}">
                        <a16:creationId xmlns:a16="http://schemas.microsoft.com/office/drawing/2014/main" id="{00000000-0008-0000-0C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75" w:type="dxa"/>
          </w:tcPr>
          <w:p w14:paraId="7A73CC79" w14:textId="77777777" w:rsidR="00614BA4" w:rsidRPr="002C3A49" w:rsidRDefault="00614BA4" w:rsidP="00DA63A8">
            <w:pPr>
              <w:tabs>
                <w:tab w:val="left" w:pos="720"/>
                <w:tab w:val="left" w:pos="1440"/>
              </w:tabs>
              <w:spacing w:before="120" w:after="120"/>
              <w:jc w:val="center"/>
              <w:rPr>
                <w:rFonts w:ascii="Times New Roman" w:hAnsi="Times New Roman"/>
                <w:b/>
                <w:noProof/>
                <w:szCs w:val="24"/>
                <w:lang w:val="sr-Cyrl-RS"/>
              </w:rPr>
            </w:pPr>
            <w:r w:rsidRPr="002C3A49">
              <w:rPr>
                <w:rFonts w:ascii="Times New Roman" w:hAnsi="Times New Roman"/>
                <w:b/>
                <w:noProof/>
                <w:szCs w:val="24"/>
                <w:lang w:val="sr-Cyrl-RS"/>
              </w:rPr>
              <w:t>Доприноси стопи реалног раста БДП, расходни приступ, п.п.</w:t>
            </w:r>
          </w:p>
          <w:p w14:paraId="477828A8" w14:textId="77777777" w:rsidR="00614BA4" w:rsidRPr="002C3A49" w:rsidRDefault="00614BA4" w:rsidP="00DA63A8">
            <w:pPr>
              <w:tabs>
                <w:tab w:val="left" w:pos="720"/>
                <w:tab w:val="left" w:pos="1440"/>
              </w:tabs>
              <w:spacing w:before="120" w:after="120"/>
              <w:jc w:val="center"/>
              <w:rPr>
                <w:rFonts w:ascii="Times New Roman" w:hAnsi="Times New Roman"/>
                <w:noProof/>
                <w:szCs w:val="24"/>
                <w:lang w:val="sr-Cyrl-RS"/>
              </w:rPr>
            </w:pPr>
            <w:r w:rsidRPr="002C3A49">
              <w:rPr>
                <w:noProof/>
                <w:lang w:val="sr-Cyrl-RS"/>
              </w:rPr>
              <w:drawing>
                <wp:inline distT="0" distB="0" distL="0" distR="0" wp14:anchorId="4C46C0BC" wp14:editId="515CBAF9">
                  <wp:extent cx="2743200" cy="2142643"/>
                  <wp:effectExtent l="0" t="0" r="0" b="0"/>
                  <wp:docPr id="11" name="Chart 11">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5C7E972"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Очекује се да попуштање инфлације доведе до убрзања реалног раста у другој половини године, нарочито у сектору услуга посматрано са производне стране, односно приватне потрошње становништва посматрано са расходне стране, што би резултирало оставрењем планиране пројекције раста од 2,5% у 2023. години.</w:t>
      </w:r>
    </w:p>
    <w:p w14:paraId="21539036"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Високофреквентни индикатори углавном указују на постепено убрзање економске активности током 2023. године. То потврђује и Индикатор привредне активности (ИПАС) који Министарство финансија израђује за потребе сагледавања месечне динамике укупне економске активности. Након нешто нижих стопа раста почетком 2023. године, од маја долази до постепеног убрзања економске активности тако да вредност овог индикатора у јуну и јулу указују на међугодишњи раст БДП од 2,1% и 2,5%, респективно.</w:t>
      </w:r>
    </w:p>
    <w:p w14:paraId="1DD01A45" w14:textId="77777777" w:rsidR="00614BA4" w:rsidRPr="002C3A49" w:rsidRDefault="00614BA4" w:rsidP="00614BA4">
      <w:pPr>
        <w:tabs>
          <w:tab w:val="left" w:pos="720"/>
          <w:tab w:val="left" w:pos="1440"/>
        </w:tabs>
        <w:spacing w:before="120"/>
        <w:jc w:val="center"/>
        <w:rPr>
          <w:rFonts w:ascii="Times New Roman" w:hAnsi="Times New Roman"/>
          <w:b/>
          <w:noProof/>
          <w:szCs w:val="24"/>
          <w:lang w:val="sr-Cyrl-RS"/>
        </w:rPr>
      </w:pPr>
      <w:r w:rsidRPr="002C3A49">
        <w:rPr>
          <w:rFonts w:ascii="Times New Roman" w:hAnsi="Times New Roman"/>
          <w:b/>
          <w:noProof/>
          <w:szCs w:val="24"/>
          <w:lang w:val="sr-Cyrl-RS"/>
        </w:rPr>
        <w:t>Индикатор привредне активности Србије, по секторима (доприноси расту, п.п.)</w:t>
      </w:r>
    </w:p>
    <w:p w14:paraId="538C9AD0" w14:textId="77777777" w:rsidR="00614BA4" w:rsidRPr="002C3A49" w:rsidRDefault="00614BA4" w:rsidP="00614BA4">
      <w:pPr>
        <w:spacing w:after="80"/>
        <w:jc w:val="center"/>
        <w:rPr>
          <w:rFonts w:ascii="Times New Roman" w:hAnsi="Times New Roman"/>
          <w:noProof/>
          <w:lang w:val="sr-Cyrl-RS"/>
        </w:rPr>
      </w:pPr>
      <w:r w:rsidRPr="002C3A49">
        <w:rPr>
          <w:noProof/>
          <w:lang w:val="sr-Cyrl-RS"/>
        </w:rPr>
        <w:drawing>
          <wp:inline distT="0" distB="0" distL="0" distR="0" wp14:anchorId="6D7DB1A7" wp14:editId="0A1553A6">
            <wp:extent cx="5128260" cy="2489200"/>
            <wp:effectExtent l="0" t="0" r="0" b="0"/>
            <wp:docPr id="12" name="Chart 12">
              <a:extLst xmlns:a="http://schemas.openxmlformats.org/drawingml/2006/main">
                <a:ext uri="{FF2B5EF4-FFF2-40B4-BE49-F238E27FC236}">
                  <a16:creationId xmlns:a16="http://schemas.microsoft.com/office/drawing/2014/main" id="{00000000-0008-0000-0D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1BFDEB" w14:textId="31636EA5"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noProof/>
          <w:szCs w:val="24"/>
          <w:lang w:val="sr-Cyrl-RS"/>
        </w:rPr>
        <w:t xml:space="preserve">У првих седам месеци физички обим индустријске производње бележи раст од 1,9% мг. и вођен је повећањем производње електро-енергетског сектора. Са стабилизацијом производње електричне енергије, али и под утицајем нешто ниже базе из истог периода претходне године, остварен је двоцифрени раст ове делатности који је у првих седам месеци износио 16,3% мг. Истовремено, сектор рударства забележио је готово стагнативна кретања (пад од свега -0,5% мг.), а мања експлоатација угља у овом периоду утицала је на изостанак </w:t>
      </w:r>
      <w:r w:rsidRPr="002C3A49">
        <w:rPr>
          <w:rFonts w:ascii="Times New Roman" w:hAnsi="Times New Roman"/>
          <w:noProof/>
          <w:szCs w:val="24"/>
          <w:lang w:val="sr-Cyrl-RS"/>
        </w:rPr>
        <w:lastRenderedPageBreak/>
        <w:t>бољих резултата овог сектора. Међутим, треба истаћи да је у јулу дошло до значајног опоравка у експлоатацији угља која је у овом месецу забележила смањење од 5,9% мг., што је значајно боље него током другог квартала када је пад износио око 20%.</w:t>
      </w:r>
      <w:r w:rsidRPr="002C3A49">
        <w:rPr>
          <w:rFonts w:cstheme="minorHAnsi"/>
          <w:bCs/>
          <w:iCs/>
          <w:noProof/>
          <w:color w:val="1F497D" w:themeColor="text2"/>
          <w:sz w:val="20"/>
          <w:szCs w:val="72"/>
          <w:lang w:val="sr-Cyrl-RS"/>
        </w:rPr>
        <w:t xml:space="preserve"> </w:t>
      </w:r>
      <w:r w:rsidRPr="002C3A49">
        <w:rPr>
          <w:rFonts w:ascii="Times New Roman" w:hAnsi="Times New Roman"/>
          <w:bCs/>
          <w:iCs/>
          <w:noProof/>
          <w:szCs w:val="24"/>
          <w:lang w:val="sr-Cyrl-RS"/>
        </w:rPr>
        <w:t>У периоду јануар–јул прерађивачка индустрија је забележила благо смањење производње од 0,7%, пре свега као последица мање производње појединих извозно оријентисаних делатности услед нешто мање спољне тражње. Посматрано по областима прерађивачке индустрије, најзначајнији негативан допринос у првих седам месеци потиче од производње металних производа и нафтне индустрије које су забележиле смањење од 8,9% мг. и 6,7% мг., респективно. Истовремено и енергетски интензивне делатности попут производње основних метала и хемијске индустрије, које су значајно биле погођене негативним глобалним дешавањима, остварују смањење производње од 7,4% и 8,7% мг. респективно.</w:t>
      </w:r>
      <w:r w:rsidR="002C3A49">
        <w:rPr>
          <w:rFonts w:ascii="Times New Roman" w:hAnsi="Times New Roman"/>
          <w:bCs/>
          <w:iCs/>
          <w:noProof/>
          <w:szCs w:val="24"/>
          <w:lang w:val="sr-Latn-RS"/>
        </w:rPr>
        <w:t xml:space="preserve"> </w:t>
      </w:r>
      <w:r w:rsidRPr="002C3A49">
        <w:rPr>
          <w:rFonts w:ascii="Times New Roman" w:hAnsi="Times New Roman"/>
          <w:bCs/>
          <w:iCs/>
          <w:noProof/>
          <w:szCs w:val="24"/>
          <w:lang w:val="sr-Cyrl-RS"/>
        </w:rPr>
        <w:t>Међутим, и поред тога у овим областима је приметан опоравак. Тако производња основних метала у мају улази у позитивну зону први пут након годину дана, након чега, делом и под утицајем базног ефекта, остварује снажан двоцифрени раст (током маја, јуна и јула забележен је раст од 27,8%, 41,7% и 51,7% мг. респективно). Слично и хемијска индустрија током претходна три месеца бележи солидна кретања остваривши раст од 1,7% просечно месечно. Најзначајнији позитиван допринос кретању прерађивачке индустрије у првих седам месеци 2023. године потекао је од машинске индустрије која је забележила повећање производње од 16,6% мг. Поред тога, обим производње рачунарске и фармацеутске индустрије је међугодишњe повећан за 58,7% и 9,7% мг. респективно. Упркос слабој спољној тражњи ефекат на страни понуде као резултат страних директних инвестиција из претходног периода резултирао је растом аутомобилске и електронске индустрије од 15,9% и 2,9% мг., респективно. Производња прехрамбених производа као најзначајније делатности прерађивачке индустрије је у овом периоду забележила готово стагнативна кретања.</w:t>
      </w:r>
    </w:p>
    <w:p w14:paraId="50E910D6"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Укупан обим спољнотрговинске робне размене у првих седам месеци 2023. године повећан је за 0,3% захваљујући наставку раста извозне активности, упркос паду цена енергената и репроматеријала и мањем увозу.</w:t>
      </w:r>
    </w:p>
    <w:p w14:paraId="1837D43C"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Током првих седам месеци текуће године, извезено је робе у укупној вредности од 16,9 млрд евра, што представља повећање у односу на исти период у претходне године од 8,2%. Висок раст извоза резултат је пре свега активирања нових извозно оријентисаних капацитета, услед високог прилива СДИ из претходног периода, које су у значајном обиму биле усмерене у разменљиве секторе. Извоз прерађивачке индустрије, која је и главни генератор раста извоза, већи је за 1,2 млрд евра или 8,7% у односу на првих седам месеци 2022. године уз диверсификован раст који је остварен у 17 од 23 области. Већем извозу прерађивачке индустрије највише је допринео раст извоза у електронској, аутомобилској и машинској индустрији. Поред прерађивачке индустрије, значајан допринос расту извоза долази и од извоза електричне енергије чија је вредност 2,6 пута већа у односу на исти период претходне године. Пољопривреда је, са друге стране, забележила пад од 34,7%, услед слабије пољопривредне сезоне у претходној години и пада цена пољопривредних производа на светском тржишту.</w:t>
      </w:r>
    </w:p>
    <w:p w14:paraId="30D5CA41"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У првих седам месеци 2023. године, увоз робе смањен је за 5,1% у односу на исти период претходне године и износио је 21,4 милијарде евра. Пад увоза изражен у еврима последица је пре свега мањег увоза најважнијих енергената, (нафте, електричне енергије и природног гаса) за скоро 1,2 милијарди евра, услед пада цена енергената на светском тржишту али и мањих увезених количина и високог базног ефекта. Посматрано по намени увоз репроматеријала и опреме забележио је пад од 11,2% и 10,6%, респективно (смањење од 1,5 млрд евра и 292,1 мил. евра). Са друге стране, раст увоза забележен је код потрошне робе која је забележила стопу раста од 7,8% мг. (прираст од 296,3 мил. евра).</w:t>
      </w:r>
    </w:p>
    <w:p w14:paraId="14BCEBE5"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 xml:space="preserve">Оваква кретања у спољнотрговинској размени имала су за резултат смањење спољнотрговинског дефицита који је износио 4,6 млрд евра у посматраном периоду, и мањи је за 2,4 млрд евра у односу на исти период претходне године, од чега око 60% потиче од </w:t>
      </w:r>
      <w:r w:rsidRPr="002C3A49">
        <w:rPr>
          <w:rFonts w:ascii="Times New Roman" w:hAnsi="Times New Roman"/>
          <w:bCs/>
          <w:iCs/>
          <w:noProof/>
          <w:szCs w:val="24"/>
          <w:lang w:val="sr-Cyrl-RS"/>
        </w:rPr>
        <w:lastRenderedPageBreak/>
        <w:t>смањења дефицита у размени енергената. Истовремено, повећана је покривеност увоза извозом која износи 78,7% у текућој, у односу на 69,1% у истом периоду у претходној години.</w:t>
      </w:r>
    </w:p>
    <w:p w14:paraId="2EB26039"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У првих седам месеци 2023. године на текућем рачуну платног биланса забележен је дефицит у износу од 597,6 мил. евра, што је за 2,3 млрд евра мањи дефицит него у истом периоду претходне године. На рачуну роба и услуга дефицит је износио 2,0 млрд евра и међугодишње је мањи за 2,8 милијарди евра, највећим делом услед смањења дефицита робне размене за 2,3 милијарде евра, док је суфицит на рачуну услуга већи за око 500 милиона евра. Након стабилизације светског тржишта после иницијалног високог раста цена енергената услед избијања сукоба у Украјини, значајно је смањен увоз енергената изражен у еврима. Такође, превазилажењем проблема у домаћој електро индустрији, у Србији је производња електричне енергије у првих седам месеци 2023. године на нивоу која превазилази сопствене потребе, што омогућава пласирање вишка на инострана тржишта. Позитиван нето извоз услуга у највећој мери резултат је већег извоза ИКТ у посматраном периоду. Нето прилив по основу ИКТ услуга повећан је за 40,7% међугодишње и износио је 1,5 милијарди евра. Нето прилив СДИ у првих седам месеци 2023. године износио је 2,3 млрд евра, док је укупан прилив по основу СДИ износио 2,5 млрд евра. Посматрано према делатностима, највећи нето прилив СДИ у првом кварталу 2023. године остварен је у прерађивачкој индустрији, сектору који традиционално привлачи највише СДИ, са остварених 307,5 мил. евра. Висок прилив СДИ у овом периоду остварен је и у стручним, научним, иновационим и техничким делатностима у износу од 100,4 мил. евра, грађевинарству (92,1 мил. евра), некретнинама (88,3 мил. евра), као и у трговини на велико и мало (73,4 мил. евра).</w:t>
      </w:r>
    </w:p>
    <w:p w14:paraId="0C222EBF"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noProof/>
          <w:color w:val="FF0000"/>
          <w:szCs w:val="24"/>
          <w:lang w:val="sr-Cyrl-RS"/>
        </w:rPr>
        <w:t xml:space="preserve"> </w:t>
      </w:r>
      <w:r w:rsidRPr="002C3A49">
        <w:rPr>
          <w:rFonts w:ascii="Times New Roman" w:hAnsi="Times New Roman"/>
          <w:bCs/>
          <w:noProof/>
          <w:szCs w:val="24"/>
          <w:lang w:val="sr-Cyrl-RS"/>
        </w:rPr>
        <w:t>У 2023. години настављена су позитивна кретања на тржишту рада која се пре свега одражавају кроз раст запослености и зарада у приватном сектору. Према подацима Централног регистра обавезног социјалног осигурања (ЦРОСО), у периоду јануар-јул 2023. године просечан број запослених био је већи за 2,8% у поређењу са истим периодом претходне године, чему је пре свега допринео раст запослености у приватном сектору од 3,6%, односно за око 60 хиљада лица, док је у јавном сектору раст износио 0,7%, односно око 4 хиљаде лица. У овом периоду, најснажнији секторски допринос расту запослености долази од ИКТ, научно-техничких делатности и прерађивачке индустрије. Према подацима Националне службе за запошљавање, у истом периоду, број лица која активно траже запослење смањен је за 9,9%.</w:t>
      </w:r>
      <w:r w:rsidRPr="002C3A49">
        <w:rPr>
          <w:noProof/>
          <w:lang w:val="sr-Cyrl-RS"/>
        </w:rPr>
        <w:t xml:space="preserve"> </w:t>
      </w:r>
      <w:r w:rsidRPr="002C3A49">
        <w:rPr>
          <w:rFonts w:ascii="Times New Roman" w:hAnsi="Times New Roman"/>
          <w:bCs/>
          <w:noProof/>
          <w:szCs w:val="24"/>
          <w:lang w:val="sr-Cyrl-RS"/>
        </w:rPr>
        <w:t>Позитивна кретања на тржишту рада потврђени су и подацима Анкете о радној снази. Након стопе незапослености од 10,1% у првом кварталу 2023. године, дошло је до њеног смањења на 9,6%, колико је износила у другом кварталу. У односу на други квартал 2022. године дошло је до повећања стопе запослености са 50,0% на 50,4%, као и смањења стопе становништва ван радне снаге за 1,0 п.п. Такође у том периоду забележено је и повећање броја активног становништва за 20 хиљада лица. У укупној запослености повећан је број формално запослених за 33,3 хиљаде и смањења броја неформално запослених за 38,8 хиљада.</w:t>
      </w:r>
      <w:r w:rsidRPr="002C3A49">
        <w:rPr>
          <w:rFonts w:ascii="Times New Roman" w:hAnsi="Times New Roman"/>
          <w:bCs/>
          <w:iCs/>
          <w:noProof/>
          <w:szCs w:val="24"/>
          <w:lang w:val="sr-Cyrl-RS"/>
        </w:rPr>
        <w:t xml:space="preserve"> </w:t>
      </w:r>
      <w:r w:rsidRPr="002C3A49">
        <w:rPr>
          <w:rFonts w:ascii="Times New Roman" w:hAnsi="Times New Roman"/>
          <w:bCs/>
          <w:noProof/>
          <w:szCs w:val="24"/>
          <w:lang w:val="sr-Cyrl-RS"/>
        </w:rPr>
        <w:t>У првом полугодишту просечна нето зарада је износила 84.204 динара и била је реално већа за 0,1% у поређењу са истим периодом претходне године, упркос нешто вишој међугодишњој инфлацији у овом периоду. Раст зарада био је у потпуности опредељен реалним растом зарада у приватном сектору, који је износио 1,4% вођен повећањем зарада у прерађивачкој индустрији и трговини.</w:t>
      </w:r>
      <w:r w:rsidRPr="002C3A49">
        <w:rPr>
          <w:rFonts w:cstheme="minorHAnsi"/>
          <w:bCs/>
          <w:noProof/>
          <w:color w:val="1F497D" w:themeColor="text2"/>
          <w:sz w:val="20"/>
          <w:szCs w:val="72"/>
          <w:lang w:val="sr-Cyrl-RS"/>
        </w:rPr>
        <w:t xml:space="preserve"> </w:t>
      </w:r>
    </w:p>
    <w:p w14:paraId="1668062B"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 xml:space="preserve">Услед наставка преноса високих трошковних притисака из претходног периода, међугодишња инфлација је током првог квартала 2023. године остала повишена и кретала се на нивоу од око 16%. Међутим, од априла 2023. године, у складу са очекивањима, међугодишња инфлација је на опадајућој путањи и у августу је износила 11,5%. Као и у претходном периоду, базна инфлација (мерена променом индекса потрошачких цена по искључењу хране, енергије, алкохола и цигарета), је истовремено износила 9,1% и била је испод укупне инфлације, чему је наставила да доприноси очувана релативна стабилност курса динара према евру. На постепено попуштање инфлаторних притисака уакaзује и динамика месечне инфлације. Према подацима Републичког завода за статистику након просечног месечног раста од 1,0% у првој половини године, у јулу је изостао месечни раст </w:t>
      </w:r>
      <w:r w:rsidRPr="002C3A49">
        <w:rPr>
          <w:rFonts w:ascii="Times New Roman" w:hAnsi="Times New Roman"/>
          <w:bCs/>
          <w:noProof/>
          <w:szCs w:val="24"/>
          <w:lang w:val="sr-Cyrl-RS"/>
        </w:rPr>
        <w:lastRenderedPageBreak/>
        <w:t>цена, први пут од септембра 2020. године, пошто су потрошачке цене у просеку снижене за 0,1%, вођене нижим ценама поврћа и у мањој мери појединих основних животних намирница (уље, хлеб, месо). У августу 2023. године месечна инфлација износила је 0,4%, што је знатно мање oд просечне месечне инфлације у првој половини године, а благ месечни раст инфлације последица је пре свега виших цена нафтних деривата. Према актуелној пројекцији међугодишња инфлација ће наставити да се креће опадајућом путањoм, тако да би крајем 2023. године требало да износи око 8%. На такво кретање инфлације утицаће и слабљење глобалних трошковних притисака, као и излазак из међугодишњег обрачуна инфлације поскупљења хране и енергената из друге половине 2022. године.</w:t>
      </w:r>
    </w:p>
    <w:p w14:paraId="2FC15C9D" w14:textId="77777777" w:rsidR="00614BA4" w:rsidRPr="002C3A49" w:rsidRDefault="00614BA4" w:rsidP="00614BA4">
      <w:pPr>
        <w:pStyle w:val="Heading3"/>
        <w:numPr>
          <w:ilvl w:val="0"/>
          <w:numId w:val="7"/>
        </w:numPr>
        <w:tabs>
          <w:tab w:val="left" w:pos="1440"/>
        </w:tabs>
        <w:spacing w:line="360" w:lineRule="auto"/>
        <w:rPr>
          <w:rFonts w:ascii="Times New Roman" w:hAnsi="Times New Roman"/>
          <w:noProof/>
          <w:sz w:val="24"/>
          <w:szCs w:val="24"/>
          <w:lang w:val="sr-Cyrl-RS"/>
        </w:rPr>
      </w:pPr>
      <w:r w:rsidRPr="002C3A49">
        <w:rPr>
          <w:rFonts w:ascii="Times New Roman" w:hAnsi="Times New Roman"/>
          <w:noProof/>
          <w:sz w:val="24"/>
          <w:szCs w:val="24"/>
          <w:lang w:val="sr-Cyrl-RS"/>
        </w:rPr>
        <w:t>Макроекономске процене за 2024. годину</w:t>
      </w:r>
    </w:p>
    <w:p w14:paraId="280AC755" w14:textId="77777777" w:rsidR="00614BA4" w:rsidRPr="002C3A49" w:rsidRDefault="00614BA4" w:rsidP="00614BA4">
      <w:pPr>
        <w:rPr>
          <w:rFonts w:ascii="Times New Roman" w:hAnsi="Times New Roman"/>
          <w:b/>
          <w:noProof/>
          <w:szCs w:val="24"/>
          <w:lang w:val="sr-Cyrl-RS"/>
        </w:rPr>
      </w:pPr>
      <w:r w:rsidRPr="002C3A49">
        <w:rPr>
          <w:rFonts w:ascii="Times New Roman" w:hAnsi="Times New Roman"/>
          <w:b/>
          <w:noProof/>
          <w:szCs w:val="24"/>
          <w:lang w:val="sr-Cyrl-RS"/>
        </w:rPr>
        <w:t>Међународно окружење</w:t>
      </w:r>
    </w:p>
    <w:p w14:paraId="408DC89E"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bCs/>
          <w:noProof/>
          <w:szCs w:val="24"/>
          <w:lang w:val="sr-Cyrl-RS"/>
        </w:rPr>
        <w:t xml:space="preserve">Опоравак глобалне економије од негативних последица пандемије коронавируса и конфликта у Украјини и даље се одвија успорено услед све већих разлика међу економским секторима и регионима, као и због даље присутних изражених инфлаторних притисака. Према најновијим пројекцијама ММФ, глобални раст ће након 3,5% у 2022. години успорити на 3,0% у 2023. години, што представља благу ревизију навише од 0,2% у односу на претходну, априлску, пројекцију. Упркос заоштравању монетарних политика водећих централних банка, инфлаторни притисци опстају уз повећану рањивост банкарског сектора. Поред тога, у многим земљама нивои јавног дуга су и даље високи што ограничава могућности фискалне политике да одговори на нове изазове. </w:t>
      </w:r>
      <w:r w:rsidRPr="002C3A49">
        <w:rPr>
          <w:rFonts w:ascii="Times New Roman" w:hAnsi="Times New Roman"/>
          <w:noProof/>
          <w:szCs w:val="24"/>
          <w:lang w:val="sr-Cyrl-RS"/>
        </w:rPr>
        <w:t>И поред успостављеног тренда пада цена на тржишту енергената, решавања застоја у глобалним ланцима снабдевања и смањење трошкова транспорта који доприносе слабљењу трошковних притисака на глобалном нивоу, ризици за остваривање пројекција остају изражени, пре свега као последица и даље присутне неизвесности. Главни фактори успоравања односе се на затезање монетарних политика централних банака и наставак конфликта у Украјини. Опрезност у вођењу монетарне политике остаје приоритет, упркос израженим негативним ефектима по привредни раст уз високу вероватноћу рецесије у развијеним земљама.</w:t>
      </w:r>
    </w:p>
    <w:p w14:paraId="1A562CD8"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Код развијених земаља очекује се значајно успоравање раста, са 2,7% у 2022. години, на 1,5% у 2023. години, уз свега неколико земаља из ове групе које ће имати већу стопу раста у 2023. години у односу на претходну. Код земаља у успону очекује се стабилан раст од 4,0% у 2023. години, али уз велике неједнакости у брзини опоравка унутар саме групе. Очекује се успоравање глобалне инфлације са</w:t>
      </w:r>
      <w:r w:rsidRPr="002C3A49" w:rsidDel="00A75EA0">
        <w:rPr>
          <w:rFonts w:ascii="Times New Roman" w:hAnsi="Times New Roman"/>
          <w:bCs/>
          <w:noProof/>
          <w:szCs w:val="24"/>
          <w:lang w:val="sr-Cyrl-RS"/>
        </w:rPr>
        <w:t xml:space="preserve"> </w:t>
      </w:r>
      <w:r w:rsidRPr="002C3A49">
        <w:rPr>
          <w:rFonts w:ascii="Times New Roman" w:hAnsi="Times New Roman"/>
          <w:bCs/>
          <w:noProof/>
          <w:szCs w:val="24"/>
          <w:lang w:val="sr-Cyrl-RS"/>
        </w:rPr>
        <w:t>8,7% просечно годишње у 2022. години на 6,8% у 2023. години и 5,2% у 2024. години, што је и даље више од предпандемијског нивоа. При томе, за три четвртине светских економија очекује се нижа просечна годишња инфлација у 2023. години у односу на претходну годину. Пооштравање монетарне политике ће постепено ублажити инфлацију, али централни покретач успоравања предвиђеног за 2023. годину јесте пад међународних цена добара. Разлике у темпу смањења инфлације међу земљама одражавају факторе попут различите изложености кретањима цена роба и валута, као и степена утицаја инфлације на привреду. Базна инфлација опада нешто спорије и показала се постојанијом него што је претходно предвиђено, нарочито у развијеним економијама.</w:t>
      </w:r>
    </w:p>
    <w:tbl>
      <w:tblPr>
        <w:tblW w:w="5000" w:type="pct"/>
        <w:jc w:val="center"/>
        <w:tblLook w:val="04A0" w:firstRow="1" w:lastRow="0" w:firstColumn="1" w:lastColumn="0" w:noHBand="0" w:noVBand="1"/>
      </w:tblPr>
      <w:tblGrid>
        <w:gridCol w:w="5776"/>
        <w:gridCol w:w="1255"/>
        <w:gridCol w:w="1255"/>
        <w:gridCol w:w="1254"/>
      </w:tblGrid>
      <w:tr w:rsidR="00614BA4" w:rsidRPr="002C3A49" w14:paraId="4B157044" w14:textId="77777777" w:rsidTr="00DA63A8">
        <w:trPr>
          <w:trHeight w:val="315"/>
          <w:jc w:val="center"/>
        </w:trPr>
        <w:tc>
          <w:tcPr>
            <w:tcW w:w="5000" w:type="pct"/>
            <w:gridSpan w:val="4"/>
            <w:tcBorders>
              <w:top w:val="nil"/>
              <w:left w:val="nil"/>
              <w:bottom w:val="single" w:sz="8" w:space="0" w:color="002060"/>
              <w:right w:val="nil"/>
            </w:tcBorders>
            <w:shd w:val="clear" w:color="auto" w:fill="auto"/>
            <w:vAlign w:val="center"/>
            <w:hideMark/>
          </w:tcPr>
          <w:p w14:paraId="77030CF8" w14:textId="77777777" w:rsidR="00614BA4" w:rsidRPr="002C3A49" w:rsidRDefault="00614BA4" w:rsidP="00DA63A8">
            <w:pPr>
              <w:jc w:val="center"/>
              <w:rPr>
                <w:rFonts w:ascii="Times New Roman" w:hAnsi="Times New Roman"/>
                <w:b/>
                <w:bCs/>
                <w:noProof/>
                <w:sz w:val="20"/>
                <w:szCs w:val="18"/>
                <w:lang w:val="sr-Cyrl-RS" w:eastAsia="en-GB"/>
              </w:rPr>
            </w:pPr>
            <w:r w:rsidRPr="002C3A49">
              <w:rPr>
                <w:rFonts w:ascii="Times New Roman" w:hAnsi="Times New Roman"/>
                <w:b/>
                <w:bCs/>
                <w:noProof/>
                <w:sz w:val="20"/>
                <w:szCs w:val="18"/>
                <w:lang w:val="sr-Cyrl-RS" w:eastAsia="en-GB"/>
              </w:rPr>
              <w:t>Табела 1. Међународно окружење – макроекономски показатељи</w:t>
            </w:r>
          </w:p>
        </w:tc>
      </w:tr>
      <w:tr w:rsidR="00614BA4" w:rsidRPr="002C3A49" w14:paraId="23C11A3E" w14:textId="77777777" w:rsidTr="00DA63A8">
        <w:trPr>
          <w:trHeight w:val="210"/>
          <w:jc w:val="center"/>
        </w:trPr>
        <w:tc>
          <w:tcPr>
            <w:tcW w:w="3027" w:type="pct"/>
            <w:tcBorders>
              <w:top w:val="nil"/>
              <w:left w:val="single" w:sz="8" w:space="0" w:color="FFFFFF"/>
              <w:bottom w:val="single" w:sz="8" w:space="0" w:color="FFFFFF"/>
              <w:right w:val="single" w:sz="8" w:space="0" w:color="FFFFFF"/>
            </w:tcBorders>
            <w:shd w:val="clear" w:color="auto" w:fill="auto"/>
            <w:vAlign w:val="center"/>
            <w:hideMark/>
          </w:tcPr>
          <w:p w14:paraId="1080C962"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 </w:t>
            </w:r>
          </w:p>
        </w:tc>
        <w:tc>
          <w:tcPr>
            <w:tcW w:w="658" w:type="pct"/>
            <w:tcBorders>
              <w:top w:val="nil"/>
              <w:left w:val="nil"/>
              <w:bottom w:val="single" w:sz="8" w:space="0" w:color="002060"/>
              <w:right w:val="single" w:sz="8" w:space="0" w:color="FFFFFF"/>
            </w:tcBorders>
            <w:shd w:val="clear" w:color="auto" w:fill="auto"/>
            <w:vAlign w:val="center"/>
            <w:hideMark/>
          </w:tcPr>
          <w:p w14:paraId="37BA5E90"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2022</w:t>
            </w:r>
          </w:p>
        </w:tc>
        <w:tc>
          <w:tcPr>
            <w:tcW w:w="658" w:type="pct"/>
            <w:tcBorders>
              <w:top w:val="nil"/>
              <w:left w:val="nil"/>
              <w:bottom w:val="single" w:sz="8" w:space="0" w:color="002060"/>
              <w:right w:val="single" w:sz="8" w:space="0" w:color="FFFFFF"/>
            </w:tcBorders>
            <w:shd w:val="clear" w:color="auto" w:fill="auto"/>
            <w:vAlign w:val="center"/>
            <w:hideMark/>
          </w:tcPr>
          <w:p w14:paraId="03CA895E"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2023</w:t>
            </w:r>
          </w:p>
        </w:tc>
        <w:tc>
          <w:tcPr>
            <w:tcW w:w="657" w:type="pct"/>
            <w:tcBorders>
              <w:top w:val="nil"/>
              <w:left w:val="nil"/>
              <w:bottom w:val="single" w:sz="8" w:space="0" w:color="002060"/>
              <w:right w:val="single" w:sz="8" w:space="0" w:color="FFFFFF"/>
            </w:tcBorders>
            <w:shd w:val="clear" w:color="auto" w:fill="auto"/>
            <w:vAlign w:val="center"/>
            <w:hideMark/>
          </w:tcPr>
          <w:p w14:paraId="0C048077"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2024</w:t>
            </w:r>
          </w:p>
        </w:tc>
      </w:tr>
      <w:tr w:rsidR="00614BA4" w:rsidRPr="002C3A49" w14:paraId="46F518AE" w14:textId="77777777" w:rsidTr="00DA63A8">
        <w:trPr>
          <w:trHeight w:val="210"/>
          <w:jc w:val="center"/>
        </w:trPr>
        <w:tc>
          <w:tcPr>
            <w:tcW w:w="3027" w:type="pct"/>
            <w:tcBorders>
              <w:top w:val="nil"/>
              <w:left w:val="single" w:sz="8" w:space="0" w:color="FFFFFF"/>
              <w:bottom w:val="single" w:sz="8" w:space="0" w:color="FFFFFF"/>
              <w:right w:val="nil"/>
            </w:tcBorders>
            <w:shd w:val="clear" w:color="000000" w:fill="E7E6E6"/>
            <w:vAlign w:val="center"/>
            <w:hideMark/>
          </w:tcPr>
          <w:p w14:paraId="42187B2A"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Реални раст БДП</w:t>
            </w:r>
            <w:r w:rsidRPr="002C3A49">
              <w:rPr>
                <w:rFonts w:ascii="Times New Roman" w:hAnsi="Times New Roman"/>
                <w:noProof/>
                <w:sz w:val="20"/>
                <w:szCs w:val="18"/>
                <w:vertAlign w:val="superscript"/>
                <w:lang w:val="sr-Cyrl-RS" w:eastAsia="en-GB"/>
              </w:rPr>
              <w:t>1</w:t>
            </w:r>
            <w:r w:rsidRPr="002C3A49">
              <w:rPr>
                <w:rFonts w:ascii="Times New Roman" w:hAnsi="Times New Roman"/>
                <w:noProof/>
                <w:sz w:val="20"/>
                <w:szCs w:val="18"/>
                <w:lang w:val="sr-Cyrl-RS" w:eastAsia="en-GB"/>
              </w:rPr>
              <w:t>, %</w:t>
            </w:r>
          </w:p>
        </w:tc>
        <w:tc>
          <w:tcPr>
            <w:tcW w:w="658" w:type="pct"/>
            <w:tcBorders>
              <w:top w:val="nil"/>
              <w:left w:val="nil"/>
              <w:bottom w:val="single" w:sz="8" w:space="0" w:color="FFFFFF"/>
              <w:right w:val="nil"/>
            </w:tcBorders>
            <w:shd w:val="clear" w:color="000000" w:fill="E7E6E6"/>
            <w:vAlign w:val="center"/>
            <w:hideMark/>
          </w:tcPr>
          <w:p w14:paraId="4039CE67"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 </w:t>
            </w:r>
          </w:p>
        </w:tc>
        <w:tc>
          <w:tcPr>
            <w:tcW w:w="658" w:type="pct"/>
            <w:tcBorders>
              <w:top w:val="nil"/>
              <w:left w:val="nil"/>
              <w:bottom w:val="single" w:sz="8" w:space="0" w:color="FFFFFF"/>
              <w:right w:val="nil"/>
            </w:tcBorders>
            <w:shd w:val="clear" w:color="000000" w:fill="E7E6E6"/>
            <w:vAlign w:val="center"/>
            <w:hideMark/>
          </w:tcPr>
          <w:p w14:paraId="04B01E96"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 </w:t>
            </w:r>
          </w:p>
        </w:tc>
        <w:tc>
          <w:tcPr>
            <w:tcW w:w="657" w:type="pct"/>
            <w:tcBorders>
              <w:top w:val="nil"/>
              <w:left w:val="nil"/>
              <w:bottom w:val="single" w:sz="8" w:space="0" w:color="FFFFFF"/>
              <w:right w:val="nil"/>
            </w:tcBorders>
            <w:shd w:val="clear" w:color="000000" w:fill="E7E6E6"/>
            <w:vAlign w:val="center"/>
            <w:hideMark/>
          </w:tcPr>
          <w:p w14:paraId="739219CF"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 </w:t>
            </w:r>
          </w:p>
        </w:tc>
      </w:tr>
      <w:tr w:rsidR="00614BA4" w:rsidRPr="002C3A49" w14:paraId="257B0784" w14:textId="77777777" w:rsidTr="00DA63A8">
        <w:trPr>
          <w:trHeight w:val="210"/>
          <w:jc w:val="center"/>
        </w:trPr>
        <w:tc>
          <w:tcPr>
            <w:tcW w:w="3027" w:type="pct"/>
            <w:tcBorders>
              <w:top w:val="nil"/>
              <w:left w:val="nil"/>
              <w:bottom w:val="nil"/>
              <w:right w:val="nil"/>
            </w:tcBorders>
            <w:shd w:val="clear" w:color="auto" w:fill="auto"/>
            <w:vAlign w:val="center"/>
            <w:hideMark/>
          </w:tcPr>
          <w:p w14:paraId="43C09610"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Свет укупно</w:t>
            </w:r>
          </w:p>
        </w:tc>
        <w:tc>
          <w:tcPr>
            <w:tcW w:w="658" w:type="pct"/>
            <w:tcBorders>
              <w:top w:val="nil"/>
              <w:left w:val="nil"/>
              <w:bottom w:val="nil"/>
              <w:right w:val="nil"/>
            </w:tcBorders>
            <w:shd w:val="clear" w:color="auto" w:fill="auto"/>
            <w:vAlign w:val="center"/>
            <w:hideMark/>
          </w:tcPr>
          <w:p w14:paraId="4E49CF42"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3,5</w:t>
            </w:r>
          </w:p>
        </w:tc>
        <w:tc>
          <w:tcPr>
            <w:tcW w:w="658" w:type="pct"/>
            <w:tcBorders>
              <w:top w:val="nil"/>
              <w:left w:val="nil"/>
              <w:bottom w:val="nil"/>
              <w:right w:val="nil"/>
            </w:tcBorders>
            <w:shd w:val="clear" w:color="auto" w:fill="auto"/>
            <w:vAlign w:val="center"/>
            <w:hideMark/>
          </w:tcPr>
          <w:p w14:paraId="00A102F4"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3,0</w:t>
            </w:r>
          </w:p>
        </w:tc>
        <w:tc>
          <w:tcPr>
            <w:tcW w:w="657" w:type="pct"/>
            <w:tcBorders>
              <w:top w:val="nil"/>
              <w:left w:val="nil"/>
              <w:bottom w:val="nil"/>
              <w:right w:val="nil"/>
            </w:tcBorders>
            <w:shd w:val="clear" w:color="auto" w:fill="auto"/>
            <w:vAlign w:val="center"/>
            <w:hideMark/>
          </w:tcPr>
          <w:p w14:paraId="3BFAF44D"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3,0</w:t>
            </w:r>
          </w:p>
        </w:tc>
      </w:tr>
      <w:tr w:rsidR="00614BA4" w:rsidRPr="002C3A49" w14:paraId="3A73702E" w14:textId="77777777" w:rsidTr="00DA63A8">
        <w:trPr>
          <w:trHeight w:val="210"/>
          <w:jc w:val="center"/>
        </w:trPr>
        <w:tc>
          <w:tcPr>
            <w:tcW w:w="3027" w:type="pct"/>
            <w:tcBorders>
              <w:top w:val="nil"/>
              <w:left w:val="nil"/>
              <w:bottom w:val="nil"/>
              <w:right w:val="nil"/>
            </w:tcBorders>
            <w:shd w:val="clear" w:color="auto" w:fill="auto"/>
            <w:vAlign w:val="center"/>
            <w:hideMark/>
          </w:tcPr>
          <w:p w14:paraId="7BDC1436"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Развијене економије</w:t>
            </w:r>
          </w:p>
        </w:tc>
        <w:tc>
          <w:tcPr>
            <w:tcW w:w="658" w:type="pct"/>
            <w:tcBorders>
              <w:top w:val="nil"/>
              <w:left w:val="nil"/>
              <w:bottom w:val="nil"/>
              <w:right w:val="nil"/>
            </w:tcBorders>
            <w:shd w:val="clear" w:color="auto" w:fill="auto"/>
            <w:vAlign w:val="center"/>
            <w:hideMark/>
          </w:tcPr>
          <w:p w14:paraId="450063D6"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2,7</w:t>
            </w:r>
          </w:p>
        </w:tc>
        <w:tc>
          <w:tcPr>
            <w:tcW w:w="658" w:type="pct"/>
            <w:tcBorders>
              <w:top w:val="nil"/>
              <w:left w:val="nil"/>
              <w:bottom w:val="nil"/>
              <w:right w:val="nil"/>
            </w:tcBorders>
            <w:shd w:val="clear" w:color="auto" w:fill="auto"/>
            <w:vAlign w:val="center"/>
            <w:hideMark/>
          </w:tcPr>
          <w:p w14:paraId="3B02EB46"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1,5</w:t>
            </w:r>
          </w:p>
        </w:tc>
        <w:tc>
          <w:tcPr>
            <w:tcW w:w="657" w:type="pct"/>
            <w:tcBorders>
              <w:top w:val="nil"/>
              <w:left w:val="nil"/>
              <w:bottom w:val="nil"/>
              <w:right w:val="nil"/>
            </w:tcBorders>
            <w:shd w:val="clear" w:color="auto" w:fill="auto"/>
            <w:vAlign w:val="center"/>
            <w:hideMark/>
          </w:tcPr>
          <w:p w14:paraId="7A08B0CC"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1,4</w:t>
            </w:r>
          </w:p>
        </w:tc>
      </w:tr>
      <w:tr w:rsidR="00614BA4" w:rsidRPr="002C3A49" w14:paraId="4653F114" w14:textId="77777777" w:rsidTr="00DA63A8">
        <w:trPr>
          <w:trHeight w:val="210"/>
          <w:jc w:val="center"/>
        </w:trPr>
        <w:tc>
          <w:tcPr>
            <w:tcW w:w="3027" w:type="pct"/>
            <w:tcBorders>
              <w:top w:val="nil"/>
              <w:left w:val="nil"/>
              <w:bottom w:val="nil"/>
              <w:right w:val="nil"/>
            </w:tcBorders>
            <w:shd w:val="clear" w:color="auto" w:fill="auto"/>
            <w:vAlign w:val="center"/>
            <w:hideMark/>
          </w:tcPr>
          <w:p w14:paraId="79A3681A" w14:textId="77777777" w:rsidR="00614BA4" w:rsidRPr="002C3A49" w:rsidRDefault="00614BA4" w:rsidP="00DA63A8">
            <w:pPr>
              <w:ind w:firstLineChars="400" w:firstLine="8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САД</w:t>
            </w:r>
          </w:p>
        </w:tc>
        <w:tc>
          <w:tcPr>
            <w:tcW w:w="658" w:type="pct"/>
            <w:tcBorders>
              <w:top w:val="nil"/>
              <w:left w:val="nil"/>
              <w:bottom w:val="nil"/>
              <w:right w:val="nil"/>
            </w:tcBorders>
            <w:shd w:val="clear" w:color="auto" w:fill="auto"/>
            <w:vAlign w:val="center"/>
            <w:hideMark/>
          </w:tcPr>
          <w:p w14:paraId="0CDDB405"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2,1</w:t>
            </w:r>
          </w:p>
        </w:tc>
        <w:tc>
          <w:tcPr>
            <w:tcW w:w="658" w:type="pct"/>
            <w:tcBorders>
              <w:top w:val="nil"/>
              <w:left w:val="nil"/>
              <w:bottom w:val="nil"/>
              <w:right w:val="nil"/>
            </w:tcBorders>
            <w:shd w:val="clear" w:color="auto" w:fill="auto"/>
            <w:vAlign w:val="center"/>
            <w:hideMark/>
          </w:tcPr>
          <w:p w14:paraId="304FDFFC"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1,8</w:t>
            </w:r>
          </w:p>
        </w:tc>
        <w:tc>
          <w:tcPr>
            <w:tcW w:w="657" w:type="pct"/>
            <w:tcBorders>
              <w:top w:val="nil"/>
              <w:left w:val="nil"/>
              <w:bottom w:val="nil"/>
              <w:right w:val="nil"/>
            </w:tcBorders>
            <w:shd w:val="clear" w:color="auto" w:fill="auto"/>
            <w:vAlign w:val="center"/>
            <w:hideMark/>
          </w:tcPr>
          <w:p w14:paraId="03509AEC"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1,0</w:t>
            </w:r>
          </w:p>
        </w:tc>
      </w:tr>
      <w:tr w:rsidR="00614BA4" w:rsidRPr="002C3A49" w14:paraId="140B84E4" w14:textId="77777777" w:rsidTr="00DA63A8">
        <w:trPr>
          <w:trHeight w:val="210"/>
          <w:jc w:val="center"/>
        </w:trPr>
        <w:tc>
          <w:tcPr>
            <w:tcW w:w="3027" w:type="pct"/>
            <w:tcBorders>
              <w:top w:val="nil"/>
              <w:left w:val="nil"/>
              <w:bottom w:val="nil"/>
              <w:right w:val="nil"/>
            </w:tcBorders>
            <w:shd w:val="clear" w:color="auto" w:fill="auto"/>
            <w:vAlign w:val="center"/>
            <w:hideMark/>
          </w:tcPr>
          <w:p w14:paraId="1D545F97" w14:textId="77777777" w:rsidR="00614BA4" w:rsidRPr="002C3A49" w:rsidRDefault="00614BA4" w:rsidP="00DA63A8">
            <w:pPr>
              <w:ind w:firstLineChars="400" w:firstLine="8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Еврозона</w:t>
            </w:r>
          </w:p>
        </w:tc>
        <w:tc>
          <w:tcPr>
            <w:tcW w:w="658" w:type="pct"/>
            <w:tcBorders>
              <w:top w:val="nil"/>
              <w:left w:val="nil"/>
              <w:bottom w:val="nil"/>
              <w:right w:val="nil"/>
            </w:tcBorders>
            <w:shd w:val="clear" w:color="auto" w:fill="auto"/>
            <w:vAlign w:val="center"/>
            <w:hideMark/>
          </w:tcPr>
          <w:p w14:paraId="48E3EDBC"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3,5</w:t>
            </w:r>
          </w:p>
        </w:tc>
        <w:tc>
          <w:tcPr>
            <w:tcW w:w="658" w:type="pct"/>
            <w:tcBorders>
              <w:top w:val="nil"/>
              <w:left w:val="nil"/>
              <w:bottom w:val="nil"/>
              <w:right w:val="nil"/>
            </w:tcBorders>
            <w:shd w:val="clear" w:color="auto" w:fill="auto"/>
            <w:vAlign w:val="center"/>
            <w:hideMark/>
          </w:tcPr>
          <w:p w14:paraId="6B2422E1"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0,9</w:t>
            </w:r>
          </w:p>
        </w:tc>
        <w:tc>
          <w:tcPr>
            <w:tcW w:w="657" w:type="pct"/>
            <w:tcBorders>
              <w:top w:val="nil"/>
              <w:left w:val="nil"/>
              <w:bottom w:val="nil"/>
              <w:right w:val="nil"/>
            </w:tcBorders>
            <w:shd w:val="clear" w:color="auto" w:fill="auto"/>
            <w:vAlign w:val="center"/>
            <w:hideMark/>
          </w:tcPr>
          <w:p w14:paraId="645B0CEB"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1,5</w:t>
            </w:r>
          </w:p>
        </w:tc>
      </w:tr>
      <w:tr w:rsidR="00614BA4" w:rsidRPr="002C3A49" w14:paraId="1F124E6F" w14:textId="77777777" w:rsidTr="00DA63A8">
        <w:trPr>
          <w:trHeight w:val="210"/>
          <w:jc w:val="center"/>
        </w:trPr>
        <w:tc>
          <w:tcPr>
            <w:tcW w:w="3027" w:type="pct"/>
            <w:tcBorders>
              <w:top w:val="nil"/>
              <w:left w:val="nil"/>
              <w:bottom w:val="nil"/>
              <w:right w:val="nil"/>
            </w:tcBorders>
            <w:shd w:val="clear" w:color="auto" w:fill="auto"/>
            <w:vAlign w:val="center"/>
            <w:hideMark/>
          </w:tcPr>
          <w:p w14:paraId="18F5D96D"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Земље у успону</w:t>
            </w:r>
          </w:p>
        </w:tc>
        <w:tc>
          <w:tcPr>
            <w:tcW w:w="658" w:type="pct"/>
            <w:tcBorders>
              <w:top w:val="nil"/>
              <w:left w:val="nil"/>
              <w:bottom w:val="nil"/>
              <w:right w:val="nil"/>
            </w:tcBorders>
            <w:shd w:val="clear" w:color="auto" w:fill="auto"/>
            <w:vAlign w:val="center"/>
            <w:hideMark/>
          </w:tcPr>
          <w:p w14:paraId="2AA2DFB9"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4,0</w:t>
            </w:r>
          </w:p>
        </w:tc>
        <w:tc>
          <w:tcPr>
            <w:tcW w:w="658" w:type="pct"/>
            <w:tcBorders>
              <w:top w:val="nil"/>
              <w:left w:val="nil"/>
              <w:bottom w:val="nil"/>
              <w:right w:val="nil"/>
            </w:tcBorders>
            <w:shd w:val="clear" w:color="auto" w:fill="auto"/>
            <w:vAlign w:val="center"/>
            <w:hideMark/>
          </w:tcPr>
          <w:p w14:paraId="456D8DBB"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4,0</w:t>
            </w:r>
          </w:p>
        </w:tc>
        <w:tc>
          <w:tcPr>
            <w:tcW w:w="657" w:type="pct"/>
            <w:tcBorders>
              <w:top w:val="nil"/>
              <w:left w:val="nil"/>
              <w:bottom w:val="nil"/>
              <w:right w:val="nil"/>
            </w:tcBorders>
            <w:shd w:val="clear" w:color="auto" w:fill="auto"/>
            <w:vAlign w:val="center"/>
            <w:hideMark/>
          </w:tcPr>
          <w:p w14:paraId="16E30A64"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4,1</w:t>
            </w:r>
          </w:p>
        </w:tc>
      </w:tr>
      <w:tr w:rsidR="00614BA4" w:rsidRPr="002C3A49" w14:paraId="437215CC" w14:textId="77777777" w:rsidTr="00DA63A8">
        <w:trPr>
          <w:trHeight w:val="210"/>
          <w:jc w:val="center"/>
        </w:trPr>
        <w:tc>
          <w:tcPr>
            <w:tcW w:w="3027" w:type="pct"/>
            <w:tcBorders>
              <w:top w:val="nil"/>
              <w:left w:val="nil"/>
              <w:bottom w:val="nil"/>
              <w:right w:val="nil"/>
            </w:tcBorders>
            <w:shd w:val="clear" w:color="auto" w:fill="auto"/>
            <w:vAlign w:val="center"/>
            <w:hideMark/>
          </w:tcPr>
          <w:p w14:paraId="1C57C354" w14:textId="77777777" w:rsidR="00614BA4" w:rsidRPr="002C3A49" w:rsidRDefault="00614BA4" w:rsidP="00DA63A8">
            <w:pPr>
              <w:ind w:firstLineChars="400" w:firstLine="8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Кина</w:t>
            </w:r>
          </w:p>
        </w:tc>
        <w:tc>
          <w:tcPr>
            <w:tcW w:w="658" w:type="pct"/>
            <w:tcBorders>
              <w:top w:val="nil"/>
              <w:left w:val="nil"/>
              <w:bottom w:val="nil"/>
              <w:right w:val="nil"/>
            </w:tcBorders>
            <w:shd w:val="clear" w:color="auto" w:fill="auto"/>
            <w:vAlign w:val="center"/>
            <w:hideMark/>
          </w:tcPr>
          <w:p w14:paraId="6DED4089"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3,0</w:t>
            </w:r>
          </w:p>
        </w:tc>
        <w:tc>
          <w:tcPr>
            <w:tcW w:w="658" w:type="pct"/>
            <w:tcBorders>
              <w:top w:val="nil"/>
              <w:left w:val="nil"/>
              <w:bottom w:val="nil"/>
              <w:right w:val="nil"/>
            </w:tcBorders>
            <w:shd w:val="clear" w:color="auto" w:fill="auto"/>
            <w:vAlign w:val="center"/>
            <w:hideMark/>
          </w:tcPr>
          <w:p w14:paraId="41D1AB80"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5,2</w:t>
            </w:r>
          </w:p>
        </w:tc>
        <w:tc>
          <w:tcPr>
            <w:tcW w:w="657" w:type="pct"/>
            <w:tcBorders>
              <w:top w:val="nil"/>
              <w:left w:val="nil"/>
              <w:bottom w:val="nil"/>
              <w:right w:val="nil"/>
            </w:tcBorders>
            <w:shd w:val="clear" w:color="auto" w:fill="auto"/>
            <w:vAlign w:val="center"/>
            <w:hideMark/>
          </w:tcPr>
          <w:p w14:paraId="23AD1E5A"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4,5</w:t>
            </w:r>
          </w:p>
        </w:tc>
      </w:tr>
      <w:tr w:rsidR="00614BA4" w:rsidRPr="002C3A49" w14:paraId="6A2B7D34" w14:textId="77777777" w:rsidTr="00DA63A8">
        <w:trPr>
          <w:trHeight w:val="210"/>
          <w:jc w:val="center"/>
        </w:trPr>
        <w:tc>
          <w:tcPr>
            <w:tcW w:w="3027" w:type="pct"/>
            <w:tcBorders>
              <w:top w:val="nil"/>
              <w:left w:val="nil"/>
              <w:bottom w:val="nil"/>
              <w:right w:val="nil"/>
            </w:tcBorders>
            <w:shd w:val="clear" w:color="auto" w:fill="auto"/>
            <w:vAlign w:val="center"/>
            <w:hideMark/>
          </w:tcPr>
          <w:p w14:paraId="0ABB084E" w14:textId="77777777" w:rsidR="00614BA4" w:rsidRPr="002C3A49" w:rsidRDefault="00614BA4" w:rsidP="00DA63A8">
            <w:pPr>
              <w:ind w:firstLineChars="400" w:firstLine="8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 xml:space="preserve">Русија </w:t>
            </w:r>
          </w:p>
        </w:tc>
        <w:tc>
          <w:tcPr>
            <w:tcW w:w="658" w:type="pct"/>
            <w:tcBorders>
              <w:top w:val="nil"/>
              <w:left w:val="nil"/>
              <w:bottom w:val="nil"/>
              <w:right w:val="nil"/>
            </w:tcBorders>
            <w:shd w:val="clear" w:color="auto" w:fill="auto"/>
            <w:vAlign w:val="center"/>
            <w:hideMark/>
          </w:tcPr>
          <w:p w14:paraId="443A5FF8"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-2,1</w:t>
            </w:r>
          </w:p>
        </w:tc>
        <w:tc>
          <w:tcPr>
            <w:tcW w:w="658" w:type="pct"/>
            <w:tcBorders>
              <w:top w:val="nil"/>
              <w:left w:val="nil"/>
              <w:bottom w:val="nil"/>
              <w:right w:val="nil"/>
            </w:tcBorders>
            <w:shd w:val="clear" w:color="auto" w:fill="auto"/>
            <w:vAlign w:val="center"/>
            <w:hideMark/>
          </w:tcPr>
          <w:p w14:paraId="0E807973"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1,5</w:t>
            </w:r>
          </w:p>
        </w:tc>
        <w:tc>
          <w:tcPr>
            <w:tcW w:w="657" w:type="pct"/>
            <w:tcBorders>
              <w:top w:val="nil"/>
              <w:left w:val="nil"/>
              <w:bottom w:val="nil"/>
              <w:right w:val="nil"/>
            </w:tcBorders>
            <w:shd w:val="clear" w:color="auto" w:fill="auto"/>
            <w:vAlign w:val="center"/>
            <w:hideMark/>
          </w:tcPr>
          <w:p w14:paraId="71BFE7C6"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1,3</w:t>
            </w:r>
          </w:p>
        </w:tc>
      </w:tr>
      <w:tr w:rsidR="00614BA4" w:rsidRPr="002C3A49" w14:paraId="323A4139" w14:textId="77777777" w:rsidTr="00DA63A8">
        <w:trPr>
          <w:trHeight w:val="210"/>
          <w:jc w:val="center"/>
        </w:trPr>
        <w:tc>
          <w:tcPr>
            <w:tcW w:w="3027" w:type="pct"/>
            <w:tcBorders>
              <w:top w:val="nil"/>
              <w:left w:val="nil"/>
              <w:bottom w:val="nil"/>
              <w:right w:val="nil"/>
            </w:tcBorders>
            <w:shd w:val="clear" w:color="auto" w:fill="auto"/>
            <w:vAlign w:val="center"/>
            <w:hideMark/>
          </w:tcPr>
          <w:p w14:paraId="216F31D9"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Раст светске трговине, %</w:t>
            </w:r>
          </w:p>
        </w:tc>
        <w:tc>
          <w:tcPr>
            <w:tcW w:w="658" w:type="pct"/>
            <w:tcBorders>
              <w:top w:val="nil"/>
              <w:left w:val="nil"/>
              <w:bottom w:val="nil"/>
              <w:right w:val="nil"/>
            </w:tcBorders>
            <w:shd w:val="clear" w:color="auto" w:fill="auto"/>
            <w:vAlign w:val="center"/>
            <w:hideMark/>
          </w:tcPr>
          <w:p w14:paraId="41D81245"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5,2</w:t>
            </w:r>
          </w:p>
        </w:tc>
        <w:tc>
          <w:tcPr>
            <w:tcW w:w="658" w:type="pct"/>
            <w:tcBorders>
              <w:top w:val="nil"/>
              <w:left w:val="nil"/>
              <w:bottom w:val="nil"/>
              <w:right w:val="nil"/>
            </w:tcBorders>
            <w:shd w:val="clear" w:color="auto" w:fill="auto"/>
            <w:vAlign w:val="center"/>
            <w:hideMark/>
          </w:tcPr>
          <w:p w14:paraId="1941C300"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2,0</w:t>
            </w:r>
          </w:p>
        </w:tc>
        <w:tc>
          <w:tcPr>
            <w:tcW w:w="657" w:type="pct"/>
            <w:tcBorders>
              <w:top w:val="nil"/>
              <w:left w:val="nil"/>
              <w:bottom w:val="nil"/>
              <w:right w:val="nil"/>
            </w:tcBorders>
            <w:shd w:val="clear" w:color="auto" w:fill="auto"/>
            <w:vAlign w:val="center"/>
            <w:hideMark/>
          </w:tcPr>
          <w:p w14:paraId="0AE299FD"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3,7</w:t>
            </w:r>
          </w:p>
        </w:tc>
      </w:tr>
      <w:tr w:rsidR="00614BA4" w:rsidRPr="002C3A49" w14:paraId="69E57806" w14:textId="77777777" w:rsidTr="00DA63A8">
        <w:trPr>
          <w:trHeight w:val="210"/>
          <w:jc w:val="center"/>
        </w:trPr>
        <w:tc>
          <w:tcPr>
            <w:tcW w:w="3027" w:type="pct"/>
            <w:tcBorders>
              <w:top w:val="nil"/>
              <w:left w:val="nil"/>
              <w:bottom w:val="nil"/>
              <w:right w:val="nil"/>
            </w:tcBorders>
            <w:shd w:val="clear" w:color="000000" w:fill="E7E6E6"/>
            <w:vAlign w:val="center"/>
            <w:hideMark/>
          </w:tcPr>
          <w:p w14:paraId="7FE4F807"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lastRenderedPageBreak/>
              <w:t>Потрошачке цене, просек периода, %</w:t>
            </w:r>
          </w:p>
        </w:tc>
        <w:tc>
          <w:tcPr>
            <w:tcW w:w="658" w:type="pct"/>
            <w:tcBorders>
              <w:top w:val="nil"/>
              <w:left w:val="nil"/>
              <w:bottom w:val="nil"/>
              <w:right w:val="nil"/>
            </w:tcBorders>
            <w:shd w:val="clear" w:color="000000" w:fill="E7E6E6"/>
            <w:vAlign w:val="center"/>
          </w:tcPr>
          <w:p w14:paraId="0E0C19F5" w14:textId="77777777" w:rsidR="00614BA4" w:rsidRPr="002C3A49" w:rsidRDefault="00614BA4" w:rsidP="00DA63A8">
            <w:pPr>
              <w:jc w:val="center"/>
              <w:rPr>
                <w:rFonts w:ascii="Times New Roman" w:hAnsi="Times New Roman"/>
                <w:noProof/>
                <w:sz w:val="20"/>
                <w:szCs w:val="18"/>
                <w:lang w:val="sr-Cyrl-RS" w:eastAsia="en-GB"/>
              </w:rPr>
            </w:pPr>
          </w:p>
        </w:tc>
        <w:tc>
          <w:tcPr>
            <w:tcW w:w="658" w:type="pct"/>
            <w:tcBorders>
              <w:top w:val="nil"/>
              <w:left w:val="nil"/>
              <w:bottom w:val="nil"/>
              <w:right w:val="nil"/>
            </w:tcBorders>
            <w:shd w:val="clear" w:color="000000" w:fill="E7E6E6"/>
            <w:vAlign w:val="center"/>
          </w:tcPr>
          <w:p w14:paraId="014C97C3" w14:textId="77777777" w:rsidR="00614BA4" w:rsidRPr="002C3A49" w:rsidRDefault="00614BA4" w:rsidP="00DA63A8">
            <w:pPr>
              <w:jc w:val="center"/>
              <w:rPr>
                <w:rFonts w:ascii="Times New Roman" w:hAnsi="Times New Roman"/>
                <w:noProof/>
                <w:sz w:val="20"/>
                <w:szCs w:val="18"/>
                <w:lang w:val="sr-Cyrl-RS" w:eastAsia="en-GB"/>
              </w:rPr>
            </w:pPr>
          </w:p>
        </w:tc>
        <w:tc>
          <w:tcPr>
            <w:tcW w:w="657" w:type="pct"/>
            <w:tcBorders>
              <w:top w:val="nil"/>
              <w:left w:val="nil"/>
              <w:bottom w:val="nil"/>
              <w:right w:val="nil"/>
            </w:tcBorders>
            <w:shd w:val="clear" w:color="000000" w:fill="E7E6E6"/>
            <w:vAlign w:val="center"/>
          </w:tcPr>
          <w:p w14:paraId="7266B973" w14:textId="77777777" w:rsidR="00614BA4" w:rsidRPr="002C3A49" w:rsidRDefault="00614BA4" w:rsidP="00DA63A8">
            <w:pPr>
              <w:jc w:val="center"/>
              <w:rPr>
                <w:rFonts w:ascii="Times New Roman" w:hAnsi="Times New Roman"/>
                <w:noProof/>
                <w:sz w:val="20"/>
                <w:szCs w:val="18"/>
                <w:lang w:val="sr-Cyrl-RS" w:eastAsia="en-GB"/>
              </w:rPr>
            </w:pPr>
          </w:p>
        </w:tc>
      </w:tr>
      <w:tr w:rsidR="00614BA4" w:rsidRPr="002C3A49" w14:paraId="0446D8C8" w14:textId="77777777" w:rsidTr="00DA63A8">
        <w:trPr>
          <w:trHeight w:val="210"/>
          <w:jc w:val="center"/>
        </w:trPr>
        <w:tc>
          <w:tcPr>
            <w:tcW w:w="3027" w:type="pct"/>
            <w:tcBorders>
              <w:top w:val="nil"/>
              <w:left w:val="nil"/>
              <w:bottom w:val="nil"/>
              <w:right w:val="nil"/>
            </w:tcBorders>
            <w:shd w:val="clear" w:color="auto" w:fill="auto"/>
            <w:vAlign w:val="center"/>
            <w:hideMark/>
          </w:tcPr>
          <w:p w14:paraId="233A5E51"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Еврозона</w:t>
            </w:r>
          </w:p>
        </w:tc>
        <w:tc>
          <w:tcPr>
            <w:tcW w:w="658" w:type="pct"/>
            <w:tcBorders>
              <w:top w:val="nil"/>
              <w:left w:val="nil"/>
              <w:bottom w:val="nil"/>
              <w:right w:val="nil"/>
            </w:tcBorders>
            <w:shd w:val="clear" w:color="auto" w:fill="auto"/>
            <w:vAlign w:val="center"/>
            <w:hideMark/>
          </w:tcPr>
          <w:p w14:paraId="1140FEA1"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8,4</w:t>
            </w:r>
          </w:p>
        </w:tc>
        <w:tc>
          <w:tcPr>
            <w:tcW w:w="658" w:type="pct"/>
            <w:tcBorders>
              <w:top w:val="nil"/>
              <w:left w:val="nil"/>
              <w:bottom w:val="nil"/>
              <w:right w:val="nil"/>
            </w:tcBorders>
            <w:shd w:val="clear" w:color="auto" w:fill="auto"/>
            <w:vAlign w:val="center"/>
            <w:hideMark/>
          </w:tcPr>
          <w:p w14:paraId="0575189F"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5,2</w:t>
            </w:r>
          </w:p>
        </w:tc>
        <w:tc>
          <w:tcPr>
            <w:tcW w:w="657" w:type="pct"/>
            <w:tcBorders>
              <w:top w:val="nil"/>
              <w:left w:val="nil"/>
              <w:bottom w:val="nil"/>
              <w:right w:val="nil"/>
            </w:tcBorders>
            <w:shd w:val="clear" w:color="auto" w:fill="auto"/>
            <w:vAlign w:val="center"/>
            <w:hideMark/>
          </w:tcPr>
          <w:p w14:paraId="783E2CBA"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2,8</w:t>
            </w:r>
          </w:p>
        </w:tc>
      </w:tr>
      <w:tr w:rsidR="00614BA4" w:rsidRPr="002C3A49" w14:paraId="3995366C" w14:textId="77777777" w:rsidTr="00DA63A8">
        <w:trPr>
          <w:trHeight w:val="210"/>
          <w:jc w:val="center"/>
        </w:trPr>
        <w:tc>
          <w:tcPr>
            <w:tcW w:w="3027" w:type="pct"/>
            <w:tcBorders>
              <w:top w:val="nil"/>
              <w:left w:val="nil"/>
              <w:bottom w:val="nil"/>
              <w:right w:val="nil"/>
            </w:tcBorders>
            <w:shd w:val="clear" w:color="auto" w:fill="auto"/>
            <w:vAlign w:val="center"/>
            <w:hideMark/>
          </w:tcPr>
          <w:p w14:paraId="2CF711DA"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Развијене економије</w:t>
            </w:r>
          </w:p>
        </w:tc>
        <w:tc>
          <w:tcPr>
            <w:tcW w:w="658" w:type="pct"/>
            <w:tcBorders>
              <w:top w:val="nil"/>
              <w:left w:val="nil"/>
              <w:bottom w:val="nil"/>
              <w:right w:val="nil"/>
            </w:tcBorders>
            <w:shd w:val="clear" w:color="auto" w:fill="auto"/>
            <w:vAlign w:val="center"/>
            <w:hideMark/>
          </w:tcPr>
          <w:p w14:paraId="1D749D95"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7,3</w:t>
            </w:r>
          </w:p>
        </w:tc>
        <w:tc>
          <w:tcPr>
            <w:tcW w:w="658" w:type="pct"/>
            <w:tcBorders>
              <w:top w:val="nil"/>
              <w:left w:val="nil"/>
              <w:bottom w:val="nil"/>
              <w:right w:val="nil"/>
            </w:tcBorders>
            <w:shd w:val="clear" w:color="auto" w:fill="auto"/>
            <w:vAlign w:val="center"/>
            <w:hideMark/>
          </w:tcPr>
          <w:p w14:paraId="1DCE1840"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4,7</w:t>
            </w:r>
          </w:p>
        </w:tc>
        <w:tc>
          <w:tcPr>
            <w:tcW w:w="657" w:type="pct"/>
            <w:tcBorders>
              <w:top w:val="nil"/>
              <w:left w:val="nil"/>
              <w:bottom w:val="nil"/>
              <w:right w:val="nil"/>
            </w:tcBorders>
            <w:shd w:val="clear" w:color="auto" w:fill="auto"/>
            <w:vAlign w:val="center"/>
            <w:hideMark/>
          </w:tcPr>
          <w:p w14:paraId="06850ECB"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2,8</w:t>
            </w:r>
          </w:p>
        </w:tc>
      </w:tr>
      <w:tr w:rsidR="00614BA4" w:rsidRPr="002C3A49" w14:paraId="6BB64546" w14:textId="77777777" w:rsidTr="00DA63A8">
        <w:trPr>
          <w:trHeight w:val="210"/>
          <w:jc w:val="center"/>
        </w:trPr>
        <w:tc>
          <w:tcPr>
            <w:tcW w:w="3027" w:type="pct"/>
            <w:tcBorders>
              <w:top w:val="nil"/>
              <w:left w:val="nil"/>
              <w:right w:val="nil"/>
            </w:tcBorders>
            <w:shd w:val="clear" w:color="auto" w:fill="auto"/>
            <w:vAlign w:val="center"/>
            <w:hideMark/>
          </w:tcPr>
          <w:p w14:paraId="2C559B50" w14:textId="77777777" w:rsidR="00614BA4" w:rsidRPr="002C3A49" w:rsidRDefault="00614BA4" w:rsidP="00DA63A8">
            <w:pPr>
              <w:ind w:firstLineChars="200" w:firstLine="400"/>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Земље у успону</w:t>
            </w:r>
          </w:p>
        </w:tc>
        <w:tc>
          <w:tcPr>
            <w:tcW w:w="658" w:type="pct"/>
            <w:tcBorders>
              <w:top w:val="nil"/>
              <w:left w:val="nil"/>
              <w:right w:val="nil"/>
            </w:tcBorders>
            <w:shd w:val="clear" w:color="auto" w:fill="auto"/>
            <w:vAlign w:val="center"/>
            <w:hideMark/>
          </w:tcPr>
          <w:p w14:paraId="6B3409E0"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9,8</w:t>
            </w:r>
          </w:p>
        </w:tc>
        <w:tc>
          <w:tcPr>
            <w:tcW w:w="658" w:type="pct"/>
            <w:tcBorders>
              <w:top w:val="nil"/>
              <w:left w:val="nil"/>
              <w:right w:val="nil"/>
            </w:tcBorders>
            <w:shd w:val="clear" w:color="auto" w:fill="auto"/>
            <w:vAlign w:val="center"/>
            <w:hideMark/>
          </w:tcPr>
          <w:p w14:paraId="466BD0F5"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8,3</w:t>
            </w:r>
          </w:p>
        </w:tc>
        <w:tc>
          <w:tcPr>
            <w:tcW w:w="657" w:type="pct"/>
            <w:tcBorders>
              <w:top w:val="nil"/>
              <w:left w:val="nil"/>
              <w:right w:val="nil"/>
            </w:tcBorders>
            <w:shd w:val="clear" w:color="auto" w:fill="auto"/>
            <w:vAlign w:val="center"/>
            <w:hideMark/>
          </w:tcPr>
          <w:p w14:paraId="313C2723"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6,8</w:t>
            </w:r>
          </w:p>
        </w:tc>
      </w:tr>
      <w:tr w:rsidR="00614BA4" w:rsidRPr="002C3A49" w14:paraId="6BB51A97" w14:textId="77777777" w:rsidTr="00DA63A8">
        <w:trPr>
          <w:trHeight w:val="210"/>
          <w:jc w:val="center"/>
        </w:trPr>
        <w:tc>
          <w:tcPr>
            <w:tcW w:w="3027" w:type="pct"/>
            <w:tcBorders>
              <w:top w:val="nil"/>
              <w:left w:val="nil"/>
              <w:right w:val="nil"/>
            </w:tcBorders>
            <w:shd w:val="clear" w:color="auto" w:fill="auto"/>
            <w:vAlign w:val="center"/>
            <w:hideMark/>
          </w:tcPr>
          <w:p w14:paraId="4A8C8D48"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Цене нафте, у доларима, годишње промене, %</w:t>
            </w:r>
          </w:p>
        </w:tc>
        <w:tc>
          <w:tcPr>
            <w:tcW w:w="658" w:type="pct"/>
            <w:tcBorders>
              <w:top w:val="nil"/>
              <w:left w:val="nil"/>
              <w:right w:val="nil"/>
            </w:tcBorders>
            <w:shd w:val="clear" w:color="auto" w:fill="auto"/>
            <w:vAlign w:val="center"/>
            <w:hideMark/>
          </w:tcPr>
          <w:p w14:paraId="0D14F0EE"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39,2</w:t>
            </w:r>
          </w:p>
        </w:tc>
        <w:tc>
          <w:tcPr>
            <w:tcW w:w="658" w:type="pct"/>
            <w:tcBorders>
              <w:top w:val="nil"/>
              <w:left w:val="nil"/>
              <w:right w:val="nil"/>
            </w:tcBorders>
            <w:shd w:val="clear" w:color="auto" w:fill="auto"/>
            <w:vAlign w:val="center"/>
            <w:hideMark/>
          </w:tcPr>
          <w:p w14:paraId="776B91E8"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-20,7</w:t>
            </w:r>
          </w:p>
        </w:tc>
        <w:tc>
          <w:tcPr>
            <w:tcW w:w="657" w:type="pct"/>
            <w:tcBorders>
              <w:top w:val="nil"/>
              <w:left w:val="nil"/>
              <w:right w:val="nil"/>
            </w:tcBorders>
            <w:shd w:val="clear" w:color="auto" w:fill="auto"/>
            <w:vAlign w:val="center"/>
            <w:hideMark/>
          </w:tcPr>
          <w:p w14:paraId="74C95B01"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-6,2</w:t>
            </w:r>
          </w:p>
        </w:tc>
      </w:tr>
      <w:tr w:rsidR="00614BA4" w:rsidRPr="002C3A49" w14:paraId="1B221980" w14:textId="77777777" w:rsidTr="00DA63A8">
        <w:trPr>
          <w:trHeight w:val="210"/>
          <w:jc w:val="center"/>
        </w:trPr>
        <w:tc>
          <w:tcPr>
            <w:tcW w:w="3027" w:type="pct"/>
            <w:tcBorders>
              <w:left w:val="nil"/>
              <w:bottom w:val="single" w:sz="8" w:space="0" w:color="002060"/>
              <w:right w:val="nil"/>
            </w:tcBorders>
            <w:shd w:val="clear" w:color="auto" w:fill="auto"/>
            <w:vAlign w:val="center"/>
          </w:tcPr>
          <w:p w14:paraId="1DC9FBFB" w14:textId="77777777" w:rsidR="00614BA4" w:rsidRPr="002C3A49" w:rsidRDefault="00614BA4" w:rsidP="00DA63A8">
            <w:pP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Цене примарних производа, осим горива, годишње промене, %</w:t>
            </w:r>
          </w:p>
        </w:tc>
        <w:tc>
          <w:tcPr>
            <w:tcW w:w="658" w:type="pct"/>
            <w:tcBorders>
              <w:left w:val="nil"/>
              <w:bottom w:val="single" w:sz="8" w:space="0" w:color="002060"/>
              <w:right w:val="nil"/>
            </w:tcBorders>
            <w:shd w:val="clear" w:color="auto" w:fill="auto"/>
            <w:vAlign w:val="center"/>
          </w:tcPr>
          <w:p w14:paraId="68D4A007"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7,9</w:t>
            </w:r>
          </w:p>
        </w:tc>
        <w:tc>
          <w:tcPr>
            <w:tcW w:w="658" w:type="pct"/>
            <w:tcBorders>
              <w:left w:val="nil"/>
              <w:bottom w:val="single" w:sz="8" w:space="0" w:color="002060"/>
              <w:right w:val="nil"/>
            </w:tcBorders>
            <w:shd w:val="clear" w:color="auto" w:fill="auto"/>
            <w:vAlign w:val="center"/>
          </w:tcPr>
          <w:p w14:paraId="400C1033"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-4,8</w:t>
            </w:r>
          </w:p>
        </w:tc>
        <w:tc>
          <w:tcPr>
            <w:tcW w:w="657" w:type="pct"/>
            <w:tcBorders>
              <w:left w:val="nil"/>
              <w:bottom w:val="single" w:sz="8" w:space="0" w:color="002060"/>
              <w:right w:val="nil"/>
            </w:tcBorders>
            <w:shd w:val="clear" w:color="auto" w:fill="auto"/>
            <w:vAlign w:val="center"/>
          </w:tcPr>
          <w:p w14:paraId="29D63E55" w14:textId="77777777" w:rsidR="00614BA4" w:rsidRPr="002C3A49" w:rsidRDefault="00614BA4" w:rsidP="00DA63A8">
            <w:pPr>
              <w:jc w:val="center"/>
              <w:rPr>
                <w:rFonts w:ascii="Times New Roman" w:hAnsi="Times New Roman"/>
                <w:noProof/>
                <w:sz w:val="20"/>
                <w:szCs w:val="18"/>
                <w:lang w:val="sr-Cyrl-RS" w:eastAsia="en-GB"/>
              </w:rPr>
            </w:pPr>
            <w:r w:rsidRPr="002C3A49">
              <w:rPr>
                <w:rFonts w:ascii="Times New Roman" w:hAnsi="Times New Roman"/>
                <w:noProof/>
                <w:sz w:val="20"/>
                <w:szCs w:val="18"/>
                <w:lang w:val="sr-Cyrl-RS" w:eastAsia="en-GB"/>
              </w:rPr>
              <w:t>-1,4</w:t>
            </w:r>
          </w:p>
        </w:tc>
      </w:tr>
      <w:tr w:rsidR="00614BA4" w:rsidRPr="002C3A49" w14:paraId="5245280B" w14:textId="77777777" w:rsidTr="00DA63A8">
        <w:trPr>
          <w:trHeight w:val="210"/>
          <w:jc w:val="center"/>
        </w:trPr>
        <w:tc>
          <w:tcPr>
            <w:tcW w:w="5000" w:type="pct"/>
            <w:gridSpan w:val="4"/>
            <w:tcBorders>
              <w:top w:val="single" w:sz="8" w:space="0" w:color="002060"/>
              <w:left w:val="nil"/>
              <w:bottom w:val="nil"/>
              <w:right w:val="nil"/>
            </w:tcBorders>
            <w:shd w:val="clear" w:color="auto" w:fill="auto"/>
            <w:vAlign w:val="center"/>
            <w:hideMark/>
          </w:tcPr>
          <w:p w14:paraId="0638F615" w14:textId="77777777" w:rsidR="00614BA4" w:rsidRPr="002C3A49" w:rsidRDefault="00614BA4" w:rsidP="00DA63A8">
            <w:pPr>
              <w:rPr>
                <w:rFonts w:ascii="Times New Roman" w:hAnsi="Times New Roman"/>
                <w:noProof/>
                <w:sz w:val="18"/>
                <w:szCs w:val="16"/>
                <w:lang w:val="sr-Cyrl-RS" w:eastAsia="en-GB"/>
              </w:rPr>
            </w:pPr>
            <w:r w:rsidRPr="002C3A49">
              <w:rPr>
                <w:rFonts w:ascii="Times New Roman" w:hAnsi="Times New Roman"/>
                <w:noProof/>
                <w:sz w:val="18"/>
                <w:szCs w:val="16"/>
                <w:lang w:val="sr-Cyrl-RS" w:eastAsia="en-GB"/>
              </w:rPr>
              <w:t xml:space="preserve">Извор: ММФ, </w:t>
            </w:r>
            <w:r w:rsidRPr="002C3A49">
              <w:rPr>
                <w:rFonts w:ascii="Times New Roman" w:hAnsi="Times New Roman"/>
                <w:i/>
                <w:iCs/>
                <w:noProof/>
                <w:sz w:val="18"/>
                <w:szCs w:val="16"/>
                <w:lang w:val="sr-Cyrl-RS" w:eastAsia="en-GB"/>
              </w:rPr>
              <w:t>World Economic Outlook</w:t>
            </w:r>
            <w:r w:rsidRPr="002C3A49">
              <w:rPr>
                <w:rFonts w:ascii="Times New Roman" w:hAnsi="Times New Roman"/>
                <w:noProof/>
                <w:sz w:val="18"/>
                <w:szCs w:val="16"/>
                <w:lang w:val="sr-Cyrl-RS" w:eastAsia="en-GB"/>
              </w:rPr>
              <w:t>, јул 2023.</w:t>
            </w:r>
          </w:p>
        </w:tc>
      </w:tr>
      <w:tr w:rsidR="00614BA4" w:rsidRPr="002C3A49" w14:paraId="16B79C0D" w14:textId="77777777" w:rsidTr="00DA63A8">
        <w:trPr>
          <w:trHeight w:val="210"/>
          <w:jc w:val="center"/>
        </w:trPr>
        <w:tc>
          <w:tcPr>
            <w:tcW w:w="5000" w:type="pct"/>
            <w:gridSpan w:val="4"/>
            <w:tcBorders>
              <w:top w:val="nil"/>
              <w:left w:val="nil"/>
              <w:bottom w:val="nil"/>
              <w:right w:val="nil"/>
            </w:tcBorders>
            <w:shd w:val="clear" w:color="auto" w:fill="auto"/>
            <w:vAlign w:val="center"/>
            <w:hideMark/>
          </w:tcPr>
          <w:p w14:paraId="421E127A" w14:textId="77777777" w:rsidR="00614BA4" w:rsidRPr="002C3A49" w:rsidRDefault="00614BA4" w:rsidP="00DA63A8">
            <w:pPr>
              <w:rPr>
                <w:rFonts w:ascii="Times New Roman" w:hAnsi="Times New Roman"/>
                <w:noProof/>
                <w:sz w:val="18"/>
                <w:szCs w:val="16"/>
                <w:lang w:val="sr-Cyrl-RS" w:eastAsia="en-GB"/>
              </w:rPr>
            </w:pPr>
            <w:r w:rsidRPr="002C3A49">
              <w:rPr>
                <w:rFonts w:ascii="Times New Roman" w:hAnsi="Times New Roman"/>
                <w:noProof/>
                <w:sz w:val="18"/>
                <w:szCs w:val="16"/>
                <w:vertAlign w:val="superscript"/>
                <w:lang w:val="sr-Cyrl-RS" w:eastAsia="en-GB"/>
              </w:rPr>
              <w:t>1</w:t>
            </w:r>
            <w:r w:rsidRPr="002C3A49">
              <w:rPr>
                <w:rFonts w:ascii="Times New Roman" w:hAnsi="Times New Roman"/>
                <w:noProof/>
                <w:sz w:val="18"/>
                <w:szCs w:val="16"/>
                <w:lang w:val="sr-Cyrl-RS" w:eastAsia="en-GB"/>
              </w:rPr>
              <w:t xml:space="preserve"> Светски БДП израчунат је према паритету куповне моћи.</w:t>
            </w:r>
          </w:p>
        </w:tc>
      </w:tr>
    </w:tbl>
    <w:p w14:paraId="1CEA6E60"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bCs/>
          <w:noProof/>
          <w:szCs w:val="24"/>
          <w:lang w:val="sr-Cyrl-RS"/>
        </w:rPr>
        <w:t>Током 2022. дошло је до снажног раста светских цена примарних производа. Избијањем сукоба у Украјини, већ високе цене примарних производа додатно су порасле. Међутим, растом рецесионих притисака на глобалном нивоу, цене великог броја примарних производа су опадале током 2023. године. Предвиђа се да ће у 2023. пад цена примарних производа бити главни покретач за смањивање инфлације. У поређењу са априлским проценама, очекује се нешто бржи пад цена примарних производа, осим горива, за 4,8% у 2023. години и 1,4% у 2024. години. Цене сирове нафте су порасле за 39,2% у 2022. години док се у 2023. очекује смањење за око 20%, што је нешто мањи пад него у априлској пројекцији. Предвиђено је да ће цене сирове нафте пасти са 76,4 $/барелу у 2023. на 71,7 $/барелу у 2024. години, односно за око 6%.</w:t>
      </w:r>
    </w:p>
    <w:p w14:paraId="68990F92"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Према летњим проценама Европске комисије (у даљем тексту: ЕК), економска активност еврозоне је изгубила замах те ће привредни раст након 3,3% у 2022. години успорити на 0,8% у 2023. години, што је ревизија наниже у односу на мајске процене. Након тога следи благи опоравак на 1,3% у 2024. години, када се очекује обуздавање и нормализација инфлације. Ризици по остварење пројекције су изразито високи и односе се на потенцијалну ескалацију оружаног сукоба у Украјини, даље пооштравање монетарне политике и потенцијално јачи утицај на економску активност, постојаније ценовне притиске, као и неизвесно екстерно окружење. Економска активност ЕУ у првој половини године била је под утицајем слабе домаће тражње, пре свега личне потрошње, услед продуженог дејства ценовних притисака код већине добара и услуга, што је лошији резултат у односу на очекивања из пролећне пројекције. Ово је остварено упркос паду цена енергената и повољним условима на тржишту рада уз рекордно ниску стопу незапослености и значајан раст плата. Економски показатељи указују на додатно успоравање економске активности током лета, на шта указују слабији резултати индустријске производње и успоравање у услужном сектору упркос веома доброј туристичкој сезони у многим деловима Европе. Због деловања наведених неповољних фактора, пројекција раста еврозоне за 2023. и 2024. годину ревидирана је наниже у односу на претходну пројекцију за по 0,3 п.п. на 0,8% и 1,3%, респективно.</w:t>
      </w:r>
    </w:p>
    <w:p w14:paraId="52F744CE"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Силазни тренд инфлације, започет током 2023. године ће се наставити и у 2024. години вођен падом цена енергената и стабилизацијом цена хране и индустријских производа. У првој половини године базна инфлација је у просеку износила 5,5% мг. (након 5,2% мг. из децембра 2022.), уз непромењен ниво током јула, док је према флеш процени Евростата благо смањена на 5,3% мг. током августа.</w:t>
      </w:r>
      <w:r w:rsidRPr="002C3A49" w:rsidDel="00B43B4E">
        <w:rPr>
          <w:rFonts w:ascii="Times New Roman" w:hAnsi="Times New Roman"/>
          <w:bCs/>
          <w:noProof/>
          <w:szCs w:val="24"/>
          <w:lang w:val="sr-Cyrl-RS"/>
        </w:rPr>
        <w:t xml:space="preserve"> </w:t>
      </w:r>
      <w:r w:rsidRPr="002C3A49">
        <w:rPr>
          <w:rFonts w:ascii="Times New Roman" w:hAnsi="Times New Roman"/>
          <w:bCs/>
          <w:noProof/>
          <w:szCs w:val="24"/>
          <w:lang w:val="sr-Cyrl-RS"/>
        </w:rPr>
        <w:t>Стопа инфлације у еврозони и ЕУ је забележила максимум у 2022. години на нивоу од 8,4% и 9,2%, респективно. Предвиђа се да ће инфлација у еврозони и ЕУ у 2023. пасти на 5,6% и 6,5%, респективно, а у 2024. се очекује даљи пад на ниво од 2,9% и 3,2%.</w:t>
      </w:r>
    </w:p>
    <w:p w14:paraId="73177AD5" w14:textId="77777777" w:rsidR="00614BA4" w:rsidRPr="002C3A49" w:rsidRDefault="00614BA4" w:rsidP="00614BA4">
      <w:pPr>
        <w:tabs>
          <w:tab w:val="left" w:pos="720"/>
          <w:tab w:val="left" w:pos="1440"/>
        </w:tabs>
        <w:spacing w:before="120" w:after="120"/>
        <w:ind w:firstLine="720"/>
        <w:rPr>
          <w:rFonts w:ascii="Times New Roman" w:hAnsi="Times New Roman"/>
          <w:noProof/>
          <w:color w:val="FF0000"/>
          <w:szCs w:val="24"/>
          <w:lang w:val="sr-Cyrl-RS"/>
        </w:rPr>
      </w:pPr>
    </w:p>
    <w:p w14:paraId="66D04213" w14:textId="77777777" w:rsidR="00614BA4" w:rsidRPr="002C3A49" w:rsidRDefault="00614BA4" w:rsidP="00614BA4">
      <w:pPr>
        <w:tabs>
          <w:tab w:val="left" w:pos="720"/>
          <w:tab w:val="left" w:pos="1440"/>
        </w:tabs>
        <w:spacing w:before="120" w:after="120"/>
        <w:rPr>
          <w:rFonts w:ascii="Times New Roman" w:hAnsi="Times New Roman"/>
          <w:noProof/>
          <w:szCs w:val="24"/>
          <w:lang w:val="sr-Cyrl-RS"/>
        </w:rPr>
      </w:pPr>
      <w:r w:rsidRPr="002C3A49">
        <w:rPr>
          <w:rFonts w:ascii="Times New Roman" w:hAnsi="Times New Roman"/>
          <w:b/>
          <w:bCs/>
          <w:noProof/>
          <w:lang w:val="sr-Cyrl-RS"/>
        </w:rPr>
        <w:t>Макроекономски оквир Републике Србије</w:t>
      </w:r>
    </w:p>
    <w:p w14:paraId="5E83C71D" w14:textId="77777777" w:rsidR="00614BA4" w:rsidRPr="002C3A49" w:rsidRDefault="00614BA4" w:rsidP="00614BA4">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bCs/>
          <w:iCs/>
          <w:noProof/>
          <w:szCs w:val="24"/>
          <w:lang w:val="sr-Cyrl-RS"/>
        </w:rPr>
        <w:t xml:space="preserve">Полазећи од текућих трендова у погледу кретања привредне активности, узимајући у обзир планиране мере економске политике, економске изгледе најважнијих спољнотрговинских партнера као и глобалне економске трендове, према пројекцији Министарства финансија раст БДП у 2024. години ће убрзати на 3,5%. </w:t>
      </w:r>
    </w:p>
    <w:p w14:paraId="007A992D"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lastRenderedPageBreak/>
        <w:t>Посматрано по агрегатима употребе раст БДП у 2024. години биће у потпуности опредељен домаћом тражњом. Очекивано повећање зарада, како у приватном тако и у јавном сектору уз раст минималне зараде од 17,8%, већа запосленост и даљи раст пензија резултираће растом реалне личне потрошње од 4,3%, што је блага ревизија навише, за 0,8 п.п. у односу на иницијалну пројекцију. Благи позитиван допринос расту БДП у 2024. години доћи ће од државне потрошње, за коју се након пада у 2023. години од 1,3% очекује раст од 1,5% у 2024. години. Висока профитабилност домаће привреде, наставак стабилног прилива страних директних инвестиција уз очекивани опоравак спољне тражње, додатно подржано убрзањем реализације капиталних инфраструктурних пројеката резултираће растом инвестиција од 5,2%, упркос ефектима заоштравања финансијских услова. Постепени опоравак спољне тражње уз активирање нових извозно оријентисаних капацитета као резултат ефектуирања СДИ, обезбедиће стабилан раст реалног извоза од 8,1%. С друге стране, раст домаће тражње, али и нижа база из претходне године условиће нешто бржи раст увоза за који се очекује да ће расти по стопи од 8,4%.</w:t>
      </w:r>
      <w:r w:rsidRPr="002C3A49">
        <w:rPr>
          <w:rFonts w:ascii="Times New Roman" w:hAnsi="Times New Roman"/>
          <w:bCs/>
          <w:noProof/>
          <w:color w:val="FF0000"/>
          <w:szCs w:val="24"/>
          <w:lang w:val="sr-Cyrl-RS"/>
        </w:rPr>
        <w:t xml:space="preserve"> </w:t>
      </w:r>
    </w:p>
    <w:p w14:paraId="7A530D90"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Посматрано са производне стране, у 2024. години очекује се повећање креиране БДВ код свих привредних сектора, осим код пољопривреде. Услужни сектор ће у 2024. години и у ревидираној пројекцији имати улогу доминантног носиоца раста економске активности. Раст би требало да буде диверсификован и остварен у готово свим услужним делатностима, а посебно снажан у трговини и саобраћају, туризму и угоститељству, уз наставак добрих резултата у ИКТ сектору и стручно техничким услугама. Индустрија ће наставити са растом и током 2024. године уз повећање од 3,3%, пре свега услед активирања нових производних капацитета, али и очекиваног опоравка спољне тражње, уз очувану стабилност производње у електро-енергетском сектору. Процењује се да ће раст забележити и грађевинарство услед наставка извођења радова на изградњи путне и железничке инфраструктуре, као и већег обима приватних инвестиција. За сектор пољопривреде, имајући у виду већу производњу у 2023. години од очекиване, а под претпоставком просечних агрометеоролошких услова у 2024. години, пројектован је пад од 3,1%.</w:t>
      </w:r>
    </w:p>
    <w:p w14:paraId="5F3C52AF" w14:textId="77777777" w:rsidR="00614BA4" w:rsidRPr="002C3A49" w:rsidRDefault="00614BA4" w:rsidP="00614BA4">
      <w:pPr>
        <w:tabs>
          <w:tab w:val="left" w:pos="720"/>
          <w:tab w:val="left" w:pos="1440"/>
        </w:tabs>
        <w:spacing w:before="120" w:after="120"/>
        <w:ind w:firstLine="720"/>
        <w:rPr>
          <w:rFonts w:ascii="Times New Roman" w:hAnsi="Times New Roman"/>
          <w:bCs/>
          <w:noProof/>
          <w:szCs w:val="24"/>
          <w:lang w:val="sr-Cyrl-RS"/>
        </w:rPr>
      </w:pPr>
      <w:r w:rsidRPr="002C3A49">
        <w:rPr>
          <w:rFonts w:ascii="Times New Roman" w:hAnsi="Times New Roman"/>
          <w:bCs/>
          <w:noProof/>
          <w:szCs w:val="24"/>
          <w:lang w:val="sr-Cyrl-RS"/>
        </w:rPr>
        <w:t>Очекује се да ће тржиште рада остати на позитивној путањи раста и у наредном периоду. Креатори јавних политика континуирано доносе мере усмерене на унапређивање радне снаге у погледу квалитета, као и на улагање у људски капитал, све у циљу лакшег општег запошљавања, а нарочито у оном делу привреде који има већу додату вредност. Наставиће се са политикама које имају за циљ смањивање броја запослених у сивој зони и њихово превођење у контингент формално запослених, чиме би њихови услови рада били побољшани, а позитиван ефекат би се одразио и на приходе буџета. Такође повољним кретањима на тржишту рада допринеће и наставак политике пореског растерећења зарада које је праћено и повећањем минималне цене рада од 17,8% од 1. јануара 2024. године у циљу унапређења животног стандарда лица са најнижим примањима. У складу с тим пројектује се даље смањење стопе незапослености уз наставак реалног раста зарада. У приватном сектору очекује се да раст зарада прати раст продуктивности, док ће зараде у јавном сектору расти у складу са фискалним правилима.</w:t>
      </w:r>
    </w:p>
    <w:p w14:paraId="283CF53E"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bCs/>
          <w:noProof/>
          <w:szCs w:val="24"/>
          <w:lang w:val="sr-Cyrl-RS"/>
        </w:rPr>
        <w:t>Укупан дефицит текућег рачуна ће се у 2024. години, након смањења на 2,9% БДП у овој години, повећати на 4,0% БДП. Раст дефицита текућег рачуна у 2024 години очекује се као резултат повећаног увоза услед интензивирање инвестиционе активности и раста увоза опреме и репроматеријала за потребе привреде, али и као последица раста приватне потрошње и повећаног увоза по том основу. Очекује се стабилан прилив страних директних инвестиција које ће бити главни извор финансирања дефицита текућег рачуна и у 2024. години</w:t>
      </w:r>
      <w:r w:rsidRPr="002C3A49">
        <w:rPr>
          <w:rFonts w:ascii="Times New Roman" w:hAnsi="Times New Roman"/>
          <w:noProof/>
          <w:szCs w:val="24"/>
          <w:lang w:val="sr-Cyrl-RS"/>
        </w:rPr>
        <w:t>.</w:t>
      </w:r>
    </w:p>
    <w:p w14:paraId="4599140E" w14:textId="77777777" w:rsidR="00614BA4" w:rsidRPr="002C3A49" w:rsidRDefault="00614BA4" w:rsidP="00614BA4">
      <w:pPr>
        <w:tabs>
          <w:tab w:val="left" w:pos="720"/>
          <w:tab w:val="left" w:pos="1440"/>
        </w:tabs>
        <w:spacing w:before="120"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Према актуелној пројекцији међугодишња инфлација ће наставити да се креће опадајућом путањoм, тако да се њен повратак у границе циља очекује током другог квартала 2024. године.  Опадајућој путањи инфлације у наредном периоду допринеће и ефекти заоштравања монетарних услова, успоравање увозне инфлације, као и очекивани даљи пад </w:t>
      </w:r>
      <w:r w:rsidRPr="002C3A49">
        <w:rPr>
          <w:rFonts w:ascii="Times New Roman" w:hAnsi="Times New Roman"/>
          <w:noProof/>
          <w:szCs w:val="24"/>
          <w:lang w:val="sr-Cyrl-RS"/>
        </w:rPr>
        <w:lastRenderedPageBreak/>
        <w:t xml:space="preserve">инфлационих очекивања. Посматрано на нивоу целе 2024. године пројектује се просечан раст потрошачких цена од 4,9% </w:t>
      </w:r>
    </w:p>
    <w:p w14:paraId="2761E463" w14:textId="4D4C4AEE" w:rsidR="00614BA4" w:rsidRDefault="00614BA4" w:rsidP="002C3A49">
      <w:pPr>
        <w:tabs>
          <w:tab w:val="left" w:pos="720"/>
          <w:tab w:val="left" w:pos="1440"/>
        </w:tabs>
        <w:spacing w:before="120" w:after="120"/>
        <w:ind w:firstLine="720"/>
        <w:rPr>
          <w:rFonts w:ascii="Times New Roman" w:hAnsi="Times New Roman"/>
          <w:bCs/>
          <w:iCs/>
          <w:noProof/>
          <w:szCs w:val="24"/>
          <w:lang w:val="sr-Cyrl-RS"/>
        </w:rPr>
      </w:pPr>
      <w:r w:rsidRPr="002C3A49">
        <w:rPr>
          <w:rFonts w:ascii="Times New Roman" w:hAnsi="Times New Roman"/>
          <w:noProof/>
          <w:szCs w:val="24"/>
          <w:lang w:val="sr-Cyrl-RS"/>
        </w:rPr>
        <w:t>Неизвесност присутна код пројекција далеко је већа од уобичајене због природе и обима шокова на глобалном нивоу. Канали преко којих они могу потенцијално деловати на домаћу привреду су бројни, често ланчано повезани, а сама јачина потенцијалних шокова je таква да у великој мери могу утицати на средњорочна кретања.</w:t>
      </w:r>
    </w:p>
    <w:p w14:paraId="02E37331" w14:textId="77777777" w:rsidR="002C3A49" w:rsidRPr="002C3A49" w:rsidRDefault="002C3A49" w:rsidP="002C3A49">
      <w:pPr>
        <w:tabs>
          <w:tab w:val="left" w:pos="720"/>
          <w:tab w:val="left" w:pos="1440"/>
        </w:tabs>
        <w:spacing w:before="120" w:after="120"/>
        <w:ind w:firstLine="720"/>
        <w:rPr>
          <w:rFonts w:ascii="Times New Roman" w:hAnsi="Times New Roman"/>
          <w:bCs/>
          <w:iCs/>
          <w:noProof/>
          <w:szCs w:val="24"/>
          <w:lang w:val="sr-Cyrl-RS"/>
        </w:rPr>
      </w:pPr>
    </w:p>
    <w:p w14:paraId="718378B6" w14:textId="77777777" w:rsidR="00614BA4" w:rsidRPr="002C3A49" w:rsidRDefault="00614BA4" w:rsidP="00614BA4">
      <w:pPr>
        <w:tabs>
          <w:tab w:val="left" w:pos="720"/>
        </w:tabs>
        <w:spacing w:after="200" w:line="276" w:lineRule="auto"/>
        <w:jc w:val="center"/>
        <w:rPr>
          <w:rFonts w:ascii="Times New Roman" w:hAnsi="Times New Roman"/>
          <w:b/>
          <w:noProof/>
          <w:lang w:val="sr-Cyrl-RS"/>
        </w:rPr>
      </w:pPr>
      <w:r w:rsidRPr="002C3A49">
        <w:rPr>
          <w:rFonts w:ascii="Times New Roman" w:hAnsi="Times New Roman"/>
          <w:b/>
          <w:noProof/>
          <w:lang w:val="sr-Cyrl-RS"/>
        </w:rPr>
        <w:t>Основне макроекономске претпоставке</w:t>
      </w:r>
    </w:p>
    <w:tbl>
      <w:tblPr>
        <w:tblW w:w="8800" w:type="dxa"/>
        <w:tblLook w:val="04A0" w:firstRow="1" w:lastRow="0" w:firstColumn="1" w:lastColumn="0" w:noHBand="0" w:noVBand="1"/>
      </w:tblPr>
      <w:tblGrid>
        <w:gridCol w:w="6880"/>
        <w:gridCol w:w="960"/>
        <w:gridCol w:w="960"/>
      </w:tblGrid>
      <w:tr w:rsidR="00614BA4" w:rsidRPr="002C3A49" w14:paraId="6F0B1D0C" w14:textId="77777777" w:rsidTr="00DA63A8">
        <w:trPr>
          <w:trHeight w:val="315"/>
        </w:trPr>
        <w:tc>
          <w:tcPr>
            <w:tcW w:w="6880" w:type="dxa"/>
            <w:tcBorders>
              <w:top w:val="nil"/>
              <w:left w:val="nil"/>
              <w:bottom w:val="single" w:sz="8" w:space="0" w:color="auto"/>
              <w:right w:val="single" w:sz="8" w:space="0" w:color="auto"/>
            </w:tcBorders>
            <w:shd w:val="clear" w:color="000000" w:fill="FFFFFF"/>
            <w:hideMark/>
          </w:tcPr>
          <w:p w14:paraId="5BBADAA6" w14:textId="77777777" w:rsidR="00614BA4" w:rsidRPr="002C3A49" w:rsidRDefault="00614BA4" w:rsidP="00DA63A8">
            <w:pPr>
              <w:rPr>
                <w:rFonts w:ascii="Calibri" w:hAnsi="Calibri" w:cs="Calibri"/>
                <w:noProof/>
                <w:color w:val="000000"/>
                <w:lang w:val="sr-Cyrl-RS"/>
              </w:rPr>
            </w:pPr>
            <w:r w:rsidRPr="002C3A49">
              <w:rPr>
                <w:rFonts w:ascii="Calibri" w:hAnsi="Calibri" w:cs="Calibri"/>
                <w:noProof/>
                <w:color w:val="000000"/>
                <w:lang w:val="sr-Cyrl-RS"/>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2A62E7F3" w14:textId="77777777" w:rsidR="00614BA4" w:rsidRPr="002C3A49" w:rsidRDefault="00614BA4" w:rsidP="00DA63A8">
            <w:pPr>
              <w:jc w:val="center"/>
              <w:rPr>
                <w:rFonts w:ascii="Times New Roman" w:hAnsi="Times New Roman"/>
                <w:noProof/>
                <w:lang w:val="sr-Cyrl-RS"/>
              </w:rPr>
            </w:pPr>
            <w:r w:rsidRPr="002C3A49">
              <w:rPr>
                <w:rFonts w:ascii="Times New Roman" w:hAnsi="Times New Roman"/>
                <w:noProof/>
                <w:lang w:val="sr-Cyrl-RS"/>
              </w:rPr>
              <w:t>2023</w:t>
            </w:r>
          </w:p>
        </w:tc>
        <w:tc>
          <w:tcPr>
            <w:tcW w:w="960" w:type="dxa"/>
            <w:tcBorders>
              <w:top w:val="nil"/>
              <w:left w:val="nil"/>
              <w:bottom w:val="single" w:sz="8" w:space="0" w:color="auto"/>
              <w:right w:val="single" w:sz="8" w:space="0" w:color="auto"/>
            </w:tcBorders>
            <w:shd w:val="clear" w:color="000000" w:fill="FFFFFF"/>
            <w:noWrap/>
            <w:vAlign w:val="center"/>
            <w:hideMark/>
          </w:tcPr>
          <w:p w14:paraId="2F69205B" w14:textId="77777777" w:rsidR="00614BA4" w:rsidRPr="002C3A49" w:rsidRDefault="00614BA4" w:rsidP="00DA63A8">
            <w:pPr>
              <w:jc w:val="center"/>
              <w:rPr>
                <w:rFonts w:ascii="Times New Roman" w:hAnsi="Times New Roman"/>
                <w:noProof/>
                <w:lang w:val="sr-Cyrl-RS"/>
              </w:rPr>
            </w:pPr>
            <w:r w:rsidRPr="002C3A49">
              <w:rPr>
                <w:rFonts w:ascii="Times New Roman" w:hAnsi="Times New Roman"/>
                <w:noProof/>
                <w:lang w:val="sr-Cyrl-RS"/>
              </w:rPr>
              <w:t>2024</w:t>
            </w:r>
          </w:p>
        </w:tc>
      </w:tr>
      <w:tr w:rsidR="00614BA4" w:rsidRPr="002C3A49" w14:paraId="6E091F35"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186634F8"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Стопа реалног раста БДП,%</w:t>
            </w:r>
          </w:p>
        </w:tc>
        <w:tc>
          <w:tcPr>
            <w:tcW w:w="960" w:type="dxa"/>
            <w:tcBorders>
              <w:top w:val="nil"/>
              <w:left w:val="nil"/>
              <w:bottom w:val="single" w:sz="8" w:space="0" w:color="auto"/>
              <w:right w:val="single" w:sz="8" w:space="0" w:color="auto"/>
            </w:tcBorders>
            <w:shd w:val="clear" w:color="000000" w:fill="F2F2F2"/>
            <w:noWrap/>
            <w:vAlign w:val="center"/>
          </w:tcPr>
          <w:p w14:paraId="240ADF3E"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2,5</w:t>
            </w:r>
          </w:p>
        </w:tc>
        <w:tc>
          <w:tcPr>
            <w:tcW w:w="960" w:type="dxa"/>
            <w:tcBorders>
              <w:top w:val="nil"/>
              <w:left w:val="nil"/>
              <w:bottom w:val="single" w:sz="8" w:space="0" w:color="auto"/>
              <w:right w:val="single" w:sz="8" w:space="0" w:color="auto"/>
            </w:tcBorders>
            <w:shd w:val="clear" w:color="000000" w:fill="F2F2F2"/>
            <w:noWrap/>
            <w:vAlign w:val="center"/>
          </w:tcPr>
          <w:p w14:paraId="50231C7F"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3,5</w:t>
            </w:r>
          </w:p>
        </w:tc>
      </w:tr>
      <w:tr w:rsidR="00614BA4" w:rsidRPr="002C3A49" w14:paraId="3B1CAC8A"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6EFF23BF"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БДП у текућим тржишним ценама (у млрд РСД)</w:t>
            </w:r>
          </w:p>
        </w:tc>
        <w:tc>
          <w:tcPr>
            <w:tcW w:w="960" w:type="dxa"/>
            <w:tcBorders>
              <w:top w:val="nil"/>
              <w:left w:val="nil"/>
              <w:bottom w:val="single" w:sz="8" w:space="0" w:color="auto"/>
              <w:right w:val="single" w:sz="8" w:space="0" w:color="auto"/>
            </w:tcBorders>
            <w:shd w:val="clear" w:color="auto" w:fill="auto"/>
            <w:noWrap/>
            <w:vAlign w:val="center"/>
          </w:tcPr>
          <w:p w14:paraId="4D0B3B04"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8.103,5</w:t>
            </w:r>
          </w:p>
        </w:tc>
        <w:tc>
          <w:tcPr>
            <w:tcW w:w="960" w:type="dxa"/>
            <w:tcBorders>
              <w:top w:val="nil"/>
              <w:left w:val="nil"/>
              <w:bottom w:val="single" w:sz="8" w:space="0" w:color="auto"/>
              <w:right w:val="single" w:sz="8" w:space="0" w:color="auto"/>
            </w:tcBorders>
            <w:shd w:val="clear" w:color="auto" w:fill="auto"/>
            <w:noWrap/>
            <w:vAlign w:val="center"/>
          </w:tcPr>
          <w:p w14:paraId="42E3E032"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8.773,7</w:t>
            </w:r>
          </w:p>
        </w:tc>
      </w:tr>
      <w:tr w:rsidR="00614BA4" w:rsidRPr="002C3A49" w14:paraId="134E3710" w14:textId="77777777" w:rsidTr="00DA63A8">
        <w:trPr>
          <w:trHeight w:val="215"/>
        </w:trPr>
        <w:tc>
          <w:tcPr>
            <w:tcW w:w="6880" w:type="dxa"/>
            <w:tcBorders>
              <w:top w:val="nil"/>
              <w:left w:val="nil"/>
              <w:bottom w:val="single" w:sz="8" w:space="0" w:color="auto"/>
              <w:right w:val="nil"/>
            </w:tcBorders>
            <w:shd w:val="clear" w:color="000000" w:fill="FFFFFF"/>
            <w:noWrap/>
            <w:vAlign w:val="center"/>
            <w:hideMark/>
          </w:tcPr>
          <w:p w14:paraId="561403D2" w14:textId="77777777" w:rsidR="00614BA4" w:rsidRPr="002C3A49" w:rsidRDefault="00614BA4" w:rsidP="00DA63A8">
            <w:pPr>
              <w:rPr>
                <w:rFonts w:ascii="Times New Roman" w:hAnsi="Times New Roman"/>
                <w:b/>
                <w:bCs/>
                <w:i/>
                <w:iCs/>
                <w:noProof/>
                <w:lang w:val="sr-Cyrl-RS"/>
              </w:rPr>
            </w:pPr>
            <w:r w:rsidRPr="002C3A49">
              <w:rPr>
                <w:rFonts w:ascii="Times New Roman" w:hAnsi="Times New Roman"/>
                <w:b/>
                <w:bCs/>
                <w:i/>
                <w:iCs/>
                <w:noProof/>
                <w:lang w:val="sr-Cyrl-RS"/>
              </w:rPr>
              <w:t>Извори раста: процентне промене у сталним ценама</w:t>
            </w:r>
          </w:p>
        </w:tc>
        <w:tc>
          <w:tcPr>
            <w:tcW w:w="960" w:type="dxa"/>
            <w:tcBorders>
              <w:top w:val="nil"/>
              <w:left w:val="nil"/>
              <w:bottom w:val="single" w:sz="8" w:space="0" w:color="auto"/>
              <w:right w:val="nil"/>
            </w:tcBorders>
            <w:shd w:val="clear" w:color="000000" w:fill="FFFFFF"/>
            <w:noWrap/>
            <w:vAlign w:val="center"/>
          </w:tcPr>
          <w:p w14:paraId="58E37963" w14:textId="77777777" w:rsidR="00614BA4" w:rsidRPr="002C3A49" w:rsidRDefault="00614BA4" w:rsidP="00DA63A8">
            <w:pPr>
              <w:rPr>
                <w:rFonts w:ascii="Times New Roman" w:hAnsi="Times New Roman"/>
                <w:b/>
                <w:bCs/>
                <w:i/>
                <w:iCs/>
                <w:noProof/>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29B4AC99" w14:textId="77777777" w:rsidR="00614BA4" w:rsidRPr="002C3A49" w:rsidRDefault="00614BA4" w:rsidP="00DA63A8">
            <w:pPr>
              <w:rPr>
                <w:rFonts w:ascii="Times New Roman" w:hAnsi="Times New Roman"/>
                <w:b/>
                <w:bCs/>
                <w:i/>
                <w:iCs/>
                <w:noProof/>
                <w:lang w:val="sr-Cyrl-RS"/>
              </w:rPr>
            </w:pPr>
          </w:p>
        </w:tc>
      </w:tr>
      <w:tr w:rsidR="00614BA4" w:rsidRPr="002C3A49" w14:paraId="5E2EFDFC"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3AA30D3F"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Лична потрошња</w:t>
            </w:r>
          </w:p>
        </w:tc>
        <w:tc>
          <w:tcPr>
            <w:tcW w:w="960" w:type="dxa"/>
            <w:tcBorders>
              <w:top w:val="nil"/>
              <w:left w:val="nil"/>
              <w:bottom w:val="single" w:sz="8" w:space="0" w:color="auto"/>
              <w:right w:val="single" w:sz="8" w:space="0" w:color="auto"/>
            </w:tcBorders>
            <w:shd w:val="clear" w:color="auto" w:fill="auto"/>
            <w:noWrap/>
            <w:vAlign w:val="center"/>
          </w:tcPr>
          <w:p w14:paraId="1C3FF8B7"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1,0</w:t>
            </w:r>
          </w:p>
        </w:tc>
        <w:tc>
          <w:tcPr>
            <w:tcW w:w="960" w:type="dxa"/>
            <w:tcBorders>
              <w:top w:val="nil"/>
              <w:left w:val="nil"/>
              <w:bottom w:val="single" w:sz="8" w:space="0" w:color="auto"/>
              <w:right w:val="single" w:sz="8" w:space="0" w:color="auto"/>
            </w:tcBorders>
            <w:shd w:val="clear" w:color="auto" w:fill="auto"/>
            <w:noWrap/>
            <w:vAlign w:val="center"/>
          </w:tcPr>
          <w:p w14:paraId="5D353B40"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4,3</w:t>
            </w:r>
          </w:p>
        </w:tc>
      </w:tr>
      <w:tr w:rsidR="00614BA4" w:rsidRPr="002C3A49" w14:paraId="6BD22EB4"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4BD2906D"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Државна потрошња</w:t>
            </w:r>
          </w:p>
        </w:tc>
        <w:tc>
          <w:tcPr>
            <w:tcW w:w="960" w:type="dxa"/>
            <w:tcBorders>
              <w:top w:val="nil"/>
              <w:left w:val="nil"/>
              <w:bottom w:val="single" w:sz="8" w:space="0" w:color="auto"/>
              <w:right w:val="single" w:sz="8" w:space="0" w:color="auto"/>
            </w:tcBorders>
            <w:shd w:val="clear" w:color="000000" w:fill="F2F2F2"/>
            <w:noWrap/>
            <w:vAlign w:val="center"/>
          </w:tcPr>
          <w:p w14:paraId="67FB844E"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-1,3</w:t>
            </w:r>
          </w:p>
        </w:tc>
        <w:tc>
          <w:tcPr>
            <w:tcW w:w="960" w:type="dxa"/>
            <w:tcBorders>
              <w:top w:val="nil"/>
              <w:left w:val="nil"/>
              <w:bottom w:val="single" w:sz="8" w:space="0" w:color="auto"/>
              <w:right w:val="single" w:sz="8" w:space="0" w:color="auto"/>
            </w:tcBorders>
            <w:shd w:val="clear" w:color="000000" w:fill="F2F2F2"/>
            <w:noWrap/>
            <w:vAlign w:val="center"/>
          </w:tcPr>
          <w:p w14:paraId="370F94F4"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1,5</w:t>
            </w:r>
          </w:p>
        </w:tc>
      </w:tr>
      <w:tr w:rsidR="00614BA4" w:rsidRPr="002C3A49" w14:paraId="4EAB8DFC"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795695F7"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auto" w:fill="auto"/>
            <w:noWrap/>
            <w:vAlign w:val="center"/>
          </w:tcPr>
          <w:p w14:paraId="09C41833"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3,1</w:t>
            </w:r>
          </w:p>
        </w:tc>
        <w:tc>
          <w:tcPr>
            <w:tcW w:w="960" w:type="dxa"/>
            <w:tcBorders>
              <w:top w:val="nil"/>
              <w:left w:val="nil"/>
              <w:bottom w:val="single" w:sz="8" w:space="0" w:color="auto"/>
              <w:right w:val="single" w:sz="8" w:space="0" w:color="auto"/>
            </w:tcBorders>
            <w:shd w:val="clear" w:color="auto" w:fill="auto"/>
            <w:noWrap/>
            <w:vAlign w:val="center"/>
          </w:tcPr>
          <w:p w14:paraId="42E10C8E"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5,2</w:t>
            </w:r>
          </w:p>
        </w:tc>
      </w:tr>
      <w:tr w:rsidR="00614BA4" w:rsidRPr="002C3A49" w14:paraId="2EC67C3C"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672D3B1"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Извоз роба и услуга</w:t>
            </w:r>
          </w:p>
        </w:tc>
        <w:tc>
          <w:tcPr>
            <w:tcW w:w="960" w:type="dxa"/>
            <w:tcBorders>
              <w:top w:val="nil"/>
              <w:left w:val="nil"/>
              <w:bottom w:val="single" w:sz="8" w:space="0" w:color="auto"/>
              <w:right w:val="single" w:sz="8" w:space="0" w:color="auto"/>
            </w:tcBorders>
            <w:shd w:val="clear" w:color="000000" w:fill="F2F2F2"/>
            <w:noWrap/>
            <w:vAlign w:val="center"/>
          </w:tcPr>
          <w:p w14:paraId="1E2FEA4B"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3,0</w:t>
            </w:r>
          </w:p>
        </w:tc>
        <w:tc>
          <w:tcPr>
            <w:tcW w:w="960" w:type="dxa"/>
            <w:tcBorders>
              <w:top w:val="nil"/>
              <w:left w:val="nil"/>
              <w:bottom w:val="single" w:sz="8" w:space="0" w:color="auto"/>
              <w:right w:val="single" w:sz="8" w:space="0" w:color="auto"/>
            </w:tcBorders>
            <w:shd w:val="clear" w:color="000000" w:fill="F2F2F2"/>
            <w:noWrap/>
            <w:vAlign w:val="center"/>
          </w:tcPr>
          <w:p w14:paraId="2F3C138B"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8,1</w:t>
            </w:r>
          </w:p>
        </w:tc>
      </w:tr>
      <w:tr w:rsidR="00614BA4" w:rsidRPr="002C3A49" w14:paraId="6FCFFF5E"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F98E13E"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Увоз роба и услуга</w:t>
            </w:r>
          </w:p>
        </w:tc>
        <w:tc>
          <w:tcPr>
            <w:tcW w:w="960" w:type="dxa"/>
            <w:tcBorders>
              <w:top w:val="nil"/>
              <w:left w:val="nil"/>
              <w:bottom w:val="single" w:sz="8" w:space="0" w:color="auto"/>
              <w:right w:val="single" w:sz="8" w:space="0" w:color="auto"/>
            </w:tcBorders>
            <w:shd w:val="clear" w:color="auto" w:fill="auto"/>
            <w:noWrap/>
            <w:vAlign w:val="center"/>
          </w:tcPr>
          <w:p w14:paraId="7705BA06"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-1,4</w:t>
            </w:r>
          </w:p>
        </w:tc>
        <w:tc>
          <w:tcPr>
            <w:tcW w:w="960" w:type="dxa"/>
            <w:tcBorders>
              <w:top w:val="nil"/>
              <w:left w:val="nil"/>
              <w:bottom w:val="single" w:sz="8" w:space="0" w:color="auto"/>
              <w:right w:val="single" w:sz="8" w:space="0" w:color="auto"/>
            </w:tcBorders>
            <w:shd w:val="clear" w:color="auto" w:fill="auto"/>
            <w:noWrap/>
            <w:vAlign w:val="center"/>
          </w:tcPr>
          <w:p w14:paraId="31BE625B"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8,4</w:t>
            </w:r>
          </w:p>
        </w:tc>
      </w:tr>
      <w:tr w:rsidR="00614BA4" w:rsidRPr="002C3A49" w14:paraId="60E5609B" w14:textId="77777777" w:rsidTr="00DA63A8">
        <w:trPr>
          <w:trHeight w:val="215"/>
        </w:trPr>
        <w:tc>
          <w:tcPr>
            <w:tcW w:w="6880" w:type="dxa"/>
            <w:tcBorders>
              <w:top w:val="nil"/>
              <w:left w:val="nil"/>
              <w:bottom w:val="single" w:sz="8" w:space="0" w:color="auto"/>
              <w:right w:val="nil"/>
            </w:tcBorders>
            <w:shd w:val="clear" w:color="000000" w:fill="FFFFFF"/>
            <w:noWrap/>
            <w:vAlign w:val="center"/>
            <w:hideMark/>
          </w:tcPr>
          <w:p w14:paraId="1984AFD6" w14:textId="77777777" w:rsidR="00614BA4" w:rsidRPr="002C3A49" w:rsidRDefault="00614BA4" w:rsidP="00DA63A8">
            <w:pPr>
              <w:rPr>
                <w:rFonts w:ascii="Times New Roman" w:hAnsi="Times New Roman"/>
                <w:b/>
                <w:bCs/>
                <w:i/>
                <w:iCs/>
                <w:noProof/>
                <w:lang w:val="sr-Cyrl-RS"/>
              </w:rPr>
            </w:pPr>
            <w:r w:rsidRPr="002C3A49">
              <w:rPr>
                <w:rFonts w:ascii="Times New Roman" w:hAnsi="Times New Roman"/>
                <w:b/>
                <w:bCs/>
                <w:i/>
                <w:iCs/>
                <w:noProof/>
                <w:lang w:val="sr-Cyrl-RS"/>
              </w:rPr>
              <w:t>Допринос расту БДП, процентни поени</w:t>
            </w:r>
          </w:p>
        </w:tc>
        <w:tc>
          <w:tcPr>
            <w:tcW w:w="960" w:type="dxa"/>
            <w:tcBorders>
              <w:top w:val="nil"/>
              <w:left w:val="nil"/>
              <w:bottom w:val="single" w:sz="8" w:space="0" w:color="auto"/>
              <w:right w:val="nil"/>
            </w:tcBorders>
            <w:shd w:val="clear" w:color="000000" w:fill="FFFFFF"/>
            <w:noWrap/>
            <w:vAlign w:val="center"/>
          </w:tcPr>
          <w:p w14:paraId="125A73CB" w14:textId="77777777" w:rsidR="00614BA4" w:rsidRPr="002C3A49" w:rsidRDefault="00614BA4" w:rsidP="00DA63A8">
            <w:pPr>
              <w:rPr>
                <w:rFonts w:ascii="Times New Roman" w:hAnsi="Times New Roman"/>
                <w:b/>
                <w:bCs/>
                <w:i/>
                <w:iCs/>
                <w:noProof/>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3318FE6D" w14:textId="77777777" w:rsidR="00614BA4" w:rsidRPr="002C3A49" w:rsidRDefault="00614BA4" w:rsidP="00DA63A8">
            <w:pPr>
              <w:rPr>
                <w:rFonts w:ascii="Times New Roman" w:hAnsi="Times New Roman"/>
                <w:b/>
                <w:bCs/>
                <w:i/>
                <w:iCs/>
                <w:noProof/>
                <w:lang w:val="sr-Cyrl-RS"/>
              </w:rPr>
            </w:pPr>
          </w:p>
        </w:tc>
      </w:tr>
      <w:tr w:rsidR="00614BA4" w:rsidRPr="002C3A49" w14:paraId="413F5E8E"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5AB7FF50"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Домаћа тражња</w:t>
            </w:r>
          </w:p>
        </w:tc>
        <w:tc>
          <w:tcPr>
            <w:tcW w:w="960" w:type="dxa"/>
            <w:tcBorders>
              <w:top w:val="nil"/>
              <w:left w:val="nil"/>
              <w:bottom w:val="single" w:sz="8" w:space="0" w:color="auto"/>
              <w:right w:val="single" w:sz="8" w:space="0" w:color="auto"/>
            </w:tcBorders>
            <w:shd w:val="clear" w:color="auto" w:fill="auto"/>
            <w:noWrap/>
            <w:vAlign w:val="center"/>
          </w:tcPr>
          <w:p w14:paraId="5FCA7435"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-0,7</w:t>
            </w:r>
          </w:p>
        </w:tc>
        <w:tc>
          <w:tcPr>
            <w:tcW w:w="960" w:type="dxa"/>
            <w:tcBorders>
              <w:top w:val="nil"/>
              <w:left w:val="nil"/>
              <w:bottom w:val="single" w:sz="8" w:space="0" w:color="auto"/>
              <w:right w:val="single" w:sz="8" w:space="0" w:color="auto"/>
            </w:tcBorders>
            <w:shd w:val="clear" w:color="auto" w:fill="auto"/>
            <w:noWrap/>
            <w:vAlign w:val="center"/>
          </w:tcPr>
          <w:p w14:paraId="74D8EE6A"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4,5</w:t>
            </w:r>
          </w:p>
        </w:tc>
      </w:tr>
      <w:tr w:rsidR="00614BA4" w:rsidRPr="002C3A49" w14:paraId="6BCAE444"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371B45C7"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Лична потрошња</w:t>
            </w:r>
          </w:p>
        </w:tc>
        <w:tc>
          <w:tcPr>
            <w:tcW w:w="960" w:type="dxa"/>
            <w:tcBorders>
              <w:top w:val="nil"/>
              <w:left w:val="nil"/>
              <w:bottom w:val="single" w:sz="8" w:space="0" w:color="auto"/>
              <w:right w:val="single" w:sz="8" w:space="0" w:color="auto"/>
            </w:tcBorders>
            <w:shd w:val="clear" w:color="000000" w:fill="F2F2F2"/>
            <w:noWrap/>
            <w:vAlign w:val="center"/>
          </w:tcPr>
          <w:p w14:paraId="2C50B51E"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0,7</w:t>
            </w:r>
          </w:p>
        </w:tc>
        <w:tc>
          <w:tcPr>
            <w:tcW w:w="960" w:type="dxa"/>
            <w:tcBorders>
              <w:top w:val="nil"/>
              <w:left w:val="nil"/>
              <w:bottom w:val="single" w:sz="8" w:space="0" w:color="auto"/>
              <w:right w:val="single" w:sz="8" w:space="0" w:color="auto"/>
            </w:tcBorders>
            <w:shd w:val="clear" w:color="000000" w:fill="F2F2F2"/>
            <w:noWrap/>
            <w:vAlign w:val="center"/>
          </w:tcPr>
          <w:p w14:paraId="2F4100DD"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3,0</w:t>
            </w:r>
          </w:p>
        </w:tc>
      </w:tr>
      <w:tr w:rsidR="00614BA4" w:rsidRPr="002C3A49" w14:paraId="70A539ED" w14:textId="77777777" w:rsidTr="00DA63A8">
        <w:trPr>
          <w:trHeight w:val="215"/>
        </w:trPr>
        <w:tc>
          <w:tcPr>
            <w:tcW w:w="6880" w:type="dxa"/>
            <w:tcBorders>
              <w:top w:val="nil"/>
              <w:left w:val="nil"/>
              <w:bottom w:val="single" w:sz="8" w:space="0" w:color="auto"/>
              <w:right w:val="single" w:sz="8" w:space="0" w:color="auto"/>
            </w:tcBorders>
            <w:shd w:val="clear" w:color="auto" w:fill="auto"/>
            <w:noWrap/>
            <w:vAlign w:val="center"/>
            <w:hideMark/>
          </w:tcPr>
          <w:p w14:paraId="61A3F791"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Државна потрошња</w:t>
            </w:r>
          </w:p>
        </w:tc>
        <w:tc>
          <w:tcPr>
            <w:tcW w:w="960" w:type="dxa"/>
            <w:tcBorders>
              <w:top w:val="nil"/>
              <w:left w:val="nil"/>
              <w:bottom w:val="single" w:sz="8" w:space="0" w:color="auto"/>
              <w:right w:val="single" w:sz="8" w:space="0" w:color="auto"/>
            </w:tcBorders>
            <w:shd w:val="clear" w:color="auto" w:fill="auto"/>
            <w:noWrap/>
            <w:vAlign w:val="center"/>
          </w:tcPr>
          <w:p w14:paraId="6A5D610C"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-0,2</w:t>
            </w:r>
          </w:p>
        </w:tc>
        <w:tc>
          <w:tcPr>
            <w:tcW w:w="960" w:type="dxa"/>
            <w:tcBorders>
              <w:top w:val="nil"/>
              <w:left w:val="nil"/>
              <w:bottom w:val="single" w:sz="8" w:space="0" w:color="auto"/>
              <w:right w:val="single" w:sz="8" w:space="0" w:color="auto"/>
            </w:tcBorders>
            <w:shd w:val="clear" w:color="auto" w:fill="auto"/>
            <w:noWrap/>
            <w:vAlign w:val="center"/>
          </w:tcPr>
          <w:p w14:paraId="1B60EE5E"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0,2</w:t>
            </w:r>
          </w:p>
        </w:tc>
      </w:tr>
      <w:tr w:rsidR="00614BA4" w:rsidRPr="002C3A49" w14:paraId="3CA38410"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0DAC38A1"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000000" w:fill="F2F2F2"/>
            <w:noWrap/>
            <w:vAlign w:val="center"/>
          </w:tcPr>
          <w:p w14:paraId="230531F6"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0,7</w:t>
            </w:r>
          </w:p>
        </w:tc>
        <w:tc>
          <w:tcPr>
            <w:tcW w:w="960" w:type="dxa"/>
            <w:tcBorders>
              <w:top w:val="nil"/>
              <w:left w:val="nil"/>
              <w:bottom w:val="single" w:sz="8" w:space="0" w:color="auto"/>
              <w:right w:val="single" w:sz="8" w:space="0" w:color="auto"/>
            </w:tcBorders>
            <w:shd w:val="clear" w:color="000000" w:fill="F2F2F2"/>
            <w:noWrap/>
            <w:vAlign w:val="center"/>
          </w:tcPr>
          <w:p w14:paraId="195A6A0F"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1,2</w:t>
            </w:r>
          </w:p>
        </w:tc>
      </w:tr>
      <w:tr w:rsidR="00614BA4" w:rsidRPr="002C3A49" w14:paraId="6CDC0FB9"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680E1FA5"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Нето извоз</w:t>
            </w:r>
          </w:p>
        </w:tc>
        <w:tc>
          <w:tcPr>
            <w:tcW w:w="960" w:type="dxa"/>
            <w:tcBorders>
              <w:top w:val="nil"/>
              <w:left w:val="nil"/>
              <w:bottom w:val="single" w:sz="8" w:space="0" w:color="auto"/>
              <w:right w:val="single" w:sz="8" w:space="0" w:color="auto"/>
            </w:tcBorders>
            <w:shd w:val="clear" w:color="auto" w:fill="auto"/>
            <w:noWrap/>
            <w:vAlign w:val="center"/>
          </w:tcPr>
          <w:p w14:paraId="00E0E1E0"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3,2</w:t>
            </w:r>
          </w:p>
        </w:tc>
        <w:tc>
          <w:tcPr>
            <w:tcW w:w="960" w:type="dxa"/>
            <w:tcBorders>
              <w:top w:val="nil"/>
              <w:left w:val="nil"/>
              <w:bottom w:val="single" w:sz="8" w:space="0" w:color="auto"/>
              <w:right w:val="single" w:sz="8" w:space="0" w:color="auto"/>
            </w:tcBorders>
            <w:shd w:val="clear" w:color="auto" w:fill="auto"/>
            <w:noWrap/>
            <w:vAlign w:val="center"/>
          </w:tcPr>
          <w:p w14:paraId="4E45F530"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-1,0</w:t>
            </w:r>
          </w:p>
        </w:tc>
      </w:tr>
      <w:tr w:rsidR="00614BA4" w:rsidRPr="002C3A49" w14:paraId="7513F18C"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515416FB"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Промене у залихама</w:t>
            </w:r>
          </w:p>
        </w:tc>
        <w:tc>
          <w:tcPr>
            <w:tcW w:w="960" w:type="dxa"/>
            <w:tcBorders>
              <w:top w:val="nil"/>
              <w:left w:val="nil"/>
              <w:bottom w:val="single" w:sz="8" w:space="0" w:color="auto"/>
              <w:right w:val="single" w:sz="8" w:space="0" w:color="auto"/>
            </w:tcBorders>
            <w:shd w:val="clear" w:color="000000" w:fill="F2F2F2"/>
            <w:noWrap/>
            <w:vAlign w:val="center"/>
          </w:tcPr>
          <w:p w14:paraId="22026EE1"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-1,9</w:t>
            </w:r>
          </w:p>
        </w:tc>
        <w:tc>
          <w:tcPr>
            <w:tcW w:w="960" w:type="dxa"/>
            <w:tcBorders>
              <w:top w:val="nil"/>
              <w:left w:val="nil"/>
              <w:bottom w:val="single" w:sz="8" w:space="0" w:color="auto"/>
              <w:right w:val="single" w:sz="8" w:space="0" w:color="auto"/>
            </w:tcBorders>
            <w:shd w:val="clear" w:color="000000" w:fill="F2F2F2"/>
            <w:noWrap/>
            <w:vAlign w:val="center"/>
          </w:tcPr>
          <w:p w14:paraId="52648375"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0,0</w:t>
            </w:r>
          </w:p>
        </w:tc>
      </w:tr>
      <w:tr w:rsidR="00614BA4" w:rsidRPr="002C3A49" w14:paraId="012A9D1A" w14:textId="77777777" w:rsidTr="00DA63A8">
        <w:trPr>
          <w:trHeight w:val="215"/>
        </w:trPr>
        <w:tc>
          <w:tcPr>
            <w:tcW w:w="6880" w:type="dxa"/>
            <w:tcBorders>
              <w:top w:val="nil"/>
              <w:left w:val="nil"/>
              <w:bottom w:val="single" w:sz="8" w:space="0" w:color="auto"/>
              <w:right w:val="nil"/>
            </w:tcBorders>
            <w:shd w:val="clear" w:color="000000" w:fill="FFFFFF"/>
            <w:noWrap/>
            <w:vAlign w:val="center"/>
            <w:hideMark/>
          </w:tcPr>
          <w:p w14:paraId="19268418" w14:textId="77777777" w:rsidR="00614BA4" w:rsidRPr="002C3A49" w:rsidRDefault="00614BA4" w:rsidP="00DA63A8">
            <w:pPr>
              <w:rPr>
                <w:rFonts w:ascii="Times New Roman" w:hAnsi="Times New Roman"/>
                <w:b/>
                <w:bCs/>
                <w:i/>
                <w:iCs/>
                <w:noProof/>
                <w:lang w:val="sr-Cyrl-RS"/>
              </w:rPr>
            </w:pPr>
            <w:r w:rsidRPr="002C3A49">
              <w:rPr>
                <w:rFonts w:ascii="Times New Roman" w:hAnsi="Times New Roman"/>
                <w:b/>
                <w:bCs/>
                <w:i/>
                <w:iCs/>
                <w:noProof/>
                <w:lang w:val="sr-Cyrl-RS"/>
              </w:rPr>
              <w:t>Кретање цена, %</w:t>
            </w:r>
          </w:p>
        </w:tc>
        <w:tc>
          <w:tcPr>
            <w:tcW w:w="960" w:type="dxa"/>
            <w:tcBorders>
              <w:top w:val="nil"/>
              <w:left w:val="nil"/>
              <w:bottom w:val="single" w:sz="8" w:space="0" w:color="auto"/>
              <w:right w:val="nil"/>
            </w:tcBorders>
            <w:shd w:val="clear" w:color="000000" w:fill="FFFFFF"/>
            <w:noWrap/>
            <w:vAlign w:val="center"/>
          </w:tcPr>
          <w:p w14:paraId="75A6467C" w14:textId="77777777" w:rsidR="00614BA4" w:rsidRPr="002C3A49" w:rsidRDefault="00614BA4" w:rsidP="00DA63A8">
            <w:pPr>
              <w:rPr>
                <w:rFonts w:ascii="Times New Roman" w:hAnsi="Times New Roman"/>
                <w:b/>
                <w:bCs/>
                <w:i/>
                <w:iCs/>
                <w:noProof/>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06EB04FA" w14:textId="77777777" w:rsidR="00614BA4" w:rsidRPr="002C3A49" w:rsidRDefault="00614BA4" w:rsidP="00DA63A8">
            <w:pPr>
              <w:rPr>
                <w:rFonts w:ascii="Times New Roman" w:hAnsi="Times New Roman"/>
                <w:b/>
                <w:bCs/>
                <w:i/>
                <w:iCs/>
                <w:noProof/>
                <w:lang w:val="sr-Cyrl-RS"/>
              </w:rPr>
            </w:pPr>
          </w:p>
        </w:tc>
      </w:tr>
      <w:tr w:rsidR="00614BA4" w:rsidRPr="002C3A49" w14:paraId="60FA750D"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5AD99D59"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Потрошачке цене (годишњи просек)</w:t>
            </w:r>
          </w:p>
        </w:tc>
        <w:tc>
          <w:tcPr>
            <w:tcW w:w="960" w:type="dxa"/>
            <w:tcBorders>
              <w:top w:val="nil"/>
              <w:left w:val="nil"/>
              <w:bottom w:val="single" w:sz="8" w:space="0" w:color="auto"/>
              <w:right w:val="single" w:sz="8" w:space="0" w:color="auto"/>
            </w:tcBorders>
            <w:shd w:val="clear" w:color="000000" w:fill="F2F2F2"/>
            <w:noWrap/>
            <w:vAlign w:val="center"/>
          </w:tcPr>
          <w:p w14:paraId="6976544B"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12,5</w:t>
            </w:r>
          </w:p>
        </w:tc>
        <w:tc>
          <w:tcPr>
            <w:tcW w:w="960" w:type="dxa"/>
            <w:tcBorders>
              <w:top w:val="nil"/>
              <w:left w:val="nil"/>
              <w:bottom w:val="single" w:sz="8" w:space="0" w:color="auto"/>
              <w:right w:val="single" w:sz="8" w:space="0" w:color="auto"/>
            </w:tcBorders>
            <w:shd w:val="clear" w:color="000000" w:fill="F2F2F2"/>
            <w:noWrap/>
            <w:vAlign w:val="center"/>
          </w:tcPr>
          <w:p w14:paraId="7B8CBB4D"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4,9</w:t>
            </w:r>
          </w:p>
        </w:tc>
      </w:tr>
      <w:tr w:rsidR="00614BA4" w:rsidRPr="002C3A49" w14:paraId="1B241238"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3696C23"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Дефлатор БДП</w:t>
            </w:r>
          </w:p>
        </w:tc>
        <w:tc>
          <w:tcPr>
            <w:tcW w:w="960" w:type="dxa"/>
            <w:tcBorders>
              <w:top w:val="nil"/>
              <w:left w:val="nil"/>
              <w:bottom w:val="single" w:sz="8" w:space="0" w:color="auto"/>
              <w:right w:val="single" w:sz="8" w:space="0" w:color="auto"/>
            </w:tcBorders>
            <w:shd w:val="clear" w:color="auto" w:fill="auto"/>
            <w:noWrap/>
            <w:vAlign w:val="center"/>
          </w:tcPr>
          <w:p w14:paraId="7E662A37"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11,5</w:t>
            </w:r>
          </w:p>
        </w:tc>
        <w:tc>
          <w:tcPr>
            <w:tcW w:w="960" w:type="dxa"/>
            <w:tcBorders>
              <w:top w:val="nil"/>
              <w:left w:val="nil"/>
              <w:bottom w:val="single" w:sz="8" w:space="0" w:color="auto"/>
              <w:right w:val="single" w:sz="8" w:space="0" w:color="auto"/>
            </w:tcBorders>
            <w:shd w:val="clear" w:color="auto" w:fill="auto"/>
            <w:noWrap/>
            <w:vAlign w:val="center"/>
          </w:tcPr>
          <w:p w14:paraId="306E8654"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4,6</w:t>
            </w:r>
          </w:p>
        </w:tc>
      </w:tr>
      <w:tr w:rsidR="00614BA4" w:rsidRPr="002C3A49" w14:paraId="201F6A5E" w14:textId="77777777" w:rsidTr="00DA63A8">
        <w:trPr>
          <w:trHeight w:val="215"/>
        </w:trPr>
        <w:tc>
          <w:tcPr>
            <w:tcW w:w="6880" w:type="dxa"/>
            <w:tcBorders>
              <w:top w:val="nil"/>
              <w:left w:val="nil"/>
              <w:bottom w:val="single" w:sz="8" w:space="0" w:color="auto"/>
              <w:right w:val="nil"/>
            </w:tcBorders>
            <w:shd w:val="clear" w:color="000000" w:fill="FFFFFF"/>
            <w:noWrap/>
            <w:vAlign w:val="center"/>
            <w:hideMark/>
          </w:tcPr>
          <w:p w14:paraId="51DBAFAE" w14:textId="77777777" w:rsidR="00614BA4" w:rsidRPr="002C3A49" w:rsidRDefault="00614BA4" w:rsidP="00DA63A8">
            <w:pPr>
              <w:rPr>
                <w:rFonts w:ascii="Times New Roman" w:hAnsi="Times New Roman"/>
                <w:b/>
                <w:bCs/>
                <w:i/>
                <w:iCs/>
                <w:noProof/>
                <w:lang w:val="sr-Cyrl-RS"/>
              </w:rPr>
            </w:pPr>
            <w:r w:rsidRPr="002C3A49">
              <w:rPr>
                <w:rFonts w:ascii="Times New Roman" w:hAnsi="Times New Roman"/>
                <w:b/>
                <w:bCs/>
                <w:i/>
                <w:iCs/>
                <w:noProof/>
                <w:lang w:val="sr-Cyrl-RS"/>
              </w:rPr>
              <w:t>Кретања у спољном сектору (% БДП)</w:t>
            </w:r>
          </w:p>
        </w:tc>
        <w:tc>
          <w:tcPr>
            <w:tcW w:w="960" w:type="dxa"/>
            <w:tcBorders>
              <w:top w:val="nil"/>
              <w:left w:val="nil"/>
              <w:bottom w:val="single" w:sz="8" w:space="0" w:color="auto"/>
              <w:right w:val="nil"/>
            </w:tcBorders>
            <w:shd w:val="clear" w:color="000000" w:fill="FFFFFF"/>
            <w:noWrap/>
            <w:vAlign w:val="center"/>
          </w:tcPr>
          <w:p w14:paraId="73EF8F08" w14:textId="77777777" w:rsidR="00614BA4" w:rsidRPr="002C3A49" w:rsidRDefault="00614BA4" w:rsidP="00DA63A8">
            <w:pPr>
              <w:rPr>
                <w:rFonts w:ascii="Times New Roman" w:hAnsi="Times New Roman"/>
                <w:b/>
                <w:bCs/>
                <w:i/>
                <w:iCs/>
                <w:noProof/>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484F2A87" w14:textId="77777777" w:rsidR="00614BA4" w:rsidRPr="002C3A49" w:rsidRDefault="00614BA4" w:rsidP="00DA63A8">
            <w:pPr>
              <w:rPr>
                <w:rFonts w:ascii="Times New Roman" w:hAnsi="Times New Roman"/>
                <w:b/>
                <w:bCs/>
                <w:i/>
                <w:iCs/>
                <w:noProof/>
                <w:lang w:val="sr-Cyrl-RS"/>
              </w:rPr>
            </w:pPr>
          </w:p>
        </w:tc>
      </w:tr>
      <w:tr w:rsidR="00614BA4" w:rsidRPr="002C3A49" w14:paraId="2E7CC717"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70404C25"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Спољнотрговински биланс роба и услуга</w:t>
            </w:r>
          </w:p>
        </w:tc>
        <w:tc>
          <w:tcPr>
            <w:tcW w:w="960" w:type="dxa"/>
            <w:tcBorders>
              <w:top w:val="nil"/>
              <w:left w:val="nil"/>
              <w:bottom w:val="single" w:sz="8" w:space="0" w:color="auto"/>
              <w:right w:val="single" w:sz="8" w:space="0" w:color="auto"/>
            </w:tcBorders>
            <w:shd w:val="clear" w:color="auto" w:fill="auto"/>
            <w:noWrap/>
            <w:vAlign w:val="center"/>
          </w:tcPr>
          <w:p w14:paraId="6DB629E4"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-6,3</w:t>
            </w:r>
          </w:p>
        </w:tc>
        <w:tc>
          <w:tcPr>
            <w:tcW w:w="960" w:type="dxa"/>
            <w:tcBorders>
              <w:top w:val="nil"/>
              <w:left w:val="nil"/>
              <w:bottom w:val="single" w:sz="8" w:space="0" w:color="auto"/>
              <w:right w:val="single" w:sz="8" w:space="0" w:color="auto"/>
            </w:tcBorders>
            <w:shd w:val="clear" w:color="auto" w:fill="auto"/>
            <w:noWrap/>
            <w:vAlign w:val="center"/>
          </w:tcPr>
          <w:p w14:paraId="0071F2D0"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-6,6</w:t>
            </w:r>
          </w:p>
        </w:tc>
      </w:tr>
      <w:tr w:rsidR="00614BA4" w:rsidRPr="002C3A49" w14:paraId="523A1485"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03EE99AC"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 xml:space="preserve">Салдо текућег рачуна </w:t>
            </w:r>
          </w:p>
        </w:tc>
        <w:tc>
          <w:tcPr>
            <w:tcW w:w="960" w:type="dxa"/>
            <w:tcBorders>
              <w:top w:val="nil"/>
              <w:left w:val="nil"/>
              <w:bottom w:val="single" w:sz="8" w:space="0" w:color="auto"/>
              <w:right w:val="single" w:sz="8" w:space="0" w:color="auto"/>
            </w:tcBorders>
            <w:shd w:val="clear" w:color="000000" w:fill="F2F2F2"/>
            <w:noWrap/>
            <w:vAlign w:val="center"/>
          </w:tcPr>
          <w:p w14:paraId="738A1211"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-2,9</w:t>
            </w:r>
          </w:p>
        </w:tc>
        <w:tc>
          <w:tcPr>
            <w:tcW w:w="960" w:type="dxa"/>
            <w:tcBorders>
              <w:top w:val="nil"/>
              <w:left w:val="nil"/>
              <w:bottom w:val="single" w:sz="8" w:space="0" w:color="auto"/>
              <w:right w:val="single" w:sz="8" w:space="0" w:color="auto"/>
            </w:tcBorders>
            <w:shd w:val="clear" w:color="000000" w:fill="F2F2F2"/>
            <w:noWrap/>
            <w:vAlign w:val="center"/>
          </w:tcPr>
          <w:p w14:paraId="12E40FAD"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-4,0</w:t>
            </w:r>
          </w:p>
        </w:tc>
      </w:tr>
      <w:tr w:rsidR="00614BA4" w:rsidRPr="002C3A49" w14:paraId="6571F05D" w14:textId="77777777" w:rsidTr="00DA63A8">
        <w:trPr>
          <w:trHeight w:val="215"/>
        </w:trPr>
        <w:tc>
          <w:tcPr>
            <w:tcW w:w="6880" w:type="dxa"/>
            <w:tcBorders>
              <w:top w:val="nil"/>
              <w:left w:val="nil"/>
              <w:bottom w:val="single" w:sz="8" w:space="0" w:color="auto"/>
              <w:right w:val="nil"/>
            </w:tcBorders>
            <w:shd w:val="clear" w:color="000000" w:fill="FFFFFF"/>
            <w:noWrap/>
            <w:vAlign w:val="center"/>
            <w:hideMark/>
          </w:tcPr>
          <w:p w14:paraId="193226C2" w14:textId="77777777" w:rsidR="00614BA4" w:rsidRPr="002C3A49" w:rsidRDefault="00614BA4" w:rsidP="00DA63A8">
            <w:pPr>
              <w:rPr>
                <w:rFonts w:ascii="Times New Roman" w:hAnsi="Times New Roman"/>
                <w:b/>
                <w:bCs/>
                <w:i/>
                <w:iCs/>
                <w:noProof/>
                <w:lang w:val="sr-Cyrl-RS"/>
              </w:rPr>
            </w:pPr>
            <w:r w:rsidRPr="002C3A49">
              <w:rPr>
                <w:rFonts w:ascii="Times New Roman" w:hAnsi="Times New Roman"/>
                <w:b/>
                <w:bCs/>
                <w:i/>
                <w:iCs/>
                <w:noProof/>
                <w:lang w:val="sr-Cyrl-RS"/>
              </w:rPr>
              <w:t>Јавне финансије (% БДП)</w:t>
            </w:r>
          </w:p>
        </w:tc>
        <w:tc>
          <w:tcPr>
            <w:tcW w:w="960" w:type="dxa"/>
            <w:tcBorders>
              <w:top w:val="nil"/>
              <w:left w:val="nil"/>
              <w:bottom w:val="single" w:sz="8" w:space="0" w:color="auto"/>
              <w:right w:val="nil"/>
            </w:tcBorders>
            <w:shd w:val="clear" w:color="000000" w:fill="FFFFFF"/>
            <w:noWrap/>
            <w:vAlign w:val="center"/>
          </w:tcPr>
          <w:p w14:paraId="34059E4B" w14:textId="77777777" w:rsidR="00614BA4" w:rsidRPr="002C3A49" w:rsidRDefault="00614BA4" w:rsidP="00DA63A8">
            <w:pPr>
              <w:rPr>
                <w:rFonts w:ascii="Times New Roman" w:hAnsi="Times New Roman"/>
                <w:b/>
                <w:bCs/>
                <w:i/>
                <w:iCs/>
                <w:noProof/>
                <w:lang w:val="sr-Cyrl-RS"/>
              </w:rPr>
            </w:pPr>
          </w:p>
        </w:tc>
        <w:tc>
          <w:tcPr>
            <w:tcW w:w="960" w:type="dxa"/>
            <w:tcBorders>
              <w:top w:val="nil"/>
              <w:left w:val="nil"/>
              <w:bottom w:val="single" w:sz="8" w:space="0" w:color="auto"/>
              <w:right w:val="single" w:sz="8" w:space="0" w:color="auto"/>
            </w:tcBorders>
            <w:shd w:val="clear" w:color="000000" w:fill="FFFFFF"/>
            <w:noWrap/>
            <w:vAlign w:val="center"/>
          </w:tcPr>
          <w:p w14:paraId="56967777" w14:textId="77777777" w:rsidR="00614BA4" w:rsidRPr="002C3A49" w:rsidRDefault="00614BA4" w:rsidP="00DA63A8">
            <w:pPr>
              <w:rPr>
                <w:rFonts w:ascii="Times New Roman" w:hAnsi="Times New Roman"/>
                <w:b/>
                <w:bCs/>
                <w:i/>
                <w:iCs/>
                <w:noProof/>
                <w:lang w:val="sr-Cyrl-RS"/>
              </w:rPr>
            </w:pPr>
          </w:p>
        </w:tc>
      </w:tr>
      <w:tr w:rsidR="00614BA4" w:rsidRPr="002C3A49" w14:paraId="6F885063" w14:textId="77777777" w:rsidTr="00DA63A8">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5F1EFB59"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Фискални резултат сектора државе</w:t>
            </w:r>
          </w:p>
        </w:tc>
        <w:tc>
          <w:tcPr>
            <w:tcW w:w="960" w:type="dxa"/>
            <w:tcBorders>
              <w:top w:val="nil"/>
              <w:left w:val="nil"/>
              <w:bottom w:val="single" w:sz="8" w:space="0" w:color="auto"/>
              <w:right w:val="single" w:sz="8" w:space="0" w:color="auto"/>
            </w:tcBorders>
            <w:shd w:val="clear" w:color="000000" w:fill="F2F2F2"/>
            <w:noWrap/>
            <w:vAlign w:val="center"/>
          </w:tcPr>
          <w:p w14:paraId="429D5DD3"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-2,8</w:t>
            </w:r>
          </w:p>
        </w:tc>
        <w:tc>
          <w:tcPr>
            <w:tcW w:w="960" w:type="dxa"/>
            <w:tcBorders>
              <w:top w:val="nil"/>
              <w:left w:val="nil"/>
              <w:bottom w:val="single" w:sz="8" w:space="0" w:color="auto"/>
              <w:right w:val="single" w:sz="8" w:space="0" w:color="auto"/>
            </w:tcBorders>
            <w:shd w:val="clear" w:color="000000" w:fill="F2F2F2"/>
            <w:noWrap/>
            <w:vAlign w:val="center"/>
          </w:tcPr>
          <w:p w14:paraId="2A252EFC"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-2,2</w:t>
            </w:r>
          </w:p>
        </w:tc>
      </w:tr>
      <w:tr w:rsidR="00614BA4" w:rsidRPr="002C3A49" w14:paraId="417864B2" w14:textId="77777777" w:rsidTr="00DA63A8">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5B80D3CF" w14:textId="77777777" w:rsidR="00614BA4" w:rsidRPr="002C3A49" w:rsidRDefault="00614BA4" w:rsidP="00DA63A8">
            <w:pPr>
              <w:rPr>
                <w:rFonts w:ascii="Times New Roman" w:hAnsi="Times New Roman"/>
                <w:i/>
                <w:iCs/>
                <w:noProof/>
                <w:lang w:val="sr-Cyrl-RS"/>
              </w:rPr>
            </w:pPr>
            <w:r w:rsidRPr="002C3A49">
              <w:rPr>
                <w:rFonts w:ascii="Times New Roman" w:hAnsi="Times New Roman"/>
                <w:i/>
                <w:iCs/>
                <w:noProof/>
                <w:lang w:val="sr-Cyrl-RS"/>
              </w:rPr>
              <w:t xml:space="preserve">Јавни дуг сектора државе </w:t>
            </w:r>
          </w:p>
        </w:tc>
        <w:tc>
          <w:tcPr>
            <w:tcW w:w="960" w:type="dxa"/>
            <w:tcBorders>
              <w:top w:val="nil"/>
              <w:left w:val="nil"/>
              <w:bottom w:val="single" w:sz="8" w:space="0" w:color="auto"/>
              <w:right w:val="single" w:sz="8" w:space="0" w:color="auto"/>
            </w:tcBorders>
            <w:shd w:val="clear" w:color="auto" w:fill="auto"/>
            <w:noWrap/>
            <w:vAlign w:val="center"/>
          </w:tcPr>
          <w:p w14:paraId="784A9120"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53,3</w:t>
            </w:r>
          </w:p>
        </w:tc>
        <w:tc>
          <w:tcPr>
            <w:tcW w:w="960" w:type="dxa"/>
            <w:tcBorders>
              <w:top w:val="nil"/>
              <w:left w:val="nil"/>
              <w:bottom w:val="single" w:sz="8" w:space="0" w:color="auto"/>
              <w:right w:val="single" w:sz="8" w:space="0" w:color="auto"/>
            </w:tcBorders>
            <w:shd w:val="clear" w:color="auto" w:fill="auto"/>
            <w:noWrap/>
            <w:vAlign w:val="center"/>
          </w:tcPr>
          <w:p w14:paraId="5FAE6C2A" w14:textId="77777777" w:rsidR="00614BA4" w:rsidRPr="002C3A49" w:rsidRDefault="00614BA4" w:rsidP="00DA63A8">
            <w:pPr>
              <w:jc w:val="right"/>
              <w:rPr>
                <w:rFonts w:ascii="Times New Roman" w:hAnsi="Times New Roman"/>
                <w:noProof/>
                <w:lang w:val="sr-Cyrl-RS"/>
              </w:rPr>
            </w:pPr>
            <w:r w:rsidRPr="002C3A49">
              <w:rPr>
                <w:rFonts w:ascii="Times New Roman" w:hAnsi="Times New Roman"/>
                <w:noProof/>
                <w:lang w:val="sr-Cyrl-RS"/>
              </w:rPr>
              <w:t>51,7</w:t>
            </w:r>
          </w:p>
        </w:tc>
      </w:tr>
    </w:tbl>
    <w:p w14:paraId="58AA54F4" w14:textId="12929753" w:rsidR="00E0375F" w:rsidRPr="002C3A49" w:rsidRDefault="00E0375F" w:rsidP="00614BA4">
      <w:pPr>
        <w:tabs>
          <w:tab w:val="left" w:pos="720"/>
        </w:tabs>
        <w:spacing w:after="120"/>
        <w:rPr>
          <w:rFonts w:ascii="Times New Roman" w:hAnsi="Times New Roman"/>
          <w:b/>
          <w:bCs/>
          <w:noProof/>
          <w:szCs w:val="24"/>
          <w:highlight w:val="yellow"/>
          <w:lang w:val="sr-Cyrl-RS"/>
        </w:rPr>
      </w:pPr>
    </w:p>
    <w:p w14:paraId="48C13196" w14:textId="77777777" w:rsidR="00BE71A6" w:rsidRPr="002C3A49" w:rsidRDefault="00BE71A6" w:rsidP="00BE71A6">
      <w:pPr>
        <w:tabs>
          <w:tab w:val="left" w:pos="720"/>
          <w:tab w:val="left" w:pos="1440"/>
        </w:tabs>
        <w:spacing w:before="120" w:after="120"/>
        <w:rPr>
          <w:rFonts w:ascii="Times New Roman" w:hAnsi="Times New Roman"/>
          <w:noProof/>
          <w:lang w:val="sr-Cyrl-RS"/>
        </w:rPr>
      </w:pPr>
      <w:r w:rsidRPr="002C3A49">
        <w:rPr>
          <w:rFonts w:ascii="Times New Roman" w:hAnsi="Times New Roman"/>
          <w:b/>
          <w:bCs/>
          <w:noProof/>
          <w:szCs w:val="24"/>
          <w:lang w:val="sr-Cyrl-RS"/>
        </w:rPr>
        <w:t>3. Образложење прихода и примања буџета</w:t>
      </w:r>
    </w:p>
    <w:p w14:paraId="36981C76" w14:textId="77777777" w:rsidR="00BE71A6" w:rsidRPr="002C3A49" w:rsidRDefault="00BE71A6" w:rsidP="00BE71A6">
      <w:pPr>
        <w:tabs>
          <w:tab w:val="left" w:pos="720"/>
          <w:tab w:val="left" w:pos="1440"/>
        </w:tabs>
        <w:outlineLvl w:val="0"/>
        <w:rPr>
          <w:rFonts w:ascii="Times New Roman" w:hAnsi="Times New Roman"/>
          <w:b/>
          <w:bCs/>
          <w:noProof/>
          <w:lang w:val="sr-Cyrl-RS"/>
        </w:rPr>
      </w:pPr>
    </w:p>
    <w:p w14:paraId="0488B3F6" w14:textId="77777777" w:rsidR="00BE71A6" w:rsidRPr="002C3A49" w:rsidRDefault="00BE71A6" w:rsidP="00BE71A6">
      <w:pPr>
        <w:tabs>
          <w:tab w:val="left" w:pos="720"/>
        </w:tabs>
        <w:spacing w:after="120"/>
        <w:ind w:firstLine="709"/>
        <w:rPr>
          <w:rFonts w:ascii="Times New Roman" w:hAnsi="Times New Roman"/>
          <w:noProof/>
          <w:szCs w:val="24"/>
          <w:lang w:val="sr-Cyrl-RS"/>
        </w:rPr>
      </w:pPr>
      <w:r w:rsidRPr="002C3A49">
        <w:rPr>
          <w:rFonts w:ascii="Times New Roman" w:hAnsi="Times New Roman"/>
          <w:noProof/>
          <w:szCs w:val="24"/>
          <w:lang w:val="sr-Cyrl-RS"/>
        </w:rPr>
        <w:t>Приходи и примања буџета за 2024. годину утврђена су у следећим износима:</w:t>
      </w:r>
    </w:p>
    <w:p w14:paraId="0B6C96B9" w14:textId="77777777" w:rsidR="00BE71A6" w:rsidRPr="002C3A49" w:rsidRDefault="00BE71A6" w:rsidP="00BE71A6">
      <w:pPr>
        <w:tabs>
          <w:tab w:val="left" w:pos="720"/>
          <w:tab w:val="left" w:pos="1440"/>
        </w:tabs>
        <w:rPr>
          <w:rFonts w:ascii="Times New Roman" w:hAnsi="Times New Roman"/>
          <w:noProof/>
          <w:lang w:val="sr-Cyrl-RS"/>
        </w:rPr>
      </w:pPr>
      <w:r w:rsidRPr="002C3A49">
        <w:rPr>
          <w:rFonts w:ascii="Times New Roman" w:hAnsi="Times New Roman"/>
          <w:b/>
          <w:noProof/>
          <w:lang w:val="sr-Cyrl-RS"/>
        </w:rPr>
        <w:t>Приходи и примања буџета Републике Србије за 2024. годину</w:t>
      </w:r>
      <w:r w:rsidRPr="002C3A49">
        <w:rPr>
          <w:rFonts w:ascii="Times New Roman" w:hAnsi="Times New Roman"/>
          <w:noProof/>
          <w:lang w:val="sr-Cyrl-RS"/>
        </w:rPr>
        <w:t xml:space="preserve"> </w:t>
      </w:r>
    </w:p>
    <w:p w14:paraId="7609F37A" w14:textId="3D03061F" w:rsidR="00892FDB" w:rsidRPr="002C3A49" w:rsidRDefault="00892FDB" w:rsidP="00BE71A6">
      <w:pPr>
        <w:tabs>
          <w:tab w:val="left" w:pos="720"/>
          <w:tab w:val="left" w:pos="1440"/>
        </w:tabs>
        <w:spacing w:after="120"/>
        <w:rPr>
          <w:rFonts w:ascii="Times New Roman" w:hAnsi="Times New Roman"/>
          <w:noProof/>
          <w:lang w:val="sr-Cyrl-RS"/>
        </w:rPr>
      </w:pPr>
    </w:p>
    <w:tbl>
      <w:tblPr>
        <w:tblW w:w="9457" w:type="dxa"/>
        <w:tblLook w:val="04A0" w:firstRow="1" w:lastRow="0" w:firstColumn="1" w:lastColumn="0" w:noHBand="0" w:noVBand="1"/>
      </w:tblPr>
      <w:tblGrid>
        <w:gridCol w:w="5495"/>
        <w:gridCol w:w="1605"/>
        <w:gridCol w:w="2357"/>
      </w:tblGrid>
      <w:tr w:rsidR="00892FDB" w:rsidRPr="002C3A49" w14:paraId="1E071CF0" w14:textId="77777777" w:rsidTr="003C1313">
        <w:trPr>
          <w:trHeight w:val="8"/>
        </w:trPr>
        <w:tc>
          <w:tcPr>
            <w:tcW w:w="5495" w:type="dxa"/>
            <w:tcBorders>
              <w:top w:val="single" w:sz="4" w:space="0" w:color="auto"/>
              <w:left w:val="single" w:sz="4" w:space="0" w:color="auto"/>
              <w:bottom w:val="single" w:sz="4" w:space="0" w:color="auto"/>
              <w:right w:val="single" w:sz="4" w:space="0" w:color="auto"/>
            </w:tcBorders>
            <w:shd w:val="clear" w:color="auto" w:fill="auto"/>
            <w:noWrap/>
            <w:hideMark/>
          </w:tcPr>
          <w:p w14:paraId="76CE816F" w14:textId="77777777" w:rsidR="00892FDB" w:rsidRPr="002C3A49" w:rsidRDefault="00892FDB" w:rsidP="003C1313">
            <w:pPr>
              <w:tabs>
                <w:tab w:val="left" w:pos="1440"/>
              </w:tabs>
              <w:jc w:val="center"/>
              <w:rPr>
                <w:rFonts w:ascii="Times New Roman" w:hAnsi="Times New Roman"/>
                <w:noProof/>
                <w:color w:val="000000"/>
                <w:sz w:val="22"/>
                <w:szCs w:val="22"/>
                <w:lang w:val="sr-Cyrl-RS"/>
              </w:rPr>
            </w:pPr>
            <w:r w:rsidRPr="002C3A49">
              <w:rPr>
                <w:rFonts w:ascii="Times New Roman" w:hAnsi="Times New Roman"/>
                <w:noProof/>
                <w:color w:val="000000"/>
                <w:sz w:val="22"/>
                <w:szCs w:val="22"/>
                <w:lang w:val="sr-Cyrl-RS"/>
              </w:rPr>
              <w:t>ОПИС</w:t>
            </w:r>
          </w:p>
        </w:tc>
        <w:tc>
          <w:tcPr>
            <w:tcW w:w="1605" w:type="dxa"/>
            <w:tcBorders>
              <w:top w:val="single" w:sz="4" w:space="0" w:color="auto"/>
              <w:left w:val="nil"/>
              <w:bottom w:val="single" w:sz="4" w:space="0" w:color="auto"/>
              <w:right w:val="single" w:sz="4" w:space="0" w:color="auto"/>
            </w:tcBorders>
            <w:shd w:val="clear" w:color="auto" w:fill="auto"/>
            <w:hideMark/>
          </w:tcPr>
          <w:p w14:paraId="6B4871BD" w14:textId="77777777" w:rsidR="00892FDB" w:rsidRPr="002C3A49" w:rsidRDefault="00892FDB" w:rsidP="003C1313">
            <w:pPr>
              <w:tabs>
                <w:tab w:val="left" w:pos="1440"/>
              </w:tabs>
              <w:jc w:val="center"/>
              <w:rPr>
                <w:rFonts w:ascii="Times New Roman" w:hAnsi="Times New Roman"/>
                <w:noProof/>
                <w:sz w:val="22"/>
                <w:szCs w:val="22"/>
                <w:lang w:val="sr-Cyrl-RS"/>
              </w:rPr>
            </w:pPr>
            <w:r w:rsidRPr="002C3A49">
              <w:rPr>
                <w:rFonts w:ascii="Times New Roman" w:hAnsi="Times New Roman"/>
                <w:noProof/>
                <w:sz w:val="22"/>
                <w:szCs w:val="22"/>
                <w:lang w:val="sr-Cyrl-RS"/>
              </w:rPr>
              <w:t>Eкономскa класификацијa</w:t>
            </w:r>
          </w:p>
        </w:tc>
        <w:tc>
          <w:tcPr>
            <w:tcW w:w="2357" w:type="dxa"/>
            <w:tcBorders>
              <w:top w:val="single" w:sz="4" w:space="0" w:color="auto"/>
              <w:left w:val="nil"/>
              <w:bottom w:val="single" w:sz="4" w:space="0" w:color="auto"/>
              <w:right w:val="single" w:sz="4" w:space="0" w:color="auto"/>
            </w:tcBorders>
            <w:shd w:val="clear" w:color="auto" w:fill="auto"/>
            <w:noWrap/>
            <w:hideMark/>
          </w:tcPr>
          <w:p w14:paraId="55404796" w14:textId="77777777" w:rsidR="00892FDB" w:rsidRPr="002C3A49" w:rsidRDefault="00892FDB" w:rsidP="00A7662C">
            <w:pPr>
              <w:tabs>
                <w:tab w:val="left" w:pos="1440"/>
              </w:tabs>
              <w:jc w:val="center"/>
              <w:rPr>
                <w:rFonts w:ascii="Times New Roman" w:hAnsi="Times New Roman"/>
                <w:noProof/>
                <w:sz w:val="22"/>
                <w:szCs w:val="22"/>
                <w:lang w:val="sr-Cyrl-RS"/>
              </w:rPr>
            </w:pPr>
            <w:r w:rsidRPr="002C3A49">
              <w:rPr>
                <w:rFonts w:ascii="Times New Roman" w:hAnsi="Times New Roman"/>
                <w:noProof/>
                <w:sz w:val="22"/>
                <w:szCs w:val="22"/>
                <w:lang w:val="sr-Cyrl-RS"/>
              </w:rPr>
              <w:t>Износ у динарима</w:t>
            </w:r>
          </w:p>
        </w:tc>
      </w:tr>
      <w:tr w:rsidR="00892FDB" w:rsidRPr="002C3A49" w14:paraId="3AC52A49"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11EDD5B1" w14:textId="77777777" w:rsidR="00892FDB" w:rsidRPr="002C3A49" w:rsidRDefault="00892FDB" w:rsidP="003C1313">
            <w:pPr>
              <w:tabs>
                <w:tab w:val="left" w:pos="1440"/>
              </w:tabs>
              <w:rPr>
                <w:rFonts w:ascii="Times New Roman" w:hAnsi="Times New Roman"/>
                <w:b/>
                <w:noProof/>
                <w:sz w:val="22"/>
                <w:szCs w:val="22"/>
                <w:lang w:val="sr-Cyrl-RS"/>
              </w:rPr>
            </w:pPr>
            <w:r w:rsidRPr="002C3A49">
              <w:rPr>
                <w:rFonts w:ascii="Times New Roman" w:hAnsi="Times New Roman"/>
                <w:noProof/>
                <w:sz w:val="22"/>
                <w:szCs w:val="22"/>
                <w:lang w:val="sr-Cyrl-RS"/>
              </w:rPr>
              <w:t>УКУПНИ ПРИХОДИ И ПРИМАЊА</w:t>
            </w:r>
          </w:p>
        </w:tc>
        <w:tc>
          <w:tcPr>
            <w:tcW w:w="1605" w:type="dxa"/>
            <w:tcBorders>
              <w:top w:val="nil"/>
              <w:left w:val="nil"/>
              <w:bottom w:val="single" w:sz="4" w:space="0" w:color="auto"/>
              <w:right w:val="single" w:sz="4" w:space="0" w:color="auto"/>
            </w:tcBorders>
            <w:shd w:val="clear" w:color="auto" w:fill="auto"/>
            <w:noWrap/>
            <w:hideMark/>
          </w:tcPr>
          <w:p w14:paraId="6C2BAB1C" w14:textId="77777777" w:rsidR="00892FDB" w:rsidRPr="002C3A49" w:rsidRDefault="00892FDB" w:rsidP="003C1313">
            <w:pPr>
              <w:tabs>
                <w:tab w:val="left" w:pos="1440"/>
              </w:tabs>
              <w:rPr>
                <w:rFonts w:ascii="Times New Roman" w:hAnsi="Times New Roman"/>
                <w:b/>
                <w:b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625039C5" w14:textId="77777777" w:rsidR="00892FDB" w:rsidRPr="002C3A49" w:rsidRDefault="00892FDB" w:rsidP="003C1313">
            <w:pPr>
              <w:tabs>
                <w:tab w:val="left" w:pos="1440"/>
              </w:tabs>
              <w:jc w:val="right"/>
              <w:rPr>
                <w:rFonts w:ascii="Times New Roman" w:hAnsi="Times New Roman"/>
                <w:b/>
                <w:noProof/>
                <w:sz w:val="22"/>
                <w:szCs w:val="22"/>
                <w:lang w:val="sr-Cyrl-RS"/>
              </w:rPr>
            </w:pPr>
            <w:r w:rsidRPr="002C3A49">
              <w:rPr>
                <w:rFonts w:ascii="Times New Roman" w:hAnsi="Times New Roman"/>
                <w:noProof/>
                <w:sz w:val="22"/>
                <w:szCs w:val="22"/>
                <w:lang w:val="sr-Cyrl-RS"/>
              </w:rPr>
              <w:t>2.040.873.800.000</w:t>
            </w:r>
          </w:p>
        </w:tc>
      </w:tr>
      <w:tr w:rsidR="00892FDB" w:rsidRPr="002C3A49" w14:paraId="76E57759"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38F405B1" w14:textId="77777777" w:rsidR="00892FDB" w:rsidRPr="002C3A49" w:rsidRDefault="00892FDB" w:rsidP="003C1313">
            <w:pPr>
              <w:tabs>
                <w:tab w:val="left" w:pos="1440"/>
              </w:tabs>
              <w:rPr>
                <w:rFonts w:ascii="Times New Roman" w:hAnsi="Times New Roman"/>
                <w:b/>
                <w:noProof/>
                <w:sz w:val="22"/>
                <w:szCs w:val="22"/>
                <w:lang w:val="sr-Cyrl-RS"/>
              </w:rPr>
            </w:pPr>
            <w:r w:rsidRPr="002C3A49">
              <w:rPr>
                <w:rFonts w:ascii="Times New Roman" w:hAnsi="Times New Roman"/>
                <w:noProof/>
                <w:sz w:val="22"/>
                <w:szCs w:val="22"/>
                <w:lang w:val="sr-Cyrl-RS"/>
              </w:rPr>
              <w:t>1. Порески приходи</w:t>
            </w:r>
          </w:p>
        </w:tc>
        <w:tc>
          <w:tcPr>
            <w:tcW w:w="1605" w:type="dxa"/>
            <w:tcBorders>
              <w:top w:val="nil"/>
              <w:left w:val="nil"/>
              <w:bottom w:val="single" w:sz="4" w:space="0" w:color="auto"/>
              <w:right w:val="single" w:sz="4" w:space="0" w:color="auto"/>
            </w:tcBorders>
            <w:shd w:val="clear" w:color="auto" w:fill="auto"/>
            <w:noWrap/>
            <w:hideMark/>
          </w:tcPr>
          <w:p w14:paraId="048B229C" w14:textId="77777777" w:rsidR="00892FDB" w:rsidRPr="002C3A49" w:rsidRDefault="00892FDB" w:rsidP="003C1313">
            <w:pPr>
              <w:tabs>
                <w:tab w:val="left" w:pos="1440"/>
              </w:tabs>
              <w:rPr>
                <w:rFonts w:ascii="Times New Roman" w:hAnsi="Times New Roman"/>
                <w:b/>
                <w:noProof/>
                <w:sz w:val="22"/>
                <w:szCs w:val="22"/>
                <w:lang w:val="sr-Cyrl-RS"/>
              </w:rPr>
            </w:pPr>
            <w:r w:rsidRPr="002C3A49">
              <w:rPr>
                <w:rFonts w:ascii="Times New Roman" w:hAnsi="Times New Roman"/>
                <w:noProof/>
                <w:sz w:val="22"/>
                <w:szCs w:val="22"/>
                <w:lang w:val="sr-Cyrl-RS"/>
              </w:rPr>
              <w:t>71</w:t>
            </w:r>
          </w:p>
        </w:tc>
        <w:tc>
          <w:tcPr>
            <w:tcW w:w="2357" w:type="dxa"/>
            <w:tcBorders>
              <w:top w:val="nil"/>
              <w:left w:val="nil"/>
              <w:bottom w:val="single" w:sz="4" w:space="0" w:color="auto"/>
              <w:right w:val="single" w:sz="4" w:space="0" w:color="auto"/>
            </w:tcBorders>
            <w:shd w:val="clear" w:color="auto" w:fill="auto"/>
            <w:noWrap/>
            <w:hideMark/>
          </w:tcPr>
          <w:p w14:paraId="68BB5CD6" w14:textId="77777777" w:rsidR="00892FDB" w:rsidRPr="002C3A49" w:rsidRDefault="00892FDB" w:rsidP="003C1313">
            <w:pPr>
              <w:tabs>
                <w:tab w:val="left" w:pos="1440"/>
              </w:tabs>
              <w:jc w:val="right"/>
              <w:rPr>
                <w:rFonts w:ascii="Times New Roman" w:hAnsi="Times New Roman"/>
                <w:b/>
                <w:noProof/>
                <w:sz w:val="22"/>
                <w:szCs w:val="22"/>
                <w:lang w:val="sr-Cyrl-RS"/>
              </w:rPr>
            </w:pPr>
            <w:r w:rsidRPr="002C3A49">
              <w:rPr>
                <w:rFonts w:ascii="Times New Roman" w:hAnsi="Times New Roman"/>
                <w:noProof/>
                <w:sz w:val="22"/>
                <w:szCs w:val="22"/>
                <w:lang w:val="sr-Cyrl-RS"/>
              </w:rPr>
              <w:t>1.758.600.000.000</w:t>
            </w:r>
          </w:p>
        </w:tc>
      </w:tr>
      <w:tr w:rsidR="00892FDB" w:rsidRPr="002C3A49" w14:paraId="03DF4A95"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C2089F7"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 xml:space="preserve"> 1.1. Порез на доходак грађана</w:t>
            </w:r>
          </w:p>
        </w:tc>
        <w:tc>
          <w:tcPr>
            <w:tcW w:w="1605" w:type="dxa"/>
            <w:tcBorders>
              <w:top w:val="nil"/>
              <w:left w:val="nil"/>
              <w:bottom w:val="single" w:sz="4" w:space="0" w:color="auto"/>
              <w:right w:val="single" w:sz="4" w:space="0" w:color="auto"/>
            </w:tcBorders>
            <w:shd w:val="clear" w:color="auto" w:fill="auto"/>
            <w:noWrap/>
            <w:hideMark/>
          </w:tcPr>
          <w:p w14:paraId="6759B3A7"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7111</w:t>
            </w:r>
          </w:p>
        </w:tc>
        <w:tc>
          <w:tcPr>
            <w:tcW w:w="2357" w:type="dxa"/>
            <w:tcBorders>
              <w:top w:val="nil"/>
              <w:left w:val="nil"/>
              <w:bottom w:val="single" w:sz="4" w:space="0" w:color="auto"/>
              <w:right w:val="single" w:sz="4" w:space="0" w:color="auto"/>
            </w:tcBorders>
            <w:shd w:val="clear" w:color="auto" w:fill="auto"/>
            <w:noWrap/>
            <w:hideMark/>
          </w:tcPr>
          <w:p w14:paraId="774DEF39" w14:textId="77777777" w:rsidR="00892FDB" w:rsidRPr="002C3A49" w:rsidRDefault="00892FDB" w:rsidP="003C1313">
            <w:pPr>
              <w:tabs>
                <w:tab w:val="left" w:pos="1440"/>
              </w:tabs>
              <w:jc w:val="right"/>
              <w:rPr>
                <w:rFonts w:ascii="Times New Roman" w:hAnsi="Times New Roman"/>
                <w:noProof/>
                <w:sz w:val="22"/>
                <w:szCs w:val="22"/>
                <w:lang w:val="sr-Cyrl-RS"/>
              </w:rPr>
            </w:pPr>
            <w:r w:rsidRPr="002C3A49">
              <w:rPr>
                <w:rFonts w:ascii="Times New Roman" w:hAnsi="Times New Roman"/>
                <w:noProof/>
                <w:sz w:val="22"/>
                <w:szCs w:val="22"/>
                <w:lang w:val="sr-Cyrl-RS"/>
              </w:rPr>
              <w:t>122.800.000.000</w:t>
            </w:r>
          </w:p>
        </w:tc>
      </w:tr>
      <w:tr w:rsidR="00892FDB" w:rsidRPr="002C3A49" w14:paraId="074BFBED"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283CE6C2"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 xml:space="preserve"> 1.2. Порез на добит правних лица</w:t>
            </w:r>
          </w:p>
        </w:tc>
        <w:tc>
          <w:tcPr>
            <w:tcW w:w="1605" w:type="dxa"/>
            <w:tcBorders>
              <w:top w:val="nil"/>
              <w:left w:val="nil"/>
              <w:bottom w:val="single" w:sz="4" w:space="0" w:color="auto"/>
              <w:right w:val="single" w:sz="4" w:space="0" w:color="auto"/>
            </w:tcBorders>
            <w:shd w:val="clear" w:color="auto" w:fill="auto"/>
            <w:noWrap/>
            <w:hideMark/>
          </w:tcPr>
          <w:p w14:paraId="436D75E5"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7112</w:t>
            </w:r>
          </w:p>
        </w:tc>
        <w:tc>
          <w:tcPr>
            <w:tcW w:w="2357" w:type="dxa"/>
            <w:tcBorders>
              <w:top w:val="nil"/>
              <w:left w:val="nil"/>
              <w:bottom w:val="single" w:sz="4" w:space="0" w:color="auto"/>
              <w:right w:val="single" w:sz="4" w:space="0" w:color="auto"/>
            </w:tcBorders>
            <w:shd w:val="clear" w:color="auto" w:fill="auto"/>
            <w:noWrap/>
            <w:hideMark/>
          </w:tcPr>
          <w:p w14:paraId="5950AEBA" w14:textId="77777777" w:rsidR="00892FDB" w:rsidRPr="002C3A49" w:rsidRDefault="00892FDB" w:rsidP="003C1313">
            <w:pPr>
              <w:tabs>
                <w:tab w:val="left" w:pos="1440"/>
              </w:tabs>
              <w:jc w:val="right"/>
              <w:rPr>
                <w:rFonts w:ascii="Times New Roman" w:hAnsi="Times New Roman"/>
                <w:noProof/>
                <w:sz w:val="22"/>
                <w:szCs w:val="22"/>
                <w:lang w:val="sr-Cyrl-RS"/>
              </w:rPr>
            </w:pPr>
            <w:r w:rsidRPr="002C3A49">
              <w:rPr>
                <w:rFonts w:ascii="Times New Roman" w:hAnsi="Times New Roman"/>
                <w:noProof/>
                <w:sz w:val="22"/>
                <w:szCs w:val="22"/>
                <w:lang w:val="sr-Cyrl-RS"/>
              </w:rPr>
              <w:t>230.000.000.000</w:t>
            </w:r>
          </w:p>
        </w:tc>
      </w:tr>
      <w:tr w:rsidR="00892FDB" w:rsidRPr="002C3A49" w14:paraId="6F32810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090C6B39"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 xml:space="preserve"> 1.3. Порез на додату вредност</w:t>
            </w:r>
          </w:p>
        </w:tc>
        <w:tc>
          <w:tcPr>
            <w:tcW w:w="1605" w:type="dxa"/>
            <w:tcBorders>
              <w:top w:val="nil"/>
              <w:left w:val="nil"/>
              <w:bottom w:val="single" w:sz="4" w:space="0" w:color="auto"/>
              <w:right w:val="single" w:sz="4" w:space="0" w:color="auto"/>
            </w:tcBorders>
            <w:shd w:val="clear" w:color="auto" w:fill="auto"/>
            <w:noWrap/>
            <w:hideMark/>
          </w:tcPr>
          <w:p w14:paraId="3C7A1F0E"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7141</w:t>
            </w:r>
          </w:p>
        </w:tc>
        <w:tc>
          <w:tcPr>
            <w:tcW w:w="2357" w:type="dxa"/>
            <w:tcBorders>
              <w:top w:val="nil"/>
              <w:left w:val="nil"/>
              <w:bottom w:val="single" w:sz="4" w:space="0" w:color="auto"/>
              <w:right w:val="single" w:sz="4" w:space="0" w:color="auto"/>
            </w:tcBorders>
            <w:shd w:val="clear" w:color="auto" w:fill="auto"/>
            <w:noWrap/>
            <w:hideMark/>
          </w:tcPr>
          <w:p w14:paraId="34064284" w14:textId="77777777" w:rsidR="00892FDB" w:rsidRPr="002C3A49" w:rsidRDefault="00892FDB" w:rsidP="003C1313">
            <w:pPr>
              <w:tabs>
                <w:tab w:val="left" w:pos="1440"/>
              </w:tabs>
              <w:jc w:val="right"/>
              <w:rPr>
                <w:rFonts w:ascii="Times New Roman" w:hAnsi="Times New Roman"/>
                <w:noProof/>
                <w:sz w:val="22"/>
                <w:szCs w:val="22"/>
                <w:lang w:val="sr-Cyrl-RS"/>
              </w:rPr>
            </w:pPr>
            <w:r w:rsidRPr="002C3A49">
              <w:rPr>
                <w:rFonts w:ascii="Times New Roman" w:hAnsi="Times New Roman"/>
                <w:noProof/>
                <w:sz w:val="22"/>
                <w:szCs w:val="22"/>
                <w:lang w:val="sr-Cyrl-RS"/>
              </w:rPr>
              <w:t>908.000.000.000</w:t>
            </w:r>
          </w:p>
        </w:tc>
      </w:tr>
      <w:tr w:rsidR="00892FDB" w:rsidRPr="002C3A49" w14:paraId="5C311F88"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7F8D5A95"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lastRenderedPageBreak/>
              <w:t xml:space="preserve">      - Порез на додату вредност у земљи</w:t>
            </w:r>
          </w:p>
        </w:tc>
        <w:tc>
          <w:tcPr>
            <w:tcW w:w="1605" w:type="dxa"/>
            <w:tcBorders>
              <w:top w:val="nil"/>
              <w:left w:val="nil"/>
              <w:bottom w:val="single" w:sz="4" w:space="0" w:color="auto"/>
              <w:right w:val="single" w:sz="4" w:space="0" w:color="auto"/>
            </w:tcBorders>
            <w:shd w:val="clear" w:color="auto" w:fill="auto"/>
            <w:noWrap/>
            <w:hideMark/>
          </w:tcPr>
          <w:p w14:paraId="6CD9135E"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5EC8E61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138.800.000.000</w:t>
            </w:r>
          </w:p>
        </w:tc>
      </w:tr>
      <w:tr w:rsidR="00892FDB" w:rsidRPr="002C3A49" w14:paraId="1F746BB3"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6393904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 Порез на додату вредност из увоза</w:t>
            </w:r>
          </w:p>
        </w:tc>
        <w:tc>
          <w:tcPr>
            <w:tcW w:w="1605" w:type="dxa"/>
            <w:tcBorders>
              <w:top w:val="nil"/>
              <w:left w:val="nil"/>
              <w:bottom w:val="single" w:sz="4" w:space="0" w:color="auto"/>
              <w:right w:val="single" w:sz="4" w:space="0" w:color="auto"/>
            </w:tcBorders>
            <w:shd w:val="clear" w:color="auto" w:fill="auto"/>
            <w:noWrap/>
            <w:hideMark/>
          </w:tcPr>
          <w:p w14:paraId="2F13C964"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2521DEFE"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769.200.000.000</w:t>
            </w:r>
          </w:p>
        </w:tc>
      </w:tr>
      <w:tr w:rsidR="00892FDB" w:rsidRPr="002C3A49" w14:paraId="6940C40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054790F"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1.4. Акцизе</w:t>
            </w:r>
          </w:p>
        </w:tc>
        <w:tc>
          <w:tcPr>
            <w:tcW w:w="1605" w:type="dxa"/>
            <w:tcBorders>
              <w:top w:val="nil"/>
              <w:left w:val="nil"/>
              <w:bottom w:val="single" w:sz="4" w:space="0" w:color="auto"/>
              <w:right w:val="single" w:sz="4" w:space="0" w:color="auto"/>
            </w:tcBorders>
            <w:shd w:val="clear" w:color="auto" w:fill="auto"/>
            <w:noWrap/>
            <w:hideMark/>
          </w:tcPr>
          <w:p w14:paraId="53B515C8"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717</w:t>
            </w:r>
          </w:p>
        </w:tc>
        <w:tc>
          <w:tcPr>
            <w:tcW w:w="2357" w:type="dxa"/>
            <w:tcBorders>
              <w:top w:val="nil"/>
              <w:left w:val="nil"/>
              <w:bottom w:val="single" w:sz="4" w:space="0" w:color="auto"/>
              <w:right w:val="single" w:sz="4" w:space="0" w:color="auto"/>
            </w:tcBorders>
            <w:shd w:val="clear" w:color="auto" w:fill="auto"/>
            <w:noWrap/>
            <w:hideMark/>
          </w:tcPr>
          <w:p w14:paraId="6511719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395.000.000.000</w:t>
            </w:r>
          </w:p>
        </w:tc>
      </w:tr>
      <w:tr w:rsidR="00892FDB" w:rsidRPr="002C3A49" w14:paraId="6CAD7CC9"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74ADA752"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 Акцизе на деривате нафте</w:t>
            </w:r>
          </w:p>
        </w:tc>
        <w:tc>
          <w:tcPr>
            <w:tcW w:w="1605" w:type="dxa"/>
            <w:tcBorders>
              <w:top w:val="nil"/>
              <w:left w:val="nil"/>
              <w:bottom w:val="single" w:sz="4" w:space="0" w:color="auto"/>
              <w:right w:val="single" w:sz="4" w:space="0" w:color="auto"/>
            </w:tcBorders>
            <w:shd w:val="clear" w:color="auto" w:fill="auto"/>
            <w:noWrap/>
            <w:hideMark/>
          </w:tcPr>
          <w:p w14:paraId="44F8E003"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1AB6AA3C"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211.500.000.000</w:t>
            </w:r>
          </w:p>
        </w:tc>
      </w:tr>
      <w:tr w:rsidR="00892FDB" w:rsidRPr="002C3A49" w14:paraId="7721D699"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69925A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 Акцизе на дуванске прерађевине</w:t>
            </w:r>
          </w:p>
        </w:tc>
        <w:tc>
          <w:tcPr>
            <w:tcW w:w="1605" w:type="dxa"/>
            <w:tcBorders>
              <w:top w:val="nil"/>
              <w:left w:val="nil"/>
              <w:bottom w:val="single" w:sz="4" w:space="0" w:color="auto"/>
              <w:right w:val="single" w:sz="4" w:space="0" w:color="auto"/>
            </w:tcBorders>
            <w:shd w:val="clear" w:color="auto" w:fill="auto"/>
            <w:noWrap/>
            <w:hideMark/>
          </w:tcPr>
          <w:p w14:paraId="4C474506"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652FD596"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135.000.000.000</w:t>
            </w:r>
          </w:p>
        </w:tc>
      </w:tr>
      <w:tr w:rsidR="00892FDB" w:rsidRPr="002C3A49" w14:paraId="1B70E7DC"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68329621"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 Остале акцизе</w:t>
            </w:r>
          </w:p>
        </w:tc>
        <w:tc>
          <w:tcPr>
            <w:tcW w:w="1605" w:type="dxa"/>
            <w:tcBorders>
              <w:top w:val="nil"/>
              <w:left w:val="nil"/>
              <w:bottom w:val="single" w:sz="4" w:space="0" w:color="auto"/>
              <w:right w:val="single" w:sz="4" w:space="0" w:color="auto"/>
            </w:tcBorders>
            <w:shd w:val="clear" w:color="auto" w:fill="auto"/>
            <w:noWrap/>
            <w:hideMark/>
          </w:tcPr>
          <w:p w14:paraId="77B65537"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28F00808"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48.500.000.000</w:t>
            </w:r>
          </w:p>
        </w:tc>
      </w:tr>
      <w:tr w:rsidR="00892FDB" w:rsidRPr="002C3A49" w14:paraId="6554442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57BAB4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1.5. Царине</w:t>
            </w:r>
          </w:p>
        </w:tc>
        <w:tc>
          <w:tcPr>
            <w:tcW w:w="1605" w:type="dxa"/>
            <w:tcBorders>
              <w:top w:val="nil"/>
              <w:left w:val="nil"/>
              <w:bottom w:val="single" w:sz="4" w:space="0" w:color="auto"/>
              <w:right w:val="single" w:sz="4" w:space="0" w:color="auto"/>
            </w:tcBorders>
            <w:shd w:val="clear" w:color="auto" w:fill="auto"/>
            <w:noWrap/>
            <w:hideMark/>
          </w:tcPr>
          <w:p w14:paraId="046794A6"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715</w:t>
            </w:r>
          </w:p>
        </w:tc>
        <w:tc>
          <w:tcPr>
            <w:tcW w:w="2357" w:type="dxa"/>
            <w:tcBorders>
              <w:top w:val="nil"/>
              <w:left w:val="nil"/>
              <w:bottom w:val="single" w:sz="4" w:space="0" w:color="auto"/>
              <w:right w:val="single" w:sz="4" w:space="0" w:color="auto"/>
            </w:tcBorders>
            <w:shd w:val="clear" w:color="auto" w:fill="auto"/>
            <w:noWrap/>
            <w:hideMark/>
          </w:tcPr>
          <w:p w14:paraId="14BE5875"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88.000.000.000</w:t>
            </w:r>
          </w:p>
        </w:tc>
      </w:tr>
      <w:tr w:rsidR="00892FDB" w:rsidRPr="002C3A49" w14:paraId="57955330"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6CC7D9EB"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1.6. Остали порески приходи</w:t>
            </w:r>
          </w:p>
        </w:tc>
        <w:tc>
          <w:tcPr>
            <w:tcW w:w="1605" w:type="dxa"/>
            <w:tcBorders>
              <w:top w:val="nil"/>
              <w:left w:val="nil"/>
              <w:bottom w:val="single" w:sz="4" w:space="0" w:color="auto"/>
              <w:right w:val="single" w:sz="4" w:space="0" w:color="auto"/>
            </w:tcBorders>
            <w:shd w:val="clear" w:color="auto" w:fill="auto"/>
            <w:noWrap/>
            <w:hideMark/>
          </w:tcPr>
          <w:p w14:paraId="4A000455"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71</w:t>
            </w:r>
          </w:p>
        </w:tc>
        <w:tc>
          <w:tcPr>
            <w:tcW w:w="2357" w:type="dxa"/>
            <w:tcBorders>
              <w:top w:val="nil"/>
              <w:left w:val="nil"/>
              <w:bottom w:val="single" w:sz="4" w:space="0" w:color="auto"/>
              <w:right w:val="single" w:sz="4" w:space="0" w:color="auto"/>
            </w:tcBorders>
            <w:shd w:val="clear" w:color="auto" w:fill="auto"/>
            <w:noWrap/>
            <w:hideMark/>
          </w:tcPr>
          <w:p w14:paraId="7DB3035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14.800.000.000</w:t>
            </w:r>
          </w:p>
        </w:tc>
      </w:tr>
      <w:tr w:rsidR="00892FDB" w:rsidRPr="002C3A49" w14:paraId="01E66485"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16A5460F" w14:textId="77777777" w:rsidR="00892FDB" w:rsidRPr="002C3A49" w:rsidRDefault="00892FDB" w:rsidP="003C1313">
            <w:pPr>
              <w:tabs>
                <w:tab w:val="left" w:pos="1440"/>
              </w:tabs>
              <w:rPr>
                <w:rFonts w:ascii="Times New Roman" w:hAnsi="Times New Roman"/>
                <w:b/>
                <w:iCs/>
                <w:noProof/>
                <w:sz w:val="22"/>
                <w:szCs w:val="22"/>
                <w:lang w:val="sr-Cyrl-RS"/>
              </w:rPr>
            </w:pPr>
            <w:r w:rsidRPr="002C3A49">
              <w:rPr>
                <w:rFonts w:ascii="Times New Roman" w:hAnsi="Times New Roman"/>
                <w:noProof/>
                <w:sz w:val="22"/>
                <w:szCs w:val="22"/>
                <w:lang w:val="sr-Cyrl-RS"/>
              </w:rPr>
              <w:t>2. Непорески приходи и примања од продаје нефинансијске имовине</w:t>
            </w:r>
          </w:p>
        </w:tc>
        <w:tc>
          <w:tcPr>
            <w:tcW w:w="1605" w:type="dxa"/>
            <w:tcBorders>
              <w:top w:val="nil"/>
              <w:left w:val="nil"/>
              <w:bottom w:val="single" w:sz="4" w:space="0" w:color="auto"/>
              <w:right w:val="single" w:sz="4" w:space="0" w:color="auto"/>
            </w:tcBorders>
            <w:shd w:val="clear" w:color="auto" w:fill="auto"/>
            <w:noWrap/>
            <w:hideMark/>
          </w:tcPr>
          <w:p w14:paraId="5D7D7D52" w14:textId="77777777" w:rsidR="00892FDB" w:rsidRPr="002C3A49" w:rsidRDefault="00892FDB" w:rsidP="003C1313">
            <w:pPr>
              <w:tabs>
                <w:tab w:val="left" w:pos="1440"/>
              </w:tabs>
              <w:rPr>
                <w:rFonts w:ascii="Times New Roman" w:hAnsi="Times New Roman"/>
                <w:b/>
                <w:iCs/>
                <w:noProof/>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323DA4C2" w14:textId="77777777" w:rsidR="00892FDB" w:rsidRPr="002C3A49" w:rsidRDefault="00892FDB" w:rsidP="003C1313">
            <w:pPr>
              <w:tabs>
                <w:tab w:val="left" w:pos="1440"/>
              </w:tabs>
              <w:jc w:val="right"/>
              <w:rPr>
                <w:rFonts w:ascii="Times New Roman" w:hAnsi="Times New Roman"/>
                <w:b/>
                <w:iCs/>
                <w:noProof/>
                <w:sz w:val="22"/>
                <w:szCs w:val="22"/>
                <w:lang w:val="sr-Cyrl-RS"/>
              </w:rPr>
            </w:pPr>
            <w:r w:rsidRPr="002C3A49">
              <w:rPr>
                <w:rFonts w:ascii="Times New Roman" w:hAnsi="Times New Roman"/>
                <w:noProof/>
                <w:sz w:val="22"/>
                <w:szCs w:val="22"/>
                <w:lang w:val="sr-Cyrl-RS"/>
              </w:rPr>
              <w:t>246.646.750.000</w:t>
            </w:r>
          </w:p>
        </w:tc>
      </w:tr>
      <w:tr w:rsidR="00892FDB" w:rsidRPr="002C3A49" w14:paraId="1E20E21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7EAB0513"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Редовни непорески приходи</w:t>
            </w:r>
          </w:p>
        </w:tc>
        <w:tc>
          <w:tcPr>
            <w:tcW w:w="1605" w:type="dxa"/>
            <w:tcBorders>
              <w:top w:val="nil"/>
              <w:left w:val="nil"/>
              <w:bottom w:val="single" w:sz="4" w:space="0" w:color="auto"/>
              <w:right w:val="single" w:sz="4" w:space="0" w:color="auto"/>
            </w:tcBorders>
            <w:shd w:val="clear" w:color="auto" w:fill="auto"/>
            <w:noWrap/>
            <w:hideMark/>
          </w:tcPr>
          <w:p w14:paraId="01EEA40B"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3B17E109"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171.952.566.000</w:t>
            </w:r>
          </w:p>
        </w:tc>
      </w:tr>
      <w:tr w:rsidR="00892FDB" w:rsidRPr="002C3A49" w14:paraId="485D55C0" w14:textId="77777777" w:rsidTr="003C1313">
        <w:trPr>
          <w:trHeight w:hRule="exact" w:val="343"/>
        </w:trPr>
        <w:tc>
          <w:tcPr>
            <w:tcW w:w="5495" w:type="dxa"/>
            <w:tcBorders>
              <w:top w:val="nil"/>
              <w:left w:val="single" w:sz="4" w:space="0" w:color="auto"/>
              <w:bottom w:val="nil"/>
              <w:right w:val="single" w:sz="4" w:space="0" w:color="auto"/>
            </w:tcBorders>
            <w:shd w:val="clear" w:color="auto" w:fill="auto"/>
            <w:noWrap/>
            <w:hideMark/>
          </w:tcPr>
          <w:p w14:paraId="6E8EC307"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Приходи од имовине</w:t>
            </w:r>
          </w:p>
        </w:tc>
        <w:tc>
          <w:tcPr>
            <w:tcW w:w="1605" w:type="dxa"/>
            <w:tcBorders>
              <w:top w:val="nil"/>
              <w:left w:val="nil"/>
              <w:bottom w:val="nil"/>
              <w:right w:val="nil"/>
            </w:tcBorders>
            <w:shd w:val="clear" w:color="auto" w:fill="auto"/>
            <w:noWrap/>
            <w:hideMark/>
          </w:tcPr>
          <w:p w14:paraId="75DCDD99"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741</w:t>
            </w:r>
          </w:p>
        </w:tc>
        <w:tc>
          <w:tcPr>
            <w:tcW w:w="2357" w:type="dxa"/>
            <w:tcBorders>
              <w:top w:val="nil"/>
              <w:left w:val="single" w:sz="4" w:space="0" w:color="auto"/>
              <w:bottom w:val="single" w:sz="4" w:space="0" w:color="auto"/>
              <w:right w:val="single" w:sz="4" w:space="0" w:color="auto"/>
            </w:tcBorders>
            <w:shd w:val="clear" w:color="auto" w:fill="auto"/>
            <w:noWrap/>
            <w:hideMark/>
          </w:tcPr>
          <w:p w14:paraId="352E32BD"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29.500.000.000</w:t>
            </w:r>
          </w:p>
        </w:tc>
      </w:tr>
      <w:tr w:rsidR="00892FDB" w:rsidRPr="002C3A49" w14:paraId="100D0383" w14:textId="77777777" w:rsidTr="003C1313">
        <w:trPr>
          <w:trHeight w:hRule="exact" w:val="343"/>
        </w:trPr>
        <w:tc>
          <w:tcPr>
            <w:tcW w:w="5495" w:type="dxa"/>
            <w:tcBorders>
              <w:top w:val="single" w:sz="4" w:space="0" w:color="auto"/>
              <w:left w:val="single" w:sz="4" w:space="0" w:color="auto"/>
              <w:bottom w:val="single" w:sz="4" w:space="0" w:color="auto"/>
              <w:right w:val="single" w:sz="4" w:space="0" w:color="auto"/>
            </w:tcBorders>
            <w:shd w:val="clear" w:color="auto" w:fill="auto"/>
            <w:noWrap/>
            <w:hideMark/>
          </w:tcPr>
          <w:p w14:paraId="3FAF7F77"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Таксе</w:t>
            </w:r>
          </w:p>
        </w:tc>
        <w:tc>
          <w:tcPr>
            <w:tcW w:w="1605" w:type="dxa"/>
            <w:tcBorders>
              <w:top w:val="single" w:sz="4" w:space="0" w:color="auto"/>
              <w:left w:val="nil"/>
              <w:bottom w:val="single" w:sz="4" w:space="0" w:color="auto"/>
              <w:right w:val="single" w:sz="4" w:space="0" w:color="auto"/>
            </w:tcBorders>
            <w:shd w:val="clear" w:color="auto" w:fill="auto"/>
            <w:noWrap/>
            <w:hideMark/>
          </w:tcPr>
          <w:p w14:paraId="4AB9D478"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742</w:t>
            </w:r>
          </w:p>
        </w:tc>
        <w:tc>
          <w:tcPr>
            <w:tcW w:w="2357" w:type="dxa"/>
            <w:tcBorders>
              <w:top w:val="nil"/>
              <w:left w:val="nil"/>
              <w:bottom w:val="single" w:sz="4" w:space="0" w:color="auto"/>
              <w:right w:val="single" w:sz="4" w:space="0" w:color="auto"/>
            </w:tcBorders>
            <w:shd w:val="clear" w:color="auto" w:fill="auto"/>
            <w:noWrap/>
            <w:hideMark/>
          </w:tcPr>
          <w:p w14:paraId="5618CA12"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23.000.000.000</w:t>
            </w:r>
          </w:p>
        </w:tc>
      </w:tr>
      <w:tr w:rsidR="00892FDB" w:rsidRPr="002C3A49" w14:paraId="509930F2"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E4C6C70"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Приходи од продаје добара и услуга</w:t>
            </w:r>
          </w:p>
        </w:tc>
        <w:tc>
          <w:tcPr>
            <w:tcW w:w="1605" w:type="dxa"/>
            <w:tcBorders>
              <w:top w:val="nil"/>
              <w:left w:val="nil"/>
              <w:bottom w:val="single" w:sz="4" w:space="0" w:color="auto"/>
              <w:right w:val="single" w:sz="4" w:space="0" w:color="auto"/>
            </w:tcBorders>
            <w:shd w:val="clear" w:color="auto" w:fill="auto"/>
            <w:noWrap/>
            <w:hideMark/>
          </w:tcPr>
          <w:p w14:paraId="34E8F934"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742</w:t>
            </w:r>
          </w:p>
        </w:tc>
        <w:tc>
          <w:tcPr>
            <w:tcW w:w="2357" w:type="dxa"/>
            <w:tcBorders>
              <w:top w:val="nil"/>
              <w:left w:val="nil"/>
              <w:bottom w:val="single" w:sz="4" w:space="0" w:color="auto"/>
              <w:right w:val="single" w:sz="4" w:space="0" w:color="auto"/>
            </w:tcBorders>
            <w:shd w:val="clear" w:color="auto" w:fill="auto"/>
            <w:noWrap/>
            <w:hideMark/>
          </w:tcPr>
          <w:p w14:paraId="68AD04AC"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44.328.189.000</w:t>
            </w:r>
          </w:p>
        </w:tc>
      </w:tr>
      <w:tr w:rsidR="00892FDB" w:rsidRPr="002C3A49" w14:paraId="645CAA90"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1FF7946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Новчане казне</w:t>
            </w:r>
          </w:p>
        </w:tc>
        <w:tc>
          <w:tcPr>
            <w:tcW w:w="1605" w:type="dxa"/>
            <w:tcBorders>
              <w:top w:val="nil"/>
              <w:left w:val="nil"/>
              <w:bottom w:val="single" w:sz="4" w:space="0" w:color="auto"/>
              <w:right w:val="single" w:sz="4" w:space="0" w:color="auto"/>
            </w:tcBorders>
            <w:shd w:val="clear" w:color="auto" w:fill="auto"/>
            <w:noWrap/>
            <w:hideMark/>
          </w:tcPr>
          <w:p w14:paraId="7805CB46"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743</w:t>
            </w:r>
          </w:p>
        </w:tc>
        <w:tc>
          <w:tcPr>
            <w:tcW w:w="2357" w:type="dxa"/>
            <w:tcBorders>
              <w:top w:val="nil"/>
              <w:left w:val="nil"/>
              <w:bottom w:val="single" w:sz="4" w:space="0" w:color="auto"/>
              <w:right w:val="single" w:sz="4" w:space="0" w:color="auto"/>
            </w:tcBorders>
            <w:shd w:val="clear" w:color="auto" w:fill="auto"/>
            <w:noWrap/>
            <w:hideMark/>
          </w:tcPr>
          <w:p w14:paraId="115426AE"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14.800.000.000</w:t>
            </w:r>
          </w:p>
        </w:tc>
      </w:tr>
      <w:tr w:rsidR="00892FDB" w:rsidRPr="002C3A49" w14:paraId="4D322A22"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52084FD8"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Oстали редовни непорески приходи</w:t>
            </w:r>
          </w:p>
        </w:tc>
        <w:tc>
          <w:tcPr>
            <w:tcW w:w="1605" w:type="dxa"/>
            <w:tcBorders>
              <w:top w:val="nil"/>
              <w:left w:val="nil"/>
              <w:bottom w:val="single" w:sz="4" w:space="0" w:color="auto"/>
              <w:right w:val="single" w:sz="4" w:space="0" w:color="auto"/>
            </w:tcBorders>
            <w:shd w:val="clear" w:color="auto" w:fill="auto"/>
            <w:noWrap/>
            <w:hideMark/>
          </w:tcPr>
          <w:p w14:paraId="23EC0323"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71,73,74</w:t>
            </w:r>
          </w:p>
        </w:tc>
        <w:tc>
          <w:tcPr>
            <w:tcW w:w="2357" w:type="dxa"/>
            <w:tcBorders>
              <w:top w:val="nil"/>
              <w:left w:val="nil"/>
              <w:bottom w:val="single" w:sz="4" w:space="0" w:color="auto"/>
              <w:right w:val="single" w:sz="4" w:space="0" w:color="auto"/>
            </w:tcBorders>
            <w:shd w:val="clear" w:color="auto" w:fill="auto"/>
            <w:noWrap/>
            <w:hideMark/>
          </w:tcPr>
          <w:p w14:paraId="30411E3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53.324.377.000</w:t>
            </w:r>
          </w:p>
        </w:tc>
      </w:tr>
      <w:tr w:rsidR="00892FDB" w:rsidRPr="002C3A49" w14:paraId="25E0A96F" w14:textId="77777777" w:rsidTr="00B9607E">
        <w:trPr>
          <w:trHeight w:hRule="exact" w:val="536"/>
        </w:trPr>
        <w:tc>
          <w:tcPr>
            <w:tcW w:w="5495" w:type="dxa"/>
            <w:tcBorders>
              <w:top w:val="nil"/>
              <w:left w:val="single" w:sz="4" w:space="0" w:color="auto"/>
              <w:bottom w:val="single" w:sz="4" w:space="0" w:color="auto"/>
              <w:right w:val="single" w:sz="4" w:space="0" w:color="auto"/>
            </w:tcBorders>
            <w:shd w:val="clear" w:color="auto" w:fill="auto"/>
            <w:noWrap/>
            <w:hideMark/>
          </w:tcPr>
          <w:p w14:paraId="18872CA0"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Примања од продаје нефинансијске имовине</w:t>
            </w:r>
          </w:p>
        </w:tc>
        <w:tc>
          <w:tcPr>
            <w:tcW w:w="1605" w:type="dxa"/>
            <w:tcBorders>
              <w:top w:val="nil"/>
              <w:left w:val="nil"/>
              <w:bottom w:val="single" w:sz="4" w:space="0" w:color="auto"/>
              <w:right w:val="single" w:sz="4" w:space="0" w:color="auto"/>
            </w:tcBorders>
            <w:shd w:val="clear" w:color="auto" w:fill="auto"/>
            <w:noWrap/>
            <w:hideMark/>
          </w:tcPr>
          <w:p w14:paraId="14C7BA8A" w14:textId="77777777" w:rsidR="00892FDB" w:rsidRPr="002C3A49" w:rsidRDefault="00892FDB" w:rsidP="003C1313">
            <w:pPr>
              <w:jc w:val="center"/>
              <w:rPr>
                <w:rFonts w:ascii="Times New Roman" w:hAnsi="Times New Roman"/>
                <w:noProof/>
                <w:sz w:val="22"/>
                <w:szCs w:val="22"/>
                <w:lang w:val="sr-Cyrl-RS"/>
              </w:rPr>
            </w:pPr>
          </w:p>
          <w:p w14:paraId="4D4BED64"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8</w:t>
            </w:r>
          </w:p>
        </w:tc>
        <w:tc>
          <w:tcPr>
            <w:tcW w:w="2357" w:type="dxa"/>
            <w:tcBorders>
              <w:top w:val="nil"/>
              <w:left w:val="nil"/>
              <w:bottom w:val="single" w:sz="4" w:space="0" w:color="auto"/>
              <w:right w:val="single" w:sz="4" w:space="0" w:color="auto"/>
            </w:tcBorders>
            <w:shd w:val="clear" w:color="auto" w:fill="auto"/>
            <w:noWrap/>
            <w:hideMark/>
          </w:tcPr>
          <w:p w14:paraId="74DEE413"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7.000.000.000</w:t>
            </w:r>
          </w:p>
        </w:tc>
      </w:tr>
      <w:tr w:rsidR="00892FDB" w:rsidRPr="002C3A49" w14:paraId="6D16E610"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36D0DCF8"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Ванредни непорески приходи</w:t>
            </w:r>
          </w:p>
        </w:tc>
        <w:tc>
          <w:tcPr>
            <w:tcW w:w="1605" w:type="dxa"/>
            <w:tcBorders>
              <w:top w:val="nil"/>
              <w:left w:val="nil"/>
              <w:bottom w:val="single" w:sz="4" w:space="0" w:color="auto"/>
              <w:right w:val="single" w:sz="4" w:space="0" w:color="auto"/>
            </w:tcBorders>
            <w:shd w:val="clear" w:color="auto" w:fill="auto"/>
            <w:noWrap/>
            <w:hideMark/>
          </w:tcPr>
          <w:p w14:paraId="05B9E12D" w14:textId="77777777" w:rsidR="00892FDB" w:rsidRPr="002C3A49" w:rsidRDefault="00892FDB" w:rsidP="003C1313">
            <w:pPr>
              <w:tabs>
                <w:tab w:val="left" w:pos="1440"/>
              </w:tabs>
              <w:rPr>
                <w:rFonts w:ascii="Times New Roman" w:hAnsi="Times New Roman"/>
                <w:iCs/>
                <w:noProof/>
                <w:color w:val="00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47002EF9"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27.000.000.000</w:t>
            </w:r>
          </w:p>
        </w:tc>
      </w:tr>
      <w:tr w:rsidR="00892FDB" w:rsidRPr="002C3A49" w14:paraId="2067320D"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2284EB53"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Добит јавних агенција</w:t>
            </w:r>
          </w:p>
        </w:tc>
        <w:tc>
          <w:tcPr>
            <w:tcW w:w="1605" w:type="dxa"/>
            <w:tcBorders>
              <w:top w:val="nil"/>
              <w:left w:val="nil"/>
              <w:bottom w:val="single" w:sz="4" w:space="0" w:color="auto"/>
              <w:right w:val="single" w:sz="4" w:space="0" w:color="auto"/>
            </w:tcBorders>
            <w:shd w:val="clear" w:color="auto" w:fill="auto"/>
            <w:noWrap/>
            <w:hideMark/>
          </w:tcPr>
          <w:p w14:paraId="60449E33"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741</w:t>
            </w:r>
          </w:p>
        </w:tc>
        <w:tc>
          <w:tcPr>
            <w:tcW w:w="2357" w:type="dxa"/>
            <w:tcBorders>
              <w:top w:val="nil"/>
              <w:left w:val="nil"/>
              <w:bottom w:val="single" w:sz="4" w:space="0" w:color="auto"/>
              <w:right w:val="single" w:sz="4" w:space="0" w:color="auto"/>
            </w:tcBorders>
            <w:shd w:val="clear" w:color="auto" w:fill="auto"/>
            <w:noWrap/>
            <w:hideMark/>
          </w:tcPr>
          <w:p w14:paraId="4375FC91"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2.500.000.000</w:t>
            </w:r>
          </w:p>
        </w:tc>
      </w:tr>
      <w:tr w:rsidR="00892FDB" w:rsidRPr="002C3A49" w14:paraId="63E72750" w14:textId="77777777" w:rsidTr="00C578E2">
        <w:trPr>
          <w:trHeight w:hRule="exact" w:val="500"/>
        </w:trPr>
        <w:tc>
          <w:tcPr>
            <w:tcW w:w="5495" w:type="dxa"/>
            <w:tcBorders>
              <w:top w:val="nil"/>
              <w:left w:val="single" w:sz="4" w:space="0" w:color="auto"/>
              <w:bottom w:val="single" w:sz="4" w:space="0" w:color="auto"/>
              <w:right w:val="single" w:sz="4" w:space="0" w:color="auto"/>
            </w:tcBorders>
            <w:shd w:val="clear" w:color="auto" w:fill="auto"/>
            <w:noWrap/>
            <w:hideMark/>
          </w:tcPr>
          <w:p w14:paraId="31F7DB5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Део добити јавних предузећа и дивиденде буџета</w:t>
            </w:r>
          </w:p>
        </w:tc>
        <w:tc>
          <w:tcPr>
            <w:tcW w:w="1605" w:type="dxa"/>
            <w:tcBorders>
              <w:top w:val="nil"/>
              <w:left w:val="nil"/>
              <w:bottom w:val="single" w:sz="4" w:space="0" w:color="auto"/>
              <w:right w:val="single" w:sz="4" w:space="0" w:color="auto"/>
            </w:tcBorders>
            <w:shd w:val="clear" w:color="auto" w:fill="auto"/>
            <w:noWrap/>
            <w:hideMark/>
          </w:tcPr>
          <w:p w14:paraId="0CA752EF" w14:textId="77777777" w:rsidR="00892FDB" w:rsidRPr="002C3A49" w:rsidRDefault="00892FDB" w:rsidP="003C1313">
            <w:pPr>
              <w:jc w:val="center"/>
              <w:rPr>
                <w:rFonts w:ascii="Times New Roman" w:hAnsi="Times New Roman"/>
                <w:noProof/>
                <w:sz w:val="22"/>
                <w:szCs w:val="22"/>
                <w:lang w:val="sr-Cyrl-RS"/>
              </w:rPr>
            </w:pPr>
          </w:p>
          <w:p w14:paraId="0A254DA1"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741, 745</w:t>
            </w:r>
          </w:p>
        </w:tc>
        <w:tc>
          <w:tcPr>
            <w:tcW w:w="2357" w:type="dxa"/>
            <w:tcBorders>
              <w:top w:val="nil"/>
              <w:left w:val="nil"/>
              <w:bottom w:val="single" w:sz="4" w:space="0" w:color="auto"/>
              <w:right w:val="single" w:sz="4" w:space="0" w:color="auto"/>
            </w:tcBorders>
            <w:shd w:val="clear" w:color="auto" w:fill="auto"/>
            <w:noWrap/>
            <w:hideMark/>
          </w:tcPr>
          <w:p w14:paraId="541FD2C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12.000.000.000</w:t>
            </w:r>
          </w:p>
        </w:tc>
      </w:tr>
      <w:tr w:rsidR="00892FDB" w:rsidRPr="002C3A49" w14:paraId="2F5C7C60"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35DC1948"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Остали ванредни приходи</w:t>
            </w:r>
          </w:p>
        </w:tc>
        <w:tc>
          <w:tcPr>
            <w:tcW w:w="1605" w:type="dxa"/>
            <w:tcBorders>
              <w:top w:val="nil"/>
              <w:left w:val="nil"/>
              <w:bottom w:val="single" w:sz="4" w:space="0" w:color="auto"/>
              <w:right w:val="single" w:sz="4" w:space="0" w:color="auto"/>
            </w:tcBorders>
            <w:shd w:val="clear" w:color="auto" w:fill="auto"/>
            <w:noWrap/>
            <w:hideMark/>
          </w:tcPr>
          <w:p w14:paraId="57C2A43D"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74, 77, 78</w:t>
            </w:r>
          </w:p>
        </w:tc>
        <w:tc>
          <w:tcPr>
            <w:tcW w:w="2357" w:type="dxa"/>
            <w:tcBorders>
              <w:top w:val="nil"/>
              <w:left w:val="nil"/>
              <w:bottom w:val="single" w:sz="4" w:space="0" w:color="auto"/>
              <w:right w:val="single" w:sz="4" w:space="0" w:color="auto"/>
            </w:tcBorders>
            <w:shd w:val="clear" w:color="auto" w:fill="auto"/>
            <w:noWrap/>
            <w:hideMark/>
          </w:tcPr>
          <w:p w14:paraId="6123A421"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12.500.000.000</w:t>
            </w:r>
          </w:p>
        </w:tc>
      </w:tr>
      <w:tr w:rsidR="00892FDB" w:rsidRPr="002C3A49" w14:paraId="172D5E71"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0A1C486B" w14:textId="77777777" w:rsidR="00892FDB" w:rsidRPr="002C3A49" w:rsidRDefault="00892FDB" w:rsidP="003C1313">
            <w:pPr>
              <w:tabs>
                <w:tab w:val="left" w:pos="1440"/>
              </w:tabs>
              <w:rPr>
                <w:rFonts w:ascii="Times New Roman" w:hAnsi="Times New Roman"/>
                <w:iCs/>
                <w:noProof/>
                <w:sz w:val="22"/>
                <w:szCs w:val="22"/>
                <w:lang w:val="sr-Cyrl-RS"/>
              </w:rPr>
            </w:pPr>
            <w:r w:rsidRPr="002C3A49">
              <w:rPr>
                <w:rFonts w:ascii="Times New Roman" w:hAnsi="Times New Roman"/>
                <w:noProof/>
                <w:sz w:val="22"/>
                <w:szCs w:val="22"/>
                <w:lang w:val="sr-Cyrl-RS"/>
              </w:rPr>
              <w:t xml:space="preserve">   Остали непорески приходи индиректних корисника</w:t>
            </w:r>
          </w:p>
        </w:tc>
        <w:tc>
          <w:tcPr>
            <w:tcW w:w="1605" w:type="dxa"/>
            <w:tcBorders>
              <w:top w:val="nil"/>
              <w:left w:val="nil"/>
              <w:bottom w:val="single" w:sz="4" w:space="0" w:color="auto"/>
              <w:right w:val="single" w:sz="4" w:space="0" w:color="auto"/>
            </w:tcBorders>
            <w:shd w:val="clear" w:color="auto" w:fill="auto"/>
            <w:noWrap/>
            <w:hideMark/>
          </w:tcPr>
          <w:p w14:paraId="7A12E6AB" w14:textId="77777777" w:rsidR="00892FDB" w:rsidRPr="002C3A49" w:rsidRDefault="00892FDB" w:rsidP="003C1313">
            <w:pPr>
              <w:tabs>
                <w:tab w:val="left" w:pos="1440"/>
              </w:tabs>
              <w:rPr>
                <w:rFonts w:ascii="Times New Roman" w:hAnsi="Times New Roman"/>
                <w:iCs/>
                <w:noProof/>
                <w:color w:val="FF0000"/>
                <w:sz w:val="22"/>
                <w:szCs w:val="22"/>
                <w:lang w:val="sr-Cyrl-RS"/>
              </w:rPr>
            </w:pPr>
          </w:p>
        </w:tc>
        <w:tc>
          <w:tcPr>
            <w:tcW w:w="2357" w:type="dxa"/>
            <w:tcBorders>
              <w:top w:val="nil"/>
              <w:left w:val="nil"/>
              <w:bottom w:val="single" w:sz="4" w:space="0" w:color="auto"/>
              <w:right w:val="single" w:sz="4" w:space="0" w:color="auto"/>
            </w:tcBorders>
            <w:shd w:val="clear" w:color="auto" w:fill="auto"/>
            <w:noWrap/>
            <w:hideMark/>
          </w:tcPr>
          <w:p w14:paraId="422817FF" w14:textId="77777777" w:rsidR="00892FDB" w:rsidRPr="002C3A49" w:rsidRDefault="00892FDB" w:rsidP="003C1313">
            <w:pPr>
              <w:tabs>
                <w:tab w:val="left" w:pos="1440"/>
              </w:tabs>
              <w:jc w:val="right"/>
              <w:rPr>
                <w:rFonts w:ascii="Times New Roman" w:hAnsi="Times New Roman"/>
                <w:iCs/>
                <w:noProof/>
                <w:sz w:val="22"/>
                <w:szCs w:val="22"/>
                <w:lang w:val="sr-Cyrl-RS"/>
              </w:rPr>
            </w:pPr>
            <w:r w:rsidRPr="002C3A49">
              <w:rPr>
                <w:rFonts w:ascii="Times New Roman" w:hAnsi="Times New Roman"/>
                <w:noProof/>
                <w:sz w:val="22"/>
                <w:szCs w:val="22"/>
                <w:lang w:val="sr-Cyrl-RS"/>
              </w:rPr>
              <w:t>47.694.184.000</w:t>
            </w:r>
          </w:p>
        </w:tc>
      </w:tr>
      <w:tr w:rsidR="00892FDB" w:rsidRPr="002C3A49" w14:paraId="7EC0933A" w14:textId="77777777" w:rsidTr="00934403">
        <w:trPr>
          <w:trHeight w:hRule="exact" w:val="554"/>
        </w:trPr>
        <w:tc>
          <w:tcPr>
            <w:tcW w:w="5495" w:type="dxa"/>
            <w:tcBorders>
              <w:top w:val="nil"/>
              <w:left w:val="single" w:sz="4" w:space="0" w:color="auto"/>
              <w:bottom w:val="single" w:sz="4" w:space="0" w:color="auto"/>
              <w:right w:val="single" w:sz="4" w:space="0" w:color="auto"/>
            </w:tcBorders>
            <w:shd w:val="clear" w:color="auto" w:fill="auto"/>
            <w:hideMark/>
          </w:tcPr>
          <w:p w14:paraId="428CCF7F" w14:textId="77777777" w:rsidR="00892FDB" w:rsidRPr="002C3A49" w:rsidRDefault="00892FDB" w:rsidP="003C1313">
            <w:pPr>
              <w:tabs>
                <w:tab w:val="left" w:pos="1440"/>
              </w:tabs>
              <w:rPr>
                <w:rFonts w:ascii="Times New Roman" w:hAnsi="Times New Roman"/>
                <w:i/>
                <w:noProof/>
                <w:sz w:val="22"/>
                <w:szCs w:val="22"/>
                <w:lang w:val="sr-Cyrl-RS"/>
              </w:rPr>
            </w:pPr>
            <w:r w:rsidRPr="002C3A49">
              <w:rPr>
                <w:rFonts w:ascii="Times New Roman" w:hAnsi="Times New Roman"/>
                <w:noProof/>
                <w:sz w:val="22"/>
                <w:szCs w:val="22"/>
                <w:lang w:val="sr-Cyrl-RS"/>
              </w:rPr>
              <w:t>- Трансфери између буџетских корисника на различитом нивоу власти</w:t>
            </w:r>
          </w:p>
        </w:tc>
        <w:tc>
          <w:tcPr>
            <w:tcW w:w="1605" w:type="dxa"/>
            <w:tcBorders>
              <w:top w:val="nil"/>
              <w:left w:val="nil"/>
              <w:bottom w:val="single" w:sz="4" w:space="0" w:color="auto"/>
              <w:right w:val="single" w:sz="4" w:space="0" w:color="auto"/>
            </w:tcBorders>
            <w:shd w:val="clear" w:color="auto" w:fill="auto"/>
            <w:noWrap/>
            <w:hideMark/>
          </w:tcPr>
          <w:p w14:paraId="2F0108B0" w14:textId="77777777" w:rsidR="00892FDB" w:rsidRPr="002C3A49" w:rsidRDefault="00892FDB" w:rsidP="003C1313">
            <w:pPr>
              <w:jc w:val="center"/>
              <w:rPr>
                <w:rFonts w:ascii="Times New Roman" w:hAnsi="Times New Roman"/>
                <w:noProof/>
                <w:sz w:val="22"/>
                <w:szCs w:val="22"/>
                <w:lang w:val="sr-Cyrl-RS"/>
              </w:rPr>
            </w:pPr>
          </w:p>
          <w:p w14:paraId="55B721B3"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733</w:t>
            </w:r>
          </w:p>
        </w:tc>
        <w:tc>
          <w:tcPr>
            <w:tcW w:w="2357" w:type="dxa"/>
            <w:tcBorders>
              <w:top w:val="nil"/>
              <w:left w:val="nil"/>
              <w:bottom w:val="single" w:sz="4" w:space="0" w:color="auto"/>
              <w:right w:val="single" w:sz="4" w:space="0" w:color="auto"/>
            </w:tcBorders>
            <w:shd w:val="clear" w:color="auto" w:fill="auto"/>
            <w:noWrap/>
            <w:hideMark/>
          </w:tcPr>
          <w:p w14:paraId="6D94C117" w14:textId="77777777" w:rsidR="00892FDB" w:rsidRPr="002C3A49" w:rsidRDefault="00892FDB" w:rsidP="003C1313">
            <w:pPr>
              <w:tabs>
                <w:tab w:val="left" w:pos="1440"/>
              </w:tabs>
              <w:jc w:val="right"/>
              <w:rPr>
                <w:rFonts w:ascii="Times New Roman" w:hAnsi="Times New Roman"/>
                <w:i/>
                <w:noProof/>
                <w:sz w:val="22"/>
                <w:szCs w:val="22"/>
                <w:lang w:val="sr-Cyrl-RS"/>
              </w:rPr>
            </w:pPr>
            <w:r w:rsidRPr="002C3A49">
              <w:rPr>
                <w:rFonts w:ascii="Times New Roman" w:hAnsi="Times New Roman"/>
                <w:noProof/>
                <w:sz w:val="22"/>
                <w:szCs w:val="22"/>
                <w:lang w:val="sr-Cyrl-RS"/>
              </w:rPr>
              <w:t>27.327.521.000</w:t>
            </w:r>
          </w:p>
        </w:tc>
      </w:tr>
      <w:tr w:rsidR="00892FDB" w:rsidRPr="002C3A49" w14:paraId="69BBAE6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3CDD0C49" w14:textId="77777777" w:rsidR="00892FDB" w:rsidRPr="002C3A49" w:rsidRDefault="00892FDB" w:rsidP="003C1313">
            <w:pPr>
              <w:tabs>
                <w:tab w:val="left" w:pos="1440"/>
              </w:tabs>
              <w:rPr>
                <w:rFonts w:ascii="Times New Roman" w:hAnsi="Times New Roman"/>
                <w:i/>
                <w:noProof/>
                <w:sz w:val="22"/>
                <w:szCs w:val="22"/>
                <w:lang w:val="sr-Cyrl-RS"/>
              </w:rPr>
            </w:pPr>
            <w:r w:rsidRPr="002C3A49">
              <w:rPr>
                <w:rFonts w:ascii="Times New Roman" w:hAnsi="Times New Roman"/>
                <w:noProof/>
                <w:sz w:val="22"/>
                <w:szCs w:val="22"/>
                <w:lang w:val="sr-Cyrl-RS"/>
              </w:rPr>
              <w:t>- Приходи од продаје добара и услуга</w:t>
            </w:r>
          </w:p>
        </w:tc>
        <w:tc>
          <w:tcPr>
            <w:tcW w:w="1605" w:type="dxa"/>
            <w:tcBorders>
              <w:top w:val="nil"/>
              <w:left w:val="nil"/>
              <w:bottom w:val="single" w:sz="4" w:space="0" w:color="auto"/>
              <w:right w:val="single" w:sz="4" w:space="0" w:color="auto"/>
            </w:tcBorders>
            <w:shd w:val="clear" w:color="auto" w:fill="auto"/>
            <w:noWrap/>
            <w:hideMark/>
          </w:tcPr>
          <w:p w14:paraId="072D1BDF" w14:textId="77777777" w:rsidR="00892FDB" w:rsidRPr="002C3A49" w:rsidRDefault="00892FDB" w:rsidP="003C1313">
            <w:pPr>
              <w:tabs>
                <w:tab w:val="left" w:pos="1440"/>
              </w:tabs>
              <w:rPr>
                <w:rFonts w:ascii="Times New Roman" w:hAnsi="Times New Roman"/>
                <w:noProof/>
                <w:sz w:val="22"/>
                <w:szCs w:val="22"/>
                <w:lang w:val="sr-Cyrl-RS"/>
              </w:rPr>
            </w:pPr>
            <w:r w:rsidRPr="002C3A49">
              <w:rPr>
                <w:rFonts w:ascii="Times New Roman" w:hAnsi="Times New Roman"/>
                <w:noProof/>
                <w:sz w:val="22"/>
                <w:szCs w:val="22"/>
                <w:lang w:val="sr-Cyrl-RS"/>
              </w:rPr>
              <w:t>742</w:t>
            </w:r>
          </w:p>
        </w:tc>
        <w:tc>
          <w:tcPr>
            <w:tcW w:w="2357" w:type="dxa"/>
            <w:tcBorders>
              <w:top w:val="nil"/>
              <w:left w:val="nil"/>
              <w:bottom w:val="single" w:sz="4" w:space="0" w:color="auto"/>
              <w:right w:val="single" w:sz="4" w:space="0" w:color="auto"/>
            </w:tcBorders>
            <w:shd w:val="clear" w:color="auto" w:fill="auto"/>
            <w:noWrap/>
            <w:hideMark/>
          </w:tcPr>
          <w:p w14:paraId="6892FB32" w14:textId="77777777" w:rsidR="00892FDB" w:rsidRPr="002C3A49" w:rsidRDefault="00892FDB" w:rsidP="003C1313">
            <w:pPr>
              <w:tabs>
                <w:tab w:val="left" w:pos="1440"/>
              </w:tabs>
              <w:jc w:val="right"/>
              <w:rPr>
                <w:rFonts w:ascii="Times New Roman" w:hAnsi="Times New Roman"/>
                <w:i/>
                <w:noProof/>
                <w:sz w:val="22"/>
                <w:szCs w:val="22"/>
                <w:lang w:val="sr-Cyrl-RS"/>
              </w:rPr>
            </w:pPr>
            <w:r w:rsidRPr="002C3A49">
              <w:rPr>
                <w:rFonts w:ascii="Times New Roman" w:hAnsi="Times New Roman"/>
                <w:noProof/>
                <w:sz w:val="22"/>
                <w:szCs w:val="22"/>
                <w:lang w:val="sr-Cyrl-RS"/>
              </w:rPr>
              <w:t>20.366.663.000</w:t>
            </w:r>
          </w:p>
        </w:tc>
      </w:tr>
      <w:tr w:rsidR="00892FDB" w:rsidRPr="002C3A49" w14:paraId="7CD9719A" w14:textId="77777777" w:rsidTr="003C1313">
        <w:trPr>
          <w:trHeight w:hRule="exact" w:val="343"/>
        </w:trPr>
        <w:tc>
          <w:tcPr>
            <w:tcW w:w="5495" w:type="dxa"/>
            <w:tcBorders>
              <w:top w:val="nil"/>
              <w:left w:val="single" w:sz="4" w:space="0" w:color="auto"/>
              <w:bottom w:val="single" w:sz="4" w:space="0" w:color="auto"/>
              <w:right w:val="single" w:sz="4" w:space="0" w:color="auto"/>
            </w:tcBorders>
            <w:shd w:val="clear" w:color="auto" w:fill="auto"/>
            <w:noWrap/>
            <w:hideMark/>
          </w:tcPr>
          <w:p w14:paraId="601EFF02" w14:textId="77777777" w:rsidR="00892FDB" w:rsidRPr="002C3A49" w:rsidRDefault="00892FDB" w:rsidP="003C1313">
            <w:pPr>
              <w:tabs>
                <w:tab w:val="left" w:pos="1440"/>
              </w:tabs>
              <w:rPr>
                <w:rFonts w:ascii="Times New Roman" w:hAnsi="Times New Roman"/>
                <w:b/>
                <w:noProof/>
                <w:sz w:val="22"/>
                <w:szCs w:val="22"/>
                <w:lang w:val="sr-Cyrl-RS"/>
              </w:rPr>
            </w:pPr>
            <w:r w:rsidRPr="002C3A49">
              <w:rPr>
                <w:rFonts w:ascii="Times New Roman" w:hAnsi="Times New Roman"/>
                <w:noProof/>
                <w:sz w:val="22"/>
                <w:szCs w:val="22"/>
                <w:lang w:val="sr-Cyrl-RS"/>
              </w:rPr>
              <w:t>3. Донације</w:t>
            </w:r>
          </w:p>
        </w:tc>
        <w:tc>
          <w:tcPr>
            <w:tcW w:w="1605" w:type="dxa"/>
            <w:tcBorders>
              <w:top w:val="nil"/>
              <w:left w:val="nil"/>
              <w:bottom w:val="single" w:sz="4" w:space="0" w:color="auto"/>
              <w:right w:val="single" w:sz="4" w:space="0" w:color="auto"/>
            </w:tcBorders>
            <w:shd w:val="clear" w:color="auto" w:fill="auto"/>
            <w:noWrap/>
            <w:hideMark/>
          </w:tcPr>
          <w:p w14:paraId="2029DC26" w14:textId="77777777" w:rsidR="00892FDB" w:rsidRPr="002C3A49" w:rsidRDefault="00892FDB" w:rsidP="003C1313">
            <w:pPr>
              <w:tabs>
                <w:tab w:val="left" w:pos="1440"/>
              </w:tabs>
              <w:rPr>
                <w:rFonts w:ascii="Times New Roman" w:hAnsi="Times New Roman"/>
                <w:b/>
                <w:noProof/>
                <w:sz w:val="22"/>
                <w:szCs w:val="22"/>
                <w:lang w:val="sr-Cyrl-RS"/>
              </w:rPr>
            </w:pPr>
            <w:r w:rsidRPr="002C3A49">
              <w:rPr>
                <w:rFonts w:ascii="Times New Roman" w:hAnsi="Times New Roman"/>
                <w:noProof/>
                <w:sz w:val="22"/>
                <w:szCs w:val="22"/>
                <w:lang w:val="sr-Cyrl-RS"/>
              </w:rPr>
              <w:t>731,732,744</w:t>
            </w:r>
          </w:p>
        </w:tc>
        <w:tc>
          <w:tcPr>
            <w:tcW w:w="2357" w:type="dxa"/>
            <w:tcBorders>
              <w:top w:val="nil"/>
              <w:left w:val="nil"/>
              <w:bottom w:val="single" w:sz="4" w:space="0" w:color="auto"/>
              <w:right w:val="single" w:sz="4" w:space="0" w:color="auto"/>
            </w:tcBorders>
            <w:shd w:val="clear" w:color="auto" w:fill="auto"/>
            <w:noWrap/>
            <w:hideMark/>
          </w:tcPr>
          <w:p w14:paraId="00EF7147" w14:textId="77777777" w:rsidR="00892FDB" w:rsidRPr="002C3A49" w:rsidRDefault="00892FDB" w:rsidP="003C1313">
            <w:pPr>
              <w:tabs>
                <w:tab w:val="left" w:pos="1440"/>
              </w:tabs>
              <w:jc w:val="right"/>
              <w:rPr>
                <w:rFonts w:ascii="Times New Roman" w:hAnsi="Times New Roman"/>
                <w:b/>
                <w:noProof/>
                <w:sz w:val="22"/>
                <w:szCs w:val="22"/>
                <w:lang w:val="sr-Cyrl-RS"/>
              </w:rPr>
            </w:pPr>
            <w:r w:rsidRPr="002C3A49">
              <w:rPr>
                <w:rFonts w:ascii="Times New Roman" w:hAnsi="Times New Roman"/>
                <w:noProof/>
                <w:sz w:val="22"/>
                <w:szCs w:val="22"/>
                <w:lang w:val="sr-Cyrl-RS"/>
              </w:rPr>
              <w:t>35.627.050.000</w:t>
            </w:r>
          </w:p>
        </w:tc>
      </w:tr>
    </w:tbl>
    <w:p w14:paraId="265CD2F2" w14:textId="6E8EC434" w:rsidR="00BE71A6" w:rsidRPr="002C3A49" w:rsidRDefault="00BE71A6" w:rsidP="00BE71A6">
      <w:pPr>
        <w:tabs>
          <w:tab w:val="left" w:pos="720"/>
          <w:tab w:val="left" w:pos="1440"/>
        </w:tabs>
        <w:spacing w:after="120"/>
        <w:rPr>
          <w:rFonts w:ascii="Times New Roman" w:hAnsi="Times New Roman"/>
          <w:noProof/>
          <w:lang w:val="sr-Cyrl-RS"/>
        </w:rPr>
      </w:pPr>
    </w:p>
    <w:p w14:paraId="5215547F" w14:textId="3F48BE09" w:rsidR="00BE71A6" w:rsidRPr="002C3A49" w:rsidRDefault="00BE71A6" w:rsidP="00BE71A6">
      <w:pPr>
        <w:tabs>
          <w:tab w:val="left" w:pos="720"/>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Буџетом Републике Србије за 2024. годину, планирају се укупни приходи и примања у износу од 2.04</w:t>
      </w:r>
      <w:r w:rsidR="008E634D" w:rsidRPr="002C3A49">
        <w:rPr>
          <w:rFonts w:ascii="Times New Roman" w:hAnsi="Times New Roman"/>
          <w:b/>
          <w:noProof/>
          <w:szCs w:val="24"/>
          <w:lang w:val="sr-Cyrl-RS"/>
        </w:rPr>
        <w:t>0</w:t>
      </w:r>
      <w:r w:rsidRPr="002C3A49">
        <w:rPr>
          <w:rFonts w:ascii="Times New Roman" w:hAnsi="Times New Roman"/>
          <w:b/>
          <w:noProof/>
          <w:szCs w:val="24"/>
          <w:lang w:val="sr-Cyrl-RS"/>
        </w:rPr>
        <w:t>,9 млрд динара, што представља повећање од 7,2% у односу на износ предвиђен ребалансом буџета за 2023. годину</w:t>
      </w:r>
      <w:r w:rsidRPr="002C3A49">
        <w:rPr>
          <w:rFonts w:ascii="Times New Roman" w:hAnsi="Times New Roman"/>
          <w:noProof/>
          <w:szCs w:val="24"/>
          <w:lang w:val="sr-Cyrl-RS"/>
        </w:rPr>
        <w:t xml:space="preserve">. </w:t>
      </w:r>
      <w:r w:rsidRPr="002C3A49">
        <w:rPr>
          <w:rFonts w:ascii="Times New Roman" w:eastAsia="Calibri" w:hAnsi="Times New Roman"/>
          <w:bCs/>
          <w:noProof/>
          <w:szCs w:val="24"/>
          <w:lang w:val="sr-Cyrl-RS"/>
        </w:rPr>
        <w:t>У структури укупних прихода порески приходи износе 1.758,6 млрд динара или 86,2%, док непорески приходи износе 2</w:t>
      </w:r>
      <w:r w:rsidR="00F91670" w:rsidRPr="002C3A49">
        <w:rPr>
          <w:rFonts w:ascii="Times New Roman" w:eastAsia="Calibri" w:hAnsi="Times New Roman"/>
          <w:bCs/>
          <w:noProof/>
          <w:szCs w:val="24"/>
          <w:lang w:val="sr-Cyrl-RS"/>
        </w:rPr>
        <w:t>4</w:t>
      </w:r>
      <w:r w:rsidRPr="002C3A49">
        <w:rPr>
          <w:rFonts w:ascii="Times New Roman" w:eastAsia="Calibri" w:hAnsi="Times New Roman"/>
          <w:bCs/>
          <w:noProof/>
          <w:szCs w:val="24"/>
          <w:lang w:val="sr-Cyrl-RS"/>
        </w:rPr>
        <w:t>6,6 млрд динара или 12,1% укупних прихода буџета Републике Србије. Остатак чине донације у износу од 35,6 млрд динара што чини 1,7% укупних прихода. У односу на процењени износ прихода за 2023. годину, укупни приходи буџета у 2024. години већи су за 136,9 млрд динара, при чему су порески приходи повећани за 126,1 млрд динара или за 7,7%, док су непорески приходи увећани за 9,7%. У оквиру пореских прихода, све категорије, осим прихода пореза на добит правних лица бележе умерен раст, при чему се нешто бржи раст предвиђа код пореза на потрошњу и доходак грађана. Планирани приходи од донација бележе пад због изостанка уплата које су реализоване током ове године (донацијa ЕУ за борбу против енергетске кризе)</w:t>
      </w:r>
      <w:r w:rsidRPr="002C3A49">
        <w:rPr>
          <w:rFonts w:ascii="Times New Roman" w:hAnsi="Times New Roman"/>
          <w:noProof/>
          <w:szCs w:val="24"/>
          <w:lang w:val="sr-Cyrl-RS"/>
        </w:rPr>
        <w:t>.</w:t>
      </w:r>
    </w:p>
    <w:p w14:paraId="17576A06" w14:textId="77777777" w:rsidR="00BE71A6" w:rsidRPr="002C3A49" w:rsidRDefault="00BE71A6" w:rsidP="00BE71A6">
      <w:pPr>
        <w:tabs>
          <w:tab w:val="left" w:pos="720"/>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 xml:space="preserve">Буџетски приходи у 2024. години планирани су на основу пројекције кретања најважнијих макроекономских параметара: БДП и његових компоненти, инфлације, девизног курса, кретања спољнотрговинске размене, процене кретања запослености и зарада у 2024. години, као и процењених ефеката измена у пореској политици и других структурних мера. </w:t>
      </w:r>
      <w:r w:rsidRPr="002C3A49">
        <w:rPr>
          <w:rFonts w:ascii="Times New Roman" w:eastAsia="Calibri" w:hAnsi="Times New Roman"/>
          <w:noProof/>
          <w:szCs w:val="24"/>
          <w:lang w:val="sr-Cyrl-RS"/>
        </w:rPr>
        <w:t>Пројекцији прихода за наредну годину приступило се опрезно, имајући у виду континуирану неизвесност на домаћем тржишту и у међународном окружењу.</w:t>
      </w:r>
      <w:r w:rsidRPr="002C3A49">
        <w:rPr>
          <w:rFonts w:ascii="Times New Roman" w:eastAsia="Calibri" w:hAnsi="Times New Roman"/>
          <w:b/>
          <w:noProof/>
          <w:szCs w:val="24"/>
          <w:lang w:val="sr-Cyrl-RS"/>
        </w:rPr>
        <w:t xml:space="preserve"> </w:t>
      </w:r>
      <w:r w:rsidRPr="002C3A49">
        <w:rPr>
          <w:rFonts w:ascii="Times New Roman" w:hAnsi="Times New Roman"/>
          <w:noProof/>
          <w:szCs w:val="24"/>
          <w:lang w:val="sr-Cyrl-RS"/>
        </w:rPr>
        <w:t xml:space="preserve">Макроекономским оквиром за 2024. годину предвиђено је умерено убрзање економске </w:t>
      </w:r>
      <w:r w:rsidRPr="002C3A49">
        <w:rPr>
          <w:rFonts w:ascii="Times New Roman" w:hAnsi="Times New Roman"/>
          <w:noProof/>
          <w:szCs w:val="24"/>
          <w:lang w:val="sr-Cyrl-RS"/>
        </w:rPr>
        <w:lastRenderedPageBreak/>
        <w:t>активности у односу на 2023. годину, уз постепено смиривање стопе инфлације, што ће поред осталог позитивно деловати и на кретање реалног нивоа потрошње.</w:t>
      </w:r>
      <w:r w:rsidRPr="002C3A49">
        <w:rPr>
          <w:rFonts w:ascii="Times New Roman" w:eastAsia="Calibri" w:hAnsi="Times New Roman"/>
          <w:bCs/>
          <w:noProof/>
          <w:szCs w:val="24"/>
          <w:lang w:val="sr-Cyrl-RS"/>
        </w:rPr>
        <w:t xml:space="preserve"> Енергетска криза и растућа инфлација током 2022. и 2023. године, захтевале су мере у циљу заштите стандарда становништва и обезбеђивања енергетске сигурности. Поред директних давања одређеним категоријама становништва, спроводиле су се мере  пореске политике (акцизном политиком утицало се посредно на цене појединих акцизних производа), те контрола цена основних животних намирница и енергената. </w:t>
      </w:r>
      <w:r w:rsidRPr="002C3A49">
        <w:rPr>
          <w:rFonts w:ascii="Times New Roman" w:hAnsi="Times New Roman"/>
          <w:noProof/>
          <w:szCs w:val="24"/>
          <w:lang w:val="sr-Cyrl-RS"/>
        </w:rPr>
        <w:t>Усвојеним ребалансом буџета за 2023. годину спроведено је трајно повећање зарада запосленима у просвети и делу здравства од 5,5%, ванредно повећање пензија од 5,5%, а почетком наредне године у складу са законском формулом за усклађивање пензије ће бити повећане за 14,8%. У циљу одржања стандарда и куповне моћи становништва усвојене су или ће до краја године бити донете следеће мере: подизање минималне зараде у 2024. години за 17,8%, повећање зарада у јавном сектору од 10%</w:t>
      </w:r>
      <w:r w:rsidRPr="002C3A49">
        <w:rPr>
          <w:rFonts w:ascii="Times New Roman" w:hAnsi="Times New Roman"/>
          <w:noProof/>
          <w:color w:val="FF0000"/>
          <w:szCs w:val="24"/>
          <w:lang w:val="sr-Cyrl-RS"/>
        </w:rPr>
        <w:t xml:space="preserve"> </w:t>
      </w:r>
      <w:r w:rsidRPr="002C3A49">
        <w:rPr>
          <w:rFonts w:ascii="Times New Roman" w:hAnsi="Times New Roman"/>
          <w:noProof/>
          <w:szCs w:val="24"/>
          <w:lang w:val="sr-Cyrl-RS"/>
        </w:rPr>
        <w:t>и наставак пореског растерећења зарада, при чему ће оптерећење процењене просечне нето зараде у 2024. години опасти на 59,9%. Мере популационе политике донете током 2022. године су структурног карактера и утицаће позитивно на ниво расположивог дохотка породица са децом. Такође до краја 2023. године биће реализоване и мере једнократне помоћи пензионерима, док је породицама са децом до 16 година помоћ већ исплаћена. Ефекти ових мера на кретање личне потрошње делом ће бити пренети и на почетак 2024. године. Ове мере деловаће на кретање личне потрошње и последично, на приходе од пореза на потрошњу. Очекује се позитиван утицај и на кретање прихода од опорезивања рада и поред смањења пореског оптерећења, услед дејства предложених мера на кретање запослености и зарада у приватном сектору.</w:t>
      </w:r>
    </w:p>
    <w:p w14:paraId="0F8B3283" w14:textId="77777777" w:rsidR="00BE71A6" w:rsidRPr="002C3A49" w:rsidRDefault="00BE71A6" w:rsidP="00BE71A6">
      <w:pPr>
        <w:tabs>
          <w:tab w:val="left" w:pos="720"/>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Током 2022. и 2023. године, у циљу ублажавања инфлаторних притисака, изостала је редовна индексација акциза са оствареном инфлацијом, уз истовремено додатно смањење износа акциза на деривате нафте.</w:t>
      </w:r>
      <w:r w:rsidRPr="002C3A49">
        <w:rPr>
          <w:rFonts w:ascii="Times New Roman" w:hAnsi="Times New Roman"/>
          <w:noProof/>
          <w:szCs w:val="24"/>
          <w:lang w:val="sr-Cyrl-RS"/>
        </w:rPr>
        <w:t xml:space="preserve"> Ефекат ових мера изражен губитком буџетских прихода током ове две године, процењује се на око 100 млрд динара. У наредном периоду предвиђено је постепено враћање акцизне политике у редовне токове и делимично подизање реалних износа акцизних стопа. Усвојеном законском регулативом, поред осталог, превиђено је повећање тренутних износа акциза за 8%, и додатно усклађивање са оствареном инфлацијом у 2023. години, почетком 2024. године. Ипак, овако ће само делимично бити надокнађена реална вредност износа акциза у поређењу са периодом пре избијања енергетске кризе и убрзаног раста инфлације. И након предвиђених повећања, висина акцизних стопа биће 13% нижа него што би износила да је примењивана редовна индексација у протеклом периоду.  </w:t>
      </w:r>
    </w:p>
    <w:p w14:paraId="6A1D8642" w14:textId="3668F7BE" w:rsidR="00BE71A6" w:rsidRPr="002C3A49" w:rsidRDefault="00BE71A6" w:rsidP="00BE71A6">
      <w:pPr>
        <w:spacing w:after="120"/>
        <w:ind w:firstLine="720"/>
        <w:rPr>
          <w:rFonts w:ascii="Times New Roman" w:eastAsia="MS PGothic" w:hAnsi="Times New Roman"/>
          <w:noProof/>
          <w:szCs w:val="24"/>
          <w:lang w:val="sr-Cyrl-RS" w:eastAsia="ja-JP"/>
        </w:rPr>
      </w:pPr>
      <w:r w:rsidRPr="002C3A49">
        <w:rPr>
          <w:rFonts w:ascii="Times New Roman" w:eastAsia="MS PGothic" w:hAnsi="Times New Roman"/>
          <w:b/>
          <w:noProof/>
          <w:szCs w:val="24"/>
          <w:lang w:val="sr-Cyrl-RS" w:eastAsia="ja-JP"/>
        </w:rPr>
        <w:t>Буџет за 2024. годину предвиђа мере фискалне политике у циљу даљег смањења пореског оптерећења зарада.</w:t>
      </w:r>
      <w:r w:rsidRPr="002C3A49">
        <w:rPr>
          <w:rFonts w:ascii="Times New Roman" w:eastAsia="MS PGothic" w:hAnsi="Times New Roman"/>
          <w:noProof/>
          <w:szCs w:val="24"/>
          <w:lang w:val="sr-Cyrl-RS" w:eastAsia="ja-JP"/>
        </w:rPr>
        <w:t xml:space="preserve"> Неопорезиви део бруто зараде повећава се са 21.712 на 25.000 динара. Губитак прихода опште државе по овом основу у 2024. години процењује се на око 14 млрд динара, при чему је директан губитак буџета Републике процењен на 2,4 млрд динара, губитак локалног нивоа власти на 7,3 млрд, а остатак од 4,3 млрд се односи на приходе фондова обавезног социјалног осигурања. Директан утицај на приходе буџета Републике није значајан, али се преко расходне стране, путем трансфера другим нивоима власти и ООСО одражава и на буџетски резултат. Ове мере смањују пореско оптерећење просечне нето зараде за око 0,2 процентних поена у односу на 2023. годину, и усмерене су на постепено повећање прогресивности опорезивања зарада. Тако ће у наредној години пореско оптерећење нето минималане зараде износити око 55,6%. </w:t>
      </w:r>
    </w:p>
    <w:p w14:paraId="73F50278" w14:textId="77777777" w:rsidR="006179F3" w:rsidRPr="002C3A49" w:rsidRDefault="006179F3" w:rsidP="00BE71A6">
      <w:pPr>
        <w:spacing w:after="120"/>
        <w:ind w:firstLine="720"/>
        <w:rPr>
          <w:rFonts w:ascii="Times New Roman" w:eastAsia="MS PGothic" w:hAnsi="Times New Roman"/>
          <w:noProof/>
          <w:szCs w:val="24"/>
          <w:lang w:val="sr-Cyrl-RS" w:eastAsia="ja-JP"/>
        </w:rPr>
      </w:pPr>
    </w:p>
    <w:p w14:paraId="09B47470" w14:textId="3168BFB3" w:rsidR="00BE71A6" w:rsidRPr="002C3A49" w:rsidRDefault="00BE71A6" w:rsidP="00BE71A6">
      <w:pPr>
        <w:keepNext/>
        <w:tabs>
          <w:tab w:val="left" w:pos="709"/>
        </w:tabs>
        <w:spacing w:after="120"/>
        <w:rPr>
          <w:rFonts w:ascii="Times New Roman" w:hAnsi="Times New Roman"/>
          <w:noProof/>
          <w:vanish/>
          <w:szCs w:val="24"/>
          <w:lang w:val="sr-Cyrl-RS"/>
          <w:specVanish/>
        </w:rPr>
      </w:pPr>
      <w:r w:rsidRPr="002C3A49">
        <w:rPr>
          <w:rFonts w:ascii="Times New Roman" w:hAnsi="Times New Roman"/>
          <w:b/>
          <w:noProof/>
          <w:color w:val="000000"/>
          <w:lang w:val="sr-Cyrl-RS"/>
        </w:rPr>
        <w:lastRenderedPageBreak/>
        <w:t xml:space="preserve">Приходи и примања буџета </w:t>
      </w:r>
      <w:r w:rsidR="00E33683" w:rsidRPr="002C3A49">
        <w:rPr>
          <w:rFonts w:ascii="Times New Roman" w:hAnsi="Times New Roman"/>
          <w:b/>
          <w:noProof/>
          <w:color w:val="000000"/>
          <w:lang w:val="sr-Cyrl-RS"/>
        </w:rPr>
        <w:t>у</w:t>
      </w:r>
      <w:r w:rsidRPr="002C3A49">
        <w:rPr>
          <w:rFonts w:ascii="Times New Roman" w:hAnsi="Times New Roman"/>
          <w:b/>
          <w:noProof/>
          <w:color w:val="000000"/>
          <w:lang w:val="sr-Cyrl-RS"/>
        </w:rPr>
        <w:t xml:space="preserve"> 2023. и 2024. години (у млрд динара)</w:t>
      </w:r>
      <w:r w:rsidRPr="002C3A49">
        <w:rPr>
          <w:rFonts w:ascii="Times New Roman" w:hAnsi="Times New Roman"/>
          <w:b/>
          <w:noProof/>
          <w:color w:val="FF0000"/>
          <w:lang w:val="sr-Cyrl-RS"/>
        </w:rPr>
        <w:t xml:space="preserve"> </w:t>
      </w:r>
    </w:p>
    <w:p w14:paraId="6AE393B9" w14:textId="77777777" w:rsidR="00BE71A6" w:rsidRPr="002C3A49" w:rsidRDefault="00BE71A6" w:rsidP="00BE71A6">
      <w:pPr>
        <w:keepNext/>
        <w:spacing w:after="120"/>
        <w:rPr>
          <w:rFonts w:ascii="Times New Roman" w:eastAsia="MS PGothic" w:hAnsi="Times New Roman"/>
          <w:noProof/>
          <w:szCs w:val="24"/>
          <w:lang w:val="sr-Cyrl-RS" w:eastAsia="ja-JP"/>
        </w:rPr>
      </w:pPr>
    </w:p>
    <w:tbl>
      <w:tblPr>
        <w:tblpPr w:leftFromText="180" w:rightFromText="180" w:vertAnchor="text" w:horzAnchor="margin" w:tblpXSpec="center" w:tblpY="290"/>
        <w:tblW w:w="9540" w:type="dxa"/>
        <w:tblLook w:val="04A0" w:firstRow="1" w:lastRow="0" w:firstColumn="1" w:lastColumn="0" w:noHBand="0" w:noVBand="1"/>
      </w:tblPr>
      <w:tblGrid>
        <w:gridCol w:w="2353"/>
        <w:gridCol w:w="1455"/>
        <w:gridCol w:w="1456"/>
        <w:gridCol w:w="1619"/>
        <w:gridCol w:w="1556"/>
        <w:gridCol w:w="1101"/>
      </w:tblGrid>
      <w:tr w:rsidR="00BE71A6" w:rsidRPr="002C3A49" w14:paraId="7FDF259D" w14:textId="77777777" w:rsidTr="00D20D98">
        <w:trPr>
          <w:trHeight w:val="945"/>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1266" w14:textId="77777777"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Приходи буџета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F79A601" w14:textId="77777777"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Ребаланс 2023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8E22AC4" w14:textId="77777777"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Буџет 2024</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78F4FBC" w14:textId="77777777"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Индекс 2024/2023</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0FF2B16C" w14:textId="6AC6D366"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Структура прихода 2023, у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C8D32B4" w14:textId="77777777" w:rsidR="00BE71A6" w:rsidRPr="002C3A49" w:rsidRDefault="00BE71A6" w:rsidP="009D5C42">
            <w:pPr>
              <w:spacing w:after="120"/>
              <w:jc w:val="center"/>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Структура прихода  2024, у %</w:t>
            </w:r>
          </w:p>
        </w:tc>
      </w:tr>
      <w:tr w:rsidR="00BE71A6" w:rsidRPr="002C3A49" w14:paraId="00710105"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2EB2EC8D" w14:textId="77777777" w:rsidR="00BE71A6" w:rsidRPr="002C3A49" w:rsidRDefault="00BE71A6" w:rsidP="009D5C42">
            <w:pPr>
              <w:spacing w:after="120"/>
              <w:rPr>
                <w:rFonts w:ascii="Times New Roman" w:hAnsi="Times New Roman"/>
                <w:b/>
                <w:bCs/>
                <w:noProof/>
                <w:color w:val="000000"/>
                <w:sz w:val="18"/>
                <w:szCs w:val="18"/>
                <w:lang w:val="sr-Cyrl-RS"/>
              </w:rPr>
            </w:pPr>
            <w:r w:rsidRPr="002C3A49">
              <w:rPr>
                <w:rFonts w:ascii="Times New Roman" w:hAnsi="Times New Roman"/>
                <w:b/>
                <w:bCs/>
                <w:noProof/>
                <w:color w:val="000000"/>
                <w:sz w:val="18"/>
                <w:szCs w:val="18"/>
                <w:lang w:val="sr-Cyrl-RS"/>
              </w:rPr>
              <w:t>Укупно</w:t>
            </w:r>
          </w:p>
        </w:tc>
        <w:tc>
          <w:tcPr>
            <w:tcW w:w="1455" w:type="dxa"/>
            <w:tcBorders>
              <w:top w:val="nil"/>
              <w:left w:val="nil"/>
              <w:bottom w:val="single" w:sz="4" w:space="0" w:color="auto"/>
              <w:right w:val="single" w:sz="4" w:space="0" w:color="auto"/>
            </w:tcBorders>
            <w:shd w:val="clear" w:color="auto" w:fill="auto"/>
            <w:noWrap/>
            <w:vAlign w:val="center"/>
            <w:hideMark/>
          </w:tcPr>
          <w:p w14:paraId="2129A215"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1.904,0</w:t>
            </w:r>
          </w:p>
        </w:tc>
        <w:tc>
          <w:tcPr>
            <w:tcW w:w="1456" w:type="dxa"/>
            <w:tcBorders>
              <w:top w:val="nil"/>
              <w:left w:val="nil"/>
              <w:bottom w:val="single" w:sz="4" w:space="0" w:color="auto"/>
              <w:right w:val="single" w:sz="4" w:space="0" w:color="auto"/>
            </w:tcBorders>
            <w:shd w:val="clear" w:color="auto" w:fill="auto"/>
            <w:noWrap/>
            <w:vAlign w:val="center"/>
            <w:hideMark/>
          </w:tcPr>
          <w:p w14:paraId="553BD6B2"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2.040,9</w:t>
            </w:r>
          </w:p>
        </w:tc>
        <w:tc>
          <w:tcPr>
            <w:tcW w:w="1619" w:type="dxa"/>
            <w:tcBorders>
              <w:top w:val="nil"/>
              <w:left w:val="nil"/>
              <w:bottom w:val="single" w:sz="4" w:space="0" w:color="auto"/>
              <w:right w:val="single" w:sz="4" w:space="0" w:color="auto"/>
            </w:tcBorders>
            <w:shd w:val="clear" w:color="auto" w:fill="auto"/>
            <w:noWrap/>
            <w:vAlign w:val="center"/>
            <w:hideMark/>
          </w:tcPr>
          <w:p w14:paraId="73A8470C"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107,2</w:t>
            </w:r>
          </w:p>
        </w:tc>
        <w:tc>
          <w:tcPr>
            <w:tcW w:w="1556" w:type="dxa"/>
            <w:tcBorders>
              <w:top w:val="nil"/>
              <w:left w:val="nil"/>
              <w:bottom w:val="single" w:sz="4" w:space="0" w:color="auto"/>
              <w:right w:val="single" w:sz="4" w:space="0" w:color="auto"/>
            </w:tcBorders>
            <w:shd w:val="clear" w:color="auto" w:fill="auto"/>
            <w:noWrap/>
            <w:vAlign w:val="center"/>
            <w:hideMark/>
          </w:tcPr>
          <w:p w14:paraId="19BA9624"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100,0</w:t>
            </w:r>
          </w:p>
        </w:tc>
        <w:tc>
          <w:tcPr>
            <w:tcW w:w="1101" w:type="dxa"/>
            <w:tcBorders>
              <w:top w:val="nil"/>
              <w:left w:val="nil"/>
              <w:bottom w:val="single" w:sz="4" w:space="0" w:color="auto"/>
              <w:right w:val="single" w:sz="4" w:space="0" w:color="auto"/>
            </w:tcBorders>
            <w:shd w:val="clear" w:color="auto" w:fill="auto"/>
            <w:noWrap/>
            <w:vAlign w:val="center"/>
            <w:hideMark/>
          </w:tcPr>
          <w:p w14:paraId="261EA372"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100,0</w:t>
            </w:r>
          </w:p>
        </w:tc>
      </w:tr>
      <w:tr w:rsidR="00BE71A6" w:rsidRPr="002C3A49" w14:paraId="5C7B4479"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0A40BD90" w14:textId="77777777" w:rsidR="00BE71A6" w:rsidRPr="002C3A49" w:rsidRDefault="00BE71A6" w:rsidP="009D5C42">
            <w:pPr>
              <w:spacing w:after="120"/>
              <w:rPr>
                <w:rFonts w:ascii="Times New Roman" w:hAnsi="Times New Roman"/>
                <w:b/>
                <w:bCs/>
                <w:noProof/>
                <w:sz w:val="18"/>
                <w:szCs w:val="18"/>
                <w:lang w:val="sr-Cyrl-RS"/>
              </w:rPr>
            </w:pPr>
            <w:r w:rsidRPr="002C3A49">
              <w:rPr>
                <w:rFonts w:ascii="Times New Roman" w:hAnsi="Times New Roman"/>
                <w:b/>
                <w:bCs/>
                <w:noProof/>
                <w:sz w:val="18"/>
                <w:szCs w:val="18"/>
                <w:lang w:val="sr-Cyrl-RS"/>
              </w:rPr>
              <w:t xml:space="preserve"> Порески приходи</w:t>
            </w:r>
          </w:p>
        </w:tc>
        <w:tc>
          <w:tcPr>
            <w:tcW w:w="1455" w:type="dxa"/>
            <w:tcBorders>
              <w:top w:val="nil"/>
              <w:left w:val="nil"/>
              <w:bottom w:val="single" w:sz="4" w:space="0" w:color="auto"/>
              <w:right w:val="single" w:sz="4" w:space="0" w:color="auto"/>
            </w:tcBorders>
            <w:shd w:val="clear" w:color="auto" w:fill="auto"/>
            <w:noWrap/>
            <w:vAlign w:val="center"/>
            <w:hideMark/>
          </w:tcPr>
          <w:p w14:paraId="70B4FF3F"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1.632,5</w:t>
            </w:r>
          </w:p>
        </w:tc>
        <w:tc>
          <w:tcPr>
            <w:tcW w:w="1456" w:type="dxa"/>
            <w:tcBorders>
              <w:top w:val="nil"/>
              <w:left w:val="nil"/>
              <w:bottom w:val="single" w:sz="4" w:space="0" w:color="auto"/>
              <w:right w:val="single" w:sz="4" w:space="0" w:color="auto"/>
            </w:tcBorders>
            <w:shd w:val="clear" w:color="auto" w:fill="auto"/>
            <w:noWrap/>
            <w:vAlign w:val="center"/>
            <w:hideMark/>
          </w:tcPr>
          <w:p w14:paraId="6AB11998"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1.758,6</w:t>
            </w:r>
          </w:p>
        </w:tc>
        <w:tc>
          <w:tcPr>
            <w:tcW w:w="1619" w:type="dxa"/>
            <w:tcBorders>
              <w:top w:val="nil"/>
              <w:left w:val="nil"/>
              <w:bottom w:val="single" w:sz="4" w:space="0" w:color="auto"/>
              <w:right w:val="single" w:sz="4" w:space="0" w:color="auto"/>
            </w:tcBorders>
            <w:shd w:val="clear" w:color="auto" w:fill="auto"/>
            <w:noWrap/>
            <w:vAlign w:val="center"/>
            <w:hideMark/>
          </w:tcPr>
          <w:p w14:paraId="272FCEA3"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107,7</w:t>
            </w:r>
          </w:p>
        </w:tc>
        <w:tc>
          <w:tcPr>
            <w:tcW w:w="1556" w:type="dxa"/>
            <w:tcBorders>
              <w:top w:val="nil"/>
              <w:left w:val="nil"/>
              <w:bottom w:val="single" w:sz="4" w:space="0" w:color="auto"/>
              <w:right w:val="single" w:sz="4" w:space="0" w:color="auto"/>
            </w:tcBorders>
            <w:shd w:val="clear" w:color="auto" w:fill="auto"/>
            <w:noWrap/>
            <w:vAlign w:val="center"/>
            <w:hideMark/>
          </w:tcPr>
          <w:p w14:paraId="701704B3"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85,7</w:t>
            </w:r>
          </w:p>
        </w:tc>
        <w:tc>
          <w:tcPr>
            <w:tcW w:w="1101" w:type="dxa"/>
            <w:tcBorders>
              <w:top w:val="nil"/>
              <w:left w:val="nil"/>
              <w:bottom w:val="single" w:sz="4" w:space="0" w:color="auto"/>
              <w:right w:val="single" w:sz="4" w:space="0" w:color="auto"/>
            </w:tcBorders>
            <w:shd w:val="clear" w:color="auto" w:fill="auto"/>
            <w:noWrap/>
            <w:vAlign w:val="center"/>
            <w:hideMark/>
          </w:tcPr>
          <w:p w14:paraId="3E1C3DCA"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86,2</w:t>
            </w:r>
          </w:p>
        </w:tc>
      </w:tr>
      <w:tr w:rsidR="00BE71A6" w:rsidRPr="002C3A49" w14:paraId="1D296AAB"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7FFECAD7"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Порез на доходак грађана</w:t>
            </w:r>
          </w:p>
        </w:tc>
        <w:tc>
          <w:tcPr>
            <w:tcW w:w="1455" w:type="dxa"/>
            <w:tcBorders>
              <w:top w:val="nil"/>
              <w:left w:val="nil"/>
              <w:bottom w:val="single" w:sz="4" w:space="0" w:color="auto"/>
              <w:right w:val="single" w:sz="4" w:space="0" w:color="auto"/>
            </w:tcBorders>
            <w:shd w:val="clear" w:color="auto" w:fill="auto"/>
            <w:noWrap/>
            <w:vAlign w:val="center"/>
            <w:hideMark/>
          </w:tcPr>
          <w:p w14:paraId="6CB8A818"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111,5</w:t>
            </w:r>
          </w:p>
        </w:tc>
        <w:tc>
          <w:tcPr>
            <w:tcW w:w="1456" w:type="dxa"/>
            <w:tcBorders>
              <w:top w:val="nil"/>
              <w:left w:val="nil"/>
              <w:bottom w:val="single" w:sz="4" w:space="0" w:color="auto"/>
              <w:right w:val="single" w:sz="4" w:space="0" w:color="auto"/>
            </w:tcBorders>
            <w:shd w:val="clear" w:color="auto" w:fill="auto"/>
            <w:noWrap/>
            <w:vAlign w:val="center"/>
            <w:hideMark/>
          </w:tcPr>
          <w:p w14:paraId="031582A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122,8</w:t>
            </w:r>
          </w:p>
        </w:tc>
        <w:tc>
          <w:tcPr>
            <w:tcW w:w="1619" w:type="dxa"/>
            <w:tcBorders>
              <w:top w:val="nil"/>
              <w:left w:val="nil"/>
              <w:bottom w:val="single" w:sz="4" w:space="0" w:color="auto"/>
              <w:right w:val="single" w:sz="4" w:space="0" w:color="auto"/>
            </w:tcBorders>
            <w:shd w:val="clear" w:color="auto" w:fill="auto"/>
            <w:noWrap/>
            <w:vAlign w:val="center"/>
            <w:hideMark/>
          </w:tcPr>
          <w:p w14:paraId="6B4203BA"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110,1</w:t>
            </w:r>
          </w:p>
        </w:tc>
        <w:tc>
          <w:tcPr>
            <w:tcW w:w="1556" w:type="dxa"/>
            <w:tcBorders>
              <w:top w:val="nil"/>
              <w:left w:val="nil"/>
              <w:bottom w:val="single" w:sz="4" w:space="0" w:color="auto"/>
              <w:right w:val="single" w:sz="4" w:space="0" w:color="auto"/>
            </w:tcBorders>
            <w:shd w:val="clear" w:color="auto" w:fill="auto"/>
            <w:noWrap/>
            <w:vAlign w:val="center"/>
            <w:hideMark/>
          </w:tcPr>
          <w:p w14:paraId="5E95E63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5,9</w:t>
            </w:r>
          </w:p>
        </w:tc>
        <w:tc>
          <w:tcPr>
            <w:tcW w:w="1101" w:type="dxa"/>
            <w:tcBorders>
              <w:top w:val="nil"/>
              <w:left w:val="nil"/>
              <w:bottom w:val="single" w:sz="4" w:space="0" w:color="auto"/>
              <w:right w:val="single" w:sz="4" w:space="0" w:color="auto"/>
            </w:tcBorders>
            <w:shd w:val="clear" w:color="auto" w:fill="auto"/>
            <w:noWrap/>
            <w:vAlign w:val="center"/>
            <w:hideMark/>
          </w:tcPr>
          <w:p w14:paraId="37ADAF43"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6,0</w:t>
            </w:r>
          </w:p>
        </w:tc>
      </w:tr>
      <w:tr w:rsidR="00BE71A6" w:rsidRPr="002C3A49" w14:paraId="07E45806"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58EDE6FB"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Порез на добит правних лица</w:t>
            </w:r>
          </w:p>
        </w:tc>
        <w:tc>
          <w:tcPr>
            <w:tcW w:w="1455" w:type="dxa"/>
            <w:tcBorders>
              <w:top w:val="nil"/>
              <w:left w:val="nil"/>
              <w:bottom w:val="single" w:sz="4" w:space="0" w:color="auto"/>
              <w:right w:val="single" w:sz="4" w:space="0" w:color="auto"/>
            </w:tcBorders>
            <w:shd w:val="clear" w:color="auto" w:fill="auto"/>
            <w:noWrap/>
            <w:vAlign w:val="center"/>
            <w:hideMark/>
          </w:tcPr>
          <w:p w14:paraId="39C30240"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238,0</w:t>
            </w:r>
          </w:p>
        </w:tc>
        <w:tc>
          <w:tcPr>
            <w:tcW w:w="1456" w:type="dxa"/>
            <w:tcBorders>
              <w:top w:val="nil"/>
              <w:left w:val="nil"/>
              <w:bottom w:val="single" w:sz="4" w:space="0" w:color="auto"/>
              <w:right w:val="single" w:sz="4" w:space="0" w:color="auto"/>
            </w:tcBorders>
            <w:shd w:val="clear" w:color="auto" w:fill="auto"/>
            <w:noWrap/>
            <w:vAlign w:val="center"/>
            <w:hideMark/>
          </w:tcPr>
          <w:p w14:paraId="093A2DA4"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230,0</w:t>
            </w:r>
          </w:p>
        </w:tc>
        <w:tc>
          <w:tcPr>
            <w:tcW w:w="1619" w:type="dxa"/>
            <w:tcBorders>
              <w:top w:val="nil"/>
              <w:left w:val="nil"/>
              <w:bottom w:val="single" w:sz="4" w:space="0" w:color="auto"/>
              <w:right w:val="single" w:sz="4" w:space="0" w:color="auto"/>
            </w:tcBorders>
            <w:shd w:val="clear" w:color="auto" w:fill="auto"/>
            <w:noWrap/>
            <w:vAlign w:val="center"/>
            <w:hideMark/>
          </w:tcPr>
          <w:p w14:paraId="17F59EA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4D36D3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12,5</w:t>
            </w:r>
          </w:p>
        </w:tc>
        <w:tc>
          <w:tcPr>
            <w:tcW w:w="1101" w:type="dxa"/>
            <w:tcBorders>
              <w:top w:val="nil"/>
              <w:left w:val="nil"/>
              <w:bottom w:val="single" w:sz="4" w:space="0" w:color="auto"/>
              <w:right w:val="single" w:sz="4" w:space="0" w:color="auto"/>
            </w:tcBorders>
            <w:shd w:val="clear" w:color="auto" w:fill="auto"/>
            <w:noWrap/>
            <w:vAlign w:val="center"/>
            <w:hideMark/>
          </w:tcPr>
          <w:p w14:paraId="7E11B1F1"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11,3</w:t>
            </w:r>
          </w:p>
        </w:tc>
      </w:tr>
      <w:tr w:rsidR="00BE71A6" w:rsidRPr="002C3A49" w14:paraId="73E45F9D"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5E11A031"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Порез на додату вредност</w:t>
            </w:r>
          </w:p>
        </w:tc>
        <w:tc>
          <w:tcPr>
            <w:tcW w:w="1455" w:type="dxa"/>
            <w:tcBorders>
              <w:top w:val="nil"/>
              <w:left w:val="nil"/>
              <w:bottom w:val="single" w:sz="4" w:space="0" w:color="auto"/>
              <w:right w:val="single" w:sz="4" w:space="0" w:color="auto"/>
            </w:tcBorders>
            <w:shd w:val="clear" w:color="auto" w:fill="auto"/>
            <w:noWrap/>
            <w:vAlign w:val="center"/>
            <w:hideMark/>
          </w:tcPr>
          <w:p w14:paraId="653B529D"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823,7</w:t>
            </w:r>
          </w:p>
        </w:tc>
        <w:tc>
          <w:tcPr>
            <w:tcW w:w="1456" w:type="dxa"/>
            <w:tcBorders>
              <w:top w:val="nil"/>
              <w:left w:val="nil"/>
              <w:bottom w:val="single" w:sz="4" w:space="0" w:color="auto"/>
              <w:right w:val="single" w:sz="4" w:space="0" w:color="auto"/>
            </w:tcBorders>
            <w:shd w:val="clear" w:color="auto" w:fill="auto"/>
            <w:noWrap/>
            <w:vAlign w:val="center"/>
            <w:hideMark/>
          </w:tcPr>
          <w:p w14:paraId="2FDD309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908,0</w:t>
            </w:r>
          </w:p>
        </w:tc>
        <w:tc>
          <w:tcPr>
            <w:tcW w:w="1619" w:type="dxa"/>
            <w:tcBorders>
              <w:top w:val="nil"/>
              <w:left w:val="nil"/>
              <w:bottom w:val="single" w:sz="4" w:space="0" w:color="auto"/>
              <w:right w:val="single" w:sz="4" w:space="0" w:color="auto"/>
            </w:tcBorders>
            <w:shd w:val="clear" w:color="auto" w:fill="auto"/>
            <w:noWrap/>
            <w:vAlign w:val="center"/>
            <w:hideMark/>
          </w:tcPr>
          <w:p w14:paraId="539D1B38"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110,2</w:t>
            </w:r>
          </w:p>
        </w:tc>
        <w:tc>
          <w:tcPr>
            <w:tcW w:w="1556" w:type="dxa"/>
            <w:tcBorders>
              <w:top w:val="nil"/>
              <w:left w:val="nil"/>
              <w:bottom w:val="single" w:sz="4" w:space="0" w:color="auto"/>
              <w:right w:val="single" w:sz="4" w:space="0" w:color="auto"/>
            </w:tcBorders>
            <w:shd w:val="clear" w:color="auto" w:fill="auto"/>
            <w:noWrap/>
            <w:vAlign w:val="center"/>
            <w:hideMark/>
          </w:tcPr>
          <w:p w14:paraId="4D2A0670"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43,3</w:t>
            </w:r>
          </w:p>
        </w:tc>
        <w:tc>
          <w:tcPr>
            <w:tcW w:w="1101" w:type="dxa"/>
            <w:tcBorders>
              <w:top w:val="nil"/>
              <w:left w:val="nil"/>
              <w:bottom w:val="single" w:sz="4" w:space="0" w:color="auto"/>
              <w:right w:val="single" w:sz="4" w:space="0" w:color="auto"/>
            </w:tcBorders>
            <w:shd w:val="clear" w:color="auto" w:fill="auto"/>
            <w:noWrap/>
            <w:vAlign w:val="center"/>
            <w:hideMark/>
          </w:tcPr>
          <w:p w14:paraId="6045E16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44,5</w:t>
            </w:r>
          </w:p>
        </w:tc>
      </w:tr>
      <w:tr w:rsidR="00BE71A6" w:rsidRPr="002C3A49" w14:paraId="34464FA7"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1B350346"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Акцизе</w:t>
            </w:r>
          </w:p>
        </w:tc>
        <w:tc>
          <w:tcPr>
            <w:tcW w:w="1455" w:type="dxa"/>
            <w:tcBorders>
              <w:top w:val="nil"/>
              <w:left w:val="nil"/>
              <w:bottom w:val="single" w:sz="4" w:space="0" w:color="auto"/>
              <w:right w:val="single" w:sz="4" w:space="0" w:color="auto"/>
            </w:tcBorders>
            <w:shd w:val="clear" w:color="auto" w:fill="auto"/>
            <w:noWrap/>
            <w:vAlign w:val="center"/>
            <w:hideMark/>
          </w:tcPr>
          <w:p w14:paraId="5BCB440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362,0</w:t>
            </w:r>
          </w:p>
        </w:tc>
        <w:tc>
          <w:tcPr>
            <w:tcW w:w="1456" w:type="dxa"/>
            <w:tcBorders>
              <w:top w:val="nil"/>
              <w:left w:val="nil"/>
              <w:bottom w:val="single" w:sz="4" w:space="0" w:color="auto"/>
              <w:right w:val="single" w:sz="4" w:space="0" w:color="auto"/>
            </w:tcBorders>
            <w:shd w:val="clear" w:color="auto" w:fill="auto"/>
            <w:noWrap/>
            <w:vAlign w:val="center"/>
            <w:hideMark/>
          </w:tcPr>
          <w:p w14:paraId="1FFCE7AE"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395,0</w:t>
            </w:r>
          </w:p>
        </w:tc>
        <w:tc>
          <w:tcPr>
            <w:tcW w:w="1619" w:type="dxa"/>
            <w:tcBorders>
              <w:top w:val="nil"/>
              <w:left w:val="nil"/>
              <w:bottom w:val="single" w:sz="4" w:space="0" w:color="auto"/>
              <w:right w:val="single" w:sz="4" w:space="0" w:color="auto"/>
            </w:tcBorders>
            <w:shd w:val="clear" w:color="auto" w:fill="auto"/>
            <w:noWrap/>
            <w:vAlign w:val="center"/>
            <w:hideMark/>
          </w:tcPr>
          <w:p w14:paraId="4450C7B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109,1</w:t>
            </w:r>
          </w:p>
        </w:tc>
        <w:tc>
          <w:tcPr>
            <w:tcW w:w="1556" w:type="dxa"/>
            <w:tcBorders>
              <w:top w:val="nil"/>
              <w:left w:val="nil"/>
              <w:bottom w:val="single" w:sz="4" w:space="0" w:color="auto"/>
              <w:right w:val="single" w:sz="4" w:space="0" w:color="auto"/>
            </w:tcBorders>
            <w:shd w:val="clear" w:color="auto" w:fill="auto"/>
            <w:noWrap/>
            <w:vAlign w:val="center"/>
            <w:hideMark/>
          </w:tcPr>
          <w:p w14:paraId="6A0A9896"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19,0</w:t>
            </w:r>
          </w:p>
        </w:tc>
        <w:tc>
          <w:tcPr>
            <w:tcW w:w="1101" w:type="dxa"/>
            <w:tcBorders>
              <w:top w:val="nil"/>
              <w:left w:val="nil"/>
              <w:bottom w:val="single" w:sz="4" w:space="0" w:color="auto"/>
              <w:right w:val="single" w:sz="4" w:space="0" w:color="auto"/>
            </w:tcBorders>
            <w:shd w:val="clear" w:color="auto" w:fill="auto"/>
            <w:noWrap/>
            <w:vAlign w:val="center"/>
            <w:hideMark/>
          </w:tcPr>
          <w:p w14:paraId="338C9BEB"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19,4</w:t>
            </w:r>
          </w:p>
        </w:tc>
      </w:tr>
      <w:tr w:rsidR="00BE71A6" w:rsidRPr="002C3A49" w14:paraId="532AC408"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086A85E0"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 Акцизе на деривате нафте</w:t>
            </w:r>
          </w:p>
        </w:tc>
        <w:tc>
          <w:tcPr>
            <w:tcW w:w="1455" w:type="dxa"/>
            <w:tcBorders>
              <w:top w:val="nil"/>
              <w:left w:val="nil"/>
              <w:bottom w:val="single" w:sz="4" w:space="0" w:color="auto"/>
              <w:right w:val="single" w:sz="4" w:space="0" w:color="auto"/>
            </w:tcBorders>
            <w:shd w:val="clear" w:color="auto" w:fill="auto"/>
            <w:noWrap/>
            <w:vAlign w:val="center"/>
            <w:hideMark/>
          </w:tcPr>
          <w:p w14:paraId="799E8B6F"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193,0</w:t>
            </w:r>
          </w:p>
        </w:tc>
        <w:tc>
          <w:tcPr>
            <w:tcW w:w="1456" w:type="dxa"/>
            <w:tcBorders>
              <w:top w:val="nil"/>
              <w:left w:val="nil"/>
              <w:bottom w:val="single" w:sz="4" w:space="0" w:color="auto"/>
              <w:right w:val="single" w:sz="4" w:space="0" w:color="auto"/>
            </w:tcBorders>
            <w:shd w:val="clear" w:color="auto" w:fill="auto"/>
            <w:noWrap/>
            <w:vAlign w:val="center"/>
            <w:hideMark/>
          </w:tcPr>
          <w:p w14:paraId="52580FD8"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211,5</w:t>
            </w:r>
          </w:p>
        </w:tc>
        <w:tc>
          <w:tcPr>
            <w:tcW w:w="1619" w:type="dxa"/>
            <w:tcBorders>
              <w:top w:val="nil"/>
              <w:left w:val="nil"/>
              <w:bottom w:val="single" w:sz="4" w:space="0" w:color="auto"/>
              <w:right w:val="single" w:sz="4" w:space="0" w:color="auto"/>
            </w:tcBorders>
            <w:shd w:val="clear" w:color="auto" w:fill="auto"/>
            <w:noWrap/>
            <w:vAlign w:val="center"/>
            <w:hideMark/>
          </w:tcPr>
          <w:p w14:paraId="1764A850"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109,6</w:t>
            </w:r>
          </w:p>
        </w:tc>
        <w:tc>
          <w:tcPr>
            <w:tcW w:w="1556" w:type="dxa"/>
            <w:tcBorders>
              <w:top w:val="nil"/>
              <w:left w:val="nil"/>
              <w:bottom w:val="single" w:sz="4" w:space="0" w:color="auto"/>
              <w:right w:val="single" w:sz="4" w:space="0" w:color="auto"/>
            </w:tcBorders>
            <w:shd w:val="clear" w:color="auto" w:fill="auto"/>
            <w:noWrap/>
            <w:vAlign w:val="center"/>
            <w:hideMark/>
          </w:tcPr>
          <w:p w14:paraId="0B99CC8C"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10,1</w:t>
            </w:r>
          </w:p>
        </w:tc>
        <w:tc>
          <w:tcPr>
            <w:tcW w:w="1101" w:type="dxa"/>
            <w:tcBorders>
              <w:top w:val="nil"/>
              <w:left w:val="nil"/>
              <w:bottom w:val="single" w:sz="4" w:space="0" w:color="auto"/>
              <w:right w:val="single" w:sz="4" w:space="0" w:color="auto"/>
            </w:tcBorders>
            <w:shd w:val="clear" w:color="auto" w:fill="auto"/>
            <w:noWrap/>
            <w:vAlign w:val="center"/>
            <w:hideMark/>
          </w:tcPr>
          <w:p w14:paraId="2648D54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10,4</w:t>
            </w:r>
          </w:p>
        </w:tc>
      </w:tr>
      <w:tr w:rsidR="00BE71A6" w:rsidRPr="002C3A49" w14:paraId="136BA2FF" w14:textId="77777777" w:rsidTr="00D20D98">
        <w:trPr>
          <w:trHeight w:val="413"/>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2AAF4C70"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 Акцизе на дуванске прерађевине</w:t>
            </w:r>
          </w:p>
        </w:tc>
        <w:tc>
          <w:tcPr>
            <w:tcW w:w="1455" w:type="dxa"/>
            <w:tcBorders>
              <w:top w:val="nil"/>
              <w:left w:val="nil"/>
              <w:bottom w:val="single" w:sz="4" w:space="0" w:color="auto"/>
              <w:right w:val="single" w:sz="4" w:space="0" w:color="auto"/>
            </w:tcBorders>
            <w:shd w:val="clear" w:color="auto" w:fill="auto"/>
            <w:noWrap/>
            <w:vAlign w:val="center"/>
            <w:hideMark/>
          </w:tcPr>
          <w:p w14:paraId="22141CE3"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125,4</w:t>
            </w:r>
          </w:p>
        </w:tc>
        <w:tc>
          <w:tcPr>
            <w:tcW w:w="1456" w:type="dxa"/>
            <w:tcBorders>
              <w:top w:val="nil"/>
              <w:left w:val="nil"/>
              <w:bottom w:val="single" w:sz="4" w:space="0" w:color="auto"/>
              <w:right w:val="single" w:sz="4" w:space="0" w:color="auto"/>
            </w:tcBorders>
            <w:shd w:val="clear" w:color="auto" w:fill="auto"/>
            <w:noWrap/>
            <w:vAlign w:val="center"/>
            <w:hideMark/>
          </w:tcPr>
          <w:p w14:paraId="78A4ECC7"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135,0</w:t>
            </w:r>
          </w:p>
        </w:tc>
        <w:tc>
          <w:tcPr>
            <w:tcW w:w="1619" w:type="dxa"/>
            <w:tcBorders>
              <w:top w:val="nil"/>
              <w:left w:val="nil"/>
              <w:bottom w:val="single" w:sz="4" w:space="0" w:color="auto"/>
              <w:right w:val="single" w:sz="4" w:space="0" w:color="auto"/>
            </w:tcBorders>
            <w:shd w:val="clear" w:color="auto" w:fill="auto"/>
            <w:noWrap/>
            <w:vAlign w:val="center"/>
            <w:hideMark/>
          </w:tcPr>
          <w:p w14:paraId="6A1C96F6"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107,7</w:t>
            </w:r>
          </w:p>
        </w:tc>
        <w:tc>
          <w:tcPr>
            <w:tcW w:w="1556" w:type="dxa"/>
            <w:tcBorders>
              <w:top w:val="nil"/>
              <w:left w:val="nil"/>
              <w:bottom w:val="single" w:sz="4" w:space="0" w:color="auto"/>
              <w:right w:val="single" w:sz="4" w:space="0" w:color="auto"/>
            </w:tcBorders>
            <w:shd w:val="clear" w:color="auto" w:fill="auto"/>
            <w:noWrap/>
            <w:vAlign w:val="center"/>
            <w:hideMark/>
          </w:tcPr>
          <w:p w14:paraId="65D84131"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6,6</w:t>
            </w:r>
          </w:p>
        </w:tc>
        <w:tc>
          <w:tcPr>
            <w:tcW w:w="1101" w:type="dxa"/>
            <w:tcBorders>
              <w:top w:val="nil"/>
              <w:left w:val="nil"/>
              <w:bottom w:val="single" w:sz="4" w:space="0" w:color="auto"/>
              <w:right w:val="single" w:sz="4" w:space="0" w:color="auto"/>
            </w:tcBorders>
            <w:shd w:val="clear" w:color="auto" w:fill="auto"/>
            <w:noWrap/>
            <w:vAlign w:val="center"/>
            <w:hideMark/>
          </w:tcPr>
          <w:p w14:paraId="3449EF3C"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6,6</w:t>
            </w:r>
          </w:p>
        </w:tc>
      </w:tr>
      <w:tr w:rsidR="00BE71A6" w:rsidRPr="002C3A49" w14:paraId="2FAE93B2"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2358CE14"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 Остале акцизе</w:t>
            </w:r>
          </w:p>
        </w:tc>
        <w:tc>
          <w:tcPr>
            <w:tcW w:w="1455" w:type="dxa"/>
            <w:tcBorders>
              <w:top w:val="nil"/>
              <w:left w:val="nil"/>
              <w:bottom w:val="single" w:sz="4" w:space="0" w:color="auto"/>
              <w:right w:val="single" w:sz="4" w:space="0" w:color="auto"/>
            </w:tcBorders>
            <w:shd w:val="clear" w:color="auto" w:fill="auto"/>
            <w:noWrap/>
            <w:vAlign w:val="center"/>
            <w:hideMark/>
          </w:tcPr>
          <w:p w14:paraId="20E6AD0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43,6</w:t>
            </w:r>
          </w:p>
        </w:tc>
        <w:tc>
          <w:tcPr>
            <w:tcW w:w="1456" w:type="dxa"/>
            <w:tcBorders>
              <w:top w:val="nil"/>
              <w:left w:val="nil"/>
              <w:bottom w:val="single" w:sz="4" w:space="0" w:color="auto"/>
              <w:right w:val="single" w:sz="4" w:space="0" w:color="auto"/>
            </w:tcBorders>
            <w:shd w:val="clear" w:color="auto" w:fill="auto"/>
            <w:noWrap/>
            <w:vAlign w:val="center"/>
            <w:hideMark/>
          </w:tcPr>
          <w:p w14:paraId="4C87F41A"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48,5</w:t>
            </w:r>
          </w:p>
        </w:tc>
        <w:tc>
          <w:tcPr>
            <w:tcW w:w="1619" w:type="dxa"/>
            <w:tcBorders>
              <w:top w:val="nil"/>
              <w:left w:val="nil"/>
              <w:bottom w:val="single" w:sz="4" w:space="0" w:color="auto"/>
              <w:right w:val="single" w:sz="4" w:space="0" w:color="auto"/>
            </w:tcBorders>
            <w:shd w:val="clear" w:color="auto" w:fill="auto"/>
            <w:noWrap/>
            <w:vAlign w:val="center"/>
            <w:hideMark/>
          </w:tcPr>
          <w:p w14:paraId="16AC6323"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111,2</w:t>
            </w:r>
          </w:p>
        </w:tc>
        <w:tc>
          <w:tcPr>
            <w:tcW w:w="1556" w:type="dxa"/>
            <w:tcBorders>
              <w:top w:val="nil"/>
              <w:left w:val="nil"/>
              <w:bottom w:val="single" w:sz="4" w:space="0" w:color="auto"/>
              <w:right w:val="single" w:sz="4" w:space="0" w:color="auto"/>
            </w:tcBorders>
            <w:shd w:val="clear" w:color="auto" w:fill="auto"/>
            <w:noWrap/>
            <w:vAlign w:val="center"/>
            <w:hideMark/>
          </w:tcPr>
          <w:p w14:paraId="6E63F973"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2,3</w:t>
            </w:r>
          </w:p>
        </w:tc>
        <w:tc>
          <w:tcPr>
            <w:tcW w:w="1101" w:type="dxa"/>
            <w:tcBorders>
              <w:top w:val="nil"/>
              <w:left w:val="nil"/>
              <w:bottom w:val="single" w:sz="4" w:space="0" w:color="auto"/>
              <w:right w:val="single" w:sz="4" w:space="0" w:color="auto"/>
            </w:tcBorders>
            <w:shd w:val="clear" w:color="auto" w:fill="auto"/>
            <w:noWrap/>
            <w:vAlign w:val="center"/>
            <w:hideMark/>
          </w:tcPr>
          <w:p w14:paraId="0C65926A"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2,4</w:t>
            </w:r>
          </w:p>
        </w:tc>
      </w:tr>
      <w:tr w:rsidR="00BE71A6" w:rsidRPr="002C3A49" w14:paraId="6A9749B0"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5764ED6D"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Царине</w:t>
            </w:r>
          </w:p>
        </w:tc>
        <w:tc>
          <w:tcPr>
            <w:tcW w:w="1455" w:type="dxa"/>
            <w:tcBorders>
              <w:top w:val="nil"/>
              <w:left w:val="nil"/>
              <w:bottom w:val="single" w:sz="4" w:space="0" w:color="auto"/>
              <w:right w:val="single" w:sz="4" w:space="0" w:color="auto"/>
            </w:tcBorders>
            <w:shd w:val="clear" w:color="auto" w:fill="auto"/>
            <w:noWrap/>
            <w:vAlign w:val="center"/>
            <w:hideMark/>
          </w:tcPr>
          <w:p w14:paraId="55F55FAA"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83,0</w:t>
            </w:r>
          </w:p>
        </w:tc>
        <w:tc>
          <w:tcPr>
            <w:tcW w:w="1456" w:type="dxa"/>
            <w:tcBorders>
              <w:top w:val="nil"/>
              <w:left w:val="nil"/>
              <w:bottom w:val="single" w:sz="4" w:space="0" w:color="auto"/>
              <w:right w:val="single" w:sz="4" w:space="0" w:color="auto"/>
            </w:tcBorders>
            <w:shd w:val="clear" w:color="auto" w:fill="auto"/>
            <w:noWrap/>
            <w:vAlign w:val="center"/>
            <w:hideMark/>
          </w:tcPr>
          <w:p w14:paraId="4163DA45"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88,0</w:t>
            </w:r>
          </w:p>
        </w:tc>
        <w:tc>
          <w:tcPr>
            <w:tcW w:w="1619" w:type="dxa"/>
            <w:tcBorders>
              <w:top w:val="nil"/>
              <w:left w:val="nil"/>
              <w:bottom w:val="single" w:sz="4" w:space="0" w:color="auto"/>
              <w:right w:val="single" w:sz="4" w:space="0" w:color="auto"/>
            </w:tcBorders>
            <w:shd w:val="clear" w:color="auto" w:fill="auto"/>
            <w:noWrap/>
            <w:vAlign w:val="center"/>
            <w:hideMark/>
          </w:tcPr>
          <w:p w14:paraId="2EB956EB"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106,0</w:t>
            </w:r>
          </w:p>
        </w:tc>
        <w:tc>
          <w:tcPr>
            <w:tcW w:w="1556" w:type="dxa"/>
            <w:tcBorders>
              <w:top w:val="nil"/>
              <w:left w:val="nil"/>
              <w:bottom w:val="single" w:sz="4" w:space="0" w:color="auto"/>
              <w:right w:val="single" w:sz="4" w:space="0" w:color="auto"/>
            </w:tcBorders>
            <w:shd w:val="clear" w:color="auto" w:fill="auto"/>
            <w:noWrap/>
            <w:vAlign w:val="center"/>
            <w:hideMark/>
          </w:tcPr>
          <w:p w14:paraId="174844A6"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4,4</w:t>
            </w:r>
          </w:p>
        </w:tc>
        <w:tc>
          <w:tcPr>
            <w:tcW w:w="1101" w:type="dxa"/>
            <w:tcBorders>
              <w:top w:val="nil"/>
              <w:left w:val="nil"/>
              <w:bottom w:val="single" w:sz="4" w:space="0" w:color="auto"/>
              <w:right w:val="single" w:sz="4" w:space="0" w:color="auto"/>
            </w:tcBorders>
            <w:shd w:val="clear" w:color="auto" w:fill="auto"/>
            <w:noWrap/>
            <w:vAlign w:val="center"/>
            <w:hideMark/>
          </w:tcPr>
          <w:p w14:paraId="4A7E4E86"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4,3</w:t>
            </w:r>
          </w:p>
        </w:tc>
      </w:tr>
      <w:tr w:rsidR="00BE71A6" w:rsidRPr="002C3A49" w14:paraId="1137732A"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48F2CB11" w14:textId="77777777" w:rsidR="00BE71A6" w:rsidRPr="002C3A49" w:rsidRDefault="00BE71A6" w:rsidP="009D5C42">
            <w:pPr>
              <w:spacing w:after="120"/>
              <w:rPr>
                <w:rFonts w:ascii="Times New Roman" w:hAnsi="Times New Roman"/>
                <w:noProof/>
                <w:sz w:val="18"/>
                <w:szCs w:val="18"/>
                <w:lang w:val="sr-Cyrl-RS"/>
              </w:rPr>
            </w:pPr>
            <w:r w:rsidRPr="002C3A49">
              <w:rPr>
                <w:rFonts w:ascii="Times New Roman" w:hAnsi="Times New Roman"/>
                <w:noProof/>
                <w:sz w:val="18"/>
                <w:szCs w:val="18"/>
                <w:lang w:val="sr-Cyrl-RS"/>
              </w:rPr>
              <w:t xml:space="preserve">  Остали порески приходи</w:t>
            </w:r>
          </w:p>
        </w:tc>
        <w:tc>
          <w:tcPr>
            <w:tcW w:w="1455" w:type="dxa"/>
            <w:tcBorders>
              <w:top w:val="nil"/>
              <w:left w:val="nil"/>
              <w:bottom w:val="single" w:sz="4" w:space="0" w:color="auto"/>
              <w:right w:val="single" w:sz="4" w:space="0" w:color="auto"/>
            </w:tcBorders>
            <w:shd w:val="clear" w:color="auto" w:fill="auto"/>
            <w:noWrap/>
            <w:vAlign w:val="center"/>
            <w:hideMark/>
          </w:tcPr>
          <w:p w14:paraId="256514C2"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14,3</w:t>
            </w:r>
          </w:p>
        </w:tc>
        <w:tc>
          <w:tcPr>
            <w:tcW w:w="1456" w:type="dxa"/>
            <w:tcBorders>
              <w:top w:val="nil"/>
              <w:left w:val="nil"/>
              <w:bottom w:val="single" w:sz="4" w:space="0" w:color="auto"/>
              <w:right w:val="single" w:sz="4" w:space="0" w:color="auto"/>
            </w:tcBorders>
            <w:shd w:val="clear" w:color="auto" w:fill="auto"/>
            <w:noWrap/>
            <w:vAlign w:val="center"/>
            <w:hideMark/>
          </w:tcPr>
          <w:p w14:paraId="31DA1831"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14,8</w:t>
            </w:r>
          </w:p>
        </w:tc>
        <w:tc>
          <w:tcPr>
            <w:tcW w:w="1619" w:type="dxa"/>
            <w:tcBorders>
              <w:top w:val="nil"/>
              <w:left w:val="nil"/>
              <w:bottom w:val="single" w:sz="4" w:space="0" w:color="auto"/>
              <w:right w:val="single" w:sz="4" w:space="0" w:color="auto"/>
            </w:tcBorders>
            <w:shd w:val="clear" w:color="auto" w:fill="auto"/>
            <w:noWrap/>
            <w:vAlign w:val="center"/>
            <w:hideMark/>
          </w:tcPr>
          <w:p w14:paraId="16DECEBE"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103,5</w:t>
            </w:r>
          </w:p>
        </w:tc>
        <w:tc>
          <w:tcPr>
            <w:tcW w:w="1556" w:type="dxa"/>
            <w:tcBorders>
              <w:top w:val="nil"/>
              <w:left w:val="nil"/>
              <w:bottom w:val="single" w:sz="4" w:space="0" w:color="auto"/>
              <w:right w:val="single" w:sz="4" w:space="0" w:color="auto"/>
            </w:tcBorders>
            <w:shd w:val="clear" w:color="auto" w:fill="auto"/>
            <w:noWrap/>
            <w:vAlign w:val="center"/>
            <w:hideMark/>
          </w:tcPr>
          <w:p w14:paraId="7CAE18AD"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0,8</w:t>
            </w:r>
          </w:p>
        </w:tc>
        <w:tc>
          <w:tcPr>
            <w:tcW w:w="1101" w:type="dxa"/>
            <w:tcBorders>
              <w:top w:val="nil"/>
              <w:left w:val="nil"/>
              <w:bottom w:val="single" w:sz="4" w:space="0" w:color="auto"/>
              <w:right w:val="single" w:sz="4" w:space="0" w:color="auto"/>
            </w:tcBorders>
            <w:shd w:val="clear" w:color="auto" w:fill="auto"/>
            <w:noWrap/>
            <w:vAlign w:val="center"/>
            <w:hideMark/>
          </w:tcPr>
          <w:p w14:paraId="3DF593E4" w14:textId="77777777" w:rsidR="00BE71A6" w:rsidRPr="002C3A49" w:rsidRDefault="00BE71A6" w:rsidP="009D5C42">
            <w:pPr>
              <w:spacing w:after="120"/>
              <w:jc w:val="right"/>
              <w:rPr>
                <w:rFonts w:ascii="Times New Roman" w:hAnsi="Times New Roman"/>
                <w:noProof/>
                <w:color w:val="000000"/>
                <w:sz w:val="18"/>
                <w:szCs w:val="18"/>
                <w:lang w:val="sr-Cyrl-RS"/>
              </w:rPr>
            </w:pPr>
            <w:r w:rsidRPr="002C3A49">
              <w:rPr>
                <w:rFonts w:ascii="Times New Roman" w:hAnsi="Times New Roman"/>
                <w:noProof/>
                <w:sz w:val="18"/>
                <w:szCs w:val="18"/>
                <w:lang w:val="sr-Cyrl-RS"/>
              </w:rPr>
              <w:t>0,7</w:t>
            </w:r>
          </w:p>
        </w:tc>
      </w:tr>
      <w:tr w:rsidR="00BE71A6" w:rsidRPr="002C3A49" w14:paraId="685553BE"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1749C3DD" w14:textId="77777777" w:rsidR="00BE71A6" w:rsidRPr="002C3A49" w:rsidRDefault="00BE71A6" w:rsidP="009D5C42">
            <w:pPr>
              <w:spacing w:after="120"/>
              <w:rPr>
                <w:rFonts w:ascii="Times New Roman" w:hAnsi="Times New Roman"/>
                <w:b/>
                <w:bCs/>
                <w:noProof/>
                <w:sz w:val="18"/>
                <w:szCs w:val="18"/>
                <w:lang w:val="sr-Cyrl-RS"/>
              </w:rPr>
            </w:pPr>
            <w:r w:rsidRPr="002C3A49">
              <w:rPr>
                <w:rFonts w:ascii="Times New Roman" w:hAnsi="Times New Roman"/>
                <w:b/>
                <w:bCs/>
                <w:noProof/>
                <w:sz w:val="18"/>
                <w:szCs w:val="18"/>
                <w:lang w:val="sr-Cyrl-RS"/>
              </w:rPr>
              <w:t xml:space="preserve"> Непорески приходи</w:t>
            </w:r>
          </w:p>
        </w:tc>
        <w:tc>
          <w:tcPr>
            <w:tcW w:w="1455" w:type="dxa"/>
            <w:tcBorders>
              <w:top w:val="nil"/>
              <w:left w:val="nil"/>
              <w:bottom w:val="single" w:sz="4" w:space="0" w:color="auto"/>
              <w:right w:val="single" w:sz="4" w:space="0" w:color="auto"/>
            </w:tcBorders>
            <w:shd w:val="clear" w:color="auto" w:fill="auto"/>
            <w:noWrap/>
            <w:vAlign w:val="center"/>
            <w:hideMark/>
          </w:tcPr>
          <w:p w14:paraId="03EBB235" w14:textId="77777777" w:rsidR="00BE71A6" w:rsidRPr="002C3A49" w:rsidRDefault="00BE71A6" w:rsidP="009D5C42">
            <w:pPr>
              <w:spacing w:after="120"/>
              <w:jc w:val="right"/>
              <w:rPr>
                <w:rFonts w:ascii="Times New Roman" w:hAnsi="Times New Roman"/>
                <w:b/>
                <w:bCs/>
                <w:noProof/>
                <w:sz w:val="18"/>
                <w:szCs w:val="18"/>
                <w:lang w:val="sr-Cyrl-RS"/>
              </w:rPr>
            </w:pPr>
            <w:r w:rsidRPr="002C3A49">
              <w:rPr>
                <w:rFonts w:ascii="Times New Roman" w:hAnsi="Times New Roman"/>
                <w:b/>
                <w:noProof/>
                <w:sz w:val="18"/>
                <w:szCs w:val="18"/>
                <w:lang w:val="sr-Cyrl-RS"/>
              </w:rPr>
              <w:t>224,9</w:t>
            </w:r>
          </w:p>
        </w:tc>
        <w:tc>
          <w:tcPr>
            <w:tcW w:w="1456" w:type="dxa"/>
            <w:tcBorders>
              <w:top w:val="nil"/>
              <w:left w:val="nil"/>
              <w:bottom w:val="single" w:sz="4" w:space="0" w:color="auto"/>
              <w:right w:val="single" w:sz="4" w:space="0" w:color="auto"/>
            </w:tcBorders>
            <w:shd w:val="clear" w:color="auto" w:fill="auto"/>
            <w:noWrap/>
            <w:vAlign w:val="center"/>
            <w:hideMark/>
          </w:tcPr>
          <w:p w14:paraId="04204238" w14:textId="77777777" w:rsidR="00BE71A6" w:rsidRPr="002C3A49" w:rsidRDefault="00BE71A6" w:rsidP="009D5C42">
            <w:pPr>
              <w:spacing w:after="120"/>
              <w:jc w:val="right"/>
              <w:rPr>
                <w:rFonts w:ascii="Times New Roman" w:hAnsi="Times New Roman"/>
                <w:b/>
                <w:bCs/>
                <w:noProof/>
                <w:sz w:val="18"/>
                <w:szCs w:val="18"/>
                <w:lang w:val="sr-Cyrl-RS"/>
              </w:rPr>
            </w:pPr>
            <w:r w:rsidRPr="002C3A49">
              <w:rPr>
                <w:rFonts w:ascii="Times New Roman" w:hAnsi="Times New Roman"/>
                <w:b/>
                <w:noProof/>
                <w:sz w:val="18"/>
                <w:szCs w:val="18"/>
                <w:lang w:val="sr-Cyrl-RS"/>
              </w:rPr>
              <w:t>246,6</w:t>
            </w:r>
          </w:p>
        </w:tc>
        <w:tc>
          <w:tcPr>
            <w:tcW w:w="1619" w:type="dxa"/>
            <w:tcBorders>
              <w:top w:val="nil"/>
              <w:left w:val="nil"/>
              <w:bottom w:val="single" w:sz="4" w:space="0" w:color="auto"/>
              <w:right w:val="single" w:sz="4" w:space="0" w:color="auto"/>
            </w:tcBorders>
            <w:shd w:val="clear" w:color="auto" w:fill="auto"/>
            <w:noWrap/>
            <w:vAlign w:val="center"/>
            <w:hideMark/>
          </w:tcPr>
          <w:p w14:paraId="64992333"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109,7</w:t>
            </w:r>
          </w:p>
        </w:tc>
        <w:tc>
          <w:tcPr>
            <w:tcW w:w="1556" w:type="dxa"/>
            <w:tcBorders>
              <w:top w:val="nil"/>
              <w:left w:val="nil"/>
              <w:bottom w:val="single" w:sz="4" w:space="0" w:color="auto"/>
              <w:right w:val="single" w:sz="4" w:space="0" w:color="auto"/>
            </w:tcBorders>
            <w:shd w:val="clear" w:color="auto" w:fill="auto"/>
            <w:noWrap/>
            <w:vAlign w:val="center"/>
            <w:hideMark/>
          </w:tcPr>
          <w:p w14:paraId="61E858F5"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11,8</w:t>
            </w:r>
          </w:p>
        </w:tc>
        <w:tc>
          <w:tcPr>
            <w:tcW w:w="1101" w:type="dxa"/>
            <w:tcBorders>
              <w:top w:val="nil"/>
              <w:left w:val="nil"/>
              <w:bottom w:val="single" w:sz="4" w:space="0" w:color="auto"/>
              <w:right w:val="single" w:sz="4" w:space="0" w:color="auto"/>
            </w:tcBorders>
            <w:shd w:val="clear" w:color="auto" w:fill="auto"/>
            <w:noWrap/>
            <w:vAlign w:val="center"/>
            <w:hideMark/>
          </w:tcPr>
          <w:p w14:paraId="29A98B64"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12,1</w:t>
            </w:r>
          </w:p>
        </w:tc>
      </w:tr>
      <w:tr w:rsidR="00BE71A6" w:rsidRPr="002C3A49" w14:paraId="2B4D61E5" w14:textId="77777777" w:rsidTr="00D20D98">
        <w:trPr>
          <w:trHeight w:val="366"/>
        </w:trPr>
        <w:tc>
          <w:tcPr>
            <w:tcW w:w="2353" w:type="dxa"/>
            <w:tcBorders>
              <w:top w:val="nil"/>
              <w:left w:val="single" w:sz="4" w:space="0" w:color="auto"/>
              <w:bottom w:val="single" w:sz="4" w:space="0" w:color="auto"/>
              <w:right w:val="single" w:sz="4" w:space="0" w:color="auto"/>
            </w:tcBorders>
            <w:shd w:val="clear" w:color="auto" w:fill="auto"/>
            <w:vAlign w:val="center"/>
            <w:hideMark/>
          </w:tcPr>
          <w:p w14:paraId="2C7A86C0" w14:textId="77777777" w:rsidR="00BE71A6" w:rsidRPr="002C3A49" w:rsidRDefault="00BE71A6" w:rsidP="009D5C42">
            <w:pPr>
              <w:spacing w:after="120"/>
              <w:rPr>
                <w:rFonts w:ascii="Times New Roman" w:hAnsi="Times New Roman"/>
                <w:b/>
                <w:bCs/>
                <w:noProof/>
                <w:sz w:val="18"/>
                <w:szCs w:val="18"/>
                <w:lang w:val="sr-Cyrl-RS"/>
              </w:rPr>
            </w:pPr>
            <w:r w:rsidRPr="002C3A49">
              <w:rPr>
                <w:rFonts w:ascii="Times New Roman" w:hAnsi="Times New Roman"/>
                <w:b/>
                <w:bCs/>
                <w:noProof/>
                <w:sz w:val="18"/>
                <w:szCs w:val="18"/>
                <w:lang w:val="sr-Cyrl-RS"/>
              </w:rPr>
              <w:t xml:space="preserve"> Донације</w:t>
            </w:r>
          </w:p>
        </w:tc>
        <w:tc>
          <w:tcPr>
            <w:tcW w:w="1455" w:type="dxa"/>
            <w:tcBorders>
              <w:top w:val="nil"/>
              <w:left w:val="nil"/>
              <w:bottom w:val="single" w:sz="4" w:space="0" w:color="auto"/>
              <w:right w:val="single" w:sz="4" w:space="0" w:color="auto"/>
            </w:tcBorders>
            <w:shd w:val="clear" w:color="auto" w:fill="auto"/>
            <w:noWrap/>
            <w:vAlign w:val="center"/>
            <w:hideMark/>
          </w:tcPr>
          <w:p w14:paraId="73904EB6"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46,6</w:t>
            </w:r>
          </w:p>
        </w:tc>
        <w:tc>
          <w:tcPr>
            <w:tcW w:w="1456" w:type="dxa"/>
            <w:tcBorders>
              <w:top w:val="nil"/>
              <w:left w:val="nil"/>
              <w:bottom w:val="single" w:sz="4" w:space="0" w:color="auto"/>
              <w:right w:val="single" w:sz="4" w:space="0" w:color="auto"/>
            </w:tcBorders>
            <w:shd w:val="clear" w:color="auto" w:fill="auto"/>
            <w:noWrap/>
            <w:vAlign w:val="center"/>
            <w:hideMark/>
          </w:tcPr>
          <w:p w14:paraId="02288997" w14:textId="77777777" w:rsidR="00BE71A6" w:rsidRPr="002C3A49" w:rsidRDefault="00BE71A6" w:rsidP="009D5C42">
            <w:pPr>
              <w:spacing w:after="120"/>
              <w:jc w:val="right"/>
              <w:rPr>
                <w:rFonts w:ascii="Times New Roman" w:hAnsi="Times New Roman"/>
                <w:b/>
                <w:bCs/>
                <w:noProof/>
                <w:sz w:val="18"/>
                <w:szCs w:val="18"/>
                <w:lang w:val="sr-Cyrl-RS"/>
              </w:rPr>
            </w:pPr>
            <w:r w:rsidRPr="002C3A49">
              <w:rPr>
                <w:rFonts w:ascii="Times New Roman" w:hAnsi="Times New Roman"/>
                <w:b/>
                <w:noProof/>
                <w:sz w:val="18"/>
                <w:szCs w:val="18"/>
                <w:lang w:val="sr-Cyrl-RS"/>
              </w:rPr>
              <w:t>35,6</w:t>
            </w:r>
          </w:p>
        </w:tc>
        <w:tc>
          <w:tcPr>
            <w:tcW w:w="1619" w:type="dxa"/>
            <w:tcBorders>
              <w:top w:val="nil"/>
              <w:left w:val="nil"/>
              <w:bottom w:val="single" w:sz="4" w:space="0" w:color="auto"/>
              <w:right w:val="single" w:sz="4" w:space="0" w:color="auto"/>
            </w:tcBorders>
            <w:shd w:val="clear" w:color="auto" w:fill="auto"/>
            <w:noWrap/>
            <w:vAlign w:val="center"/>
            <w:hideMark/>
          </w:tcPr>
          <w:p w14:paraId="683327DD"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76,5</w:t>
            </w:r>
          </w:p>
        </w:tc>
        <w:tc>
          <w:tcPr>
            <w:tcW w:w="1556" w:type="dxa"/>
            <w:tcBorders>
              <w:top w:val="nil"/>
              <w:left w:val="nil"/>
              <w:bottom w:val="single" w:sz="4" w:space="0" w:color="auto"/>
              <w:right w:val="single" w:sz="4" w:space="0" w:color="auto"/>
            </w:tcBorders>
            <w:shd w:val="clear" w:color="auto" w:fill="auto"/>
            <w:noWrap/>
            <w:vAlign w:val="center"/>
            <w:hideMark/>
          </w:tcPr>
          <w:p w14:paraId="0D8D4A78"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2,4</w:t>
            </w:r>
          </w:p>
        </w:tc>
        <w:tc>
          <w:tcPr>
            <w:tcW w:w="1101" w:type="dxa"/>
            <w:tcBorders>
              <w:top w:val="nil"/>
              <w:left w:val="nil"/>
              <w:bottom w:val="single" w:sz="4" w:space="0" w:color="auto"/>
              <w:right w:val="single" w:sz="4" w:space="0" w:color="auto"/>
            </w:tcBorders>
            <w:shd w:val="clear" w:color="auto" w:fill="auto"/>
            <w:noWrap/>
            <w:vAlign w:val="center"/>
            <w:hideMark/>
          </w:tcPr>
          <w:p w14:paraId="006E8768" w14:textId="77777777" w:rsidR="00BE71A6" w:rsidRPr="002C3A49" w:rsidRDefault="00BE71A6" w:rsidP="009D5C42">
            <w:pPr>
              <w:spacing w:after="120"/>
              <w:jc w:val="right"/>
              <w:rPr>
                <w:rFonts w:ascii="Times New Roman" w:hAnsi="Times New Roman"/>
                <w:b/>
                <w:bCs/>
                <w:noProof/>
                <w:color w:val="000000"/>
                <w:sz w:val="18"/>
                <w:szCs w:val="18"/>
                <w:lang w:val="sr-Cyrl-RS"/>
              </w:rPr>
            </w:pPr>
            <w:r w:rsidRPr="002C3A49">
              <w:rPr>
                <w:rFonts w:ascii="Times New Roman" w:hAnsi="Times New Roman"/>
                <w:b/>
                <w:noProof/>
                <w:sz w:val="18"/>
                <w:szCs w:val="18"/>
                <w:lang w:val="sr-Cyrl-RS"/>
              </w:rPr>
              <w:t>1,7</w:t>
            </w:r>
          </w:p>
        </w:tc>
      </w:tr>
    </w:tbl>
    <w:p w14:paraId="7B8CB929" w14:textId="33257EF8" w:rsidR="006179F3" w:rsidRPr="002C3A49" w:rsidRDefault="006179F3" w:rsidP="00BE71A6">
      <w:pPr>
        <w:tabs>
          <w:tab w:val="left" w:pos="720"/>
          <w:tab w:val="left" w:pos="1440"/>
        </w:tabs>
        <w:spacing w:after="120"/>
        <w:rPr>
          <w:rFonts w:ascii="Times New Roman" w:hAnsi="Times New Roman"/>
          <w:b/>
          <w:noProof/>
          <w:szCs w:val="24"/>
          <w:lang w:val="sr-Cyrl-RS"/>
        </w:rPr>
      </w:pPr>
    </w:p>
    <w:p w14:paraId="48C4403B" w14:textId="77777777" w:rsidR="00926E70" w:rsidRDefault="006179F3" w:rsidP="00BE71A6">
      <w:pPr>
        <w:tabs>
          <w:tab w:val="left" w:pos="720"/>
          <w:tab w:val="left" w:pos="1440"/>
        </w:tabs>
        <w:spacing w:after="120"/>
        <w:rPr>
          <w:rFonts w:ascii="Times New Roman" w:hAnsi="Times New Roman"/>
          <w:b/>
          <w:noProof/>
          <w:szCs w:val="24"/>
          <w:lang w:val="sr-Cyrl-RS"/>
        </w:rPr>
      </w:pPr>
      <w:r w:rsidRPr="002C3A49">
        <w:rPr>
          <w:rFonts w:ascii="Times New Roman" w:hAnsi="Times New Roman"/>
          <w:b/>
          <w:noProof/>
          <w:szCs w:val="24"/>
          <w:lang w:val="sr-Cyrl-RS"/>
        </w:rPr>
        <w:tab/>
      </w:r>
    </w:p>
    <w:p w14:paraId="7A0DC24B" w14:textId="2BE0E669" w:rsidR="00BE71A6" w:rsidRPr="002C3A49" w:rsidRDefault="00926E70" w:rsidP="00BE71A6">
      <w:pPr>
        <w:tabs>
          <w:tab w:val="left" w:pos="720"/>
          <w:tab w:val="left" w:pos="1440"/>
        </w:tabs>
        <w:spacing w:after="120"/>
        <w:rPr>
          <w:rFonts w:ascii="Times New Roman" w:hAnsi="Times New Roman"/>
          <w:noProof/>
          <w:szCs w:val="24"/>
          <w:lang w:val="sr-Cyrl-RS"/>
        </w:rPr>
      </w:pPr>
      <w:r>
        <w:rPr>
          <w:rFonts w:ascii="Times New Roman" w:hAnsi="Times New Roman"/>
          <w:b/>
          <w:noProof/>
          <w:szCs w:val="24"/>
          <w:lang w:val="sr-Cyrl-RS"/>
        </w:rPr>
        <w:tab/>
      </w:r>
      <w:r w:rsidR="00BE71A6" w:rsidRPr="002C3A49">
        <w:rPr>
          <w:rFonts w:ascii="Times New Roman" w:hAnsi="Times New Roman"/>
          <w:b/>
          <w:noProof/>
          <w:szCs w:val="24"/>
          <w:lang w:val="sr-Cyrl-RS"/>
        </w:rPr>
        <w:t>Порез на доходак</w:t>
      </w:r>
      <w:r w:rsidR="00BE71A6" w:rsidRPr="002C3A49">
        <w:rPr>
          <w:rFonts w:ascii="Times New Roman" w:hAnsi="Times New Roman"/>
          <w:noProof/>
          <w:szCs w:val="24"/>
          <w:lang w:val="sr-Cyrl-RS"/>
        </w:rPr>
        <w:t xml:space="preserve"> пројектован је у износу од 122,8 млрд динара и већи је 10,1% у односу на процењени износ у 2023. години. Учешће пореза на доходак у 202</w:t>
      </w:r>
      <w:r w:rsidR="008E634D" w:rsidRPr="002C3A49">
        <w:rPr>
          <w:rFonts w:ascii="Times New Roman" w:hAnsi="Times New Roman"/>
          <w:noProof/>
          <w:szCs w:val="24"/>
          <w:lang w:val="sr-Cyrl-RS"/>
        </w:rPr>
        <w:t>4</w:t>
      </w:r>
      <w:r w:rsidR="00BE71A6" w:rsidRPr="002C3A49">
        <w:rPr>
          <w:rFonts w:ascii="Times New Roman" w:hAnsi="Times New Roman"/>
          <w:noProof/>
          <w:szCs w:val="24"/>
          <w:lang w:val="sr-Cyrl-RS"/>
        </w:rPr>
        <w:t>. години износи 6% у укупним буџетским приходима и благо је повећано у односу на претходну годину. Процена прихода по овом основу узима у обзир значајно повећање минималне зараде, планирано повећање зарада у јавном сектору, одржавање позитивних трендова на тржишту рада у оквиру приватног сектора и повећање неопорезивог дела зараде. Због предвиђеног повећања неопорезивог дела зараде, стопа раста пореза на зараде у наредној години биће нешто нижа у односу на планирани раст масе зарада. Порез на зараде, као највећи део прихода од пореза на доходак, пројектован је у износу од 68,3 млрд динара. Други део укупних пореза на доходак чине остали облици као што су порез на дивиденде, порез на приходе од камата, годишњи порез на доходак, а од 2014. године и порез на приходе од закупа непокретности. Приходи од дивиденди и осталих облика пореза на доходак генерално прате кретање опште економске активности и зарада из претходне године, али су и под значајним утицајем пословних одлука компанија у вези политике дивиденди и инвестиција. Ова група прихода пројектована је у укупном износу од 54,5 млрд динара.</w:t>
      </w:r>
    </w:p>
    <w:p w14:paraId="7CE3B1FA" w14:textId="77777777" w:rsidR="00BE71A6" w:rsidRPr="002C3A49" w:rsidRDefault="00BE71A6" w:rsidP="00BE71A6">
      <w:pPr>
        <w:spacing w:after="120"/>
        <w:rPr>
          <w:rFonts w:ascii="Calibri" w:hAnsi="Calibri"/>
          <w:noProof/>
          <w:lang w:val="sr-Cyrl-RS"/>
        </w:rPr>
      </w:pPr>
      <w:r w:rsidRPr="002C3A49">
        <w:rPr>
          <w:rFonts w:ascii="Times New Roman" w:hAnsi="Times New Roman"/>
          <w:b/>
          <w:noProof/>
          <w:szCs w:val="24"/>
          <w:lang w:val="sr-Cyrl-RS"/>
        </w:rPr>
        <w:tab/>
        <w:t>Порез на добит</w:t>
      </w:r>
      <w:r w:rsidRPr="002C3A49">
        <w:rPr>
          <w:rFonts w:ascii="Times New Roman" w:hAnsi="Times New Roman"/>
          <w:noProof/>
          <w:szCs w:val="24"/>
          <w:lang w:val="sr-Cyrl-RS"/>
        </w:rPr>
        <w:t xml:space="preserve"> правних лица пројектован је у износу од 230 млрд динара и смањен је за 8 млрд у односу на процењен износ у 2023. години. У укупним приходима буџета овај порески облик чини 11,3%. Подаци о укупној профитабилности нису познати у тренутку израде буџета те се пројекцији овог прихода приступа опрезно. Са друге стране, расположиви подаци о пословању појединих значајних уплатилаца, током прве половине 2023. године, сугеришу остварење нижег износа добити него у претходној години. Већи приходи по основу пореза на добит у 2023. години повећали су учешће у БДП овог прихода изнад просечних вредности забележених у претходном периоду. Водећи се принципом опрезности, у наредној години предвиђено је враћање учешћа овог пореза у БДП на вишегодишњи просечни ниво. </w:t>
      </w:r>
    </w:p>
    <w:p w14:paraId="462FB20A"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lastRenderedPageBreak/>
        <w:t>Порез на додату вредност</w:t>
      </w:r>
      <w:r w:rsidRPr="002C3A49">
        <w:rPr>
          <w:rFonts w:ascii="Times New Roman" w:hAnsi="Times New Roman"/>
          <w:noProof/>
          <w:szCs w:val="24"/>
          <w:lang w:val="sr-Cyrl-RS"/>
        </w:rPr>
        <w:t xml:space="preserve"> пројектован је у висини од 908 млрд динара што представља номинално повећање од 10,2% у односу на износ предвиђен у 2023. години. Учешће ПДВ у структури укупних прихода, у 2024. години, расте и износи 44,5%. Укупна домаћа компонента ПДВ процењена је у износу 138,8 млрд динара, док је ПДВ из увоза пројектован у износу од 769,2 млрд динара. Структура ПДВ не представља и структуру промета, јер се ПДВ повраћаји исплаћују са позиције домаћег ПДВ.</w:t>
      </w:r>
    </w:p>
    <w:p w14:paraId="2ECE0AF7" w14:textId="77777777" w:rsidR="00BE71A6" w:rsidRPr="002C3A49" w:rsidRDefault="00BE71A6" w:rsidP="00BE71A6">
      <w:pPr>
        <w:tabs>
          <w:tab w:val="left" w:pos="709"/>
        </w:tabs>
        <w:spacing w:after="120"/>
        <w:rPr>
          <w:rFonts w:ascii="Times New Roman" w:hAnsi="Times New Roman"/>
          <w:noProof/>
          <w:szCs w:val="24"/>
          <w:lang w:val="sr-Cyrl-RS"/>
        </w:rPr>
      </w:pPr>
      <w:r w:rsidRPr="002C3A49">
        <w:rPr>
          <w:rFonts w:ascii="Times New Roman" w:hAnsi="Times New Roman"/>
          <w:noProof/>
          <w:szCs w:val="24"/>
          <w:lang w:val="sr-Cyrl-RS"/>
        </w:rPr>
        <w:tab/>
        <w:t xml:space="preserve">Главна детерминанта кретања ПДВ је домаћа тражња вођена расположивим дохотком становништва. Расположиви доходак зависи од кретања зарада, пензија, социјалне помоћи и осталих облика доходака, укључујући и дознаке, као и од нивоа кредитне активности банака ка становништву. Мере усмерене на очување стандарда и куповне моћи становништва (раст минималне зараде, раст плата у јавном сектору, ванредно повећање и предвиђено редовно усклађивања пензија), уз претпостављено кретање зарада у приватном сектору, утицаће на ниво расположивог дохотка у 2024. години. Пројектовани раст ПДВ је нешто нижи од процењеног раста масе доходака, услед неизвесности која ће бити присутна у привреди и током 2024. године. Током 2022. године дошло је до раста потрошње који није потицао само од уобичајног прихода становништва, већ је добрим делом проистекао из потрошње лица која су привремено боравила у земљи, већег прилива од туризма и значајног раста дознака, као и фискалног стимулуса. Поред тога, током 2022. године дошло је и до пораста такозване „паничне“ потрошње током првих месеци сукоба у Украјини. Ови фактори су допринели неструктурном повећању прихода од ПДВ-а у 2022. години, односно повећању очекивања за 2023. кроз тзв. базни ефекат. Ови фактори су се током 2023. године, у највећој мери, исцрпели. Током  2021. и 2022. године учешће пореза на додату вредност у БДП, достиже изнадпросечне вредности, док се у 2023. години враћа на просечно учешће у БДП које се пројектује и за наредни период. </w:t>
      </w:r>
    </w:p>
    <w:p w14:paraId="31877DB3"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Резултати ефикасније наплате и контроле пореских обвезника су присутни већ дужи период и очекује се да ће ти резултати бити очувани, с тим што ефекти борбе против сиве економије нису експлицитно укључени у пројекцију ПДВ. Ризици за остварење пројекције ПДВ у 2024. години се односе на пре свега на раст привреде, кретање зарада и запослености у приватном сектору, као и на степен сиве економије, односно ефикасност у њеном даљем смањењу. </w:t>
      </w:r>
    </w:p>
    <w:p w14:paraId="35EDF8F2"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Приходи од акциза</w:t>
      </w:r>
      <w:r w:rsidRPr="002C3A49">
        <w:rPr>
          <w:rFonts w:ascii="Times New Roman" w:hAnsi="Times New Roman"/>
          <w:noProof/>
          <w:szCs w:val="24"/>
          <w:lang w:val="sr-Cyrl-RS"/>
        </w:rPr>
        <w:t xml:space="preserve"> пројектовани су укупном износу од 395 млрд динара. Акцизе на нафтне деривате планирају се у износу од 211,5 млрд динара, акцизе на дуванске производе 135 млрд динара, док су остале акцизе планиране у износу од 48,5 млрд динара. Учешће акциза у укупним приходима износи 19,4%. Пројекција прихода од акциза у 2024. години заснива се на измени регулативе и висине акцизних стопа, те процена у кретању потрошње и цена одређених акцизних производа. </w:t>
      </w:r>
    </w:p>
    <w:p w14:paraId="0574293E"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Планирани приходи од акцизе на нафтне деривате у 2024. години већи су за 9,6% у односу на 2023. годину. Отежавајућа околност при пројекцији акциза на деривате нафте је непоузданост базе из текуће године, која, због вишеструких промена акцизних стопа у току године, није упоредива. Такође у последњем кварталу 2023. године ступиће на снагу нове, за 8%, увећане акцизе. За буџетску 2024. годину пројекција прихода од акциза на деривате нафте претпоставља непромењен обим потрошње у односу на текућу годину и износе акциза које ће, у складу са измењеном регулативом, важити од почетка наредне године.  У 2024. години уводи се рефакција акцизе на гориво које се користи у пољопривредне сврхе, а процењени губитак прихода по овом основу износи 14 млрд динара. </w:t>
      </w:r>
    </w:p>
    <w:p w14:paraId="545EF462"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Код акциза на дуванске прерађевине законски је одређена динамика подизања специфичних акцизних стопа. Усвојеном регулативом задржана је динамика повећања специфичних акциза по паклици у висини од 1,5 динар, у полугодишњој динамици, али су постојећи износи повећани за 8%, уз још једно очекивано повећање. Пад потрошње дуванских производа присутан је већ дужи низ година, међутим због очекиваног раста цена дуванских производа у наредном периоду, претпостављен је нешто већи пад обима потрошње од 6%. </w:t>
      </w:r>
    </w:p>
    <w:p w14:paraId="59D22AAB"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noProof/>
          <w:szCs w:val="24"/>
          <w:lang w:val="sr-Cyrl-RS"/>
        </w:rPr>
        <w:lastRenderedPageBreak/>
        <w:t xml:space="preserve">Приходи од акциза на алкохолна пића, кафу и електричну енергију (остале акцизе) су пројектовани у складу са актуелном структуром и нивоом потрошње ових производа, очекиваним ценама као и са усвојеном динамиком повећања акцизних стопа. Током 2015. године уведена је </w:t>
      </w:r>
      <w:r w:rsidRPr="002C3A49">
        <w:rPr>
          <w:rFonts w:ascii="Times New Roman" w:hAnsi="Times New Roman"/>
          <w:i/>
          <w:noProof/>
          <w:szCs w:val="24"/>
          <w:lang w:val="sr-Cyrl-RS"/>
        </w:rPr>
        <w:t>ад валорем</w:t>
      </w:r>
      <w:r w:rsidRPr="002C3A49">
        <w:rPr>
          <w:rFonts w:ascii="Times New Roman" w:hAnsi="Times New Roman"/>
          <w:noProof/>
          <w:szCs w:val="24"/>
          <w:lang w:val="sr-Cyrl-RS"/>
        </w:rPr>
        <w:t xml:space="preserve"> акциза од 7,5% на вредносно изражену потрошњу електричне енергије, док се за остале производе из ове групације акциза обрачунава на количински изражену потрошњу тзв. специфична акциза. </w:t>
      </w:r>
    </w:p>
    <w:p w14:paraId="6EBBBE81" w14:textId="21276061"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Приходи од царина</w:t>
      </w:r>
      <w:r w:rsidRPr="002C3A49">
        <w:rPr>
          <w:rFonts w:ascii="Times New Roman" w:hAnsi="Times New Roman"/>
          <w:noProof/>
          <w:szCs w:val="24"/>
          <w:lang w:val="sr-Cyrl-RS"/>
        </w:rPr>
        <w:t xml:space="preserve"> у 202</w:t>
      </w:r>
      <w:r w:rsidR="008E634D" w:rsidRPr="002C3A49">
        <w:rPr>
          <w:rFonts w:ascii="Times New Roman" w:hAnsi="Times New Roman"/>
          <w:noProof/>
          <w:szCs w:val="24"/>
          <w:lang w:val="sr-Cyrl-RS"/>
        </w:rPr>
        <w:t>4</w:t>
      </w:r>
      <w:r w:rsidRPr="002C3A49">
        <w:rPr>
          <w:rFonts w:ascii="Times New Roman" w:hAnsi="Times New Roman"/>
          <w:noProof/>
          <w:szCs w:val="24"/>
          <w:lang w:val="sr-Cyrl-RS"/>
        </w:rPr>
        <w:t xml:space="preserve">. години пројектовани су у износу од 88 млрд што представља раст од 6% у односу на 2023. годину, нешто ниже него пројектовани раст увозног ПДВ. Главне детерминанте за пројекцију прихода од царина су кретање увоза, промене у структури увоза и девизни курс. Током 2020. </w:t>
      </w:r>
      <w:r w:rsidR="001B0EF0" w:rsidRPr="002C3A49">
        <w:rPr>
          <w:rFonts w:ascii="Times New Roman" w:hAnsi="Times New Roman"/>
          <w:noProof/>
          <w:szCs w:val="24"/>
          <w:lang w:val="sr-Cyrl-RS"/>
        </w:rPr>
        <w:t xml:space="preserve">године, </w:t>
      </w:r>
      <w:r w:rsidRPr="002C3A49">
        <w:rPr>
          <w:rFonts w:ascii="Times New Roman" w:hAnsi="Times New Roman"/>
          <w:noProof/>
          <w:szCs w:val="24"/>
          <w:lang w:val="sr-Cyrl-RS"/>
        </w:rPr>
        <w:t xml:space="preserve">а посебно 2021. године дошло је до одређених промена у структури увоза које су се одразиле и на увозне дажбине. Повећан је увоз медицинске опреме и лекова, а смањен је увоз нафте и осталих потрошних добара, што је довело до промене у, до тада стабилном, односу царинских дажбина и увозног ПДВ. Међутим, у 2022, а посебно у 2023. години, долази до супротних кретања у структури увоза, што доводи до знатно бржег раста прихода од царина у односу на увозни ПДВ. У наредном периоду предвиђа се уравнотежење овог односа, у складу са постепеним растом и стабилизацијом структуре увозне тражње.   </w:t>
      </w:r>
    </w:p>
    <w:p w14:paraId="338859A5" w14:textId="77777777" w:rsidR="00BE71A6" w:rsidRPr="002C3A49" w:rsidRDefault="00BE71A6" w:rsidP="00BE71A6">
      <w:pPr>
        <w:tabs>
          <w:tab w:val="left" w:pos="1440"/>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Остали порески приходи</w:t>
      </w:r>
      <w:r w:rsidRPr="002C3A49">
        <w:rPr>
          <w:rFonts w:ascii="Times New Roman" w:hAnsi="Times New Roman"/>
          <w:noProof/>
          <w:szCs w:val="24"/>
          <w:lang w:val="sr-Cyrl-RS"/>
        </w:rPr>
        <w:t xml:space="preserve"> у 2024. години пројектовани су у износу 14,8 млрд динара што је више за 0,5 млрд динара у односу на претходну годину. Ову групу чине порези на употребу, држање и ношење добара и чине 0,7% укупних прихода. Ови приходи су релативно стабилни и кретање економске активности не утиче пресудно на њих, осим привременог пада наплате током трајања ванредног стања 2020. године. У републичком буџету највећи део овог прихода чини порез на регистрацију возила. </w:t>
      </w:r>
    </w:p>
    <w:p w14:paraId="10E3CF4F" w14:textId="77777777" w:rsidR="00BE71A6" w:rsidRPr="002C3A49" w:rsidRDefault="00BE71A6" w:rsidP="00BE71A6">
      <w:pPr>
        <w:tabs>
          <w:tab w:val="left" w:pos="709"/>
        </w:tabs>
        <w:spacing w:after="120"/>
        <w:ind w:firstLine="720"/>
        <w:rPr>
          <w:rFonts w:ascii="Times New Roman" w:hAnsi="Times New Roman"/>
          <w:noProof/>
          <w:szCs w:val="24"/>
          <w:lang w:val="sr-Cyrl-RS"/>
        </w:rPr>
      </w:pPr>
      <w:r w:rsidRPr="002C3A49">
        <w:rPr>
          <w:rFonts w:ascii="Times New Roman" w:hAnsi="Times New Roman"/>
          <w:b/>
          <w:noProof/>
          <w:szCs w:val="24"/>
          <w:lang w:val="sr-Cyrl-RS"/>
        </w:rPr>
        <w:t>Непорески приходи</w:t>
      </w:r>
      <w:r w:rsidRPr="002C3A49">
        <w:rPr>
          <w:rFonts w:ascii="Times New Roman" w:hAnsi="Times New Roman"/>
          <w:noProof/>
          <w:szCs w:val="24"/>
          <w:lang w:val="sr-Cyrl-RS"/>
        </w:rPr>
        <w:t xml:space="preserve"> процењени су у износу од 246,6 млрд динара, укључујући и сопствене приходе индиректних буџетских корисника, што представља повећање од 9,7% у односу на процењени износ за 2023. годину. Учешће ове категорије у укупним приходима, у 2024. години, расте и износи 12,1%. Непорески приходи су хетерогена категорија прихода. Поједини непорески приходи индексирају се оствареном инфлацијом у претходној години, остали прате промену у вредности основе на коју се примењују и услед тога се коригују пројектованом инфлацијом, док део чине једнократне уплате у буџет (ванредни непорески приходи), итд. Редовни непорески приходи су различите таксе, накнаде, казне, приходи органа и организација и сви остали приходи који се остварују устаљеном динамиком током године, у приближно сличним износима на месечном нивоу, уз одређене сезонске варијације. Ванредне непореске приходе чине уплате добити јавних предузећа и агенција, дивиденде буџета, приходи по основу наплаћених потраживања Агенције за осигурање депозита, емисионе премије, итд. </w:t>
      </w:r>
    </w:p>
    <w:p w14:paraId="0E94BE4D" w14:textId="77777777" w:rsidR="00BE71A6" w:rsidRPr="002C3A49" w:rsidRDefault="00BE71A6" w:rsidP="00BE71A6">
      <w:pPr>
        <w:tabs>
          <w:tab w:val="left" w:pos="709"/>
        </w:tabs>
        <w:spacing w:after="120"/>
        <w:ind w:firstLine="720"/>
        <w:rPr>
          <w:rFonts w:ascii="Times New Roman" w:hAnsi="Times New Roman"/>
          <w:noProof/>
          <w:szCs w:val="24"/>
          <w:lang w:val="sr-Cyrl-RS"/>
        </w:rPr>
      </w:pPr>
      <w:r w:rsidRPr="002C3A49">
        <w:rPr>
          <w:rFonts w:ascii="Times New Roman" w:hAnsi="Times New Roman"/>
          <w:noProof/>
          <w:szCs w:val="24"/>
          <w:lang w:val="sr-Cyrl-RS"/>
        </w:rPr>
        <w:t>Редовни непорески приходи у 2024. години, према пројекцији износе 171,9 млрд динара</w:t>
      </w:r>
      <w:r w:rsidRPr="002C3A49">
        <w:rPr>
          <w:rStyle w:val="FootnoteReference"/>
          <w:rFonts w:ascii="Times New Roman" w:hAnsi="Times New Roman"/>
          <w:noProof/>
          <w:szCs w:val="24"/>
          <w:lang w:val="sr-Cyrl-RS"/>
        </w:rPr>
        <w:footnoteReference w:id="1"/>
      </w:r>
      <w:r w:rsidRPr="002C3A49">
        <w:rPr>
          <w:rFonts w:ascii="Times New Roman" w:hAnsi="Times New Roman"/>
          <w:noProof/>
          <w:szCs w:val="24"/>
          <w:lang w:val="sr-Cyrl-RS"/>
        </w:rPr>
        <w:t xml:space="preserve">. При пројекцији за 2024. годину поједине категорије ових прихода индексиране су инфлацијом. Од 2015. године у оквиру ове групе непореских прихода налази се накнада за обавезне резерве нафте, која се плаћа по литру нафтних деривата, а усклађује се по истом принципу као и висина акцизе на нафтне деривате. </w:t>
      </w:r>
    </w:p>
    <w:p w14:paraId="7B555714" w14:textId="77777777" w:rsidR="00BE71A6" w:rsidRPr="002C3A49" w:rsidRDefault="00BE71A6" w:rsidP="00BE71A6">
      <w:pPr>
        <w:tabs>
          <w:tab w:val="left" w:pos="709"/>
        </w:tabs>
        <w:spacing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Ванредни непорески приходи у 2024. години мањи су у односу на очекивани износ у 2023. години. При процени ових прихода (дивиденде и уплата добити јавних предузећа и агенција) полази се од њиховог структурног нивоа. У 2024. години предвиђено је 27 млрд динара ванредних непореских прихода, од чега 14,5 млрд динара по основу добити и </w:t>
      </w:r>
      <w:r w:rsidRPr="002C3A49">
        <w:rPr>
          <w:rFonts w:ascii="Times New Roman" w:hAnsi="Times New Roman"/>
          <w:noProof/>
          <w:szCs w:val="24"/>
          <w:lang w:val="sr-Cyrl-RS"/>
        </w:rPr>
        <w:lastRenderedPageBreak/>
        <w:t>дивиденди. Овај принцип не прејудицира да до већих уплата по овом основу неће доћи, нити ограничава могуће уплате од стране субјеката који ту обавезу имају.</w:t>
      </w:r>
    </w:p>
    <w:p w14:paraId="13FA8292" w14:textId="77777777" w:rsidR="00BE71A6" w:rsidRPr="002C3A49" w:rsidRDefault="00BE71A6" w:rsidP="00BE71A6">
      <w:pPr>
        <w:tabs>
          <w:tab w:val="left" w:pos="709"/>
        </w:tabs>
        <w:spacing w:after="120"/>
        <w:ind w:firstLine="720"/>
        <w:rPr>
          <w:rFonts w:ascii="Times New Roman" w:hAnsi="Times New Roman"/>
          <w:noProof/>
          <w:szCs w:val="24"/>
          <w:lang w:val="sr-Cyrl-RS"/>
        </w:rPr>
      </w:pPr>
      <w:r w:rsidRPr="002C3A49">
        <w:rPr>
          <w:rFonts w:ascii="Times New Roman" w:hAnsi="Times New Roman"/>
          <w:noProof/>
          <w:szCs w:val="24"/>
          <w:lang w:val="sr-Cyrl-RS"/>
        </w:rPr>
        <w:t xml:space="preserve">Процењени износ сопствених прихода индиректних буџетских корисника </w:t>
      </w:r>
      <w:r w:rsidRPr="002C3A49">
        <w:rPr>
          <w:rFonts w:ascii="Times New Roman" w:hAnsi="Times New Roman"/>
          <w:noProof/>
          <w:color w:val="000000"/>
          <w:szCs w:val="24"/>
          <w:lang w:val="sr-Cyrl-RS"/>
        </w:rPr>
        <w:t xml:space="preserve">износи </w:t>
      </w:r>
      <w:r w:rsidRPr="002C3A49">
        <w:rPr>
          <w:rFonts w:ascii="Times New Roman" w:hAnsi="Times New Roman"/>
          <w:noProof/>
          <w:szCs w:val="24"/>
          <w:lang w:val="sr-Cyrl-RS"/>
        </w:rPr>
        <w:t>47,7 млрд динара</w:t>
      </w:r>
      <w:r w:rsidRPr="002C3A49">
        <w:rPr>
          <w:rStyle w:val="FootnoteReference"/>
          <w:rFonts w:ascii="Times New Roman" w:hAnsi="Times New Roman"/>
          <w:noProof/>
          <w:szCs w:val="24"/>
          <w:lang w:val="sr-Cyrl-RS"/>
        </w:rPr>
        <w:footnoteReference w:id="2"/>
      </w:r>
      <w:r w:rsidRPr="002C3A49">
        <w:rPr>
          <w:rFonts w:ascii="Times New Roman" w:hAnsi="Times New Roman"/>
          <w:noProof/>
          <w:szCs w:val="24"/>
          <w:lang w:val="sr-Cyrl-RS"/>
        </w:rPr>
        <w:t>.</w:t>
      </w:r>
    </w:p>
    <w:p w14:paraId="0C6FC886" w14:textId="77777777" w:rsidR="00BE71A6" w:rsidRPr="002C3A49" w:rsidRDefault="00BE71A6" w:rsidP="00BE71A6">
      <w:pPr>
        <w:tabs>
          <w:tab w:val="left" w:pos="709"/>
        </w:tabs>
        <w:spacing w:after="120"/>
        <w:rPr>
          <w:rFonts w:ascii="Times New Roman" w:hAnsi="Times New Roman"/>
          <w:noProof/>
          <w:szCs w:val="24"/>
          <w:lang w:val="sr-Cyrl-RS"/>
        </w:rPr>
      </w:pPr>
      <w:r w:rsidRPr="002C3A49">
        <w:rPr>
          <w:rFonts w:ascii="Times New Roman" w:hAnsi="Times New Roman"/>
          <w:noProof/>
          <w:szCs w:val="24"/>
          <w:lang w:val="sr-Cyrl-RS"/>
        </w:rPr>
        <w:tab/>
        <w:t xml:space="preserve">Очекиване </w:t>
      </w:r>
      <w:r w:rsidRPr="002C3A49">
        <w:rPr>
          <w:rFonts w:ascii="Times New Roman" w:hAnsi="Times New Roman"/>
          <w:b/>
          <w:noProof/>
          <w:szCs w:val="24"/>
          <w:lang w:val="sr-Cyrl-RS"/>
        </w:rPr>
        <w:t>донације</w:t>
      </w:r>
      <w:r w:rsidRPr="002C3A49">
        <w:rPr>
          <w:rFonts w:ascii="Times New Roman" w:hAnsi="Times New Roman"/>
          <w:noProof/>
          <w:szCs w:val="24"/>
          <w:lang w:val="sr-Cyrl-RS"/>
        </w:rPr>
        <w:t xml:space="preserve"> износе 35,6 млрд динара и у односу на 2023. годину су смањене,  због ванредне донације од стране ЕУ у борби против енергетске кризе, која је уплаћена током ове године. Остатак прихода од донација пројектован је у складу са плановима буџетских корисника. Учешће овог облика прихода у укупним приходима буџета за 2024. годину износи 1,7%. </w:t>
      </w:r>
    </w:p>
    <w:p w14:paraId="376C79F9" w14:textId="77777777" w:rsidR="00BE71A6" w:rsidRPr="002C3A49" w:rsidRDefault="00BE71A6" w:rsidP="00BE71A6">
      <w:pPr>
        <w:tabs>
          <w:tab w:val="left" w:pos="709"/>
        </w:tabs>
        <w:spacing w:after="120" w:line="276" w:lineRule="auto"/>
        <w:rPr>
          <w:rFonts w:ascii="Times New Roman" w:hAnsi="Times New Roman"/>
          <w:noProof/>
          <w:lang w:val="sr-Cyrl-RS"/>
        </w:rPr>
      </w:pPr>
      <w:r w:rsidRPr="002C3A49">
        <w:rPr>
          <w:noProof/>
          <w:lang w:val="sr-Cyrl-RS"/>
        </w:rPr>
        <w:drawing>
          <wp:inline distT="0" distB="0" distL="0" distR="0" wp14:anchorId="1550A519" wp14:editId="06DBB999">
            <wp:extent cx="5943600" cy="3112655"/>
            <wp:effectExtent l="0" t="0" r="0" b="12065"/>
            <wp:docPr id="17" name="Chart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900F43" w14:textId="77777777" w:rsidR="00BE71A6" w:rsidRPr="002C3A49" w:rsidRDefault="00BE71A6" w:rsidP="00BE71A6">
      <w:pPr>
        <w:tabs>
          <w:tab w:val="left" w:pos="709"/>
        </w:tabs>
        <w:spacing w:after="120" w:line="276" w:lineRule="auto"/>
        <w:rPr>
          <w:rFonts w:ascii="Times New Roman" w:hAnsi="Times New Roman"/>
          <w:noProof/>
          <w:lang w:val="sr-Cyrl-RS"/>
        </w:rPr>
      </w:pPr>
      <w:r w:rsidRPr="002C3A49">
        <w:rPr>
          <w:noProof/>
          <w:lang w:val="sr-Cyrl-RS"/>
        </w:rPr>
        <w:drawing>
          <wp:inline distT="0" distB="0" distL="0" distR="0" wp14:anchorId="4599CF0C" wp14:editId="38A8DDB2">
            <wp:extent cx="5943600" cy="3781425"/>
            <wp:effectExtent l="0" t="0" r="0" b="9525"/>
            <wp:docPr id="19" name="Chart 19">
              <a:extLst xmlns:a="http://schemas.openxmlformats.org/drawingml/2006/main">
                <a:ext uri="{FF2B5EF4-FFF2-40B4-BE49-F238E27FC236}">
                  <a16:creationId xmlns:a16="http://schemas.microsoft.com/office/drawing/2014/main" id="{00000000-0008-0000-0100-00007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EFB6F2" w14:textId="46EAB0B0" w:rsidR="00BE71A6" w:rsidRDefault="00BE71A6" w:rsidP="00926E70">
      <w:pPr>
        <w:spacing w:after="120"/>
        <w:jc w:val="center"/>
        <w:rPr>
          <w:rFonts w:ascii="Times New Roman" w:hAnsi="Times New Roman"/>
          <w:b/>
          <w:i/>
          <w:noProof/>
          <w:lang w:val="sr-Cyrl-RS"/>
        </w:rPr>
      </w:pPr>
      <w:r w:rsidRPr="002C3A49">
        <w:rPr>
          <w:rFonts w:ascii="Times New Roman" w:hAnsi="Times New Roman"/>
          <w:b/>
          <w:i/>
          <w:noProof/>
          <w:lang w:val="sr-Cyrl-RS"/>
        </w:rPr>
        <w:lastRenderedPageBreak/>
        <w:t>Фискални резултати на нивоу опште државе у 2024. години</w:t>
      </w:r>
    </w:p>
    <w:p w14:paraId="34893491" w14:textId="77777777" w:rsidR="00926E70" w:rsidRPr="002C3A49" w:rsidRDefault="00926E70" w:rsidP="00926E70">
      <w:pPr>
        <w:spacing w:after="120"/>
        <w:jc w:val="center"/>
        <w:rPr>
          <w:rFonts w:ascii="Times New Roman" w:hAnsi="Times New Roman"/>
          <w:b/>
          <w:i/>
          <w:noProof/>
          <w:lang w:val="sr-Cyrl-RS"/>
        </w:rPr>
      </w:pPr>
    </w:p>
    <w:p w14:paraId="3E4A2CB1" w14:textId="77777777" w:rsidR="00BE71A6" w:rsidRPr="002C3A49" w:rsidRDefault="00BE71A6" w:rsidP="00BE71A6">
      <w:pPr>
        <w:tabs>
          <w:tab w:val="left" w:pos="709"/>
        </w:tabs>
        <w:spacing w:after="120"/>
        <w:ind w:firstLine="720"/>
        <w:rPr>
          <w:rFonts w:ascii="Times New Roman" w:hAnsi="Times New Roman"/>
          <w:b/>
          <w:noProof/>
          <w:szCs w:val="24"/>
          <w:lang w:val="sr-Cyrl-RS"/>
        </w:rPr>
      </w:pPr>
      <w:r w:rsidRPr="002C3A49">
        <w:rPr>
          <w:rFonts w:ascii="Times New Roman" w:hAnsi="Times New Roman"/>
          <w:b/>
          <w:noProof/>
          <w:szCs w:val="24"/>
          <w:lang w:val="sr-Cyrl-RS"/>
        </w:rPr>
        <w:t xml:space="preserve">Пројектовани дефицит сектора државе у 2024. години износи 2,2% БДП, док се јавни дуг на нивоу сектора државе смањује и до краја године задржава на нивоу од 51,7% БДП. </w:t>
      </w:r>
      <w:r w:rsidRPr="002C3A49">
        <w:rPr>
          <w:rFonts w:ascii="Times New Roman" w:hAnsi="Times New Roman"/>
          <w:noProof/>
          <w:szCs w:val="24"/>
          <w:lang w:val="sr-Cyrl-RS"/>
        </w:rPr>
        <w:t>Средњорочни фискални оквир предвиђа постепено смањење дефицита сектора државе на ниво од 1.5% БДП у 2026. године и пад учешћа јавног дуга на 50% БДП. Пројекције фискалних агрегата у периоду од 2024. до 2026.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структурним мерама.</w:t>
      </w:r>
    </w:p>
    <w:p w14:paraId="3EA166C8" w14:textId="77777777" w:rsidR="00BE71A6" w:rsidRPr="002C3A49" w:rsidRDefault="00BE71A6" w:rsidP="00BE71A6">
      <w:pPr>
        <w:tabs>
          <w:tab w:val="left" w:pos="709"/>
        </w:tabs>
        <w:spacing w:after="120"/>
        <w:ind w:firstLine="720"/>
        <w:rPr>
          <w:rFonts w:ascii="Times New Roman" w:hAnsi="Times New Roman"/>
          <w:bCs/>
          <w:noProof/>
          <w:szCs w:val="24"/>
          <w:lang w:val="sr-Cyrl-RS"/>
        </w:rPr>
      </w:pPr>
      <w:r w:rsidRPr="002C3A49">
        <w:rPr>
          <w:rFonts w:ascii="Times New Roman" w:hAnsi="Times New Roman"/>
          <w:b/>
          <w:noProof/>
          <w:szCs w:val="24"/>
          <w:lang w:val="sr-Cyrl-RS"/>
        </w:rPr>
        <w:t xml:space="preserve">Опредељење фискалне политике у средњем року, поред присутне неизвесности, је уравнотежење и стабилизација јавних финансија, како би се смањило учешће јавног дуга у БДП и створиле основе за стабилан привредни раст. </w:t>
      </w:r>
      <w:r w:rsidRPr="002C3A49">
        <w:rPr>
          <w:rFonts w:ascii="Times New Roman" w:hAnsi="Times New Roman"/>
          <w:bCs/>
          <w:noProof/>
          <w:szCs w:val="24"/>
          <w:lang w:val="sr-Cyrl-RS"/>
        </w:rPr>
        <w:t>Уз то, потребно је обезбедити простор за правовремену реакцију фискалне политике на економске шокове. Евентуална фискална интервенција државе у циљу минимизирања ефеката кризе свакако ће бити комбинована са настојањима да се не зауставе развојни програми и инфраструктурни пројекти финансирани из буџета. Средњорочни фискални оквир предвиђа умерено напуштање експанзивне фискалне политике која је била присутна током пандемије и енергетске кризе. Стабилности јавних финансија и одрживом фискалном оквиру допринеће донтете измене Закона о буџетском систему, којима је, између осталог, редизајниран скуп фискалних правила, општих и посебних, те дефинисане посебне мере и консеквенце у случају њиховог непоштовања. Посебан акценат је стављен на измену општих правила која се односе на јавни дуг и дефицит сектора државе, те посебних правила везаних за одрживи ниво расхода за плате и пензије.</w:t>
      </w:r>
    </w:p>
    <w:p w14:paraId="1CC413E9" w14:textId="77777777" w:rsidR="00BE71A6" w:rsidRPr="002C3A49" w:rsidRDefault="00BE71A6" w:rsidP="00614BA4">
      <w:pPr>
        <w:tabs>
          <w:tab w:val="left" w:pos="720"/>
        </w:tabs>
        <w:spacing w:after="120"/>
        <w:rPr>
          <w:rFonts w:ascii="Times New Roman" w:hAnsi="Times New Roman"/>
          <w:b/>
          <w:bCs/>
          <w:noProof/>
          <w:szCs w:val="24"/>
          <w:highlight w:val="yellow"/>
          <w:lang w:val="sr-Cyrl-RS"/>
        </w:rPr>
      </w:pPr>
    </w:p>
    <w:p w14:paraId="48ABE4D2" w14:textId="7ACA929F" w:rsidR="00ED3C0C" w:rsidRPr="002C3A49" w:rsidRDefault="007104F0" w:rsidP="005A171E">
      <w:pPr>
        <w:pStyle w:val="ListParagraph"/>
        <w:numPr>
          <w:ilvl w:val="0"/>
          <w:numId w:val="7"/>
        </w:numPr>
        <w:tabs>
          <w:tab w:val="left" w:pos="720"/>
        </w:tabs>
        <w:spacing w:after="120"/>
        <w:rPr>
          <w:rFonts w:ascii="Times New Roman" w:hAnsi="Times New Roman"/>
          <w:bCs/>
          <w:noProof/>
          <w:sz w:val="24"/>
          <w:szCs w:val="24"/>
          <w:lang w:val="sr-Cyrl-RS"/>
        </w:rPr>
      </w:pPr>
      <w:r w:rsidRPr="002C3A49">
        <w:rPr>
          <w:rFonts w:ascii="Times New Roman" w:hAnsi="Times New Roman"/>
          <w:b/>
          <w:bCs/>
          <w:noProof/>
          <w:sz w:val="24"/>
          <w:szCs w:val="24"/>
          <w:lang w:val="sr-Cyrl-RS"/>
        </w:rPr>
        <w:t>Образложење расхода и издатака буџета</w:t>
      </w:r>
    </w:p>
    <w:p w14:paraId="0AE4D2D9" w14:textId="1D2210B0" w:rsidR="006F7707" w:rsidRPr="002C3A49" w:rsidRDefault="006F7707" w:rsidP="006F7707">
      <w:pPr>
        <w:tabs>
          <w:tab w:val="left" w:pos="709"/>
        </w:tabs>
        <w:rPr>
          <w:rFonts w:ascii="Times New Roman" w:hAnsi="Times New Roman"/>
          <w:noProof/>
          <w:lang w:val="sr-Cyrl-RS"/>
        </w:rPr>
      </w:pPr>
      <w:r w:rsidRPr="002C3A49">
        <w:rPr>
          <w:rFonts w:ascii="Times New Roman" w:hAnsi="Times New Roman"/>
          <w:b/>
          <w:bCs/>
          <w:noProof/>
          <w:szCs w:val="24"/>
          <w:lang w:val="sr-Cyrl-RS"/>
        </w:rPr>
        <w:tab/>
      </w:r>
      <w:r w:rsidR="00761525" w:rsidRPr="002C3A49">
        <w:rPr>
          <w:rFonts w:ascii="Times New Roman" w:hAnsi="Times New Roman"/>
          <w:noProof/>
          <w:szCs w:val="24"/>
          <w:lang w:val="sr-Cyrl-RS"/>
        </w:rPr>
        <w:t xml:space="preserve">Приликом планирања расхода и издатака за сваког буџетског корисника, пошло се од важеће организационе, функционалне и програмске структуре, као и надлежности корисника према Закону о министарствима </w:t>
      </w:r>
      <w:r w:rsidR="00761525" w:rsidRPr="002C3A49">
        <w:rPr>
          <w:rFonts w:ascii="Times New Roman" w:hAnsi="Times New Roman"/>
          <w:noProof/>
          <w:lang w:val="sr-Cyrl-RS"/>
        </w:rPr>
        <w:t>(„Службени гласник РС”, бр. 128/20 и 116/22).</w:t>
      </w:r>
    </w:p>
    <w:p w14:paraId="1F0AD568" w14:textId="067BE64B" w:rsidR="005821B2" w:rsidRPr="002C3A49" w:rsidRDefault="007104F0" w:rsidP="00CC0F16">
      <w:pPr>
        <w:tabs>
          <w:tab w:val="left" w:pos="709"/>
        </w:tabs>
        <w:rPr>
          <w:rFonts w:ascii="Times New Roman" w:hAnsi="Times New Roman"/>
          <w:noProof/>
          <w:szCs w:val="24"/>
          <w:lang w:val="sr-Cyrl-RS"/>
        </w:rPr>
      </w:pPr>
      <w:r w:rsidRPr="002C3A49">
        <w:rPr>
          <w:rFonts w:ascii="Times New Roman" w:hAnsi="Times New Roman"/>
          <w:noProof/>
          <w:szCs w:val="24"/>
          <w:lang w:val="sr-Cyrl-RS"/>
        </w:rPr>
        <w:tab/>
        <w:t>Расходи и издаци приказани по бруто принципу обухватају поред расхода и издатака који се финансирају из општих прихода</w:t>
      </w:r>
      <w:r w:rsidR="008C33C0" w:rsidRPr="002C3A49">
        <w:rPr>
          <w:rFonts w:ascii="Times New Roman" w:hAnsi="Times New Roman"/>
          <w:noProof/>
          <w:szCs w:val="24"/>
          <w:lang w:val="sr-Cyrl-RS"/>
        </w:rPr>
        <w:t xml:space="preserve"> и примања</w:t>
      </w:r>
      <w:r w:rsidRPr="002C3A49">
        <w:rPr>
          <w:rFonts w:ascii="Times New Roman" w:hAnsi="Times New Roman"/>
          <w:noProof/>
          <w:szCs w:val="24"/>
          <w:lang w:val="sr-Cyrl-RS"/>
        </w:rPr>
        <w:t xml:space="preserve"> буџета и оне расходе и издатке које корисници буџетских средстава финансирају из донација, домаћих и међународних кредита, као и прихода које корисници остваре продајом добара и услуга</w:t>
      </w:r>
      <w:r w:rsidR="00540346" w:rsidRPr="002C3A49">
        <w:rPr>
          <w:rFonts w:ascii="Times New Roman" w:hAnsi="Times New Roman"/>
          <w:noProof/>
          <w:szCs w:val="24"/>
          <w:lang w:val="sr-Cyrl-RS"/>
        </w:rPr>
        <w:t xml:space="preserve"> у складу са Законом о буџетском систему </w:t>
      </w:r>
      <w:r w:rsidR="00B2225A" w:rsidRPr="002C3A49">
        <w:rPr>
          <w:rFonts w:ascii="Times New Roman" w:hAnsi="Times New Roman"/>
          <w:bCs/>
          <w:noProof/>
          <w:color w:val="000000"/>
          <w:szCs w:val="24"/>
          <w:lang w:val="sr-Cyrl-RS"/>
        </w:rPr>
        <w:t>(„Службени гласник РС”, бр. 54/09, 73/10, 101/10, 101/11, 93/12, 62/13, 63/13 – исправка, 108/13, 142/14, 68/15 – др. закон, 103/15, 99/16, 113/17, 95/18, 31/19, 72/19, 149/20, 118/21, 118/21 – др. закон и 138/22)</w:t>
      </w:r>
      <w:r w:rsidR="00B2225A" w:rsidRPr="002C3A49">
        <w:rPr>
          <w:rFonts w:ascii="Times New Roman" w:hAnsi="Times New Roman"/>
          <w:noProof/>
          <w:szCs w:val="24"/>
          <w:lang w:val="sr-Cyrl-RS"/>
        </w:rPr>
        <w:t xml:space="preserve"> </w:t>
      </w:r>
      <w:r w:rsidR="00A11FD8" w:rsidRPr="002C3A49">
        <w:rPr>
          <w:rFonts w:ascii="Times New Roman" w:hAnsi="Times New Roman"/>
          <w:noProof/>
          <w:szCs w:val="24"/>
          <w:lang w:val="sr-Cyrl-RS"/>
        </w:rPr>
        <w:t>и других извора финансирања.</w:t>
      </w:r>
    </w:p>
    <w:p w14:paraId="045AFD8E" w14:textId="295F3416" w:rsidR="0039795D" w:rsidRPr="002C3A49" w:rsidRDefault="00896DA8" w:rsidP="00CC0F16">
      <w:pPr>
        <w:tabs>
          <w:tab w:val="left" w:pos="709"/>
        </w:tabs>
        <w:rPr>
          <w:rFonts w:ascii="Times New Roman" w:hAnsi="Times New Roman"/>
          <w:noProof/>
          <w:lang w:val="sr-Cyrl-RS"/>
        </w:rPr>
      </w:pPr>
      <w:r w:rsidRPr="002C3A49">
        <w:rPr>
          <w:rFonts w:ascii="Times New Roman" w:hAnsi="Times New Roman"/>
          <w:noProof/>
          <w:lang w:val="sr-Cyrl-RS"/>
        </w:rPr>
        <w:tab/>
        <w:t>У буџету Републике Србије за 202</w:t>
      </w:r>
      <w:r w:rsidR="005D130C" w:rsidRPr="002C3A49">
        <w:rPr>
          <w:rFonts w:ascii="Times New Roman" w:hAnsi="Times New Roman"/>
          <w:noProof/>
          <w:lang w:val="sr-Cyrl-RS"/>
        </w:rPr>
        <w:t>4</w:t>
      </w:r>
      <w:r w:rsidRPr="002C3A49">
        <w:rPr>
          <w:rFonts w:ascii="Times New Roman" w:hAnsi="Times New Roman"/>
          <w:noProof/>
          <w:lang w:val="sr-Cyrl-RS"/>
        </w:rPr>
        <w:t>. годину, планирана су средства између осталог</w:t>
      </w:r>
      <w:r w:rsidR="005821B2" w:rsidRPr="002C3A49">
        <w:rPr>
          <w:rFonts w:ascii="Times New Roman" w:hAnsi="Times New Roman"/>
          <w:noProof/>
          <w:lang w:val="sr-Cyrl-RS"/>
        </w:rPr>
        <w:t xml:space="preserve"> и</w:t>
      </w:r>
      <w:r w:rsidRPr="002C3A49">
        <w:rPr>
          <w:rFonts w:ascii="Times New Roman" w:hAnsi="Times New Roman"/>
          <w:noProof/>
          <w:lang w:val="sr-Cyrl-RS"/>
        </w:rPr>
        <w:t xml:space="preserve"> за повећање плата и пензија,</w:t>
      </w:r>
      <w:r w:rsidR="005821B2" w:rsidRPr="002C3A49">
        <w:rPr>
          <w:rFonts w:ascii="Times New Roman" w:hAnsi="Times New Roman"/>
          <w:noProof/>
          <w:lang w:val="sr-Cyrl-RS"/>
        </w:rPr>
        <w:t xml:space="preserve"> </w:t>
      </w:r>
      <w:r w:rsidRPr="002C3A49">
        <w:rPr>
          <w:rFonts w:ascii="Times New Roman" w:hAnsi="Times New Roman"/>
          <w:noProof/>
          <w:lang w:val="sr-Cyrl-RS"/>
        </w:rPr>
        <w:t xml:space="preserve">изградњу највећих инфраструктурних пројеката, ублажавање </w:t>
      </w:r>
      <w:r w:rsidR="007F13AC" w:rsidRPr="002C3A49">
        <w:rPr>
          <w:rFonts w:ascii="Times New Roman" w:hAnsi="Times New Roman"/>
          <w:noProof/>
          <w:lang w:val="sr-Cyrl-RS"/>
        </w:rPr>
        <w:t>енергетске кризе проузроковане ратом у Украјини</w:t>
      </w:r>
      <w:r w:rsidR="003E7D5C" w:rsidRPr="002C3A49">
        <w:rPr>
          <w:rFonts w:ascii="Times New Roman" w:hAnsi="Times New Roman"/>
          <w:noProof/>
          <w:lang w:val="sr-Cyrl-RS"/>
        </w:rPr>
        <w:t xml:space="preserve"> и остале расходе и издатке, у складу са надлежности</w:t>
      </w:r>
      <w:r w:rsidR="005D130C" w:rsidRPr="002C3A49">
        <w:rPr>
          <w:rFonts w:ascii="Times New Roman" w:hAnsi="Times New Roman"/>
          <w:noProof/>
          <w:lang w:val="sr-Cyrl-RS"/>
        </w:rPr>
        <w:t>ма</w:t>
      </w:r>
      <w:r w:rsidR="003E7D5C" w:rsidRPr="002C3A49">
        <w:rPr>
          <w:rFonts w:ascii="Times New Roman" w:hAnsi="Times New Roman"/>
          <w:noProof/>
          <w:lang w:val="sr-Cyrl-RS"/>
        </w:rPr>
        <w:t xml:space="preserve"> буџетских корисника</w:t>
      </w:r>
      <w:r w:rsidR="007F13AC" w:rsidRPr="002C3A49">
        <w:rPr>
          <w:rFonts w:ascii="Times New Roman" w:hAnsi="Times New Roman"/>
          <w:noProof/>
          <w:lang w:val="sr-Cyrl-RS"/>
        </w:rPr>
        <w:t>.</w:t>
      </w:r>
    </w:p>
    <w:p w14:paraId="445DE5DE" w14:textId="77777777" w:rsidR="005D130C" w:rsidRPr="002C3A49" w:rsidRDefault="005D130C" w:rsidP="00CC0F16">
      <w:pPr>
        <w:tabs>
          <w:tab w:val="left" w:pos="709"/>
        </w:tabs>
        <w:rPr>
          <w:rFonts w:ascii="Times New Roman" w:hAnsi="Times New Roman"/>
          <w:noProof/>
          <w:lang w:val="sr-Cyrl-RS"/>
        </w:rPr>
      </w:pPr>
    </w:p>
    <w:p w14:paraId="505EDBB9" w14:textId="4575AD4C" w:rsidR="0051635E" w:rsidRPr="002C3A49" w:rsidRDefault="00D46F44" w:rsidP="00CC0F16">
      <w:pPr>
        <w:tabs>
          <w:tab w:val="left" w:pos="709"/>
        </w:tabs>
        <w:rPr>
          <w:rFonts w:ascii="Times New Roman" w:hAnsi="Times New Roman"/>
          <w:b/>
          <w:noProof/>
          <w:lang w:val="sr-Cyrl-RS"/>
        </w:rPr>
      </w:pPr>
      <w:r w:rsidRPr="002C3A49">
        <w:rPr>
          <w:rFonts w:ascii="Times New Roman" w:hAnsi="Times New Roman"/>
          <w:b/>
          <w:noProof/>
          <w:lang w:val="sr-Cyrl-RS"/>
        </w:rPr>
        <w:t>Расходи и издаци буџета Републике Србије за 202</w:t>
      </w:r>
      <w:r w:rsidR="005D130C" w:rsidRPr="002C3A49">
        <w:rPr>
          <w:rFonts w:ascii="Times New Roman" w:hAnsi="Times New Roman"/>
          <w:b/>
          <w:noProof/>
          <w:lang w:val="sr-Cyrl-RS"/>
        </w:rPr>
        <w:t>4</w:t>
      </w:r>
      <w:r w:rsidRPr="002C3A49">
        <w:rPr>
          <w:rFonts w:ascii="Times New Roman" w:hAnsi="Times New Roman"/>
          <w:b/>
          <w:noProof/>
          <w:lang w:val="sr-Cyrl-RS"/>
        </w:rPr>
        <w:t>. годину</w:t>
      </w:r>
    </w:p>
    <w:p w14:paraId="4E86274F" w14:textId="77777777" w:rsidR="008923E0" w:rsidRPr="002C3A49" w:rsidRDefault="008923E0" w:rsidP="00CC0F16">
      <w:pPr>
        <w:tabs>
          <w:tab w:val="left" w:pos="709"/>
        </w:tabs>
        <w:rPr>
          <w:rFonts w:ascii="Times New Roman" w:hAnsi="Times New Roman"/>
          <w:b/>
          <w:noProof/>
          <w:lang w:val="sr-Cyrl-RS"/>
        </w:rPr>
      </w:pP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8923E0" w:rsidRPr="002C3A49" w14:paraId="45E8C81F" w14:textId="77777777" w:rsidTr="005A0B30">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A158DD"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DB1B2B"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AE3309"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Износ у динарима</w:t>
            </w:r>
          </w:p>
        </w:tc>
      </w:tr>
      <w:tr w:rsidR="008923E0" w:rsidRPr="002C3A49" w14:paraId="1F32D5A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521DAA"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48B269"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F15411"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2.237.873.800.000</w:t>
            </w:r>
          </w:p>
        </w:tc>
      </w:tr>
      <w:tr w:rsidR="008923E0" w:rsidRPr="002C3A49" w14:paraId="2CAB038B"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C3A904C"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BEBBC0"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35B69A"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1.696.073.025.000</w:t>
            </w:r>
          </w:p>
        </w:tc>
      </w:tr>
      <w:tr w:rsidR="008923E0" w:rsidRPr="002C3A49" w14:paraId="463A4235"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37B3BDEB"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89B2B9"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9A083A"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475.610.994.000</w:t>
            </w:r>
          </w:p>
        </w:tc>
      </w:tr>
      <w:tr w:rsidR="008923E0" w:rsidRPr="002C3A49" w14:paraId="4F85081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40ABA61"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lastRenderedPageBreak/>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9CEDE2"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15EDE5B"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379.253.882.000</w:t>
            </w:r>
          </w:p>
        </w:tc>
      </w:tr>
      <w:tr w:rsidR="008923E0" w:rsidRPr="002C3A49" w14:paraId="37E3285F"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939187"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42AC9A"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E4718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66.407.167.000</w:t>
            </w:r>
          </w:p>
        </w:tc>
      </w:tr>
      <w:tr w:rsidR="008923E0" w:rsidRPr="002C3A49" w14:paraId="30446B74"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0909B6E"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A79969"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B531CD"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29.949.945.000</w:t>
            </w:r>
          </w:p>
        </w:tc>
      </w:tr>
      <w:tr w:rsidR="008923E0" w:rsidRPr="002C3A49" w14:paraId="4E4798C9"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BDAFCC8"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2074FA"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345903"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210.009.899.000</w:t>
            </w:r>
          </w:p>
        </w:tc>
      </w:tr>
      <w:tr w:rsidR="008923E0" w:rsidRPr="002C3A49" w14:paraId="370FA0FC"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BBD48E9"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A2F015"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E11C82"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183.571.577.000</w:t>
            </w:r>
          </w:p>
        </w:tc>
      </w:tr>
      <w:tr w:rsidR="008923E0" w:rsidRPr="002C3A49" w14:paraId="1B33C7A4"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D9FC3C1"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25A5A5"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507F63"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52.502.599.000</w:t>
            </w:r>
          </w:p>
        </w:tc>
      </w:tr>
      <w:tr w:rsidR="008923E0" w:rsidRPr="002C3A49" w14:paraId="6496F0E5"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7EADC7"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D84E9"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409B69"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109.700.000.000</w:t>
            </w:r>
          </w:p>
        </w:tc>
      </w:tr>
      <w:tr w:rsidR="008923E0" w:rsidRPr="002C3A49" w14:paraId="510C682D"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DA474A9"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1C2758"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1E64C3"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7.800.000.000</w:t>
            </w:r>
          </w:p>
        </w:tc>
      </w:tr>
      <w:tr w:rsidR="008923E0" w:rsidRPr="002C3A49" w14:paraId="4A14F822" w14:textId="77777777" w:rsidTr="005A0B30">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405704B"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B1E74E"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03710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13.568.978.000</w:t>
            </w:r>
          </w:p>
        </w:tc>
      </w:tr>
      <w:tr w:rsidR="008923E0" w:rsidRPr="002C3A49" w14:paraId="093A1BD0"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1800639"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7B7254"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DDCE24"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184.560.342.000</w:t>
            </w:r>
          </w:p>
        </w:tc>
      </w:tr>
      <w:tr w:rsidR="008923E0" w:rsidRPr="002C3A49" w14:paraId="03D75581"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549C126"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xml:space="preserve">- Субвенције у области науке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838654"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C50ED8"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3.624.420.000</w:t>
            </w:r>
          </w:p>
        </w:tc>
      </w:tr>
      <w:tr w:rsidR="008923E0" w:rsidRPr="002C3A49" w14:paraId="3950A97D"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F7F1F4"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xml:space="preserve">- Субвенције у области рударства и енергетике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10A1168"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4A8EB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9.129.000.000</w:t>
            </w:r>
          </w:p>
        </w:tc>
      </w:tr>
      <w:tr w:rsidR="008923E0" w:rsidRPr="002C3A49" w14:paraId="38391B9B"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682F90C"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993CFE"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C5AAE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4.375.000.000</w:t>
            </w:r>
          </w:p>
        </w:tc>
      </w:tr>
      <w:tr w:rsidR="008923E0" w:rsidRPr="002C3A49" w14:paraId="5CEDBCE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1E4E70C"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8073C0"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E57606"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605.000.000</w:t>
            </w:r>
          </w:p>
        </w:tc>
      </w:tr>
      <w:tr w:rsidR="008923E0" w:rsidRPr="002C3A49" w14:paraId="022D400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7744248"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1F9AA0"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7BB722"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26.355.000.000</w:t>
            </w:r>
          </w:p>
        </w:tc>
      </w:tr>
      <w:tr w:rsidR="008923E0" w:rsidRPr="002C3A49" w14:paraId="03E3E515"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CFD7076"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D014C7"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B9E06F"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88.108.297.000</w:t>
            </w:r>
          </w:p>
        </w:tc>
      </w:tr>
      <w:tr w:rsidR="008923E0" w:rsidRPr="002C3A49" w14:paraId="19F40FFA"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8D8198A"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58A4D6"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B8A08C"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24.610.000.000</w:t>
            </w:r>
          </w:p>
        </w:tc>
      </w:tr>
      <w:tr w:rsidR="008923E0" w:rsidRPr="002C3A49" w14:paraId="1C855427"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31599A0"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B3649F"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27E4E8"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19.763.000.000</w:t>
            </w:r>
          </w:p>
        </w:tc>
      </w:tr>
      <w:tr w:rsidR="008923E0" w:rsidRPr="002C3A49" w14:paraId="7A406F68"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1FA14AA" w14:textId="77777777" w:rsidR="008923E0" w:rsidRPr="002C3A49" w:rsidRDefault="008923E0" w:rsidP="005A0B30">
            <w:pPr>
              <w:rPr>
                <w:rFonts w:ascii="Times New Roman" w:hAnsi="Times New Roman"/>
                <w:noProof/>
                <w:color w:val="000000"/>
                <w:lang w:val="sr-Cyrl-RS"/>
              </w:rPr>
            </w:pPr>
            <w:r w:rsidRPr="002C3A49">
              <w:rPr>
                <w:rFonts w:ascii="Times New Roman" w:hAnsi="Times New Roman"/>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F795F3"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405D1A"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1.344.000.000</w:t>
            </w:r>
          </w:p>
        </w:tc>
      </w:tr>
      <w:tr w:rsidR="008923E0" w:rsidRPr="002C3A49" w14:paraId="7F99091C"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FED522"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433692"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9141E1"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2.250.000.000</w:t>
            </w:r>
          </w:p>
        </w:tc>
      </w:tr>
      <w:tr w:rsidR="008923E0" w:rsidRPr="002C3A49" w14:paraId="550910CF"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FF761A"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6291E5"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83DED9"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4.396.625.000</w:t>
            </w:r>
          </w:p>
        </w:tc>
      </w:tr>
      <w:tr w:rsidR="008923E0" w:rsidRPr="002C3A49" w14:paraId="6ADA9CE5"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7D6B734"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3F3635"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0F73D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1.000.000</w:t>
            </w:r>
          </w:p>
        </w:tc>
      </w:tr>
      <w:tr w:rsidR="008923E0" w:rsidRPr="002C3A49" w14:paraId="633D3FD8"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FC1EF15"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FDD611"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0A110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9.891.801.000</w:t>
            </w:r>
          </w:p>
        </w:tc>
      </w:tr>
      <w:tr w:rsidR="008923E0" w:rsidRPr="002C3A49" w14:paraId="74266D94"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3FC721C0"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66AC40"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EAE37F"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108.039.735.000</w:t>
            </w:r>
          </w:p>
        </w:tc>
      </w:tr>
      <w:tr w:rsidR="008923E0" w:rsidRPr="002C3A49" w14:paraId="7ABD58A9"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146BCEF"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1CABB2C"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7B501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33.327.366.000</w:t>
            </w:r>
          </w:p>
        </w:tc>
      </w:tr>
      <w:tr w:rsidR="008923E0" w:rsidRPr="002C3A49" w14:paraId="61999C71"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CFF5812"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E298C1"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0B2BBB"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38.755.728.000</w:t>
            </w:r>
          </w:p>
        </w:tc>
      </w:tr>
      <w:tr w:rsidR="008923E0" w:rsidRPr="002C3A49" w14:paraId="1D339E79"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D139063"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971109"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7575C4"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35.956.641.000</w:t>
            </w:r>
          </w:p>
        </w:tc>
      </w:tr>
      <w:tr w:rsidR="008923E0" w:rsidRPr="002C3A49" w14:paraId="0F1406E4"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0533942"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C886BE"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E62B32"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314.485.940.000</w:t>
            </w:r>
          </w:p>
        </w:tc>
      </w:tr>
      <w:tr w:rsidR="008923E0" w:rsidRPr="002C3A49" w14:paraId="712107F1"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E5917B2"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EECA5B"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D5AB8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237.925.000.000</w:t>
            </w:r>
          </w:p>
        </w:tc>
      </w:tr>
      <w:tr w:rsidR="008923E0" w:rsidRPr="002C3A49" w14:paraId="269F5802"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3A9C78"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915B12"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5F9337"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3.582.844.000</w:t>
            </w:r>
          </w:p>
        </w:tc>
      </w:tr>
      <w:tr w:rsidR="008923E0" w:rsidRPr="002C3A49" w14:paraId="5E5D8D27"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A0012F4"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E3E664"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0A7CAB"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64.579.908.000</w:t>
            </w:r>
          </w:p>
        </w:tc>
      </w:tr>
      <w:tr w:rsidR="008923E0" w:rsidRPr="002C3A49" w14:paraId="11A569F6"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5FCF3A0"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1B0E87"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091CD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400.000.000</w:t>
            </w:r>
          </w:p>
        </w:tc>
      </w:tr>
      <w:tr w:rsidR="008923E0" w:rsidRPr="002C3A49" w14:paraId="328C10EE"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1DEB8D8"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65EBF8"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1A5718"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7.998.188.000</w:t>
            </w:r>
          </w:p>
        </w:tc>
      </w:tr>
      <w:tr w:rsidR="008923E0" w:rsidRPr="002C3A49" w14:paraId="49C5C50C"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27252CD"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lastRenderedPageBreak/>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DF623B"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C85085"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3.339.923.000</w:t>
            </w:r>
          </w:p>
        </w:tc>
      </w:tr>
      <w:tr w:rsidR="008923E0" w:rsidRPr="002C3A49" w14:paraId="339B584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325492E"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75522A"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DDD0A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156.687.689.000</w:t>
            </w:r>
          </w:p>
        </w:tc>
      </w:tr>
      <w:tr w:rsidR="008923E0" w:rsidRPr="002C3A49" w14:paraId="7B388F22"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995CCE4"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E23CC4"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42014C"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92.771.788.000</w:t>
            </w:r>
          </w:p>
        </w:tc>
      </w:tr>
      <w:tr w:rsidR="008923E0" w:rsidRPr="002C3A49" w14:paraId="54F60CC2"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3D7F2FA"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9142C0"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BAA91A"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19.005.000.000</w:t>
            </w:r>
          </w:p>
        </w:tc>
      </w:tr>
      <w:tr w:rsidR="008923E0" w:rsidRPr="002C3A49" w14:paraId="6A3C034D"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E543ECC"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0FA0D87"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E5996F"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36.333.624.000</w:t>
            </w:r>
          </w:p>
        </w:tc>
      </w:tr>
      <w:tr w:rsidR="008923E0" w:rsidRPr="002C3A49" w14:paraId="57AFE0CB"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578D5C"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D6BF44"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745A1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150.000.000</w:t>
            </w:r>
          </w:p>
        </w:tc>
      </w:tr>
      <w:tr w:rsidR="008923E0" w:rsidRPr="002C3A49" w14:paraId="5E357F03"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14FA271"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178299"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F9EE3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954.755.000</w:t>
            </w:r>
          </w:p>
        </w:tc>
      </w:tr>
      <w:tr w:rsidR="008923E0" w:rsidRPr="002C3A49" w14:paraId="59FFADF0"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55682A9"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DF6ECE"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A8D67"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1.515.785.000</w:t>
            </w:r>
          </w:p>
        </w:tc>
      </w:tr>
      <w:tr w:rsidR="008923E0" w:rsidRPr="002C3A49" w14:paraId="1F794D1D"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C0C467"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3B72B1"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ABD0E3"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1.017.400.000</w:t>
            </w:r>
          </w:p>
        </w:tc>
      </w:tr>
      <w:tr w:rsidR="008923E0" w:rsidRPr="002C3A49" w14:paraId="76440DE9"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B90114D"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F4808E"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F4894D"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1.557.000.000</w:t>
            </w:r>
          </w:p>
        </w:tc>
      </w:tr>
      <w:tr w:rsidR="008923E0" w:rsidRPr="002C3A49" w14:paraId="3F1DB4EF"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BD693AA"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EBA983"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D2EEB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678.597.000</w:t>
            </w:r>
          </w:p>
        </w:tc>
      </w:tr>
      <w:tr w:rsidR="008923E0" w:rsidRPr="002C3A49" w14:paraId="02794DEC"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B2FA5B"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3B6479" w14:textId="77777777" w:rsidR="008923E0" w:rsidRPr="002C3A49" w:rsidRDefault="008923E0" w:rsidP="005A0B30">
            <w:pPr>
              <w:rPr>
                <w:rFonts w:ascii="Times New Roman" w:hAnsi="Times New Roman"/>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8A7A0E"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2.703.740.000</w:t>
            </w:r>
          </w:p>
        </w:tc>
      </w:tr>
      <w:tr w:rsidR="008923E0" w:rsidRPr="002C3A49" w14:paraId="5B082DC6"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2AEFA41"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C346D7"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816B9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49.874.125.000</w:t>
            </w:r>
          </w:p>
        </w:tc>
      </w:tr>
      <w:tr w:rsidR="008923E0" w:rsidRPr="002C3A49" w14:paraId="765C184C"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D0F0FE"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BA35C2"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AD4C7C"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5.002.000.000</w:t>
            </w:r>
          </w:p>
        </w:tc>
      </w:tr>
      <w:tr w:rsidR="008923E0" w:rsidRPr="002C3A49" w14:paraId="707787F6"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61D00FD"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BBBA9B"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F2BE32"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44.872.125.000</w:t>
            </w:r>
          </w:p>
        </w:tc>
      </w:tr>
      <w:tr w:rsidR="008923E0" w:rsidRPr="002C3A49" w14:paraId="42A44D3F"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34A7D5B0"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BD9B61"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FE94ED"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467.487.802.000</w:t>
            </w:r>
          </w:p>
        </w:tc>
      </w:tr>
      <w:tr w:rsidR="008923E0" w:rsidRPr="002C3A49" w14:paraId="426E271E"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34343B2F"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CF56FC"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48E460"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29.500.000.000</w:t>
            </w:r>
          </w:p>
        </w:tc>
      </w:tr>
      <w:tr w:rsidR="008923E0" w:rsidRPr="002C3A49" w14:paraId="03BDC0D7" w14:textId="77777777" w:rsidTr="005A0B30">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16DF87A3" w14:textId="77777777" w:rsidR="008923E0" w:rsidRPr="002C3A49" w:rsidRDefault="008923E0" w:rsidP="005A0B30">
            <w:pPr>
              <w:rPr>
                <w:rFonts w:ascii="Times New Roman" w:hAnsi="Times New Roman"/>
                <w:noProof/>
                <w:lang w:val="sr-Cyrl-RS"/>
              </w:rPr>
            </w:pPr>
            <w:r w:rsidRPr="002C3A49">
              <w:rPr>
                <w:rFonts w:ascii="Times New Roman" w:hAnsi="Times New Roman"/>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63349C" w14:textId="77777777" w:rsidR="008923E0" w:rsidRPr="002C3A49" w:rsidRDefault="008923E0" w:rsidP="005A0B30">
            <w:pPr>
              <w:jc w:val="center"/>
              <w:rPr>
                <w:rFonts w:ascii="Times New Roman" w:hAnsi="Times New Roman"/>
                <w:noProof/>
                <w:lang w:val="sr-Cyrl-RS"/>
              </w:rPr>
            </w:pPr>
            <w:r w:rsidRPr="002C3A49">
              <w:rPr>
                <w:rFonts w:ascii="Times New Roman" w:hAnsi="Times New Roman"/>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60796" w14:textId="77777777" w:rsidR="008923E0" w:rsidRPr="002C3A49" w:rsidRDefault="008923E0" w:rsidP="005A0B30">
            <w:pPr>
              <w:jc w:val="right"/>
              <w:rPr>
                <w:rFonts w:ascii="Times New Roman" w:hAnsi="Times New Roman"/>
                <w:noProof/>
                <w:color w:val="000000"/>
                <w:lang w:val="sr-Cyrl-RS"/>
              </w:rPr>
            </w:pPr>
            <w:r w:rsidRPr="002C3A49">
              <w:rPr>
                <w:rFonts w:ascii="Times New Roman" w:hAnsi="Times New Roman"/>
                <w:noProof/>
                <w:color w:val="000000"/>
                <w:lang w:val="sr-Cyrl-RS"/>
              </w:rPr>
              <w:t>44.812.973.000</w:t>
            </w:r>
          </w:p>
        </w:tc>
      </w:tr>
    </w:tbl>
    <w:p w14:paraId="14777538" w14:textId="4AA550DA" w:rsidR="009260FB" w:rsidRPr="002C3A49" w:rsidRDefault="009260FB" w:rsidP="002201E2">
      <w:pPr>
        <w:tabs>
          <w:tab w:val="left" w:pos="720"/>
        </w:tabs>
        <w:spacing w:after="120"/>
        <w:rPr>
          <w:rFonts w:asciiTheme="minorHAnsi" w:hAnsiTheme="minorHAnsi"/>
          <w:noProof/>
          <w:szCs w:val="24"/>
          <w:lang w:val="sr-Cyrl-RS"/>
        </w:rPr>
      </w:pPr>
    </w:p>
    <w:p w14:paraId="6402565C" w14:textId="6296001B" w:rsidR="003C7EBD" w:rsidRPr="002C3A49" w:rsidRDefault="009260FB" w:rsidP="002201E2">
      <w:pPr>
        <w:tabs>
          <w:tab w:val="left" w:pos="720"/>
        </w:tabs>
        <w:spacing w:after="120"/>
        <w:rPr>
          <w:rFonts w:ascii="Times New Roman" w:hAnsi="Times New Roman"/>
          <w:bCs/>
          <w:noProof/>
          <w:szCs w:val="24"/>
          <w:lang w:val="sr-Cyrl-RS"/>
        </w:rPr>
      </w:pPr>
      <w:r w:rsidRPr="002C3A49">
        <w:rPr>
          <w:rFonts w:ascii="Times New Roman" w:hAnsi="Times New Roman"/>
          <w:noProof/>
          <w:szCs w:val="24"/>
          <w:lang w:val="sr-Cyrl-RS"/>
        </w:rPr>
        <w:tab/>
      </w:r>
      <w:r w:rsidR="0049556C" w:rsidRPr="002C3A49">
        <w:rPr>
          <w:rFonts w:ascii="Times New Roman" w:hAnsi="Times New Roman"/>
          <w:bCs/>
          <w:noProof/>
          <w:szCs w:val="24"/>
          <w:lang w:val="sr-Cyrl-RS"/>
        </w:rPr>
        <w:t>Буџетом Републике Србије за 202</w:t>
      </w:r>
      <w:r w:rsidR="005D130C" w:rsidRPr="002C3A49">
        <w:rPr>
          <w:rFonts w:ascii="Times New Roman" w:hAnsi="Times New Roman"/>
          <w:bCs/>
          <w:noProof/>
          <w:szCs w:val="24"/>
          <w:lang w:val="sr-Cyrl-RS"/>
        </w:rPr>
        <w:t>4</w:t>
      </w:r>
      <w:r w:rsidR="0049556C" w:rsidRPr="002C3A49">
        <w:rPr>
          <w:rFonts w:ascii="Times New Roman" w:hAnsi="Times New Roman"/>
          <w:bCs/>
          <w:noProof/>
          <w:szCs w:val="24"/>
          <w:lang w:val="sr-Cyrl-RS"/>
        </w:rPr>
        <w:t xml:space="preserve">. годину, планирани су укупни расходи и издаци у износу од </w:t>
      </w:r>
      <w:r w:rsidR="00593CBA" w:rsidRPr="002C3A49">
        <w:rPr>
          <w:rFonts w:ascii="Times New Roman" w:hAnsi="Times New Roman"/>
          <w:bCs/>
          <w:noProof/>
          <w:szCs w:val="24"/>
          <w:lang w:val="sr-Cyrl-RS"/>
        </w:rPr>
        <w:t>2.</w:t>
      </w:r>
      <w:r w:rsidR="00B90D92" w:rsidRPr="002C3A49">
        <w:rPr>
          <w:rFonts w:ascii="Times New Roman" w:hAnsi="Times New Roman"/>
          <w:bCs/>
          <w:noProof/>
          <w:szCs w:val="24"/>
          <w:lang w:val="sr-Cyrl-RS"/>
        </w:rPr>
        <w:t>237,87</w:t>
      </w:r>
      <w:r w:rsidR="0049556C" w:rsidRPr="002C3A49">
        <w:rPr>
          <w:rFonts w:ascii="Times New Roman" w:hAnsi="Times New Roman"/>
          <w:bCs/>
          <w:noProof/>
          <w:szCs w:val="24"/>
          <w:lang w:val="sr-Cyrl-RS"/>
        </w:rPr>
        <w:t xml:space="preserve"> млрд динара</w:t>
      </w:r>
      <w:r w:rsidR="000027E8" w:rsidRPr="002C3A49">
        <w:rPr>
          <w:rFonts w:ascii="Times New Roman" w:hAnsi="Times New Roman"/>
          <w:bCs/>
          <w:noProof/>
          <w:szCs w:val="24"/>
          <w:lang w:val="sr-Cyrl-RS"/>
        </w:rPr>
        <w:t>.</w:t>
      </w:r>
    </w:p>
    <w:tbl>
      <w:tblPr>
        <w:tblW w:w="5050" w:type="pct"/>
        <w:tblLook w:val="04A0" w:firstRow="1" w:lastRow="0" w:firstColumn="1" w:lastColumn="0" w:noHBand="0" w:noVBand="1"/>
      </w:tblPr>
      <w:tblGrid>
        <w:gridCol w:w="4405"/>
        <w:gridCol w:w="1044"/>
        <w:gridCol w:w="916"/>
        <w:gridCol w:w="860"/>
        <w:gridCol w:w="1195"/>
        <w:gridCol w:w="1195"/>
      </w:tblGrid>
      <w:tr w:rsidR="006E7841" w:rsidRPr="002C3A49" w14:paraId="70E1CE08" w14:textId="77777777" w:rsidTr="005A0B30">
        <w:trPr>
          <w:trHeight w:val="1035"/>
        </w:trPr>
        <w:tc>
          <w:tcPr>
            <w:tcW w:w="2236" w:type="pc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09478D87"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ОПИС</w:t>
            </w:r>
          </w:p>
        </w:tc>
        <w:tc>
          <w:tcPr>
            <w:tcW w:w="546" w:type="pct"/>
            <w:tcBorders>
              <w:top w:val="single" w:sz="8" w:space="0" w:color="000000"/>
              <w:left w:val="nil"/>
              <w:bottom w:val="single" w:sz="8" w:space="0" w:color="000000"/>
              <w:right w:val="single" w:sz="8" w:space="0" w:color="000000"/>
            </w:tcBorders>
            <w:shd w:val="clear" w:color="000000" w:fill="C5D9F1"/>
            <w:vAlign w:val="center"/>
            <w:hideMark/>
          </w:tcPr>
          <w:p w14:paraId="190D3203"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Ребаланс 2023</w:t>
            </w:r>
          </w:p>
        </w:tc>
        <w:tc>
          <w:tcPr>
            <w:tcW w:w="481" w:type="pct"/>
            <w:tcBorders>
              <w:top w:val="single" w:sz="8" w:space="0" w:color="000000"/>
              <w:left w:val="nil"/>
              <w:bottom w:val="single" w:sz="8" w:space="0" w:color="000000"/>
              <w:right w:val="single" w:sz="8" w:space="0" w:color="000000"/>
            </w:tcBorders>
            <w:shd w:val="clear" w:color="000000" w:fill="C5D9F1"/>
            <w:vAlign w:val="center"/>
            <w:hideMark/>
          </w:tcPr>
          <w:p w14:paraId="2A4458E2"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Буџет 2024</w:t>
            </w:r>
          </w:p>
        </w:tc>
        <w:tc>
          <w:tcPr>
            <w:tcW w:w="493" w:type="pct"/>
            <w:tcBorders>
              <w:top w:val="single" w:sz="8" w:space="0" w:color="000000"/>
              <w:left w:val="nil"/>
              <w:bottom w:val="single" w:sz="8" w:space="0" w:color="000000"/>
              <w:right w:val="single" w:sz="8" w:space="0" w:color="000000"/>
            </w:tcBorders>
            <w:shd w:val="clear" w:color="000000" w:fill="C5D9F1"/>
            <w:vAlign w:val="center"/>
            <w:hideMark/>
          </w:tcPr>
          <w:p w14:paraId="1B12ADFF"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индекс</w:t>
            </w:r>
          </w:p>
        </w:tc>
        <w:tc>
          <w:tcPr>
            <w:tcW w:w="622" w:type="pct"/>
            <w:tcBorders>
              <w:top w:val="single" w:sz="8" w:space="0" w:color="000000"/>
              <w:left w:val="nil"/>
              <w:bottom w:val="single" w:sz="8" w:space="0" w:color="000000"/>
              <w:right w:val="single" w:sz="8" w:space="0" w:color="000000"/>
            </w:tcBorders>
            <w:shd w:val="clear" w:color="000000" w:fill="C5D9F1"/>
            <w:vAlign w:val="center"/>
            <w:hideMark/>
          </w:tcPr>
          <w:p w14:paraId="36A9C596"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Структура расхода Ребаланс 2023, у %</w:t>
            </w:r>
          </w:p>
        </w:tc>
        <w:tc>
          <w:tcPr>
            <w:tcW w:w="622" w:type="pct"/>
            <w:tcBorders>
              <w:top w:val="single" w:sz="8" w:space="0" w:color="000000"/>
              <w:left w:val="nil"/>
              <w:bottom w:val="single" w:sz="8" w:space="0" w:color="000000"/>
              <w:right w:val="single" w:sz="8" w:space="0" w:color="000000"/>
            </w:tcBorders>
            <w:shd w:val="clear" w:color="000000" w:fill="C5D9F1"/>
            <w:vAlign w:val="center"/>
            <w:hideMark/>
          </w:tcPr>
          <w:p w14:paraId="2A0DDCF1" w14:textId="77777777" w:rsidR="006E7841" w:rsidRPr="002C3A49" w:rsidRDefault="006E7841" w:rsidP="005A0B30">
            <w:pPr>
              <w:jc w:val="cente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Структура расхода Буџет 2024, у %</w:t>
            </w:r>
          </w:p>
        </w:tc>
      </w:tr>
      <w:tr w:rsidR="006E7841" w:rsidRPr="002C3A49" w14:paraId="2DDCDA53"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21AA09DC" w14:textId="77777777" w:rsidR="006E7841" w:rsidRPr="002C3A49" w:rsidRDefault="006E7841" w:rsidP="005A0B30">
            <w:pP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УКУПНИ РАСХОДИ И ИЗДАЦИ</w:t>
            </w:r>
          </w:p>
        </w:tc>
        <w:tc>
          <w:tcPr>
            <w:tcW w:w="546" w:type="pct"/>
            <w:tcBorders>
              <w:top w:val="nil"/>
              <w:left w:val="nil"/>
              <w:bottom w:val="single" w:sz="8" w:space="0" w:color="000000"/>
              <w:right w:val="single" w:sz="8" w:space="0" w:color="000000"/>
            </w:tcBorders>
            <w:shd w:val="clear" w:color="auto" w:fill="auto"/>
            <w:noWrap/>
            <w:vAlign w:val="center"/>
            <w:hideMark/>
          </w:tcPr>
          <w:p w14:paraId="134907A1"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2.131,47</w:t>
            </w:r>
          </w:p>
        </w:tc>
        <w:tc>
          <w:tcPr>
            <w:tcW w:w="481" w:type="pct"/>
            <w:tcBorders>
              <w:top w:val="nil"/>
              <w:left w:val="nil"/>
              <w:bottom w:val="single" w:sz="8" w:space="0" w:color="000000"/>
              <w:right w:val="single" w:sz="8" w:space="0" w:color="000000"/>
            </w:tcBorders>
            <w:shd w:val="clear" w:color="auto" w:fill="auto"/>
            <w:noWrap/>
            <w:vAlign w:val="center"/>
            <w:hideMark/>
          </w:tcPr>
          <w:p w14:paraId="73B662A2"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2.237,87</w:t>
            </w:r>
          </w:p>
        </w:tc>
        <w:tc>
          <w:tcPr>
            <w:tcW w:w="493" w:type="pct"/>
            <w:tcBorders>
              <w:top w:val="nil"/>
              <w:left w:val="nil"/>
              <w:bottom w:val="single" w:sz="8" w:space="0" w:color="000000"/>
              <w:right w:val="single" w:sz="8" w:space="0" w:color="000000"/>
            </w:tcBorders>
            <w:shd w:val="clear" w:color="auto" w:fill="auto"/>
            <w:noWrap/>
            <w:vAlign w:val="center"/>
            <w:hideMark/>
          </w:tcPr>
          <w:p w14:paraId="36F2D511"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104,99</w:t>
            </w:r>
          </w:p>
        </w:tc>
        <w:tc>
          <w:tcPr>
            <w:tcW w:w="622" w:type="pct"/>
            <w:tcBorders>
              <w:top w:val="nil"/>
              <w:left w:val="nil"/>
              <w:bottom w:val="single" w:sz="8" w:space="0" w:color="000000"/>
              <w:right w:val="single" w:sz="8" w:space="0" w:color="000000"/>
            </w:tcBorders>
            <w:shd w:val="clear" w:color="auto" w:fill="auto"/>
            <w:noWrap/>
            <w:vAlign w:val="center"/>
            <w:hideMark/>
          </w:tcPr>
          <w:p w14:paraId="1CE4BC87"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100,00%</w:t>
            </w:r>
          </w:p>
        </w:tc>
        <w:tc>
          <w:tcPr>
            <w:tcW w:w="622" w:type="pct"/>
            <w:tcBorders>
              <w:top w:val="nil"/>
              <w:left w:val="nil"/>
              <w:bottom w:val="single" w:sz="8" w:space="0" w:color="000000"/>
              <w:right w:val="single" w:sz="8" w:space="0" w:color="000000"/>
            </w:tcBorders>
            <w:shd w:val="clear" w:color="auto" w:fill="auto"/>
            <w:noWrap/>
            <w:vAlign w:val="center"/>
            <w:hideMark/>
          </w:tcPr>
          <w:p w14:paraId="0E21483C"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100,00%</w:t>
            </w:r>
          </w:p>
        </w:tc>
      </w:tr>
      <w:tr w:rsidR="006E7841" w:rsidRPr="002C3A49" w14:paraId="37F60F26"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0CB0624B" w14:textId="77777777" w:rsidR="006E7841" w:rsidRPr="002C3A49" w:rsidRDefault="006E7841" w:rsidP="005A0B30">
            <w:pP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Текући расходи</w:t>
            </w:r>
          </w:p>
        </w:tc>
        <w:tc>
          <w:tcPr>
            <w:tcW w:w="546" w:type="pct"/>
            <w:tcBorders>
              <w:top w:val="nil"/>
              <w:left w:val="nil"/>
              <w:bottom w:val="single" w:sz="8" w:space="0" w:color="000000"/>
              <w:right w:val="single" w:sz="8" w:space="0" w:color="000000"/>
            </w:tcBorders>
            <w:shd w:val="clear" w:color="auto" w:fill="auto"/>
            <w:noWrap/>
            <w:vAlign w:val="center"/>
            <w:hideMark/>
          </w:tcPr>
          <w:p w14:paraId="65B79D4D"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1.579,14</w:t>
            </w:r>
          </w:p>
        </w:tc>
        <w:tc>
          <w:tcPr>
            <w:tcW w:w="481" w:type="pct"/>
            <w:tcBorders>
              <w:top w:val="nil"/>
              <w:left w:val="nil"/>
              <w:bottom w:val="single" w:sz="8" w:space="0" w:color="000000"/>
              <w:right w:val="single" w:sz="8" w:space="0" w:color="000000"/>
            </w:tcBorders>
            <w:shd w:val="clear" w:color="auto" w:fill="auto"/>
            <w:noWrap/>
            <w:vAlign w:val="center"/>
            <w:hideMark/>
          </w:tcPr>
          <w:p w14:paraId="501A8CCE"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1.696,07</w:t>
            </w:r>
          </w:p>
        </w:tc>
        <w:tc>
          <w:tcPr>
            <w:tcW w:w="493" w:type="pct"/>
            <w:tcBorders>
              <w:top w:val="nil"/>
              <w:left w:val="nil"/>
              <w:bottom w:val="single" w:sz="8" w:space="0" w:color="000000"/>
              <w:right w:val="single" w:sz="8" w:space="0" w:color="000000"/>
            </w:tcBorders>
            <w:shd w:val="clear" w:color="auto" w:fill="auto"/>
            <w:noWrap/>
            <w:vAlign w:val="center"/>
            <w:hideMark/>
          </w:tcPr>
          <w:p w14:paraId="2598A204"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107,40</w:t>
            </w:r>
          </w:p>
        </w:tc>
        <w:tc>
          <w:tcPr>
            <w:tcW w:w="622" w:type="pct"/>
            <w:tcBorders>
              <w:top w:val="nil"/>
              <w:left w:val="nil"/>
              <w:bottom w:val="single" w:sz="8" w:space="0" w:color="000000"/>
              <w:right w:val="single" w:sz="8" w:space="0" w:color="000000"/>
            </w:tcBorders>
            <w:shd w:val="clear" w:color="auto" w:fill="auto"/>
            <w:noWrap/>
            <w:vAlign w:val="center"/>
            <w:hideMark/>
          </w:tcPr>
          <w:p w14:paraId="6B8C2B7F"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74,09%</w:t>
            </w:r>
          </w:p>
        </w:tc>
        <w:tc>
          <w:tcPr>
            <w:tcW w:w="622" w:type="pct"/>
            <w:tcBorders>
              <w:top w:val="nil"/>
              <w:left w:val="nil"/>
              <w:bottom w:val="single" w:sz="8" w:space="0" w:color="000000"/>
              <w:right w:val="single" w:sz="8" w:space="0" w:color="000000"/>
            </w:tcBorders>
            <w:shd w:val="clear" w:color="auto" w:fill="auto"/>
            <w:noWrap/>
            <w:vAlign w:val="center"/>
            <w:hideMark/>
          </w:tcPr>
          <w:p w14:paraId="7B6DA23E"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75,79%</w:t>
            </w:r>
          </w:p>
        </w:tc>
      </w:tr>
      <w:tr w:rsidR="006E7841" w:rsidRPr="002C3A49" w14:paraId="15BD35CC"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75AFEA8F"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 xml:space="preserve">Расходи за запослене </w:t>
            </w:r>
          </w:p>
        </w:tc>
        <w:tc>
          <w:tcPr>
            <w:tcW w:w="546" w:type="pct"/>
            <w:tcBorders>
              <w:top w:val="nil"/>
              <w:left w:val="nil"/>
              <w:bottom w:val="single" w:sz="8" w:space="0" w:color="000000"/>
              <w:right w:val="single" w:sz="8" w:space="0" w:color="000000"/>
            </w:tcBorders>
            <w:shd w:val="clear" w:color="auto" w:fill="auto"/>
            <w:noWrap/>
            <w:vAlign w:val="center"/>
            <w:hideMark/>
          </w:tcPr>
          <w:p w14:paraId="78C67445"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416,76</w:t>
            </w:r>
          </w:p>
        </w:tc>
        <w:tc>
          <w:tcPr>
            <w:tcW w:w="481" w:type="pct"/>
            <w:tcBorders>
              <w:top w:val="nil"/>
              <w:left w:val="nil"/>
              <w:bottom w:val="single" w:sz="8" w:space="0" w:color="000000"/>
              <w:right w:val="single" w:sz="8" w:space="0" w:color="000000"/>
            </w:tcBorders>
            <w:shd w:val="clear" w:color="auto" w:fill="auto"/>
            <w:noWrap/>
            <w:vAlign w:val="center"/>
            <w:hideMark/>
          </w:tcPr>
          <w:p w14:paraId="706772E0"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475,61</w:t>
            </w:r>
          </w:p>
        </w:tc>
        <w:tc>
          <w:tcPr>
            <w:tcW w:w="493" w:type="pct"/>
            <w:tcBorders>
              <w:top w:val="nil"/>
              <w:left w:val="nil"/>
              <w:bottom w:val="single" w:sz="8" w:space="0" w:color="000000"/>
              <w:right w:val="single" w:sz="8" w:space="0" w:color="000000"/>
            </w:tcBorders>
            <w:shd w:val="clear" w:color="auto" w:fill="auto"/>
            <w:noWrap/>
            <w:vAlign w:val="center"/>
            <w:hideMark/>
          </w:tcPr>
          <w:p w14:paraId="4BAEE64C"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114,12</w:t>
            </w:r>
          </w:p>
        </w:tc>
        <w:tc>
          <w:tcPr>
            <w:tcW w:w="622" w:type="pct"/>
            <w:tcBorders>
              <w:top w:val="nil"/>
              <w:left w:val="nil"/>
              <w:bottom w:val="single" w:sz="8" w:space="0" w:color="000000"/>
              <w:right w:val="single" w:sz="8" w:space="0" w:color="000000"/>
            </w:tcBorders>
            <w:shd w:val="clear" w:color="auto" w:fill="auto"/>
            <w:noWrap/>
            <w:vAlign w:val="center"/>
            <w:hideMark/>
          </w:tcPr>
          <w:p w14:paraId="0FC5D33F"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19,55%</w:t>
            </w:r>
          </w:p>
        </w:tc>
        <w:tc>
          <w:tcPr>
            <w:tcW w:w="622" w:type="pct"/>
            <w:tcBorders>
              <w:top w:val="nil"/>
              <w:left w:val="nil"/>
              <w:bottom w:val="single" w:sz="8" w:space="0" w:color="000000"/>
              <w:right w:val="single" w:sz="8" w:space="0" w:color="000000"/>
            </w:tcBorders>
            <w:shd w:val="clear" w:color="auto" w:fill="auto"/>
            <w:noWrap/>
            <w:vAlign w:val="center"/>
            <w:hideMark/>
          </w:tcPr>
          <w:p w14:paraId="3345BF00"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21,25%</w:t>
            </w:r>
          </w:p>
        </w:tc>
      </w:tr>
      <w:tr w:rsidR="006E7841" w:rsidRPr="002C3A49" w14:paraId="52FB0545"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16C5A1F0"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 xml:space="preserve">Расходи за коришћење услуга и роба </w:t>
            </w:r>
          </w:p>
        </w:tc>
        <w:tc>
          <w:tcPr>
            <w:tcW w:w="546" w:type="pct"/>
            <w:tcBorders>
              <w:top w:val="nil"/>
              <w:left w:val="nil"/>
              <w:bottom w:val="single" w:sz="8" w:space="0" w:color="000000"/>
              <w:right w:val="single" w:sz="8" w:space="0" w:color="000000"/>
            </w:tcBorders>
            <w:shd w:val="clear" w:color="auto" w:fill="auto"/>
            <w:noWrap/>
            <w:vAlign w:val="center"/>
            <w:hideMark/>
          </w:tcPr>
          <w:p w14:paraId="36E22AF6"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182,36</w:t>
            </w:r>
          </w:p>
        </w:tc>
        <w:tc>
          <w:tcPr>
            <w:tcW w:w="481" w:type="pct"/>
            <w:tcBorders>
              <w:top w:val="nil"/>
              <w:left w:val="nil"/>
              <w:bottom w:val="single" w:sz="8" w:space="0" w:color="000000"/>
              <w:right w:val="single" w:sz="8" w:space="0" w:color="000000"/>
            </w:tcBorders>
            <w:shd w:val="clear" w:color="auto" w:fill="auto"/>
            <w:noWrap/>
            <w:vAlign w:val="center"/>
            <w:hideMark/>
          </w:tcPr>
          <w:p w14:paraId="1D96F0B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210,01</w:t>
            </w:r>
          </w:p>
        </w:tc>
        <w:tc>
          <w:tcPr>
            <w:tcW w:w="493" w:type="pct"/>
            <w:tcBorders>
              <w:top w:val="nil"/>
              <w:left w:val="nil"/>
              <w:bottom w:val="single" w:sz="8" w:space="0" w:color="000000"/>
              <w:right w:val="single" w:sz="8" w:space="0" w:color="000000"/>
            </w:tcBorders>
            <w:shd w:val="clear" w:color="auto" w:fill="auto"/>
            <w:noWrap/>
            <w:vAlign w:val="center"/>
            <w:hideMark/>
          </w:tcPr>
          <w:p w14:paraId="429E668A"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115,16</w:t>
            </w:r>
          </w:p>
        </w:tc>
        <w:tc>
          <w:tcPr>
            <w:tcW w:w="622" w:type="pct"/>
            <w:tcBorders>
              <w:top w:val="nil"/>
              <w:left w:val="nil"/>
              <w:bottom w:val="single" w:sz="8" w:space="0" w:color="000000"/>
              <w:right w:val="single" w:sz="8" w:space="0" w:color="000000"/>
            </w:tcBorders>
            <w:shd w:val="clear" w:color="auto" w:fill="auto"/>
            <w:noWrap/>
            <w:vAlign w:val="center"/>
            <w:hideMark/>
          </w:tcPr>
          <w:p w14:paraId="51D09AD7"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8,56%</w:t>
            </w:r>
          </w:p>
        </w:tc>
        <w:tc>
          <w:tcPr>
            <w:tcW w:w="622" w:type="pct"/>
            <w:tcBorders>
              <w:top w:val="nil"/>
              <w:left w:val="nil"/>
              <w:bottom w:val="single" w:sz="8" w:space="0" w:color="000000"/>
              <w:right w:val="single" w:sz="8" w:space="0" w:color="000000"/>
            </w:tcBorders>
            <w:shd w:val="clear" w:color="auto" w:fill="auto"/>
            <w:noWrap/>
            <w:vAlign w:val="center"/>
            <w:hideMark/>
          </w:tcPr>
          <w:p w14:paraId="4AD11AB9"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9,38%</w:t>
            </w:r>
          </w:p>
        </w:tc>
      </w:tr>
      <w:tr w:rsidR="006E7841" w:rsidRPr="002C3A49" w14:paraId="66C98068"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03060EA6"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Отплата камата и пратећи трошкови задуживања</w:t>
            </w:r>
          </w:p>
        </w:tc>
        <w:tc>
          <w:tcPr>
            <w:tcW w:w="546" w:type="pct"/>
            <w:tcBorders>
              <w:top w:val="nil"/>
              <w:left w:val="nil"/>
              <w:bottom w:val="single" w:sz="8" w:space="0" w:color="000000"/>
              <w:right w:val="single" w:sz="8" w:space="0" w:color="000000"/>
            </w:tcBorders>
            <w:shd w:val="clear" w:color="auto" w:fill="auto"/>
            <w:noWrap/>
            <w:vAlign w:val="center"/>
            <w:hideMark/>
          </w:tcPr>
          <w:p w14:paraId="1A6C9CF8"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148,76</w:t>
            </w:r>
          </w:p>
        </w:tc>
        <w:tc>
          <w:tcPr>
            <w:tcW w:w="481" w:type="pct"/>
            <w:tcBorders>
              <w:top w:val="nil"/>
              <w:left w:val="nil"/>
              <w:bottom w:val="single" w:sz="8" w:space="0" w:color="000000"/>
              <w:right w:val="single" w:sz="8" w:space="0" w:color="000000"/>
            </w:tcBorders>
            <w:shd w:val="clear" w:color="auto" w:fill="auto"/>
            <w:noWrap/>
            <w:vAlign w:val="center"/>
            <w:hideMark/>
          </w:tcPr>
          <w:p w14:paraId="53CEA572"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183,57</w:t>
            </w:r>
          </w:p>
        </w:tc>
        <w:tc>
          <w:tcPr>
            <w:tcW w:w="493" w:type="pct"/>
            <w:tcBorders>
              <w:top w:val="nil"/>
              <w:left w:val="nil"/>
              <w:bottom w:val="single" w:sz="8" w:space="0" w:color="000000"/>
              <w:right w:val="single" w:sz="8" w:space="0" w:color="000000"/>
            </w:tcBorders>
            <w:shd w:val="clear" w:color="auto" w:fill="auto"/>
            <w:noWrap/>
            <w:vAlign w:val="center"/>
            <w:hideMark/>
          </w:tcPr>
          <w:p w14:paraId="39ADDE9B"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123,40</w:t>
            </w:r>
          </w:p>
        </w:tc>
        <w:tc>
          <w:tcPr>
            <w:tcW w:w="622" w:type="pct"/>
            <w:tcBorders>
              <w:top w:val="nil"/>
              <w:left w:val="nil"/>
              <w:bottom w:val="single" w:sz="8" w:space="0" w:color="000000"/>
              <w:right w:val="single" w:sz="8" w:space="0" w:color="000000"/>
            </w:tcBorders>
            <w:shd w:val="clear" w:color="auto" w:fill="auto"/>
            <w:noWrap/>
            <w:vAlign w:val="center"/>
            <w:hideMark/>
          </w:tcPr>
          <w:p w14:paraId="5E41B221"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6,98%</w:t>
            </w:r>
          </w:p>
        </w:tc>
        <w:tc>
          <w:tcPr>
            <w:tcW w:w="622" w:type="pct"/>
            <w:tcBorders>
              <w:top w:val="nil"/>
              <w:left w:val="nil"/>
              <w:bottom w:val="single" w:sz="8" w:space="0" w:color="000000"/>
              <w:right w:val="single" w:sz="8" w:space="0" w:color="000000"/>
            </w:tcBorders>
            <w:shd w:val="clear" w:color="auto" w:fill="auto"/>
            <w:noWrap/>
            <w:vAlign w:val="center"/>
            <w:hideMark/>
          </w:tcPr>
          <w:p w14:paraId="195B8351"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8,20%</w:t>
            </w:r>
          </w:p>
        </w:tc>
      </w:tr>
      <w:tr w:rsidR="006E7841" w:rsidRPr="002C3A49" w14:paraId="5000525C"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5B5008A5"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Субвенције</w:t>
            </w:r>
          </w:p>
        </w:tc>
        <w:tc>
          <w:tcPr>
            <w:tcW w:w="546" w:type="pct"/>
            <w:tcBorders>
              <w:top w:val="nil"/>
              <w:left w:val="nil"/>
              <w:bottom w:val="single" w:sz="8" w:space="0" w:color="000000"/>
              <w:right w:val="single" w:sz="8" w:space="0" w:color="000000"/>
            </w:tcBorders>
            <w:shd w:val="clear" w:color="auto" w:fill="auto"/>
            <w:noWrap/>
            <w:vAlign w:val="center"/>
            <w:hideMark/>
          </w:tcPr>
          <w:p w14:paraId="28688D3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226,10</w:t>
            </w:r>
          </w:p>
        </w:tc>
        <w:tc>
          <w:tcPr>
            <w:tcW w:w="481" w:type="pct"/>
            <w:tcBorders>
              <w:top w:val="nil"/>
              <w:left w:val="nil"/>
              <w:bottom w:val="single" w:sz="8" w:space="0" w:color="000000"/>
              <w:right w:val="single" w:sz="8" w:space="0" w:color="000000"/>
            </w:tcBorders>
            <w:shd w:val="clear" w:color="auto" w:fill="auto"/>
            <w:noWrap/>
            <w:vAlign w:val="center"/>
            <w:hideMark/>
          </w:tcPr>
          <w:p w14:paraId="4DFF3B32"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184,56</w:t>
            </w:r>
          </w:p>
        </w:tc>
        <w:tc>
          <w:tcPr>
            <w:tcW w:w="493" w:type="pct"/>
            <w:tcBorders>
              <w:top w:val="nil"/>
              <w:left w:val="nil"/>
              <w:bottom w:val="single" w:sz="8" w:space="0" w:color="000000"/>
              <w:right w:val="single" w:sz="8" w:space="0" w:color="000000"/>
            </w:tcBorders>
            <w:shd w:val="clear" w:color="auto" w:fill="auto"/>
            <w:noWrap/>
            <w:vAlign w:val="center"/>
            <w:hideMark/>
          </w:tcPr>
          <w:p w14:paraId="538EC56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81,63</w:t>
            </w:r>
          </w:p>
        </w:tc>
        <w:tc>
          <w:tcPr>
            <w:tcW w:w="622" w:type="pct"/>
            <w:tcBorders>
              <w:top w:val="nil"/>
              <w:left w:val="nil"/>
              <w:bottom w:val="single" w:sz="8" w:space="0" w:color="000000"/>
              <w:right w:val="single" w:sz="8" w:space="0" w:color="000000"/>
            </w:tcBorders>
            <w:shd w:val="clear" w:color="auto" w:fill="auto"/>
            <w:noWrap/>
            <w:vAlign w:val="center"/>
            <w:hideMark/>
          </w:tcPr>
          <w:p w14:paraId="2738E5C1"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10,61%</w:t>
            </w:r>
          </w:p>
        </w:tc>
        <w:tc>
          <w:tcPr>
            <w:tcW w:w="622" w:type="pct"/>
            <w:tcBorders>
              <w:top w:val="nil"/>
              <w:left w:val="nil"/>
              <w:bottom w:val="single" w:sz="8" w:space="0" w:color="000000"/>
              <w:right w:val="single" w:sz="8" w:space="0" w:color="000000"/>
            </w:tcBorders>
            <w:shd w:val="clear" w:color="auto" w:fill="auto"/>
            <w:noWrap/>
            <w:vAlign w:val="center"/>
            <w:hideMark/>
          </w:tcPr>
          <w:p w14:paraId="4CD2D9F4"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8,25%</w:t>
            </w:r>
          </w:p>
        </w:tc>
      </w:tr>
      <w:tr w:rsidR="006E7841" w:rsidRPr="002C3A49" w14:paraId="3FC0FA02"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376482C4"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Донације страним владама</w:t>
            </w:r>
          </w:p>
        </w:tc>
        <w:tc>
          <w:tcPr>
            <w:tcW w:w="546" w:type="pct"/>
            <w:tcBorders>
              <w:top w:val="nil"/>
              <w:left w:val="nil"/>
              <w:bottom w:val="single" w:sz="8" w:space="0" w:color="000000"/>
              <w:right w:val="single" w:sz="8" w:space="0" w:color="000000"/>
            </w:tcBorders>
            <w:shd w:val="clear" w:color="auto" w:fill="auto"/>
            <w:noWrap/>
            <w:vAlign w:val="center"/>
            <w:hideMark/>
          </w:tcPr>
          <w:p w14:paraId="25F96FE6"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0,39</w:t>
            </w:r>
          </w:p>
        </w:tc>
        <w:tc>
          <w:tcPr>
            <w:tcW w:w="481" w:type="pct"/>
            <w:tcBorders>
              <w:top w:val="nil"/>
              <w:left w:val="nil"/>
              <w:bottom w:val="single" w:sz="8" w:space="0" w:color="000000"/>
              <w:right w:val="single" w:sz="8" w:space="0" w:color="000000"/>
            </w:tcBorders>
            <w:shd w:val="clear" w:color="auto" w:fill="auto"/>
            <w:noWrap/>
            <w:vAlign w:val="center"/>
            <w:hideMark/>
          </w:tcPr>
          <w:p w14:paraId="6D468419"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0,00</w:t>
            </w:r>
          </w:p>
        </w:tc>
        <w:tc>
          <w:tcPr>
            <w:tcW w:w="493" w:type="pct"/>
            <w:tcBorders>
              <w:top w:val="nil"/>
              <w:left w:val="nil"/>
              <w:bottom w:val="single" w:sz="8" w:space="0" w:color="000000"/>
              <w:right w:val="single" w:sz="8" w:space="0" w:color="000000"/>
            </w:tcBorders>
            <w:shd w:val="clear" w:color="auto" w:fill="auto"/>
            <w:noWrap/>
            <w:vAlign w:val="center"/>
            <w:hideMark/>
          </w:tcPr>
          <w:p w14:paraId="4546A01A"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0,26</w:t>
            </w:r>
          </w:p>
        </w:tc>
        <w:tc>
          <w:tcPr>
            <w:tcW w:w="622" w:type="pct"/>
            <w:tcBorders>
              <w:top w:val="nil"/>
              <w:left w:val="nil"/>
              <w:bottom w:val="single" w:sz="8" w:space="0" w:color="000000"/>
              <w:right w:val="single" w:sz="8" w:space="0" w:color="000000"/>
            </w:tcBorders>
            <w:shd w:val="clear" w:color="auto" w:fill="auto"/>
            <w:noWrap/>
            <w:vAlign w:val="center"/>
            <w:hideMark/>
          </w:tcPr>
          <w:p w14:paraId="4178EA60"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0,02%</w:t>
            </w:r>
          </w:p>
        </w:tc>
        <w:tc>
          <w:tcPr>
            <w:tcW w:w="622" w:type="pct"/>
            <w:tcBorders>
              <w:top w:val="nil"/>
              <w:left w:val="nil"/>
              <w:bottom w:val="single" w:sz="8" w:space="0" w:color="000000"/>
              <w:right w:val="single" w:sz="8" w:space="0" w:color="000000"/>
            </w:tcBorders>
            <w:shd w:val="clear" w:color="auto" w:fill="auto"/>
            <w:noWrap/>
            <w:vAlign w:val="center"/>
            <w:hideMark/>
          </w:tcPr>
          <w:p w14:paraId="56C4320D"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0,00%</w:t>
            </w:r>
          </w:p>
        </w:tc>
      </w:tr>
      <w:tr w:rsidR="006E7841" w:rsidRPr="002C3A49" w14:paraId="7C448A15"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6943FE08"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Дотације међународним организацијама</w:t>
            </w:r>
          </w:p>
        </w:tc>
        <w:tc>
          <w:tcPr>
            <w:tcW w:w="546" w:type="pct"/>
            <w:tcBorders>
              <w:top w:val="nil"/>
              <w:left w:val="nil"/>
              <w:bottom w:val="single" w:sz="8" w:space="0" w:color="000000"/>
              <w:right w:val="single" w:sz="8" w:space="0" w:color="000000"/>
            </w:tcBorders>
            <w:shd w:val="clear" w:color="auto" w:fill="auto"/>
            <w:noWrap/>
            <w:vAlign w:val="center"/>
            <w:hideMark/>
          </w:tcPr>
          <w:p w14:paraId="70757AE7"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11,14</w:t>
            </w:r>
          </w:p>
        </w:tc>
        <w:tc>
          <w:tcPr>
            <w:tcW w:w="481" w:type="pct"/>
            <w:tcBorders>
              <w:top w:val="nil"/>
              <w:left w:val="nil"/>
              <w:bottom w:val="single" w:sz="8" w:space="0" w:color="000000"/>
              <w:right w:val="single" w:sz="8" w:space="0" w:color="000000"/>
            </w:tcBorders>
            <w:shd w:val="clear" w:color="auto" w:fill="auto"/>
            <w:noWrap/>
            <w:vAlign w:val="center"/>
            <w:hideMark/>
          </w:tcPr>
          <w:p w14:paraId="65F8F5BD"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9,89</w:t>
            </w:r>
          </w:p>
        </w:tc>
        <w:tc>
          <w:tcPr>
            <w:tcW w:w="493" w:type="pct"/>
            <w:tcBorders>
              <w:top w:val="nil"/>
              <w:left w:val="nil"/>
              <w:bottom w:val="single" w:sz="8" w:space="0" w:color="000000"/>
              <w:right w:val="single" w:sz="8" w:space="0" w:color="000000"/>
            </w:tcBorders>
            <w:shd w:val="clear" w:color="auto" w:fill="auto"/>
            <w:noWrap/>
            <w:vAlign w:val="center"/>
            <w:hideMark/>
          </w:tcPr>
          <w:p w14:paraId="1AF83D63"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88,76</w:t>
            </w:r>
          </w:p>
        </w:tc>
        <w:tc>
          <w:tcPr>
            <w:tcW w:w="622" w:type="pct"/>
            <w:tcBorders>
              <w:top w:val="nil"/>
              <w:left w:val="nil"/>
              <w:bottom w:val="single" w:sz="8" w:space="0" w:color="000000"/>
              <w:right w:val="single" w:sz="8" w:space="0" w:color="000000"/>
            </w:tcBorders>
            <w:shd w:val="clear" w:color="auto" w:fill="auto"/>
            <w:noWrap/>
            <w:vAlign w:val="center"/>
            <w:hideMark/>
          </w:tcPr>
          <w:p w14:paraId="4057BDC1"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0,52%</w:t>
            </w:r>
          </w:p>
        </w:tc>
        <w:tc>
          <w:tcPr>
            <w:tcW w:w="622" w:type="pct"/>
            <w:tcBorders>
              <w:top w:val="nil"/>
              <w:left w:val="nil"/>
              <w:bottom w:val="single" w:sz="8" w:space="0" w:color="000000"/>
              <w:right w:val="single" w:sz="8" w:space="0" w:color="000000"/>
            </w:tcBorders>
            <w:shd w:val="clear" w:color="auto" w:fill="auto"/>
            <w:noWrap/>
            <w:vAlign w:val="center"/>
            <w:hideMark/>
          </w:tcPr>
          <w:p w14:paraId="01177733"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0,44%</w:t>
            </w:r>
          </w:p>
        </w:tc>
      </w:tr>
      <w:tr w:rsidR="006E7841" w:rsidRPr="002C3A49" w14:paraId="59FBD3B5"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6C724E6C"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Трансфери осталим нивоима власти</w:t>
            </w:r>
          </w:p>
        </w:tc>
        <w:tc>
          <w:tcPr>
            <w:tcW w:w="546" w:type="pct"/>
            <w:tcBorders>
              <w:top w:val="nil"/>
              <w:left w:val="nil"/>
              <w:bottom w:val="single" w:sz="8" w:space="0" w:color="000000"/>
              <w:right w:val="single" w:sz="8" w:space="0" w:color="000000"/>
            </w:tcBorders>
            <w:shd w:val="clear" w:color="auto" w:fill="auto"/>
            <w:noWrap/>
            <w:vAlign w:val="center"/>
            <w:hideMark/>
          </w:tcPr>
          <w:p w14:paraId="78378848"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112,78</w:t>
            </w:r>
          </w:p>
        </w:tc>
        <w:tc>
          <w:tcPr>
            <w:tcW w:w="481" w:type="pct"/>
            <w:tcBorders>
              <w:top w:val="nil"/>
              <w:left w:val="nil"/>
              <w:bottom w:val="single" w:sz="8" w:space="0" w:color="000000"/>
              <w:right w:val="single" w:sz="8" w:space="0" w:color="000000"/>
            </w:tcBorders>
            <w:shd w:val="clear" w:color="auto" w:fill="auto"/>
            <w:noWrap/>
            <w:vAlign w:val="center"/>
            <w:hideMark/>
          </w:tcPr>
          <w:p w14:paraId="05742686"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108,04</w:t>
            </w:r>
          </w:p>
        </w:tc>
        <w:tc>
          <w:tcPr>
            <w:tcW w:w="493" w:type="pct"/>
            <w:tcBorders>
              <w:top w:val="nil"/>
              <w:left w:val="nil"/>
              <w:bottom w:val="single" w:sz="8" w:space="0" w:color="000000"/>
              <w:right w:val="single" w:sz="8" w:space="0" w:color="000000"/>
            </w:tcBorders>
            <w:shd w:val="clear" w:color="auto" w:fill="auto"/>
            <w:noWrap/>
            <w:vAlign w:val="center"/>
            <w:hideMark/>
          </w:tcPr>
          <w:p w14:paraId="53F6999A"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95,80</w:t>
            </w:r>
          </w:p>
        </w:tc>
        <w:tc>
          <w:tcPr>
            <w:tcW w:w="622" w:type="pct"/>
            <w:tcBorders>
              <w:top w:val="nil"/>
              <w:left w:val="nil"/>
              <w:bottom w:val="single" w:sz="8" w:space="0" w:color="000000"/>
              <w:right w:val="single" w:sz="8" w:space="0" w:color="000000"/>
            </w:tcBorders>
            <w:shd w:val="clear" w:color="auto" w:fill="auto"/>
            <w:noWrap/>
            <w:vAlign w:val="center"/>
            <w:hideMark/>
          </w:tcPr>
          <w:p w14:paraId="366F8841"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5,29%</w:t>
            </w:r>
          </w:p>
        </w:tc>
        <w:tc>
          <w:tcPr>
            <w:tcW w:w="622" w:type="pct"/>
            <w:tcBorders>
              <w:top w:val="nil"/>
              <w:left w:val="nil"/>
              <w:bottom w:val="single" w:sz="8" w:space="0" w:color="000000"/>
              <w:right w:val="single" w:sz="8" w:space="0" w:color="000000"/>
            </w:tcBorders>
            <w:shd w:val="clear" w:color="auto" w:fill="auto"/>
            <w:noWrap/>
            <w:vAlign w:val="center"/>
            <w:hideMark/>
          </w:tcPr>
          <w:p w14:paraId="6FCB013F"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4,83%</w:t>
            </w:r>
          </w:p>
        </w:tc>
      </w:tr>
      <w:tr w:rsidR="006E7841" w:rsidRPr="002C3A49" w14:paraId="1E7257D6"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2CF5B07B"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 xml:space="preserve">Дотације организацијама за обавезно социјално осигурање </w:t>
            </w:r>
          </w:p>
        </w:tc>
        <w:tc>
          <w:tcPr>
            <w:tcW w:w="546" w:type="pct"/>
            <w:tcBorders>
              <w:top w:val="nil"/>
              <w:left w:val="nil"/>
              <w:bottom w:val="single" w:sz="8" w:space="0" w:color="000000"/>
              <w:right w:val="single" w:sz="8" w:space="0" w:color="000000"/>
            </w:tcBorders>
            <w:shd w:val="clear" w:color="auto" w:fill="auto"/>
            <w:noWrap/>
            <w:vAlign w:val="center"/>
            <w:hideMark/>
          </w:tcPr>
          <w:p w14:paraId="68801D79"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264,90</w:t>
            </w:r>
          </w:p>
        </w:tc>
        <w:tc>
          <w:tcPr>
            <w:tcW w:w="481" w:type="pct"/>
            <w:tcBorders>
              <w:top w:val="nil"/>
              <w:left w:val="nil"/>
              <w:bottom w:val="single" w:sz="8" w:space="0" w:color="000000"/>
              <w:right w:val="single" w:sz="8" w:space="0" w:color="000000"/>
            </w:tcBorders>
            <w:shd w:val="clear" w:color="auto" w:fill="auto"/>
            <w:noWrap/>
            <w:vAlign w:val="center"/>
            <w:hideMark/>
          </w:tcPr>
          <w:p w14:paraId="15F78D0B"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314,49</w:t>
            </w:r>
          </w:p>
        </w:tc>
        <w:tc>
          <w:tcPr>
            <w:tcW w:w="493" w:type="pct"/>
            <w:tcBorders>
              <w:top w:val="nil"/>
              <w:left w:val="nil"/>
              <w:bottom w:val="single" w:sz="8" w:space="0" w:color="000000"/>
              <w:right w:val="single" w:sz="8" w:space="0" w:color="000000"/>
            </w:tcBorders>
            <w:shd w:val="clear" w:color="auto" w:fill="auto"/>
            <w:noWrap/>
            <w:vAlign w:val="center"/>
            <w:hideMark/>
          </w:tcPr>
          <w:p w14:paraId="54EA898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118,72</w:t>
            </w:r>
          </w:p>
        </w:tc>
        <w:tc>
          <w:tcPr>
            <w:tcW w:w="622" w:type="pct"/>
            <w:tcBorders>
              <w:top w:val="nil"/>
              <w:left w:val="nil"/>
              <w:bottom w:val="single" w:sz="8" w:space="0" w:color="000000"/>
              <w:right w:val="single" w:sz="8" w:space="0" w:color="000000"/>
            </w:tcBorders>
            <w:shd w:val="clear" w:color="auto" w:fill="auto"/>
            <w:noWrap/>
            <w:vAlign w:val="center"/>
            <w:hideMark/>
          </w:tcPr>
          <w:p w14:paraId="44ABED05"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12,43%</w:t>
            </w:r>
          </w:p>
        </w:tc>
        <w:tc>
          <w:tcPr>
            <w:tcW w:w="622" w:type="pct"/>
            <w:tcBorders>
              <w:top w:val="nil"/>
              <w:left w:val="nil"/>
              <w:bottom w:val="single" w:sz="8" w:space="0" w:color="000000"/>
              <w:right w:val="single" w:sz="8" w:space="0" w:color="000000"/>
            </w:tcBorders>
            <w:shd w:val="clear" w:color="auto" w:fill="auto"/>
            <w:noWrap/>
            <w:vAlign w:val="center"/>
            <w:hideMark/>
          </w:tcPr>
          <w:p w14:paraId="12B0A9E4"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14,05%</w:t>
            </w:r>
          </w:p>
        </w:tc>
      </w:tr>
      <w:tr w:rsidR="006E7841" w:rsidRPr="002C3A49" w14:paraId="17DBD9BD"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23A07593"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Остале дотације и трансфери</w:t>
            </w:r>
          </w:p>
        </w:tc>
        <w:tc>
          <w:tcPr>
            <w:tcW w:w="546" w:type="pct"/>
            <w:tcBorders>
              <w:top w:val="nil"/>
              <w:left w:val="nil"/>
              <w:bottom w:val="single" w:sz="8" w:space="0" w:color="000000"/>
              <w:right w:val="single" w:sz="8" w:space="0" w:color="000000"/>
            </w:tcBorders>
            <w:shd w:val="clear" w:color="auto" w:fill="auto"/>
            <w:noWrap/>
            <w:vAlign w:val="center"/>
            <w:hideMark/>
          </w:tcPr>
          <w:p w14:paraId="5DCB5128"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5,01</w:t>
            </w:r>
          </w:p>
        </w:tc>
        <w:tc>
          <w:tcPr>
            <w:tcW w:w="481" w:type="pct"/>
            <w:tcBorders>
              <w:top w:val="nil"/>
              <w:left w:val="nil"/>
              <w:bottom w:val="single" w:sz="8" w:space="0" w:color="000000"/>
              <w:right w:val="single" w:sz="8" w:space="0" w:color="000000"/>
            </w:tcBorders>
            <w:shd w:val="clear" w:color="auto" w:fill="auto"/>
            <w:noWrap/>
            <w:vAlign w:val="center"/>
            <w:hideMark/>
          </w:tcPr>
          <w:p w14:paraId="5BF553A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3,34</w:t>
            </w:r>
          </w:p>
        </w:tc>
        <w:tc>
          <w:tcPr>
            <w:tcW w:w="493" w:type="pct"/>
            <w:tcBorders>
              <w:top w:val="nil"/>
              <w:left w:val="nil"/>
              <w:bottom w:val="single" w:sz="8" w:space="0" w:color="000000"/>
              <w:right w:val="single" w:sz="8" w:space="0" w:color="000000"/>
            </w:tcBorders>
            <w:shd w:val="clear" w:color="auto" w:fill="auto"/>
            <w:noWrap/>
            <w:vAlign w:val="center"/>
            <w:hideMark/>
          </w:tcPr>
          <w:p w14:paraId="6D98267B"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66,62</w:t>
            </w:r>
          </w:p>
        </w:tc>
        <w:tc>
          <w:tcPr>
            <w:tcW w:w="622" w:type="pct"/>
            <w:tcBorders>
              <w:top w:val="nil"/>
              <w:left w:val="nil"/>
              <w:bottom w:val="single" w:sz="8" w:space="0" w:color="000000"/>
              <w:right w:val="single" w:sz="8" w:space="0" w:color="000000"/>
            </w:tcBorders>
            <w:shd w:val="clear" w:color="auto" w:fill="auto"/>
            <w:noWrap/>
            <w:vAlign w:val="center"/>
            <w:hideMark/>
          </w:tcPr>
          <w:p w14:paraId="01092896"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0,24%</w:t>
            </w:r>
          </w:p>
        </w:tc>
        <w:tc>
          <w:tcPr>
            <w:tcW w:w="622" w:type="pct"/>
            <w:tcBorders>
              <w:top w:val="nil"/>
              <w:left w:val="nil"/>
              <w:bottom w:val="single" w:sz="8" w:space="0" w:color="000000"/>
              <w:right w:val="single" w:sz="8" w:space="0" w:color="000000"/>
            </w:tcBorders>
            <w:shd w:val="clear" w:color="auto" w:fill="auto"/>
            <w:noWrap/>
            <w:vAlign w:val="center"/>
            <w:hideMark/>
          </w:tcPr>
          <w:p w14:paraId="5766A52F"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0,15%</w:t>
            </w:r>
          </w:p>
        </w:tc>
      </w:tr>
      <w:tr w:rsidR="006E7841" w:rsidRPr="002C3A49" w14:paraId="1887FA0E"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683CE88C"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Социјално осигурање и социјална заштита</w:t>
            </w:r>
          </w:p>
        </w:tc>
        <w:tc>
          <w:tcPr>
            <w:tcW w:w="546" w:type="pct"/>
            <w:tcBorders>
              <w:top w:val="nil"/>
              <w:left w:val="nil"/>
              <w:bottom w:val="single" w:sz="8" w:space="0" w:color="000000"/>
              <w:right w:val="single" w:sz="8" w:space="0" w:color="000000"/>
            </w:tcBorders>
            <w:shd w:val="clear" w:color="auto" w:fill="auto"/>
            <w:noWrap/>
            <w:vAlign w:val="center"/>
            <w:hideMark/>
          </w:tcPr>
          <w:p w14:paraId="03B2283E"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154,15</w:t>
            </w:r>
          </w:p>
        </w:tc>
        <w:tc>
          <w:tcPr>
            <w:tcW w:w="481" w:type="pct"/>
            <w:tcBorders>
              <w:top w:val="nil"/>
              <w:left w:val="nil"/>
              <w:bottom w:val="single" w:sz="8" w:space="0" w:color="000000"/>
              <w:right w:val="single" w:sz="8" w:space="0" w:color="000000"/>
            </w:tcBorders>
            <w:shd w:val="clear" w:color="auto" w:fill="auto"/>
            <w:noWrap/>
            <w:vAlign w:val="center"/>
            <w:hideMark/>
          </w:tcPr>
          <w:p w14:paraId="64BE7CC8"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156,69</w:t>
            </w:r>
          </w:p>
        </w:tc>
        <w:tc>
          <w:tcPr>
            <w:tcW w:w="493" w:type="pct"/>
            <w:tcBorders>
              <w:top w:val="nil"/>
              <w:left w:val="nil"/>
              <w:bottom w:val="single" w:sz="8" w:space="0" w:color="000000"/>
              <w:right w:val="single" w:sz="8" w:space="0" w:color="000000"/>
            </w:tcBorders>
            <w:shd w:val="clear" w:color="auto" w:fill="auto"/>
            <w:noWrap/>
            <w:vAlign w:val="center"/>
            <w:hideMark/>
          </w:tcPr>
          <w:p w14:paraId="7AC5EF93"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101,64</w:t>
            </w:r>
          </w:p>
        </w:tc>
        <w:tc>
          <w:tcPr>
            <w:tcW w:w="622" w:type="pct"/>
            <w:tcBorders>
              <w:top w:val="nil"/>
              <w:left w:val="nil"/>
              <w:bottom w:val="single" w:sz="8" w:space="0" w:color="000000"/>
              <w:right w:val="single" w:sz="8" w:space="0" w:color="000000"/>
            </w:tcBorders>
            <w:shd w:val="clear" w:color="auto" w:fill="auto"/>
            <w:noWrap/>
            <w:vAlign w:val="center"/>
            <w:hideMark/>
          </w:tcPr>
          <w:p w14:paraId="1684E253"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7,23%</w:t>
            </w:r>
          </w:p>
        </w:tc>
        <w:tc>
          <w:tcPr>
            <w:tcW w:w="622" w:type="pct"/>
            <w:tcBorders>
              <w:top w:val="nil"/>
              <w:left w:val="nil"/>
              <w:bottom w:val="single" w:sz="8" w:space="0" w:color="000000"/>
              <w:right w:val="single" w:sz="8" w:space="0" w:color="000000"/>
            </w:tcBorders>
            <w:shd w:val="clear" w:color="auto" w:fill="auto"/>
            <w:noWrap/>
            <w:vAlign w:val="center"/>
            <w:hideMark/>
          </w:tcPr>
          <w:p w14:paraId="02EB50D0"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7,00%</w:t>
            </w:r>
          </w:p>
        </w:tc>
      </w:tr>
      <w:tr w:rsidR="006E7841" w:rsidRPr="002C3A49" w14:paraId="5B7D6746"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3390B14C" w14:textId="77777777" w:rsidR="006E7841" w:rsidRPr="002C3A49" w:rsidRDefault="006E7841" w:rsidP="005A0B30">
            <w:pPr>
              <w:rPr>
                <w:rFonts w:ascii="Times New Roman" w:hAnsi="Times New Roman"/>
                <w:noProof/>
                <w:color w:val="000000"/>
                <w:sz w:val="20"/>
                <w:lang w:val="sr-Cyrl-RS"/>
              </w:rPr>
            </w:pPr>
            <w:r w:rsidRPr="002C3A49">
              <w:rPr>
                <w:rFonts w:ascii="Times New Roman" w:hAnsi="Times New Roman"/>
                <w:noProof/>
                <w:color w:val="000000"/>
                <w:sz w:val="20"/>
                <w:lang w:val="sr-Cyrl-RS"/>
              </w:rPr>
              <w:t>Остали текући расходи</w:t>
            </w:r>
          </w:p>
        </w:tc>
        <w:tc>
          <w:tcPr>
            <w:tcW w:w="546" w:type="pct"/>
            <w:tcBorders>
              <w:top w:val="nil"/>
              <w:left w:val="nil"/>
              <w:bottom w:val="single" w:sz="8" w:space="0" w:color="000000"/>
              <w:right w:val="single" w:sz="8" w:space="0" w:color="000000"/>
            </w:tcBorders>
            <w:shd w:val="clear" w:color="auto" w:fill="auto"/>
            <w:noWrap/>
            <w:vAlign w:val="center"/>
            <w:hideMark/>
          </w:tcPr>
          <w:p w14:paraId="50EE82A8"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56,78</w:t>
            </w:r>
          </w:p>
        </w:tc>
        <w:tc>
          <w:tcPr>
            <w:tcW w:w="481" w:type="pct"/>
            <w:tcBorders>
              <w:top w:val="nil"/>
              <w:left w:val="nil"/>
              <w:bottom w:val="single" w:sz="8" w:space="0" w:color="000000"/>
              <w:right w:val="single" w:sz="8" w:space="0" w:color="000000"/>
            </w:tcBorders>
            <w:shd w:val="clear" w:color="auto" w:fill="auto"/>
            <w:noWrap/>
            <w:vAlign w:val="center"/>
            <w:hideMark/>
          </w:tcPr>
          <w:p w14:paraId="69173CE6"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49,87</w:t>
            </w:r>
          </w:p>
        </w:tc>
        <w:tc>
          <w:tcPr>
            <w:tcW w:w="493" w:type="pct"/>
            <w:tcBorders>
              <w:top w:val="nil"/>
              <w:left w:val="nil"/>
              <w:bottom w:val="single" w:sz="8" w:space="0" w:color="000000"/>
              <w:right w:val="single" w:sz="8" w:space="0" w:color="000000"/>
            </w:tcBorders>
            <w:shd w:val="clear" w:color="auto" w:fill="auto"/>
            <w:noWrap/>
            <w:vAlign w:val="center"/>
            <w:hideMark/>
          </w:tcPr>
          <w:p w14:paraId="3B88238A"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87,84</w:t>
            </w:r>
          </w:p>
        </w:tc>
        <w:tc>
          <w:tcPr>
            <w:tcW w:w="622" w:type="pct"/>
            <w:tcBorders>
              <w:top w:val="nil"/>
              <w:left w:val="nil"/>
              <w:bottom w:val="single" w:sz="8" w:space="0" w:color="000000"/>
              <w:right w:val="single" w:sz="8" w:space="0" w:color="000000"/>
            </w:tcBorders>
            <w:shd w:val="clear" w:color="auto" w:fill="auto"/>
            <w:noWrap/>
            <w:vAlign w:val="center"/>
            <w:hideMark/>
          </w:tcPr>
          <w:p w14:paraId="70C832C2"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2,66%</w:t>
            </w:r>
          </w:p>
        </w:tc>
        <w:tc>
          <w:tcPr>
            <w:tcW w:w="622" w:type="pct"/>
            <w:tcBorders>
              <w:top w:val="nil"/>
              <w:left w:val="nil"/>
              <w:bottom w:val="single" w:sz="8" w:space="0" w:color="000000"/>
              <w:right w:val="single" w:sz="8" w:space="0" w:color="000000"/>
            </w:tcBorders>
            <w:shd w:val="clear" w:color="auto" w:fill="auto"/>
            <w:noWrap/>
            <w:vAlign w:val="center"/>
            <w:hideMark/>
          </w:tcPr>
          <w:p w14:paraId="4B501D35" w14:textId="77777777" w:rsidR="006E7841" w:rsidRPr="002C3A49" w:rsidRDefault="006E7841" w:rsidP="005A0B30">
            <w:pPr>
              <w:jc w:val="right"/>
              <w:rPr>
                <w:rFonts w:ascii="Times New Roman" w:hAnsi="Times New Roman"/>
                <w:noProof/>
                <w:color w:val="000000"/>
                <w:sz w:val="20"/>
                <w:lang w:val="sr-Cyrl-RS"/>
              </w:rPr>
            </w:pPr>
            <w:r w:rsidRPr="002C3A49">
              <w:rPr>
                <w:rFonts w:ascii="Times New Roman" w:hAnsi="Times New Roman"/>
                <w:noProof/>
                <w:color w:val="000000"/>
                <w:sz w:val="20"/>
                <w:lang w:val="sr-Cyrl-RS"/>
              </w:rPr>
              <w:t>2,23%</w:t>
            </w:r>
          </w:p>
        </w:tc>
      </w:tr>
      <w:tr w:rsidR="006E7841" w:rsidRPr="002C3A49" w14:paraId="02793F10" w14:textId="77777777" w:rsidTr="005A0B30">
        <w:trPr>
          <w:trHeight w:val="315"/>
        </w:trPr>
        <w:tc>
          <w:tcPr>
            <w:tcW w:w="2236" w:type="pct"/>
            <w:tcBorders>
              <w:top w:val="nil"/>
              <w:left w:val="single" w:sz="8" w:space="0" w:color="000000"/>
              <w:bottom w:val="single" w:sz="8" w:space="0" w:color="000000"/>
              <w:right w:val="single" w:sz="8" w:space="0" w:color="000000"/>
            </w:tcBorders>
            <w:shd w:val="clear" w:color="auto" w:fill="auto"/>
            <w:noWrap/>
            <w:vAlign w:val="center"/>
            <w:hideMark/>
          </w:tcPr>
          <w:p w14:paraId="74EFCD48" w14:textId="77777777" w:rsidR="006E7841" w:rsidRPr="002C3A49" w:rsidRDefault="006E7841" w:rsidP="005A0B30">
            <w:pP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lastRenderedPageBreak/>
              <w:t>Издаци за нефинансијску имовину</w:t>
            </w:r>
          </w:p>
        </w:tc>
        <w:tc>
          <w:tcPr>
            <w:tcW w:w="546" w:type="pct"/>
            <w:tcBorders>
              <w:top w:val="nil"/>
              <w:left w:val="nil"/>
              <w:bottom w:val="single" w:sz="8" w:space="0" w:color="000000"/>
              <w:right w:val="single" w:sz="8" w:space="0" w:color="000000"/>
            </w:tcBorders>
            <w:shd w:val="clear" w:color="auto" w:fill="auto"/>
            <w:noWrap/>
            <w:vAlign w:val="center"/>
            <w:hideMark/>
          </w:tcPr>
          <w:p w14:paraId="2EA32FBB"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452,30</w:t>
            </w:r>
          </w:p>
        </w:tc>
        <w:tc>
          <w:tcPr>
            <w:tcW w:w="481" w:type="pct"/>
            <w:tcBorders>
              <w:top w:val="nil"/>
              <w:left w:val="nil"/>
              <w:bottom w:val="single" w:sz="8" w:space="0" w:color="000000"/>
              <w:right w:val="single" w:sz="8" w:space="0" w:color="000000"/>
            </w:tcBorders>
            <w:shd w:val="clear" w:color="auto" w:fill="auto"/>
            <w:noWrap/>
            <w:vAlign w:val="center"/>
            <w:hideMark/>
          </w:tcPr>
          <w:p w14:paraId="456AD40D"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467,49</w:t>
            </w:r>
          </w:p>
        </w:tc>
        <w:tc>
          <w:tcPr>
            <w:tcW w:w="493" w:type="pct"/>
            <w:tcBorders>
              <w:top w:val="nil"/>
              <w:left w:val="nil"/>
              <w:bottom w:val="single" w:sz="8" w:space="0" w:color="000000"/>
              <w:right w:val="single" w:sz="8" w:space="0" w:color="000000"/>
            </w:tcBorders>
            <w:shd w:val="clear" w:color="auto" w:fill="auto"/>
            <w:noWrap/>
            <w:vAlign w:val="center"/>
            <w:hideMark/>
          </w:tcPr>
          <w:p w14:paraId="2E55DCA0"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103,36</w:t>
            </w:r>
          </w:p>
        </w:tc>
        <w:tc>
          <w:tcPr>
            <w:tcW w:w="622" w:type="pct"/>
            <w:tcBorders>
              <w:top w:val="nil"/>
              <w:left w:val="nil"/>
              <w:bottom w:val="single" w:sz="8" w:space="0" w:color="000000"/>
              <w:right w:val="single" w:sz="8" w:space="0" w:color="000000"/>
            </w:tcBorders>
            <w:shd w:val="clear" w:color="auto" w:fill="auto"/>
            <w:noWrap/>
            <w:vAlign w:val="center"/>
            <w:hideMark/>
          </w:tcPr>
          <w:p w14:paraId="2EFDC12A"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21,22%</w:t>
            </w:r>
          </w:p>
        </w:tc>
        <w:tc>
          <w:tcPr>
            <w:tcW w:w="622" w:type="pct"/>
            <w:tcBorders>
              <w:top w:val="nil"/>
              <w:left w:val="nil"/>
              <w:bottom w:val="single" w:sz="8" w:space="0" w:color="000000"/>
              <w:right w:val="single" w:sz="8" w:space="0" w:color="000000"/>
            </w:tcBorders>
            <w:shd w:val="clear" w:color="auto" w:fill="auto"/>
            <w:noWrap/>
            <w:vAlign w:val="center"/>
            <w:hideMark/>
          </w:tcPr>
          <w:p w14:paraId="57E83655"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20,89%</w:t>
            </w:r>
          </w:p>
        </w:tc>
      </w:tr>
      <w:tr w:rsidR="006E7841" w:rsidRPr="002C3A49" w14:paraId="349AF188" w14:textId="77777777" w:rsidTr="005A0B30">
        <w:trPr>
          <w:trHeight w:val="52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0074F6AC" w14:textId="77777777" w:rsidR="006E7841" w:rsidRPr="002C3A49" w:rsidRDefault="006E7841" w:rsidP="005A0B30">
            <w:pP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 xml:space="preserve">Издаци за отплату главнице (у циљу спровођења јавних политика)                                           </w:t>
            </w:r>
          </w:p>
        </w:tc>
        <w:tc>
          <w:tcPr>
            <w:tcW w:w="546" w:type="pct"/>
            <w:tcBorders>
              <w:top w:val="nil"/>
              <w:left w:val="nil"/>
              <w:bottom w:val="single" w:sz="8" w:space="0" w:color="000000"/>
              <w:right w:val="single" w:sz="8" w:space="0" w:color="000000"/>
            </w:tcBorders>
            <w:shd w:val="clear" w:color="auto" w:fill="auto"/>
            <w:noWrap/>
            <w:vAlign w:val="center"/>
            <w:hideMark/>
          </w:tcPr>
          <w:p w14:paraId="2227DE42"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24,50</w:t>
            </w:r>
          </w:p>
        </w:tc>
        <w:tc>
          <w:tcPr>
            <w:tcW w:w="481" w:type="pct"/>
            <w:tcBorders>
              <w:top w:val="nil"/>
              <w:left w:val="nil"/>
              <w:bottom w:val="single" w:sz="8" w:space="0" w:color="000000"/>
              <w:right w:val="single" w:sz="8" w:space="0" w:color="000000"/>
            </w:tcBorders>
            <w:shd w:val="clear" w:color="auto" w:fill="auto"/>
            <w:noWrap/>
            <w:vAlign w:val="center"/>
            <w:hideMark/>
          </w:tcPr>
          <w:p w14:paraId="6E86562C"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29,50</w:t>
            </w:r>
          </w:p>
        </w:tc>
        <w:tc>
          <w:tcPr>
            <w:tcW w:w="493" w:type="pct"/>
            <w:tcBorders>
              <w:top w:val="nil"/>
              <w:left w:val="nil"/>
              <w:bottom w:val="single" w:sz="8" w:space="0" w:color="000000"/>
              <w:right w:val="single" w:sz="8" w:space="0" w:color="000000"/>
            </w:tcBorders>
            <w:shd w:val="clear" w:color="auto" w:fill="auto"/>
            <w:noWrap/>
            <w:vAlign w:val="center"/>
            <w:hideMark/>
          </w:tcPr>
          <w:p w14:paraId="32A4B8A1"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120,41</w:t>
            </w:r>
          </w:p>
        </w:tc>
        <w:tc>
          <w:tcPr>
            <w:tcW w:w="622" w:type="pct"/>
            <w:tcBorders>
              <w:top w:val="nil"/>
              <w:left w:val="nil"/>
              <w:bottom w:val="single" w:sz="8" w:space="0" w:color="000000"/>
              <w:right w:val="single" w:sz="8" w:space="0" w:color="000000"/>
            </w:tcBorders>
            <w:shd w:val="clear" w:color="auto" w:fill="auto"/>
            <w:noWrap/>
            <w:vAlign w:val="center"/>
            <w:hideMark/>
          </w:tcPr>
          <w:p w14:paraId="744BC43D"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1,15%</w:t>
            </w:r>
          </w:p>
        </w:tc>
        <w:tc>
          <w:tcPr>
            <w:tcW w:w="622" w:type="pct"/>
            <w:tcBorders>
              <w:top w:val="nil"/>
              <w:left w:val="nil"/>
              <w:bottom w:val="single" w:sz="8" w:space="0" w:color="000000"/>
              <w:right w:val="single" w:sz="8" w:space="0" w:color="000000"/>
            </w:tcBorders>
            <w:shd w:val="clear" w:color="auto" w:fill="auto"/>
            <w:noWrap/>
            <w:vAlign w:val="center"/>
            <w:hideMark/>
          </w:tcPr>
          <w:p w14:paraId="19B44A81"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1,32%</w:t>
            </w:r>
          </w:p>
        </w:tc>
      </w:tr>
      <w:tr w:rsidR="006E7841" w:rsidRPr="002C3A49" w14:paraId="39572F2A" w14:textId="77777777" w:rsidTr="005A0B30">
        <w:trPr>
          <w:trHeight w:val="525"/>
        </w:trPr>
        <w:tc>
          <w:tcPr>
            <w:tcW w:w="2236" w:type="pct"/>
            <w:tcBorders>
              <w:top w:val="nil"/>
              <w:left w:val="single" w:sz="8" w:space="0" w:color="000000"/>
              <w:bottom w:val="single" w:sz="8" w:space="0" w:color="000000"/>
              <w:right w:val="single" w:sz="8" w:space="0" w:color="000000"/>
            </w:tcBorders>
            <w:shd w:val="clear" w:color="auto" w:fill="auto"/>
            <w:vAlign w:val="center"/>
            <w:hideMark/>
          </w:tcPr>
          <w:p w14:paraId="3730D0DD" w14:textId="77777777" w:rsidR="006E7841" w:rsidRPr="002C3A49" w:rsidRDefault="006E7841" w:rsidP="005A0B30">
            <w:pPr>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 xml:space="preserve">Издаци за набавку финансијске имовине  (у циљу спровођења јавних политика)                                           </w:t>
            </w:r>
          </w:p>
        </w:tc>
        <w:tc>
          <w:tcPr>
            <w:tcW w:w="546" w:type="pct"/>
            <w:tcBorders>
              <w:top w:val="nil"/>
              <w:left w:val="nil"/>
              <w:bottom w:val="single" w:sz="8" w:space="0" w:color="000000"/>
              <w:right w:val="single" w:sz="8" w:space="0" w:color="000000"/>
            </w:tcBorders>
            <w:shd w:val="clear" w:color="auto" w:fill="auto"/>
            <w:noWrap/>
            <w:vAlign w:val="center"/>
            <w:hideMark/>
          </w:tcPr>
          <w:p w14:paraId="66C97BAF"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75,53</w:t>
            </w:r>
          </w:p>
        </w:tc>
        <w:tc>
          <w:tcPr>
            <w:tcW w:w="481" w:type="pct"/>
            <w:tcBorders>
              <w:top w:val="nil"/>
              <w:left w:val="nil"/>
              <w:bottom w:val="single" w:sz="8" w:space="0" w:color="000000"/>
              <w:right w:val="single" w:sz="8" w:space="0" w:color="000000"/>
            </w:tcBorders>
            <w:shd w:val="clear" w:color="auto" w:fill="auto"/>
            <w:noWrap/>
            <w:vAlign w:val="center"/>
            <w:hideMark/>
          </w:tcPr>
          <w:p w14:paraId="5A9ADAC3"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44,81</w:t>
            </w:r>
          </w:p>
        </w:tc>
        <w:tc>
          <w:tcPr>
            <w:tcW w:w="493" w:type="pct"/>
            <w:tcBorders>
              <w:top w:val="nil"/>
              <w:left w:val="nil"/>
              <w:bottom w:val="single" w:sz="8" w:space="0" w:color="000000"/>
              <w:right w:val="single" w:sz="8" w:space="0" w:color="000000"/>
            </w:tcBorders>
            <w:shd w:val="clear" w:color="auto" w:fill="auto"/>
            <w:noWrap/>
            <w:vAlign w:val="center"/>
            <w:hideMark/>
          </w:tcPr>
          <w:p w14:paraId="01C76427"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59,33</w:t>
            </w:r>
          </w:p>
        </w:tc>
        <w:tc>
          <w:tcPr>
            <w:tcW w:w="622" w:type="pct"/>
            <w:tcBorders>
              <w:top w:val="nil"/>
              <w:left w:val="nil"/>
              <w:bottom w:val="single" w:sz="8" w:space="0" w:color="000000"/>
              <w:right w:val="single" w:sz="8" w:space="0" w:color="000000"/>
            </w:tcBorders>
            <w:shd w:val="clear" w:color="auto" w:fill="auto"/>
            <w:noWrap/>
            <w:vAlign w:val="center"/>
            <w:hideMark/>
          </w:tcPr>
          <w:p w14:paraId="5959E291"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3,54%</w:t>
            </w:r>
          </w:p>
        </w:tc>
        <w:tc>
          <w:tcPr>
            <w:tcW w:w="622" w:type="pct"/>
            <w:tcBorders>
              <w:top w:val="nil"/>
              <w:left w:val="nil"/>
              <w:bottom w:val="single" w:sz="8" w:space="0" w:color="000000"/>
              <w:right w:val="single" w:sz="8" w:space="0" w:color="000000"/>
            </w:tcBorders>
            <w:shd w:val="clear" w:color="auto" w:fill="auto"/>
            <w:noWrap/>
            <w:vAlign w:val="center"/>
            <w:hideMark/>
          </w:tcPr>
          <w:p w14:paraId="6855A992" w14:textId="77777777" w:rsidR="006E7841" w:rsidRPr="002C3A49" w:rsidRDefault="006E7841" w:rsidP="005A0B30">
            <w:pPr>
              <w:jc w:val="right"/>
              <w:rPr>
                <w:rFonts w:ascii="Times New Roman" w:hAnsi="Times New Roman"/>
                <w:b/>
                <w:bCs/>
                <w:noProof/>
                <w:color w:val="000000"/>
                <w:sz w:val="20"/>
                <w:lang w:val="sr-Cyrl-RS"/>
              </w:rPr>
            </w:pPr>
            <w:r w:rsidRPr="002C3A49">
              <w:rPr>
                <w:rFonts w:ascii="Times New Roman" w:hAnsi="Times New Roman"/>
                <w:b/>
                <w:bCs/>
                <w:noProof/>
                <w:color w:val="000000"/>
                <w:sz w:val="20"/>
                <w:lang w:val="sr-Cyrl-RS"/>
              </w:rPr>
              <w:t>2,00%</w:t>
            </w:r>
          </w:p>
        </w:tc>
      </w:tr>
    </w:tbl>
    <w:p w14:paraId="6515647C" w14:textId="77777777" w:rsidR="00322915" w:rsidRPr="002C3A49" w:rsidRDefault="00322915" w:rsidP="002201E2">
      <w:pPr>
        <w:tabs>
          <w:tab w:val="left" w:pos="720"/>
        </w:tabs>
        <w:spacing w:after="120"/>
        <w:rPr>
          <w:rFonts w:ascii="Times New Roman" w:hAnsi="Times New Roman"/>
          <w:bCs/>
          <w:noProof/>
          <w:szCs w:val="24"/>
          <w:lang w:val="sr-Cyrl-RS"/>
        </w:rPr>
      </w:pPr>
    </w:p>
    <w:p w14:paraId="7588B5CD" w14:textId="40114E77" w:rsidR="00A85EA2" w:rsidRPr="002C3A49" w:rsidRDefault="00EF196B" w:rsidP="00761E0F">
      <w:pPr>
        <w:tabs>
          <w:tab w:val="left" w:pos="720"/>
        </w:tabs>
        <w:spacing w:after="120"/>
        <w:rPr>
          <w:rFonts w:ascii="Times New Roman" w:hAnsi="Times New Roman"/>
          <w:b/>
          <w:bCs/>
          <w:noProof/>
          <w:szCs w:val="24"/>
          <w:lang w:val="sr-Cyrl-RS"/>
        </w:rPr>
      </w:pPr>
      <w:r w:rsidRPr="002C3A49">
        <w:rPr>
          <w:rFonts w:ascii="Times New Roman" w:hAnsi="Times New Roman"/>
          <w:b/>
          <w:bCs/>
          <w:noProof/>
          <w:szCs w:val="24"/>
          <w:lang w:val="sr-Cyrl-RS"/>
        </w:rPr>
        <w:t xml:space="preserve">Расходи и издаци буџета </w:t>
      </w:r>
      <w:r w:rsidR="00493E41" w:rsidRPr="002C3A49">
        <w:rPr>
          <w:rFonts w:ascii="Times New Roman" w:hAnsi="Times New Roman"/>
          <w:b/>
          <w:bCs/>
          <w:noProof/>
          <w:szCs w:val="24"/>
          <w:lang w:val="sr-Cyrl-RS"/>
        </w:rPr>
        <w:t>2024</w:t>
      </w:r>
      <w:r w:rsidRPr="002C3A49">
        <w:rPr>
          <w:rFonts w:ascii="Times New Roman" w:hAnsi="Times New Roman"/>
          <w:b/>
          <w:bCs/>
          <w:noProof/>
          <w:szCs w:val="24"/>
          <w:lang w:val="sr-Cyrl-RS"/>
        </w:rPr>
        <w:t>. години (у млрд динара)</w:t>
      </w:r>
    </w:p>
    <w:p w14:paraId="028B1944" w14:textId="5E8D7D0F" w:rsidR="00AE51F8" w:rsidRPr="002C3A49" w:rsidRDefault="00AE51F8" w:rsidP="00A85EA2">
      <w:pPr>
        <w:spacing w:after="120"/>
        <w:ind w:firstLine="720"/>
        <w:contextualSpacing/>
        <w:rPr>
          <w:rFonts w:ascii="Times New Roman" w:eastAsia="Calibri" w:hAnsi="Times New Roman"/>
          <w:noProof/>
          <w:szCs w:val="24"/>
          <w:lang w:val="sr-Cyrl-RS"/>
        </w:rPr>
      </w:pPr>
      <w:r w:rsidRPr="002C3A49">
        <w:rPr>
          <w:rFonts w:ascii="Times New Roman" w:eastAsia="Calibri" w:hAnsi="Times New Roman"/>
          <w:noProof/>
          <w:szCs w:val="24"/>
          <w:lang w:val="sr-Cyrl-RS"/>
        </w:rPr>
        <w:t xml:space="preserve">У структури укупних расхода и издатака текући расходи износе </w:t>
      </w:r>
      <w:r w:rsidR="00B90D92" w:rsidRPr="002C3A49">
        <w:rPr>
          <w:rFonts w:ascii="Times New Roman" w:eastAsia="Calibri" w:hAnsi="Times New Roman"/>
          <w:noProof/>
          <w:szCs w:val="24"/>
          <w:lang w:val="sr-Cyrl-RS"/>
        </w:rPr>
        <w:t>1</w:t>
      </w:r>
      <w:r w:rsidR="006209E0" w:rsidRPr="002C3A49">
        <w:rPr>
          <w:rFonts w:ascii="Times New Roman" w:eastAsia="Calibri" w:hAnsi="Times New Roman"/>
          <w:noProof/>
          <w:szCs w:val="24"/>
          <w:lang w:val="sr-Cyrl-RS"/>
        </w:rPr>
        <w:t>.</w:t>
      </w:r>
      <w:r w:rsidR="00805D83" w:rsidRPr="002C3A49">
        <w:rPr>
          <w:rFonts w:ascii="Times New Roman" w:eastAsia="Calibri" w:hAnsi="Times New Roman"/>
          <w:noProof/>
          <w:szCs w:val="24"/>
          <w:lang w:val="sr-Cyrl-RS"/>
        </w:rPr>
        <w:t>69</w:t>
      </w:r>
      <w:r w:rsidR="00375902" w:rsidRPr="002C3A49">
        <w:rPr>
          <w:rFonts w:ascii="Times New Roman" w:eastAsia="Calibri" w:hAnsi="Times New Roman"/>
          <w:noProof/>
          <w:szCs w:val="24"/>
          <w:lang w:val="sr-Cyrl-RS"/>
        </w:rPr>
        <w:t>6</w:t>
      </w:r>
      <w:r w:rsidR="00805D83" w:rsidRPr="002C3A49">
        <w:rPr>
          <w:rFonts w:ascii="Times New Roman" w:eastAsia="Calibri" w:hAnsi="Times New Roman"/>
          <w:noProof/>
          <w:szCs w:val="24"/>
          <w:lang w:val="sr-Cyrl-RS"/>
        </w:rPr>
        <w:t>,</w:t>
      </w:r>
      <w:r w:rsidR="00375902" w:rsidRPr="002C3A49">
        <w:rPr>
          <w:rFonts w:ascii="Times New Roman" w:eastAsia="Calibri" w:hAnsi="Times New Roman"/>
          <w:noProof/>
          <w:szCs w:val="24"/>
          <w:lang w:val="sr-Cyrl-RS"/>
        </w:rPr>
        <w:t>07</w:t>
      </w:r>
      <w:r w:rsidRPr="002C3A49">
        <w:rPr>
          <w:rFonts w:ascii="Times New Roman" w:eastAsia="Calibri" w:hAnsi="Times New Roman"/>
          <w:noProof/>
          <w:szCs w:val="24"/>
          <w:lang w:val="sr-Cyrl-RS"/>
        </w:rPr>
        <w:t xml:space="preserve"> млрд динара или </w:t>
      </w:r>
      <w:r w:rsidR="00B90D92" w:rsidRPr="002C3A49">
        <w:rPr>
          <w:rFonts w:ascii="Times New Roman" w:eastAsia="Calibri" w:hAnsi="Times New Roman"/>
          <w:noProof/>
          <w:szCs w:val="24"/>
          <w:lang w:val="sr-Cyrl-RS"/>
        </w:rPr>
        <w:t>75,</w:t>
      </w:r>
      <w:r w:rsidR="00805D83" w:rsidRPr="002C3A49">
        <w:rPr>
          <w:rFonts w:ascii="Times New Roman" w:eastAsia="Calibri" w:hAnsi="Times New Roman"/>
          <w:noProof/>
          <w:szCs w:val="24"/>
          <w:lang w:val="sr-Cyrl-RS"/>
        </w:rPr>
        <w:t>7</w:t>
      </w:r>
      <w:r w:rsidR="00375902" w:rsidRPr="002C3A49">
        <w:rPr>
          <w:rFonts w:ascii="Times New Roman" w:eastAsia="Calibri" w:hAnsi="Times New Roman"/>
          <w:noProof/>
          <w:szCs w:val="24"/>
          <w:lang w:val="sr-Cyrl-RS"/>
        </w:rPr>
        <w:t>9</w:t>
      </w:r>
      <w:r w:rsidRPr="002C3A49">
        <w:rPr>
          <w:rFonts w:ascii="Times New Roman" w:eastAsia="Calibri" w:hAnsi="Times New Roman"/>
          <w:noProof/>
          <w:szCs w:val="24"/>
          <w:lang w:val="sr-Cyrl-RS"/>
        </w:rPr>
        <w:t xml:space="preserve">%, издаци за нефинансијску имовину износе </w:t>
      </w:r>
      <w:r w:rsidR="00375902" w:rsidRPr="002C3A49">
        <w:rPr>
          <w:rFonts w:ascii="Times New Roman" w:eastAsia="Calibri" w:hAnsi="Times New Roman"/>
          <w:noProof/>
          <w:szCs w:val="24"/>
          <w:lang w:val="sr-Cyrl-RS"/>
        </w:rPr>
        <w:t>467,49</w:t>
      </w:r>
      <w:r w:rsidR="00DD66E4" w:rsidRPr="002C3A49">
        <w:rPr>
          <w:rFonts w:ascii="Times New Roman" w:eastAsia="Calibri" w:hAnsi="Times New Roman"/>
          <w:noProof/>
          <w:szCs w:val="24"/>
          <w:lang w:val="sr-Cyrl-RS"/>
        </w:rPr>
        <w:t xml:space="preserve"> </w:t>
      </w:r>
      <w:r w:rsidRPr="002C3A49">
        <w:rPr>
          <w:rFonts w:ascii="Times New Roman" w:eastAsia="Calibri" w:hAnsi="Times New Roman"/>
          <w:noProof/>
          <w:szCs w:val="24"/>
          <w:lang w:val="sr-Cyrl-RS"/>
        </w:rPr>
        <w:t xml:space="preserve">млрд динара или </w:t>
      </w:r>
      <w:r w:rsidR="00805D83" w:rsidRPr="002C3A49">
        <w:rPr>
          <w:rFonts w:ascii="Times New Roman" w:eastAsia="Calibri" w:hAnsi="Times New Roman"/>
          <w:noProof/>
          <w:szCs w:val="24"/>
          <w:lang w:val="sr-Cyrl-RS"/>
        </w:rPr>
        <w:t>20,</w:t>
      </w:r>
      <w:r w:rsidR="00375902" w:rsidRPr="002C3A49">
        <w:rPr>
          <w:rFonts w:ascii="Times New Roman" w:eastAsia="Calibri" w:hAnsi="Times New Roman"/>
          <w:noProof/>
          <w:szCs w:val="24"/>
          <w:lang w:val="sr-Cyrl-RS"/>
        </w:rPr>
        <w:t>89</w:t>
      </w:r>
      <w:r w:rsidRPr="002C3A49">
        <w:rPr>
          <w:rFonts w:ascii="Times New Roman" w:eastAsia="Calibri" w:hAnsi="Times New Roman"/>
          <w:noProof/>
          <w:szCs w:val="24"/>
          <w:lang w:val="sr-Cyrl-RS"/>
        </w:rPr>
        <w:t xml:space="preserve">%. Остатак чине издаци за отплату главнице у циљу спровођења јавних политика у износу од </w:t>
      </w:r>
      <w:r w:rsidR="00F77E1D" w:rsidRPr="002C3A49">
        <w:rPr>
          <w:rFonts w:ascii="Times New Roman" w:eastAsia="Calibri" w:hAnsi="Times New Roman"/>
          <w:noProof/>
          <w:szCs w:val="24"/>
          <w:lang w:val="sr-Cyrl-RS"/>
        </w:rPr>
        <w:t>29,50</w:t>
      </w:r>
      <w:r w:rsidRPr="002C3A49">
        <w:rPr>
          <w:rFonts w:ascii="Times New Roman" w:eastAsia="Calibri" w:hAnsi="Times New Roman"/>
          <w:noProof/>
          <w:szCs w:val="24"/>
          <w:lang w:val="sr-Cyrl-RS"/>
        </w:rPr>
        <w:t xml:space="preserve"> млрд динара или </w:t>
      </w:r>
      <w:r w:rsidR="00F77E1D" w:rsidRPr="002C3A49">
        <w:rPr>
          <w:rFonts w:ascii="Times New Roman" w:eastAsia="Calibri" w:hAnsi="Times New Roman"/>
          <w:noProof/>
          <w:szCs w:val="24"/>
          <w:lang w:val="sr-Cyrl-RS"/>
        </w:rPr>
        <w:t>1,32</w:t>
      </w:r>
      <w:r w:rsidRPr="002C3A49">
        <w:rPr>
          <w:rFonts w:ascii="Times New Roman" w:eastAsia="Calibri" w:hAnsi="Times New Roman"/>
          <w:noProof/>
          <w:szCs w:val="24"/>
          <w:lang w:val="sr-Cyrl-RS"/>
        </w:rPr>
        <w:t xml:space="preserve">% укупних расхода и издатака и издаци за набавку финансијске имовине у циљу спровођења јавних политика у износу од </w:t>
      </w:r>
      <w:r w:rsidR="00B90D92" w:rsidRPr="002C3A49">
        <w:rPr>
          <w:rFonts w:ascii="Times New Roman" w:eastAsia="Calibri" w:hAnsi="Times New Roman"/>
          <w:noProof/>
          <w:szCs w:val="24"/>
          <w:lang w:val="sr-Cyrl-RS"/>
        </w:rPr>
        <w:t>44,</w:t>
      </w:r>
      <w:r w:rsidR="00805D83" w:rsidRPr="002C3A49">
        <w:rPr>
          <w:rFonts w:ascii="Times New Roman" w:eastAsia="Calibri" w:hAnsi="Times New Roman"/>
          <w:noProof/>
          <w:szCs w:val="24"/>
          <w:lang w:val="sr-Cyrl-RS"/>
        </w:rPr>
        <w:t>81</w:t>
      </w:r>
      <w:r w:rsidRPr="002C3A49">
        <w:rPr>
          <w:rFonts w:ascii="Times New Roman" w:eastAsia="Calibri" w:hAnsi="Times New Roman"/>
          <w:noProof/>
          <w:szCs w:val="24"/>
          <w:lang w:val="sr-Cyrl-RS"/>
        </w:rPr>
        <w:t xml:space="preserve"> млрд динара или </w:t>
      </w:r>
      <w:r w:rsidR="00805D83" w:rsidRPr="002C3A49">
        <w:rPr>
          <w:rFonts w:ascii="Times New Roman" w:eastAsia="Calibri" w:hAnsi="Times New Roman"/>
          <w:noProof/>
          <w:szCs w:val="24"/>
          <w:lang w:val="sr-Cyrl-RS"/>
        </w:rPr>
        <w:t>2,0</w:t>
      </w:r>
      <w:r w:rsidRPr="002C3A49">
        <w:rPr>
          <w:rFonts w:ascii="Times New Roman" w:eastAsia="Calibri" w:hAnsi="Times New Roman"/>
          <w:noProof/>
          <w:szCs w:val="24"/>
          <w:lang w:val="sr-Cyrl-RS"/>
        </w:rPr>
        <w:t xml:space="preserve">% укупних расхода и издатака. </w:t>
      </w:r>
    </w:p>
    <w:p w14:paraId="6A02496F" w14:textId="77777777" w:rsidR="00493E41" w:rsidRPr="002C3A49" w:rsidRDefault="00493E41" w:rsidP="005B683B">
      <w:pPr>
        <w:spacing w:after="120"/>
        <w:contextualSpacing/>
        <w:rPr>
          <w:rFonts w:asciiTheme="minorHAnsi" w:eastAsia="Calibri" w:hAnsiTheme="minorHAnsi"/>
          <w:noProof/>
          <w:szCs w:val="24"/>
          <w:lang w:val="sr-Cyrl-RS"/>
        </w:rPr>
      </w:pPr>
    </w:p>
    <w:p w14:paraId="3143AEBB" w14:textId="64154340" w:rsidR="0055204A" w:rsidRPr="002C3A49" w:rsidRDefault="00F75C14" w:rsidP="0055204A">
      <w:pPr>
        <w:spacing w:after="120"/>
        <w:contextualSpacing/>
        <w:rPr>
          <w:rFonts w:ascii="Times New Roman" w:eastAsia="Calibri" w:hAnsi="Times New Roman"/>
          <w:noProof/>
          <w:szCs w:val="24"/>
          <w:lang w:val="sr-Cyrl-RS"/>
        </w:rPr>
      </w:pPr>
      <w:r w:rsidRPr="002C3A49">
        <w:rPr>
          <w:noProof/>
          <w:lang w:val="sr-Cyrl-RS"/>
        </w:rPr>
        <w:drawing>
          <wp:inline distT="0" distB="0" distL="0" distR="0" wp14:anchorId="1EC1CCA9" wp14:editId="0BD54424">
            <wp:extent cx="5965825" cy="401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5825" cy="4019550"/>
                    </a:xfrm>
                    <a:prstGeom prst="rect">
                      <a:avLst/>
                    </a:prstGeom>
                    <a:noFill/>
                  </pic:spPr>
                </pic:pic>
              </a:graphicData>
            </a:graphic>
          </wp:inline>
        </w:drawing>
      </w:r>
    </w:p>
    <w:p w14:paraId="11485C93" w14:textId="77777777" w:rsidR="00761E0F" w:rsidRPr="002C3A49" w:rsidRDefault="00761E0F" w:rsidP="0055204A">
      <w:pPr>
        <w:spacing w:after="120"/>
        <w:contextualSpacing/>
        <w:rPr>
          <w:rFonts w:ascii="Times New Roman" w:eastAsia="Calibri" w:hAnsi="Times New Roman"/>
          <w:noProof/>
          <w:szCs w:val="24"/>
          <w:lang w:val="sr-Cyrl-RS"/>
        </w:rPr>
      </w:pPr>
    </w:p>
    <w:p w14:paraId="7283BA24" w14:textId="3486DE17" w:rsidR="00AE51F8" w:rsidRPr="002C3A49" w:rsidRDefault="00AE51F8" w:rsidP="00AE51F8">
      <w:pPr>
        <w:spacing w:after="120"/>
        <w:ind w:firstLine="720"/>
        <w:contextualSpacing/>
        <w:rPr>
          <w:rFonts w:ascii="Times New Roman" w:eastAsia="Calibri" w:hAnsi="Times New Roman"/>
          <w:noProof/>
          <w:szCs w:val="24"/>
          <w:highlight w:val="yellow"/>
          <w:lang w:val="sr-Cyrl-RS"/>
        </w:rPr>
      </w:pPr>
      <w:r w:rsidRPr="002C3A49">
        <w:rPr>
          <w:rFonts w:ascii="Times New Roman" w:hAnsi="Times New Roman"/>
          <w:b/>
          <w:noProof/>
          <w:szCs w:val="24"/>
          <w:lang w:val="sr-Cyrl-RS"/>
        </w:rPr>
        <w:t>Расходи за запослене</w:t>
      </w:r>
      <w:r w:rsidRPr="002C3A49">
        <w:rPr>
          <w:rFonts w:ascii="Times New Roman" w:hAnsi="Times New Roman"/>
          <w:noProof/>
          <w:color w:val="000000"/>
          <w:szCs w:val="24"/>
          <w:lang w:val="sr-Cyrl-RS"/>
        </w:rPr>
        <w:t xml:space="preserve"> износе </w:t>
      </w:r>
      <w:r w:rsidR="00311011" w:rsidRPr="002C3A49">
        <w:rPr>
          <w:rFonts w:ascii="Times New Roman" w:hAnsi="Times New Roman"/>
          <w:noProof/>
          <w:color w:val="000000"/>
          <w:szCs w:val="24"/>
          <w:lang w:val="sr-Cyrl-RS"/>
        </w:rPr>
        <w:t>475,6</w:t>
      </w:r>
      <w:r w:rsidR="009F2A20" w:rsidRPr="002C3A49">
        <w:rPr>
          <w:rFonts w:ascii="Times New Roman" w:hAnsi="Times New Roman"/>
          <w:noProof/>
          <w:color w:val="000000"/>
          <w:szCs w:val="24"/>
          <w:lang w:val="sr-Cyrl-RS"/>
        </w:rPr>
        <w:t>1</w:t>
      </w:r>
      <w:r w:rsidRPr="002C3A49">
        <w:rPr>
          <w:rFonts w:ascii="Times New Roman" w:hAnsi="Times New Roman"/>
          <w:noProof/>
          <w:color w:val="000000"/>
          <w:szCs w:val="24"/>
          <w:lang w:val="sr-Cyrl-RS"/>
        </w:rPr>
        <w:t xml:space="preserve"> млрд динара. Учешће ових расхода у укупним расходима и издацима је </w:t>
      </w:r>
      <w:r w:rsidR="00311011" w:rsidRPr="002C3A49">
        <w:rPr>
          <w:rFonts w:ascii="Times New Roman" w:hAnsi="Times New Roman"/>
          <w:noProof/>
          <w:color w:val="000000"/>
          <w:szCs w:val="24"/>
          <w:lang w:val="sr-Cyrl-RS"/>
        </w:rPr>
        <w:t>21,25</w:t>
      </w:r>
      <w:r w:rsidRPr="002C3A49">
        <w:rPr>
          <w:rFonts w:ascii="Times New Roman" w:hAnsi="Times New Roman"/>
          <w:noProof/>
          <w:color w:val="000000"/>
          <w:szCs w:val="24"/>
          <w:lang w:val="sr-Cyrl-RS"/>
        </w:rPr>
        <w:t xml:space="preserve">%. </w:t>
      </w:r>
    </w:p>
    <w:p w14:paraId="4288EB38" w14:textId="77777777" w:rsidR="00AE51F8" w:rsidRPr="002C3A49" w:rsidRDefault="00AE51F8" w:rsidP="00AE51F8">
      <w:pPr>
        <w:tabs>
          <w:tab w:val="left" w:pos="720"/>
        </w:tabs>
        <w:rPr>
          <w:rFonts w:ascii="Times New Roman" w:hAnsi="Times New Roman"/>
          <w:noProof/>
          <w:szCs w:val="24"/>
          <w:lang w:val="sr-Cyrl-RS"/>
        </w:rPr>
      </w:pPr>
      <w:r w:rsidRPr="002C3A49">
        <w:rPr>
          <w:rFonts w:ascii="Times New Roman" w:hAnsi="Times New Roman"/>
          <w:noProof/>
          <w:szCs w:val="24"/>
          <w:lang w:val="sr-Cyrl-RS"/>
        </w:rPr>
        <w:tab/>
        <w:t>Плате запослених које се обезбеђују у буџету Републике Србије регулисане су Законом о платама у државним органима и јавним службама, Законом о платама државних службеника и намештеника, Законом о буџетском систему и другим посебним законима.</w:t>
      </w:r>
    </w:p>
    <w:p w14:paraId="19B48BCD" w14:textId="77777777" w:rsidR="00AE51F8" w:rsidRPr="002C3A49" w:rsidRDefault="00AE51F8" w:rsidP="00AE51F8">
      <w:pPr>
        <w:tabs>
          <w:tab w:val="left" w:pos="720"/>
        </w:tabs>
        <w:rPr>
          <w:rFonts w:ascii="Times New Roman" w:hAnsi="Times New Roman"/>
          <w:noProof/>
          <w:szCs w:val="24"/>
          <w:lang w:val="sr-Cyrl-RS"/>
        </w:rPr>
      </w:pPr>
      <w:r w:rsidRPr="002C3A49">
        <w:rPr>
          <w:rFonts w:ascii="Times New Roman" w:hAnsi="Times New Roman"/>
          <w:noProof/>
          <w:szCs w:val="24"/>
          <w:lang w:val="sr-Cyrl-RS"/>
        </w:rPr>
        <w:tab/>
        <w:t xml:space="preserve">На плате изабраних лица у Народној скупштини (народни посланици) и Влади примењују се одредбе Закона о платама у државним органима и јавним службама. </w:t>
      </w:r>
    </w:p>
    <w:p w14:paraId="3E6403C0" w14:textId="77777777" w:rsidR="00AE51F8" w:rsidRPr="002C3A49" w:rsidRDefault="00AE51F8" w:rsidP="00AE51F8">
      <w:pPr>
        <w:tabs>
          <w:tab w:val="left" w:pos="720"/>
        </w:tabs>
        <w:rPr>
          <w:rFonts w:ascii="Times New Roman" w:hAnsi="Times New Roman"/>
          <w:noProof/>
          <w:szCs w:val="24"/>
          <w:lang w:val="sr-Cyrl-RS"/>
        </w:rPr>
      </w:pPr>
      <w:r w:rsidRPr="002C3A49">
        <w:rPr>
          <w:rFonts w:ascii="Times New Roman" w:hAnsi="Times New Roman"/>
          <w:noProof/>
          <w:szCs w:val="24"/>
          <w:lang w:val="sr-Cyrl-RS"/>
        </w:rPr>
        <w:tab/>
        <w:t xml:space="preserve">На плате запослених у Министарству унутрашњих послова, Безбедносно-информативној агенцији, Министарству одбране, као и за носиоце правосудних функција (судије и тужиоци) примењују се одредбе посебних закона. </w:t>
      </w:r>
    </w:p>
    <w:p w14:paraId="3615567A" w14:textId="1F313A26" w:rsidR="00AE51F8" w:rsidRPr="002C3A49" w:rsidRDefault="00AE51F8" w:rsidP="00FB270B">
      <w:pPr>
        <w:tabs>
          <w:tab w:val="left" w:pos="720"/>
        </w:tabs>
        <w:rPr>
          <w:rFonts w:ascii="Times New Roman" w:hAnsi="Times New Roman"/>
          <w:noProof/>
          <w:szCs w:val="24"/>
          <w:lang w:val="sr-Cyrl-RS"/>
        </w:rPr>
      </w:pPr>
      <w:r w:rsidRPr="002C3A49">
        <w:rPr>
          <w:rFonts w:ascii="Times New Roman" w:hAnsi="Times New Roman"/>
          <w:noProof/>
          <w:szCs w:val="24"/>
          <w:lang w:val="sr-Cyrl-RS"/>
        </w:rPr>
        <w:tab/>
        <w:t>На плате запослених који раде на спровођењу контроле у Управи царина, Пореској управи и Управи за спречавање прања новца, поред Закона о платама државних службеника и намештеника, примењују се и посебни прописи (уредбе, правилници, одлуке и др.) којима је регулисан њихов рад.</w:t>
      </w:r>
    </w:p>
    <w:p w14:paraId="3E90776E" w14:textId="4C1355BF" w:rsidR="00FB270B" w:rsidRPr="002C3A49" w:rsidRDefault="00FB270B" w:rsidP="00FB270B">
      <w:pPr>
        <w:ind w:firstLine="709"/>
        <w:rPr>
          <w:rFonts w:ascii="Times New Roman" w:hAnsi="Times New Roman"/>
          <w:noProof/>
          <w:lang w:val="sr-Cyrl-RS"/>
        </w:rPr>
      </w:pPr>
      <w:r w:rsidRPr="002C3A49">
        <w:rPr>
          <w:rFonts w:ascii="Times New Roman" w:hAnsi="Times New Roman"/>
          <w:noProof/>
          <w:lang w:val="sr-Cyrl-RS"/>
        </w:rPr>
        <w:lastRenderedPageBreak/>
        <w:t>Изузетно</w:t>
      </w:r>
      <w:r w:rsidR="00840360" w:rsidRPr="002C3A49">
        <w:rPr>
          <w:rFonts w:ascii="Times New Roman" w:hAnsi="Times New Roman"/>
          <w:noProof/>
          <w:lang w:val="sr-Cyrl-RS"/>
        </w:rPr>
        <w:t>,</w:t>
      </w:r>
      <w:r w:rsidRPr="002C3A49">
        <w:rPr>
          <w:rFonts w:ascii="Times New Roman" w:hAnsi="Times New Roman"/>
          <w:noProof/>
          <w:lang w:val="sr-Cyrl-RS"/>
        </w:rPr>
        <w:t xml:space="preserve"> услед смањеног обима прихода остварених по основу наплате судских такси, плате судија исплаћиваће се до 30% из прихода остварених по основу наплате судских такси које припадају правосудним органима, а преостали део из извора 01 - Општи приходи и примања буџета уз претходно добијену писану сагласност министарства надлежног за послове финансија.</w:t>
      </w:r>
    </w:p>
    <w:p w14:paraId="6BA35D76" w14:textId="77777777" w:rsidR="00AE51F8" w:rsidRPr="002C3A49" w:rsidRDefault="00AE51F8" w:rsidP="00AE51F8">
      <w:pPr>
        <w:tabs>
          <w:tab w:val="left" w:pos="720"/>
          <w:tab w:val="center" w:pos="1134"/>
        </w:tabs>
        <w:ind w:firstLine="720"/>
        <w:rPr>
          <w:rFonts w:ascii="Times New Roman" w:hAnsi="Times New Roman"/>
          <w:noProof/>
          <w:szCs w:val="24"/>
          <w:lang w:val="sr-Cyrl-RS"/>
        </w:rPr>
      </w:pPr>
      <w:r w:rsidRPr="002C3A49">
        <w:rPr>
          <w:rFonts w:ascii="Times New Roman" w:hAnsi="Times New Roman"/>
          <w:noProof/>
          <w:szCs w:val="24"/>
          <w:lang w:val="sr-Cyrl-RS"/>
        </w:rPr>
        <w:t>Маса плата, односно зарада, планирана је у складу са Законом о буџетском систему.</w:t>
      </w:r>
    </w:p>
    <w:p w14:paraId="75455B38" w14:textId="29040FDC" w:rsidR="00AE51F8" w:rsidRPr="002C3A49" w:rsidRDefault="00AE51F8" w:rsidP="00AE51F8">
      <w:pPr>
        <w:tabs>
          <w:tab w:val="left" w:pos="720"/>
          <w:tab w:val="center" w:pos="1134"/>
        </w:tabs>
        <w:rPr>
          <w:rFonts w:ascii="Times New Roman" w:hAnsi="Times New Roman"/>
          <w:noProof/>
          <w:szCs w:val="24"/>
          <w:lang w:val="sr-Cyrl-RS"/>
        </w:rPr>
      </w:pPr>
      <w:r w:rsidRPr="002C3A49">
        <w:rPr>
          <w:rFonts w:ascii="Times New Roman" w:hAnsi="Times New Roman"/>
          <w:noProof/>
          <w:szCs w:val="24"/>
          <w:lang w:val="sr-Cyrl-RS"/>
        </w:rPr>
        <w:tab/>
        <w:t>Средства за плате су планирана између осталог на основу следећих параметара:</w:t>
      </w:r>
    </w:p>
    <w:p w14:paraId="00C96E28" w14:textId="77777777" w:rsidR="00AE51F8" w:rsidRPr="002C3A49"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noProof/>
          <w:sz w:val="24"/>
          <w:szCs w:val="24"/>
          <w:lang w:val="sr-Cyrl-RS"/>
        </w:rPr>
      </w:pPr>
      <w:r w:rsidRPr="002C3A49">
        <w:rPr>
          <w:rFonts w:ascii="Times New Roman" w:hAnsi="Times New Roman"/>
          <w:noProof/>
          <w:sz w:val="24"/>
          <w:szCs w:val="24"/>
          <w:lang w:val="sr-Cyrl-RS"/>
        </w:rPr>
        <w:t>постојећег броја запослених;</w:t>
      </w:r>
    </w:p>
    <w:p w14:paraId="4A939CEB" w14:textId="4AA1AE6B" w:rsidR="00AE51F8" w:rsidRPr="002C3A49"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noProof/>
          <w:sz w:val="24"/>
          <w:szCs w:val="24"/>
          <w:lang w:val="sr-Cyrl-RS"/>
        </w:rPr>
      </w:pPr>
      <w:r w:rsidRPr="002C3A49">
        <w:rPr>
          <w:rFonts w:ascii="Times New Roman" w:hAnsi="Times New Roman"/>
          <w:noProof/>
          <w:sz w:val="24"/>
          <w:szCs w:val="24"/>
          <w:lang w:val="sr-Cyrl-RS"/>
        </w:rPr>
        <w:t>увећања плата у одговарајућем проценту;</w:t>
      </w:r>
    </w:p>
    <w:p w14:paraId="1BF7B98B" w14:textId="284EBFDB" w:rsidR="00AE51F8" w:rsidRPr="002C3A49" w:rsidRDefault="00AE51F8" w:rsidP="00974200">
      <w:pPr>
        <w:pStyle w:val="ListParagraph"/>
        <w:numPr>
          <w:ilvl w:val="0"/>
          <w:numId w:val="9"/>
        </w:numPr>
        <w:tabs>
          <w:tab w:val="left" w:pos="720"/>
          <w:tab w:val="center" w:pos="1134"/>
        </w:tabs>
        <w:spacing w:after="0" w:line="240" w:lineRule="auto"/>
        <w:ind w:hanging="180"/>
        <w:contextualSpacing w:val="0"/>
        <w:rPr>
          <w:rFonts w:ascii="Times New Roman" w:hAnsi="Times New Roman"/>
          <w:noProof/>
          <w:sz w:val="24"/>
          <w:szCs w:val="24"/>
          <w:lang w:val="sr-Cyrl-RS"/>
        </w:rPr>
      </w:pPr>
      <w:r w:rsidRPr="002C3A49">
        <w:rPr>
          <w:rFonts w:ascii="Times New Roman" w:hAnsi="Times New Roman"/>
          <w:noProof/>
          <w:sz w:val="24"/>
          <w:szCs w:val="24"/>
          <w:lang w:val="sr-Cyrl-RS"/>
        </w:rPr>
        <w:t xml:space="preserve">повећања неопорезивог износа зараде на </w:t>
      </w:r>
      <w:r w:rsidR="00FB270B" w:rsidRPr="002C3A49">
        <w:rPr>
          <w:rFonts w:ascii="Times New Roman" w:hAnsi="Times New Roman"/>
          <w:noProof/>
          <w:sz w:val="24"/>
          <w:szCs w:val="24"/>
          <w:lang w:val="sr-Cyrl-RS"/>
        </w:rPr>
        <w:t>25.000</w:t>
      </w:r>
      <w:r w:rsidR="00AD4681" w:rsidRPr="002C3A49">
        <w:rPr>
          <w:rFonts w:ascii="Times New Roman" w:hAnsi="Times New Roman"/>
          <w:noProof/>
          <w:sz w:val="24"/>
          <w:szCs w:val="24"/>
          <w:lang w:val="sr-Cyrl-RS"/>
        </w:rPr>
        <w:t xml:space="preserve"> </w:t>
      </w:r>
      <w:r w:rsidRPr="002C3A49">
        <w:rPr>
          <w:rFonts w:ascii="Times New Roman" w:hAnsi="Times New Roman"/>
          <w:noProof/>
          <w:sz w:val="24"/>
          <w:szCs w:val="24"/>
          <w:lang w:val="sr-Cyrl-RS"/>
        </w:rPr>
        <w:t>динара</w:t>
      </w:r>
      <w:r w:rsidR="00FB270B" w:rsidRPr="002C3A49">
        <w:rPr>
          <w:rFonts w:ascii="Times New Roman" w:hAnsi="Times New Roman"/>
          <w:noProof/>
          <w:sz w:val="24"/>
          <w:szCs w:val="24"/>
          <w:lang w:val="sr-Cyrl-RS"/>
        </w:rPr>
        <w:t>.</w:t>
      </w:r>
    </w:p>
    <w:p w14:paraId="46B2ADB5" w14:textId="77777777" w:rsidR="00FB270B" w:rsidRPr="002C3A49" w:rsidRDefault="00FB270B" w:rsidP="00FB270B">
      <w:pPr>
        <w:tabs>
          <w:tab w:val="left" w:pos="720"/>
          <w:tab w:val="center" w:pos="1134"/>
        </w:tabs>
        <w:rPr>
          <w:rFonts w:ascii="Times New Roman" w:hAnsi="Times New Roman"/>
          <w:noProof/>
          <w:szCs w:val="24"/>
          <w:lang w:val="sr-Cyrl-RS"/>
        </w:rPr>
      </w:pPr>
      <w:r w:rsidRPr="002C3A49">
        <w:rPr>
          <w:rFonts w:ascii="Times New Roman" w:hAnsi="Times New Roman"/>
          <w:noProof/>
          <w:szCs w:val="24"/>
          <w:lang w:val="sr-Cyrl-RS"/>
        </w:rPr>
        <w:tab/>
        <w:t xml:space="preserve">У 2024. години планира се увећање плата </w:t>
      </w:r>
      <w:r w:rsidRPr="002C3A49">
        <w:rPr>
          <w:noProof/>
          <w:lang w:val="sr-Cyrl-RS"/>
        </w:rPr>
        <w:t>запосленима код корисника буџетских средстава, односно корисника средстава организација за обавезно социјално осигурање за 10% почев од плате за јануар 2024. године</w:t>
      </w:r>
      <w:r w:rsidRPr="002C3A49">
        <w:rPr>
          <w:rFonts w:asciiTheme="minorHAnsi" w:hAnsiTheme="minorHAnsi"/>
          <w:noProof/>
          <w:lang w:val="sr-Cyrl-RS"/>
        </w:rPr>
        <w:t>.</w:t>
      </w:r>
      <w:r w:rsidRPr="002C3A49">
        <w:rPr>
          <w:rFonts w:ascii="Times New Roman" w:hAnsi="Times New Roman"/>
          <w:noProof/>
          <w:szCs w:val="24"/>
          <w:lang w:val="sr-Cyrl-RS"/>
        </w:rPr>
        <w:tab/>
      </w:r>
      <w:r w:rsidRPr="002C3A49">
        <w:rPr>
          <w:rFonts w:ascii="Times New Roman" w:hAnsi="Times New Roman"/>
          <w:noProof/>
          <w:szCs w:val="24"/>
          <w:lang w:val="sr-Cyrl-RS"/>
        </w:rPr>
        <w:tab/>
      </w:r>
    </w:p>
    <w:p w14:paraId="4FBEC076" w14:textId="77777777" w:rsidR="00FB270B" w:rsidRPr="002C3A49" w:rsidRDefault="00FB270B" w:rsidP="00FB270B">
      <w:pPr>
        <w:tabs>
          <w:tab w:val="left" w:pos="720"/>
          <w:tab w:val="center" w:pos="1134"/>
        </w:tabs>
        <w:rPr>
          <w:rFonts w:ascii="Times New Roman" w:hAnsi="Times New Roman"/>
          <w:noProof/>
          <w:szCs w:val="24"/>
          <w:lang w:val="sr-Cyrl-RS"/>
        </w:rPr>
      </w:pPr>
      <w:r w:rsidRPr="002C3A49">
        <w:rPr>
          <w:rFonts w:ascii="Times New Roman" w:hAnsi="Times New Roman"/>
          <w:noProof/>
          <w:szCs w:val="24"/>
          <w:lang w:val="sr-Cyrl-RS"/>
        </w:rPr>
        <w:tab/>
        <w:t xml:space="preserve">У буџетској 2024. години </w:t>
      </w:r>
      <w:r w:rsidRPr="002C3A49">
        <w:rPr>
          <w:noProof/>
          <w:lang w:val="sr-Cyrl-RS"/>
        </w:rPr>
        <w:t>не може</w:t>
      </w:r>
      <w:r w:rsidRPr="002C3A49">
        <w:rPr>
          <w:rFonts w:ascii="Times New Roman" w:hAnsi="Times New Roman"/>
          <w:noProof/>
          <w:szCs w:val="24"/>
          <w:lang w:val="sr-Cyrl-RS"/>
        </w:rPr>
        <w:t xml:space="preserve">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побољшања услова рада, као и других примања из члана 120. став 1. тачка 4. Закона о раду („Службени гласник РС”, бр. 24/05, 61/05, 54/09, 32/13, 75/14, 13/17-УС,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буџета Републике Србије, локалне власти и кориснике средстава организација за обавезно социјално осигурање, осим јубиларних награда за запослене и новчаних честитки за децу запослених.</w:t>
      </w:r>
    </w:p>
    <w:p w14:paraId="63EA4230" w14:textId="77777777" w:rsidR="00FB270B" w:rsidRPr="002C3A49" w:rsidRDefault="00FB270B" w:rsidP="00FB270B">
      <w:pPr>
        <w:tabs>
          <w:tab w:val="left" w:pos="720"/>
          <w:tab w:val="center" w:pos="1134"/>
        </w:tabs>
        <w:rPr>
          <w:rFonts w:ascii="Times New Roman" w:hAnsi="Times New Roman"/>
          <w:noProof/>
          <w:szCs w:val="24"/>
          <w:lang w:val="sr-Cyrl-RS"/>
        </w:rPr>
      </w:pPr>
      <w:r w:rsidRPr="002C3A49">
        <w:rPr>
          <w:rFonts w:ascii="Times New Roman" w:hAnsi="Times New Roman"/>
          <w:noProof/>
          <w:szCs w:val="24"/>
          <w:lang w:val="sr-Cyrl-RS"/>
        </w:rPr>
        <w:tab/>
        <w:t>У 2024. години не могу се исплаћивати запосленима код корисника буџетских средстава награде и бонуси који према међународним критеријумима представљају нестандардне, односно нетранспарентне облике награда и бонуса.</w:t>
      </w:r>
    </w:p>
    <w:p w14:paraId="3DC4AF57" w14:textId="20F81D43" w:rsidR="00AD4681" w:rsidRPr="002C3A49" w:rsidRDefault="00FB270B" w:rsidP="00014917">
      <w:pPr>
        <w:tabs>
          <w:tab w:val="left" w:pos="720"/>
          <w:tab w:val="center" w:pos="1134"/>
        </w:tabs>
        <w:ind w:firstLine="720"/>
        <w:rPr>
          <w:rFonts w:ascii="Times New Roman" w:hAnsi="Times New Roman"/>
          <w:noProof/>
          <w:szCs w:val="24"/>
          <w:lang w:val="sr-Cyrl-RS"/>
        </w:rPr>
      </w:pPr>
      <w:r w:rsidRPr="002C3A49">
        <w:rPr>
          <w:rFonts w:ascii="Times New Roman" w:hAnsi="Times New Roman"/>
          <w:noProof/>
          <w:szCs w:val="24"/>
          <w:lang w:val="sr-Cyrl-RS"/>
        </w:rPr>
        <w:t>Изузетно, исплата награда и бонуса запосленима код корисника средстава буџета Републике Србије и корисника средстава организација за обавезно социјално осигурање у 2024. години може се вршити на основу одлуке Владе.</w:t>
      </w:r>
    </w:p>
    <w:p w14:paraId="7521A9B8" w14:textId="3F5A3C32" w:rsidR="00995C8E" w:rsidRPr="002C3A49" w:rsidRDefault="00AE51F8" w:rsidP="00C35185">
      <w:pPr>
        <w:ind w:firstLine="720"/>
        <w:rPr>
          <w:noProof/>
          <w:lang w:val="sr-Cyrl-RS"/>
        </w:rPr>
      </w:pPr>
      <w:r w:rsidRPr="002C3A49">
        <w:rPr>
          <w:rFonts w:ascii="Times New Roman" w:hAnsi="Times New Roman"/>
          <w:b/>
          <w:bCs/>
          <w:noProof/>
          <w:color w:val="000000"/>
          <w:szCs w:val="24"/>
          <w:lang w:val="sr-Cyrl-RS"/>
        </w:rPr>
        <w:t xml:space="preserve">Расходи за коришћење услуга и роба </w:t>
      </w:r>
      <w:r w:rsidRPr="002C3A49">
        <w:rPr>
          <w:rFonts w:ascii="Times New Roman" w:hAnsi="Times New Roman"/>
          <w:noProof/>
          <w:color w:val="000000"/>
          <w:szCs w:val="24"/>
          <w:lang w:val="sr-Cyrl-RS"/>
        </w:rPr>
        <w:t xml:space="preserve">износе </w:t>
      </w:r>
      <w:r w:rsidR="009F2A20" w:rsidRPr="002C3A49">
        <w:rPr>
          <w:rFonts w:ascii="Times New Roman" w:hAnsi="Times New Roman"/>
          <w:noProof/>
          <w:color w:val="000000"/>
          <w:szCs w:val="24"/>
          <w:lang w:val="sr-Cyrl-RS"/>
        </w:rPr>
        <w:t>2</w:t>
      </w:r>
      <w:r w:rsidR="008F0EF6" w:rsidRPr="002C3A49">
        <w:rPr>
          <w:rFonts w:ascii="Times New Roman" w:hAnsi="Times New Roman"/>
          <w:noProof/>
          <w:color w:val="000000"/>
          <w:szCs w:val="24"/>
          <w:lang w:val="sr-Cyrl-RS"/>
        </w:rPr>
        <w:t>10,01</w:t>
      </w:r>
      <w:r w:rsidRPr="002C3A49">
        <w:rPr>
          <w:rFonts w:ascii="Times New Roman" w:hAnsi="Times New Roman"/>
          <w:noProof/>
          <w:color w:val="000000"/>
          <w:szCs w:val="24"/>
          <w:lang w:val="sr-Cyrl-RS"/>
        </w:rPr>
        <w:t xml:space="preserve"> млрд динара. Учешће ових расхода у укупним расходима и издацима је </w:t>
      </w:r>
      <w:r w:rsidR="009433DD" w:rsidRPr="002C3A49">
        <w:rPr>
          <w:rFonts w:ascii="Times New Roman" w:hAnsi="Times New Roman"/>
          <w:noProof/>
          <w:color w:val="000000"/>
          <w:szCs w:val="24"/>
          <w:lang w:val="sr-Cyrl-RS"/>
        </w:rPr>
        <w:t>9,3</w:t>
      </w:r>
      <w:r w:rsidR="008F0EF6" w:rsidRPr="002C3A49">
        <w:rPr>
          <w:rFonts w:ascii="Times New Roman" w:hAnsi="Times New Roman"/>
          <w:noProof/>
          <w:color w:val="000000"/>
          <w:szCs w:val="24"/>
          <w:lang w:val="sr-Cyrl-RS"/>
        </w:rPr>
        <w:t>8</w:t>
      </w:r>
      <w:r w:rsidRPr="002C3A49">
        <w:rPr>
          <w:rFonts w:ascii="Times New Roman" w:hAnsi="Times New Roman"/>
          <w:noProof/>
          <w:color w:val="000000"/>
          <w:szCs w:val="24"/>
          <w:lang w:val="sr-Cyrl-RS"/>
        </w:rPr>
        <w:t>%</w:t>
      </w:r>
      <w:r w:rsidR="00DF267C" w:rsidRPr="002C3A49">
        <w:rPr>
          <w:rFonts w:ascii="Times New Roman" w:hAnsi="Times New Roman"/>
          <w:noProof/>
          <w:color w:val="000000"/>
          <w:szCs w:val="24"/>
          <w:lang w:val="sr-Cyrl-RS"/>
        </w:rPr>
        <w:t>. Средства су планиран</w:t>
      </w:r>
      <w:r w:rsidR="0064364F" w:rsidRPr="002C3A49">
        <w:rPr>
          <w:rFonts w:ascii="Times New Roman" w:hAnsi="Times New Roman"/>
          <w:noProof/>
          <w:color w:val="000000"/>
          <w:szCs w:val="24"/>
          <w:lang w:val="sr-Cyrl-RS"/>
        </w:rPr>
        <w:t>a</w:t>
      </w:r>
      <w:r w:rsidR="00DF267C" w:rsidRPr="002C3A49">
        <w:rPr>
          <w:rFonts w:ascii="Times New Roman" w:hAnsi="Times New Roman"/>
          <w:noProof/>
          <w:color w:val="000000"/>
          <w:szCs w:val="24"/>
          <w:lang w:val="sr-Cyrl-RS"/>
        </w:rPr>
        <w:t xml:space="preserve"> за</w:t>
      </w:r>
      <w:r w:rsidR="00151DEC" w:rsidRPr="002C3A49">
        <w:rPr>
          <w:rFonts w:ascii="Times New Roman" w:hAnsi="Times New Roman"/>
          <w:noProof/>
          <w:color w:val="000000"/>
          <w:szCs w:val="24"/>
          <w:lang w:val="sr-Cyrl-RS"/>
        </w:rPr>
        <w:t>:</w:t>
      </w:r>
      <w:r w:rsidR="00DF267C" w:rsidRPr="002C3A49">
        <w:rPr>
          <w:rFonts w:ascii="Times New Roman" w:hAnsi="Times New Roman"/>
          <w:noProof/>
          <w:color w:val="000000"/>
          <w:szCs w:val="24"/>
          <w:lang w:val="sr-Cyrl-RS"/>
        </w:rPr>
        <w:t xml:space="preserve"> </w:t>
      </w:r>
      <w:r w:rsidRPr="002C3A49">
        <w:rPr>
          <w:rFonts w:ascii="Times New Roman" w:hAnsi="Times New Roman"/>
          <w:b/>
          <w:bCs/>
          <w:noProof/>
          <w:color w:val="000000"/>
          <w:szCs w:val="24"/>
          <w:lang w:val="sr-Cyrl-RS"/>
        </w:rPr>
        <w:t xml:space="preserve">сталне трошкове </w:t>
      </w:r>
      <w:r w:rsidR="00206479" w:rsidRPr="002C3A49">
        <w:rPr>
          <w:rFonts w:ascii="Times New Roman" w:hAnsi="Times New Roman"/>
          <w:noProof/>
          <w:color w:val="000000"/>
          <w:szCs w:val="24"/>
          <w:lang w:val="sr-Cyrl-RS"/>
        </w:rPr>
        <w:t>буџетских корисника</w:t>
      </w:r>
      <w:r w:rsidR="00151DEC" w:rsidRPr="002C3A49">
        <w:rPr>
          <w:rFonts w:ascii="Times New Roman" w:hAnsi="Times New Roman"/>
          <w:noProof/>
          <w:color w:val="000000"/>
          <w:szCs w:val="24"/>
          <w:lang w:val="sr-Cyrl-RS"/>
        </w:rPr>
        <w:t xml:space="preserve"> </w:t>
      </w:r>
      <w:r w:rsidR="00206479" w:rsidRPr="002C3A49">
        <w:rPr>
          <w:rFonts w:ascii="Times New Roman" w:hAnsi="Times New Roman"/>
          <w:noProof/>
          <w:color w:val="000000"/>
          <w:szCs w:val="24"/>
          <w:lang w:val="sr-Cyrl-RS"/>
        </w:rPr>
        <w:t>(енергетске и комуналне услуге, услуге комуникација, трошков</w:t>
      </w:r>
      <w:r w:rsidR="00151DEC" w:rsidRPr="002C3A49">
        <w:rPr>
          <w:rFonts w:ascii="Times New Roman" w:hAnsi="Times New Roman"/>
          <w:noProof/>
          <w:color w:val="000000"/>
          <w:szCs w:val="24"/>
          <w:lang w:val="sr-Cyrl-RS"/>
        </w:rPr>
        <w:t>и</w:t>
      </w:r>
      <w:r w:rsidR="00206479" w:rsidRPr="002C3A49">
        <w:rPr>
          <w:rFonts w:ascii="Times New Roman" w:hAnsi="Times New Roman"/>
          <w:noProof/>
          <w:color w:val="000000"/>
          <w:szCs w:val="24"/>
          <w:lang w:val="sr-Cyrl-RS"/>
        </w:rPr>
        <w:t xml:space="preserve"> осигурања и др.)</w:t>
      </w:r>
      <w:r w:rsidR="00151DEC" w:rsidRPr="002C3A49">
        <w:rPr>
          <w:rFonts w:ascii="Times New Roman" w:hAnsi="Times New Roman"/>
          <w:noProof/>
          <w:color w:val="000000"/>
          <w:szCs w:val="24"/>
          <w:lang w:val="sr-Cyrl-RS"/>
        </w:rPr>
        <w:t>;</w:t>
      </w:r>
      <w:r w:rsidR="00206479" w:rsidRPr="002C3A49">
        <w:rPr>
          <w:rFonts w:ascii="Times New Roman" w:hAnsi="Times New Roman"/>
          <w:noProof/>
          <w:color w:val="000000"/>
          <w:szCs w:val="24"/>
          <w:lang w:val="sr-Cyrl-RS"/>
        </w:rPr>
        <w:t xml:space="preserve"> </w:t>
      </w:r>
      <w:r w:rsidR="00206479" w:rsidRPr="002C3A49">
        <w:rPr>
          <w:rFonts w:ascii="Times New Roman" w:hAnsi="Times New Roman"/>
          <w:b/>
          <w:bCs/>
          <w:noProof/>
          <w:color w:val="000000"/>
          <w:szCs w:val="24"/>
          <w:lang w:val="sr-Cyrl-RS"/>
        </w:rPr>
        <w:t>услуге по уговору</w:t>
      </w:r>
      <w:r w:rsidR="00206479" w:rsidRPr="002C3A49">
        <w:rPr>
          <w:rFonts w:ascii="Times New Roman" w:hAnsi="Times New Roman"/>
          <w:noProof/>
          <w:color w:val="000000"/>
          <w:szCs w:val="24"/>
          <w:lang w:val="sr-Cyrl-RS"/>
        </w:rPr>
        <w:t xml:space="preserve"> (с</w:t>
      </w:r>
      <w:r w:rsidR="004E7950" w:rsidRPr="002C3A49">
        <w:rPr>
          <w:rFonts w:ascii="Times New Roman" w:hAnsi="Times New Roman"/>
          <w:noProof/>
          <w:color w:val="000000"/>
          <w:szCs w:val="24"/>
          <w:lang w:val="sr-Cyrl-RS"/>
        </w:rPr>
        <w:t>провођење судских поступака судова</w:t>
      </w:r>
      <w:r w:rsidR="008F36F8" w:rsidRPr="002C3A49">
        <w:rPr>
          <w:rFonts w:ascii="Times New Roman" w:hAnsi="Times New Roman"/>
          <w:noProof/>
          <w:color w:val="000000"/>
          <w:szCs w:val="24"/>
          <w:lang w:val="sr-Cyrl-RS"/>
        </w:rPr>
        <w:t>,</w:t>
      </w:r>
      <w:r w:rsidR="004E7950" w:rsidRPr="002C3A49">
        <w:rPr>
          <w:rFonts w:ascii="Times New Roman" w:hAnsi="Times New Roman"/>
          <w:noProof/>
          <w:color w:val="000000"/>
          <w:szCs w:val="24"/>
          <w:lang w:val="sr-Cyrl-RS"/>
        </w:rPr>
        <w:t xml:space="preserve"> </w:t>
      </w:r>
      <w:r w:rsidR="00ED473C" w:rsidRPr="002C3A49">
        <w:rPr>
          <w:rFonts w:ascii="Times New Roman" w:hAnsi="Times New Roman"/>
          <w:noProof/>
          <w:color w:val="000000"/>
          <w:szCs w:val="24"/>
          <w:lang w:val="sr-Cyrl-RS"/>
        </w:rPr>
        <w:t>спровођење тужилачких активности тужилаштава</w:t>
      </w:r>
      <w:r w:rsidR="008F36F8" w:rsidRPr="002C3A49">
        <w:rPr>
          <w:rFonts w:ascii="Times New Roman" w:hAnsi="Times New Roman"/>
          <w:noProof/>
          <w:color w:val="000000"/>
          <w:szCs w:val="24"/>
          <w:lang w:val="sr-Cyrl-RS"/>
        </w:rPr>
        <w:t>,</w:t>
      </w:r>
      <w:r w:rsidR="00ED473C" w:rsidRPr="002C3A49">
        <w:rPr>
          <w:rFonts w:ascii="Times New Roman" w:hAnsi="Times New Roman"/>
          <w:noProof/>
          <w:color w:val="000000"/>
          <w:szCs w:val="24"/>
          <w:lang w:val="sr-Cyrl-RS"/>
        </w:rPr>
        <w:t xml:space="preserve"> </w:t>
      </w:r>
      <w:r w:rsidR="00206479" w:rsidRPr="002C3A49">
        <w:rPr>
          <w:rFonts w:ascii="Times New Roman" w:hAnsi="Times New Roman"/>
          <w:noProof/>
          <w:color w:val="000000"/>
          <w:szCs w:val="24"/>
          <w:lang w:val="sr-Cyrl-RS"/>
        </w:rPr>
        <w:t>п</w:t>
      </w:r>
      <w:r w:rsidR="004E7950" w:rsidRPr="002C3A49">
        <w:rPr>
          <w:rFonts w:ascii="Times New Roman" w:hAnsi="Times New Roman"/>
          <w:noProof/>
          <w:color w:val="000000"/>
          <w:szCs w:val="24"/>
          <w:lang w:val="sr-Cyrl-RS"/>
        </w:rPr>
        <w:t>равн</w:t>
      </w:r>
      <w:r w:rsidR="009D260F" w:rsidRPr="002C3A49">
        <w:rPr>
          <w:rFonts w:ascii="Times New Roman" w:hAnsi="Times New Roman"/>
          <w:noProof/>
          <w:color w:val="000000"/>
          <w:szCs w:val="24"/>
          <w:lang w:val="sr-Cyrl-RS"/>
        </w:rPr>
        <w:t>у</w:t>
      </w:r>
      <w:r w:rsidR="004E7950" w:rsidRPr="002C3A49">
        <w:rPr>
          <w:rFonts w:ascii="Times New Roman" w:hAnsi="Times New Roman"/>
          <w:noProof/>
          <w:color w:val="000000"/>
          <w:szCs w:val="24"/>
          <w:lang w:val="sr-Cyrl-RS"/>
        </w:rPr>
        <w:t xml:space="preserve"> заштит</w:t>
      </w:r>
      <w:r w:rsidR="009D260F" w:rsidRPr="002C3A49">
        <w:rPr>
          <w:rFonts w:ascii="Times New Roman" w:hAnsi="Times New Roman"/>
          <w:noProof/>
          <w:color w:val="000000"/>
          <w:szCs w:val="24"/>
          <w:lang w:val="sr-Cyrl-RS"/>
        </w:rPr>
        <w:t>у</w:t>
      </w:r>
      <w:r w:rsidR="004E7950" w:rsidRPr="002C3A49">
        <w:rPr>
          <w:rFonts w:ascii="Times New Roman" w:hAnsi="Times New Roman"/>
          <w:noProof/>
          <w:color w:val="000000"/>
          <w:szCs w:val="24"/>
          <w:lang w:val="sr-Cyrl-RS"/>
        </w:rPr>
        <w:t xml:space="preserve"> имовине и заступање интереса Републике Србије пред међународним судовима</w:t>
      </w:r>
      <w:r w:rsidR="008F36F8" w:rsidRPr="002C3A49">
        <w:rPr>
          <w:rFonts w:ascii="Times New Roman" w:hAnsi="Times New Roman"/>
          <w:noProof/>
          <w:color w:val="000000"/>
          <w:szCs w:val="24"/>
          <w:lang w:val="sr-Cyrl-RS"/>
        </w:rPr>
        <w:t>,</w:t>
      </w:r>
      <w:r w:rsidR="004E7950" w:rsidRPr="002C3A49">
        <w:rPr>
          <w:rFonts w:ascii="Times New Roman" w:hAnsi="Times New Roman"/>
          <w:noProof/>
          <w:color w:val="000000"/>
          <w:szCs w:val="24"/>
          <w:lang w:val="sr-Cyrl-RS"/>
        </w:rPr>
        <w:t xml:space="preserve"> </w:t>
      </w:r>
      <w:r w:rsidR="00DF267C" w:rsidRPr="002C3A49">
        <w:rPr>
          <w:rFonts w:ascii="Times New Roman" w:hAnsi="Times New Roman"/>
          <w:noProof/>
          <w:color w:val="000000"/>
          <w:szCs w:val="24"/>
          <w:lang w:val="sr-Cyrl-RS"/>
        </w:rPr>
        <w:t>ц</w:t>
      </w:r>
      <w:r w:rsidR="004E7950" w:rsidRPr="002C3A49">
        <w:rPr>
          <w:rFonts w:ascii="Times New Roman" w:hAnsi="Times New Roman"/>
          <w:noProof/>
          <w:color w:val="000000"/>
          <w:szCs w:val="24"/>
          <w:lang w:val="sr-Cyrl-RS"/>
        </w:rPr>
        <w:t>ентрализован</w:t>
      </w:r>
      <w:r w:rsidR="009D260F" w:rsidRPr="002C3A49">
        <w:rPr>
          <w:rFonts w:ascii="Times New Roman" w:hAnsi="Times New Roman"/>
          <w:noProof/>
          <w:color w:val="000000"/>
          <w:szCs w:val="24"/>
          <w:lang w:val="sr-Cyrl-RS"/>
        </w:rPr>
        <w:t>у</w:t>
      </w:r>
      <w:r w:rsidR="004E7950" w:rsidRPr="002C3A49">
        <w:rPr>
          <w:rFonts w:ascii="Times New Roman" w:hAnsi="Times New Roman"/>
          <w:noProof/>
          <w:color w:val="000000"/>
          <w:szCs w:val="24"/>
          <w:lang w:val="sr-Cyrl-RS"/>
        </w:rPr>
        <w:t xml:space="preserve"> платформ</w:t>
      </w:r>
      <w:r w:rsidR="009D260F" w:rsidRPr="002C3A49">
        <w:rPr>
          <w:rFonts w:ascii="Times New Roman" w:hAnsi="Times New Roman"/>
          <w:noProof/>
          <w:color w:val="000000"/>
          <w:szCs w:val="24"/>
          <w:lang w:val="sr-Cyrl-RS"/>
        </w:rPr>
        <w:t>у</w:t>
      </w:r>
      <w:r w:rsidR="004E7950" w:rsidRPr="002C3A49">
        <w:rPr>
          <w:rFonts w:ascii="Times New Roman" w:hAnsi="Times New Roman"/>
          <w:noProof/>
          <w:color w:val="000000"/>
          <w:szCs w:val="24"/>
          <w:lang w:val="sr-Cyrl-RS"/>
        </w:rPr>
        <w:t xml:space="preserve"> за електронске фактуре правних лица и предузетника</w:t>
      </w:r>
      <w:r w:rsidR="008F36F8" w:rsidRPr="002C3A49">
        <w:rPr>
          <w:rFonts w:ascii="Times New Roman" w:hAnsi="Times New Roman"/>
          <w:noProof/>
          <w:color w:val="000000"/>
          <w:szCs w:val="24"/>
          <w:lang w:val="sr-Cyrl-RS"/>
        </w:rPr>
        <w:t>,</w:t>
      </w:r>
      <w:r w:rsidR="00D5061E" w:rsidRPr="002C3A49">
        <w:rPr>
          <w:rFonts w:ascii="Times New Roman" w:hAnsi="Times New Roman"/>
          <w:noProof/>
          <w:color w:val="000000"/>
          <w:szCs w:val="24"/>
          <w:lang w:val="sr-Cyrl-RS"/>
        </w:rPr>
        <w:t xml:space="preserve"> функционисање Министарства одбране и Војске Србије</w:t>
      </w:r>
      <w:r w:rsidR="008F36F8" w:rsidRPr="002C3A49">
        <w:rPr>
          <w:rFonts w:ascii="Times New Roman" w:hAnsi="Times New Roman"/>
          <w:noProof/>
          <w:color w:val="000000"/>
          <w:szCs w:val="24"/>
          <w:lang w:val="sr-Cyrl-RS"/>
        </w:rPr>
        <w:t>,</w:t>
      </w:r>
      <w:r w:rsidR="00D5061E" w:rsidRPr="002C3A49">
        <w:rPr>
          <w:rFonts w:ascii="Times New Roman" w:hAnsi="Times New Roman"/>
          <w:noProof/>
          <w:color w:val="000000"/>
          <w:szCs w:val="24"/>
          <w:lang w:val="sr-Cyrl-RS"/>
        </w:rPr>
        <w:t xml:space="preserve"> </w:t>
      </w:r>
      <w:r w:rsidR="00C61EEC" w:rsidRPr="002C3A49">
        <w:rPr>
          <w:rFonts w:ascii="Times New Roman" w:hAnsi="Times New Roman"/>
          <w:noProof/>
          <w:color w:val="000000"/>
          <w:szCs w:val="24"/>
          <w:lang w:val="sr-Cyrl-RS"/>
        </w:rPr>
        <w:t>подршку рада хранитеља</w:t>
      </w:r>
      <w:r w:rsidR="00DA63DD" w:rsidRPr="002C3A49">
        <w:rPr>
          <w:rFonts w:ascii="Times New Roman" w:hAnsi="Times New Roman"/>
          <w:noProof/>
          <w:color w:val="000000"/>
          <w:szCs w:val="24"/>
          <w:lang w:val="sr-Cyrl-RS"/>
        </w:rPr>
        <w:t xml:space="preserve"> </w:t>
      </w:r>
      <w:r w:rsidR="009D260F" w:rsidRPr="002C3A49">
        <w:rPr>
          <w:rFonts w:ascii="Times New Roman" w:hAnsi="Times New Roman"/>
          <w:noProof/>
          <w:color w:val="000000"/>
          <w:szCs w:val="24"/>
          <w:lang w:val="sr-Cyrl-RS"/>
        </w:rPr>
        <w:t>и др</w:t>
      </w:r>
      <w:r w:rsidR="00DA55F0" w:rsidRPr="002C3A49">
        <w:rPr>
          <w:rFonts w:ascii="Times New Roman" w:hAnsi="Times New Roman"/>
          <w:noProof/>
          <w:color w:val="000000"/>
          <w:szCs w:val="24"/>
          <w:lang w:val="sr-Cyrl-RS"/>
        </w:rPr>
        <w:t>.</w:t>
      </w:r>
      <w:r w:rsidR="004E7950" w:rsidRPr="002C3A49">
        <w:rPr>
          <w:rFonts w:ascii="Times New Roman" w:hAnsi="Times New Roman"/>
          <w:noProof/>
          <w:color w:val="000000"/>
          <w:szCs w:val="24"/>
          <w:lang w:val="sr-Cyrl-RS"/>
        </w:rPr>
        <w:t>)</w:t>
      </w:r>
      <w:r w:rsidR="0042282C" w:rsidRPr="002C3A49">
        <w:rPr>
          <w:rFonts w:ascii="Times New Roman" w:hAnsi="Times New Roman"/>
          <w:noProof/>
          <w:color w:val="000000"/>
          <w:szCs w:val="24"/>
          <w:lang w:val="sr-Cyrl-RS"/>
        </w:rPr>
        <w:t>;</w:t>
      </w:r>
      <w:r w:rsidR="00995C8E" w:rsidRPr="002C3A49">
        <w:rPr>
          <w:rFonts w:ascii="Times New Roman" w:hAnsi="Times New Roman"/>
          <w:noProof/>
          <w:color w:val="000000"/>
          <w:szCs w:val="24"/>
          <w:lang w:val="sr-Cyrl-RS"/>
        </w:rPr>
        <w:t xml:space="preserve"> </w:t>
      </w:r>
      <w:r w:rsidR="00995C8E" w:rsidRPr="002C3A49">
        <w:rPr>
          <w:rFonts w:ascii="Times New Roman" w:hAnsi="Times New Roman"/>
          <w:b/>
          <w:bCs/>
          <w:noProof/>
          <w:color w:val="000000"/>
          <w:szCs w:val="24"/>
          <w:lang w:val="sr-Cyrl-RS"/>
        </w:rPr>
        <w:t>специјализоване услуге</w:t>
      </w:r>
      <w:r w:rsidR="00995C8E" w:rsidRPr="002C3A49">
        <w:rPr>
          <w:rFonts w:ascii="Times New Roman" w:hAnsi="Times New Roman"/>
          <w:noProof/>
          <w:color w:val="000000"/>
          <w:szCs w:val="24"/>
          <w:lang w:val="sr-Cyrl-RS"/>
        </w:rPr>
        <w:t xml:space="preserve"> </w:t>
      </w:r>
      <w:r w:rsidR="004E7950" w:rsidRPr="002C3A49">
        <w:rPr>
          <w:rFonts w:ascii="Times New Roman" w:hAnsi="Times New Roman"/>
          <w:noProof/>
          <w:color w:val="000000"/>
          <w:szCs w:val="24"/>
          <w:lang w:val="sr-Cyrl-RS"/>
        </w:rPr>
        <w:t>(</w:t>
      </w:r>
      <w:r w:rsidR="008F36F8" w:rsidRPr="002C3A49">
        <w:rPr>
          <w:rFonts w:ascii="Times New Roman" w:hAnsi="Times New Roman"/>
          <w:noProof/>
          <w:color w:val="000000"/>
          <w:szCs w:val="24"/>
          <w:lang w:val="sr-Cyrl-RS"/>
        </w:rPr>
        <w:t xml:space="preserve">операције и </w:t>
      </w:r>
      <w:r w:rsidR="00CF328C" w:rsidRPr="002C3A49">
        <w:rPr>
          <w:rFonts w:ascii="Times New Roman" w:hAnsi="Times New Roman"/>
          <w:noProof/>
          <w:color w:val="000000"/>
          <w:szCs w:val="24"/>
          <w:lang w:val="sr-Cyrl-RS"/>
        </w:rPr>
        <w:t>функционисање Министарства одбране и Војске Србије, ваздушни саобраћај</w:t>
      </w:r>
      <w:r w:rsidR="00C35185" w:rsidRPr="002C3A49">
        <w:rPr>
          <w:rFonts w:ascii="Times New Roman" w:hAnsi="Times New Roman"/>
          <w:noProof/>
          <w:color w:val="000000"/>
          <w:szCs w:val="24"/>
          <w:lang w:val="sr-Cyrl-RS"/>
        </w:rPr>
        <w:t xml:space="preserve">, фитосанитарна инспекција, управљање фитосанитарним системом и системом безбедности хране и хране за животиње биљног порекла, </w:t>
      </w:r>
      <w:r w:rsidR="00CF328C" w:rsidRPr="002C3A49">
        <w:rPr>
          <w:rFonts w:ascii="Times New Roman" w:hAnsi="Times New Roman"/>
          <w:noProof/>
          <w:color w:val="000000"/>
          <w:szCs w:val="24"/>
          <w:lang w:val="sr-Cyrl-RS"/>
        </w:rPr>
        <w:t xml:space="preserve">подршка раду универзитета, подршка раду установа културе у области савременог стваралаштва, </w:t>
      </w:r>
      <w:r w:rsidR="00995C8E" w:rsidRPr="002C3A49">
        <w:rPr>
          <w:rFonts w:ascii="Times New Roman" w:hAnsi="Times New Roman"/>
          <w:noProof/>
          <w:color w:val="000000"/>
          <w:szCs w:val="24"/>
          <w:lang w:val="sr-Cyrl-RS"/>
        </w:rPr>
        <w:t>п</w:t>
      </w:r>
      <w:r w:rsidR="004E7950" w:rsidRPr="002C3A49">
        <w:rPr>
          <w:rFonts w:ascii="Times New Roman" w:hAnsi="Times New Roman"/>
          <w:noProof/>
          <w:color w:val="000000"/>
          <w:szCs w:val="24"/>
          <w:lang w:val="sr-Cyrl-RS"/>
        </w:rPr>
        <w:t>одршк</w:t>
      </w:r>
      <w:r w:rsidR="0042282C" w:rsidRPr="002C3A49">
        <w:rPr>
          <w:rFonts w:ascii="Times New Roman" w:hAnsi="Times New Roman"/>
          <w:noProof/>
          <w:color w:val="000000"/>
          <w:szCs w:val="24"/>
          <w:lang w:val="sr-Cyrl-RS"/>
        </w:rPr>
        <w:t>а</w:t>
      </w:r>
      <w:r w:rsidR="004E7950" w:rsidRPr="002C3A49">
        <w:rPr>
          <w:rFonts w:ascii="Times New Roman" w:hAnsi="Times New Roman"/>
          <w:noProof/>
          <w:color w:val="000000"/>
          <w:szCs w:val="24"/>
          <w:lang w:val="sr-Cyrl-RS"/>
        </w:rPr>
        <w:t xml:space="preserve"> реализацији општег интереса у научној истраживачкој делатности </w:t>
      </w:r>
      <w:r w:rsidR="00B05118" w:rsidRPr="002C3A49">
        <w:rPr>
          <w:rFonts w:ascii="Times New Roman" w:hAnsi="Times New Roman"/>
          <w:noProof/>
          <w:color w:val="000000"/>
          <w:szCs w:val="24"/>
          <w:lang w:val="sr-Cyrl-RS"/>
        </w:rPr>
        <w:t>и др.</w:t>
      </w:r>
      <w:r w:rsidR="00757C6A" w:rsidRPr="002C3A49">
        <w:rPr>
          <w:rFonts w:ascii="Times New Roman" w:hAnsi="Times New Roman"/>
          <w:noProof/>
          <w:color w:val="000000"/>
          <w:szCs w:val="24"/>
          <w:lang w:val="sr-Cyrl-RS"/>
        </w:rPr>
        <w:t>)</w:t>
      </w:r>
      <w:r w:rsidR="0042282C" w:rsidRPr="002C3A49">
        <w:rPr>
          <w:rFonts w:ascii="Times New Roman" w:hAnsi="Times New Roman"/>
          <w:noProof/>
          <w:color w:val="000000"/>
          <w:szCs w:val="24"/>
          <w:lang w:val="sr-Cyrl-RS"/>
        </w:rPr>
        <w:t>;</w:t>
      </w:r>
      <w:r w:rsidR="00DF267C" w:rsidRPr="002C3A49">
        <w:rPr>
          <w:rFonts w:ascii="Times New Roman" w:hAnsi="Times New Roman"/>
          <w:noProof/>
          <w:color w:val="000000"/>
          <w:szCs w:val="24"/>
          <w:lang w:val="sr-Cyrl-RS"/>
        </w:rPr>
        <w:t xml:space="preserve"> </w:t>
      </w:r>
      <w:r w:rsidR="00DF267C" w:rsidRPr="002C3A49">
        <w:rPr>
          <w:rFonts w:ascii="Times New Roman" w:hAnsi="Times New Roman"/>
          <w:b/>
          <w:bCs/>
          <w:noProof/>
          <w:color w:val="000000"/>
          <w:szCs w:val="24"/>
          <w:lang w:val="sr-Cyrl-RS"/>
        </w:rPr>
        <w:t>текуће поправке и одржавање</w:t>
      </w:r>
      <w:r w:rsidR="00757C6A" w:rsidRPr="002C3A49">
        <w:rPr>
          <w:rFonts w:ascii="Calibri" w:hAnsi="Calibri" w:cs="Calibri"/>
          <w:noProof/>
          <w:color w:val="000000"/>
          <w:sz w:val="22"/>
          <w:szCs w:val="22"/>
          <w:lang w:val="sr-Cyrl-RS"/>
        </w:rPr>
        <w:t xml:space="preserve"> (</w:t>
      </w:r>
      <w:r w:rsidR="00DF267C" w:rsidRPr="002C3A49">
        <w:rPr>
          <w:rFonts w:ascii="Times New Roman" w:hAnsi="Times New Roman"/>
          <w:noProof/>
          <w:color w:val="000000"/>
          <w:szCs w:val="24"/>
          <w:lang w:val="sr-Cyrl-RS"/>
        </w:rPr>
        <w:t xml:space="preserve">текуће </w:t>
      </w:r>
      <w:r w:rsidR="00886BCF" w:rsidRPr="002C3A49">
        <w:rPr>
          <w:rFonts w:ascii="Times New Roman" w:hAnsi="Times New Roman"/>
          <w:noProof/>
          <w:color w:val="000000"/>
          <w:szCs w:val="24"/>
          <w:lang w:val="sr-Cyrl-RS"/>
        </w:rPr>
        <w:t>поправке и одржавање</w:t>
      </w:r>
      <w:r w:rsidR="00DF267C" w:rsidRPr="002C3A49">
        <w:rPr>
          <w:rFonts w:ascii="Times New Roman" w:hAnsi="Times New Roman"/>
          <w:noProof/>
          <w:color w:val="000000"/>
          <w:szCs w:val="24"/>
          <w:lang w:val="sr-Cyrl-RS"/>
        </w:rPr>
        <w:t xml:space="preserve"> </w:t>
      </w:r>
      <w:r w:rsidR="00886BCF" w:rsidRPr="002C3A49">
        <w:rPr>
          <w:rFonts w:ascii="Times New Roman" w:hAnsi="Times New Roman"/>
          <w:noProof/>
          <w:color w:val="000000"/>
          <w:szCs w:val="24"/>
          <w:lang w:val="sr-Cyrl-RS"/>
        </w:rPr>
        <w:t>у</w:t>
      </w:r>
      <w:r w:rsidR="00757C6A" w:rsidRPr="002C3A49">
        <w:rPr>
          <w:rFonts w:ascii="Times New Roman" w:hAnsi="Times New Roman"/>
          <w:noProof/>
          <w:color w:val="000000"/>
          <w:szCs w:val="24"/>
          <w:lang w:val="sr-Cyrl-RS"/>
        </w:rPr>
        <w:t xml:space="preserve"> </w:t>
      </w:r>
      <w:r w:rsidR="00C35185" w:rsidRPr="002C3A49">
        <w:rPr>
          <w:rFonts w:ascii="Times New Roman" w:hAnsi="Times New Roman"/>
          <w:noProof/>
          <w:color w:val="000000"/>
          <w:szCs w:val="24"/>
          <w:lang w:val="sr-Cyrl-RS"/>
        </w:rPr>
        <w:t xml:space="preserve">војсци и полицији, </w:t>
      </w:r>
      <w:r w:rsidR="00C35185" w:rsidRPr="002C3A49">
        <w:rPr>
          <w:noProof/>
          <w:lang w:val="sr-Cyrl-RS"/>
        </w:rPr>
        <w:t xml:space="preserve">уређење водотока и заштита од штетног дејства вода </w:t>
      </w:r>
      <w:r w:rsidR="00DF267C" w:rsidRPr="002C3A49">
        <w:rPr>
          <w:rFonts w:ascii="Times New Roman" w:hAnsi="Times New Roman"/>
          <w:noProof/>
          <w:color w:val="000000"/>
          <w:szCs w:val="24"/>
          <w:lang w:val="sr-Cyrl-RS"/>
        </w:rPr>
        <w:t>и др</w:t>
      </w:r>
      <w:r w:rsidR="006011D7" w:rsidRPr="002C3A49">
        <w:rPr>
          <w:rFonts w:ascii="Times New Roman" w:hAnsi="Times New Roman"/>
          <w:noProof/>
          <w:color w:val="000000"/>
          <w:szCs w:val="24"/>
          <w:lang w:val="sr-Cyrl-RS"/>
        </w:rPr>
        <w:t>.</w:t>
      </w:r>
      <w:r w:rsidR="00757C6A" w:rsidRPr="002C3A49">
        <w:rPr>
          <w:rFonts w:ascii="Times New Roman" w:hAnsi="Times New Roman"/>
          <w:noProof/>
          <w:color w:val="000000"/>
          <w:szCs w:val="24"/>
          <w:lang w:val="sr-Cyrl-RS"/>
        </w:rPr>
        <w:t>)</w:t>
      </w:r>
      <w:r w:rsidR="0042282C" w:rsidRPr="002C3A49">
        <w:rPr>
          <w:rFonts w:ascii="Times New Roman" w:hAnsi="Times New Roman"/>
          <w:noProof/>
          <w:color w:val="000000"/>
          <w:szCs w:val="24"/>
          <w:lang w:val="sr-Cyrl-RS"/>
        </w:rPr>
        <w:t>;</w:t>
      </w:r>
      <w:r w:rsidR="00DF267C" w:rsidRPr="002C3A49">
        <w:rPr>
          <w:rFonts w:ascii="Times New Roman" w:hAnsi="Times New Roman"/>
          <w:noProof/>
          <w:color w:val="000000"/>
          <w:szCs w:val="24"/>
          <w:lang w:val="sr-Cyrl-RS"/>
        </w:rPr>
        <w:t xml:space="preserve"> </w:t>
      </w:r>
      <w:r w:rsidR="00DF267C" w:rsidRPr="002C3A49">
        <w:rPr>
          <w:rFonts w:ascii="Times New Roman" w:hAnsi="Times New Roman"/>
          <w:b/>
          <w:bCs/>
          <w:noProof/>
          <w:color w:val="000000"/>
          <w:szCs w:val="24"/>
          <w:lang w:val="sr-Cyrl-RS"/>
        </w:rPr>
        <w:t>материјал</w:t>
      </w:r>
      <w:r w:rsidR="00886BCF" w:rsidRPr="002C3A49">
        <w:rPr>
          <w:rFonts w:ascii="Times New Roman" w:hAnsi="Times New Roman"/>
          <w:b/>
          <w:bCs/>
          <w:noProof/>
          <w:color w:val="000000"/>
          <w:szCs w:val="24"/>
          <w:lang w:val="sr-Cyrl-RS"/>
        </w:rPr>
        <w:t xml:space="preserve"> </w:t>
      </w:r>
      <w:r w:rsidR="00886BCF" w:rsidRPr="002C3A49">
        <w:rPr>
          <w:rFonts w:ascii="Times New Roman" w:hAnsi="Times New Roman"/>
          <w:noProof/>
          <w:color w:val="000000"/>
          <w:szCs w:val="24"/>
          <w:lang w:val="sr-Cyrl-RS"/>
        </w:rPr>
        <w:t>(набавк</w:t>
      </w:r>
      <w:r w:rsidR="0042282C" w:rsidRPr="002C3A49">
        <w:rPr>
          <w:rFonts w:ascii="Times New Roman" w:hAnsi="Times New Roman"/>
          <w:noProof/>
          <w:color w:val="000000"/>
          <w:szCs w:val="24"/>
          <w:lang w:val="sr-Cyrl-RS"/>
        </w:rPr>
        <w:t>а</w:t>
      </w:r>
      <w:r w:rsidR="00886BCF" w:rsidRPr="002C3A49">
        <w:rPr>
          <w:rFonts w:ascii="Times New Roman" w:hAnsi="Times New Roman"/>
          <w:noProof/>
          <w:color w:val="000000"/>
          <w:szCs w:val="24"/>
          <w:lang w:val="sr-Cyrl-RS"/>
        </w:rPr>
        <w:t xml:space="preserve"> горива за војску и полицију</w:t>
      </w:r>
      <w:r w:rsidR="0042282C" w:rsidRPr="002C3A49">
        <w:rPr>
          <w:rFonts w:ascii="Times New Roman" w:hAnsi="Times New Roman"/>
          <w:noProof/>
          <w:color w:val="000000"/>
          <w:szCs w:val="24"/>
          <w:lang w:val="sr-Cyrl-RS"/>
        </w:rPr>
        <w:t xml:space="preserve"> и</w:t>
      </w:r>
      <w:r w:rsidR="00886BCF" w:rsidRPr="002C3A49">
        <w:rPr>
          <w:rFonts w:ascii="Times New Roman" w:hAnsi="Times New Roman"/>
          <w:noProof/>
          <w:color w:val="000000"/>
          <w:szCs w:val="24"/>
          <w:lang w:val="sr-Cyrl-RS"/>
        </w:rPr>
        <w:t xml:space="preserve"> лекова за војно здравство, п</w:t>
      </w:r>
      <w:r w:rsidR="00995C8E" w:rsidRPr="002C3A49">
        <w:rPr>
          <w:rFonts w:ascii="Times New Roman" w:hAnsi="Times New Roman"/>
          <w:noProof/>
          <w:color w:val="000000"/>
          <w:szCs w:val="24"/>
          <w:lang w:val="sr-Cyrl-RS"/>
        </w:rPr>
        <w:t>одршк</w:t>
      </w:r>
      <w:r w:rsidR="0042282C" w:rsidRPr="002C3A49">
        <w:rPr>
          <w:rFonts w:ascii="Times New Roman" w:hAnsi="Times New Roman"/>
          <w:noProof/>
          <w:color w:val="000000"/>
          <w:szCs w:val="24"/>
          <w:lang w:val="sr-Cyrl-RS"/>
        </w:rPr>
        <w:t>а</w:t>
      </w:r>
      <w:r w:rsidR="00995C8E" w:rsidRPr="002C3A49">
        <w:rPr>
          <w:rFonts w:ascii="Times New Roman" w:hAnsi="Times New Roman"/>
          <w:noProof/>
          <w:color w:val="000000"/>
          <w:szCs w:val="24"/>
          <w:lang w:val="sr-Cyrl-RS"/>
        </w:rPr>
        <w:t xml:space="preserve"> лицима лишених слободе</w:t>
      </w:r>
      <w:r w:rsidR="00886BCF" w:rsidRPr="002C3A49">
        <w:rPr>
          <w:rFonts w:ascii="Times New Roman" w:hAnsi="Times New Roman"/>
          <w:noProof/>
          <w:color w:val="000000"/>
          <w:szCs w:val="24"/>
          <w:lang w:val="sr-Cyrl-RS"/>
        </w:rPr>
        <w:t xml:space="preserve">, </w:t>
      </w:r>
      <w:r w:rsidR="0067574F" w:rsidRPr="002C3A49">
        <w:rPr>
          <w:rFonts w:ascii="Times New Roman" w:hAnsi="Times New Roman"/>
          <w:noProof/>
          <w:color w:val="000000"/>
          <w:szCs w:val="24"/>
          <w:lang w:val="sr-Cyrl-RS"/>
        </w:rPr>
        <w:t>п</w:t>
      </w:r>
      <w:r w:rsidR="00886BCF" w:rsidRPr="002C3A49">
        <w:rPr>
          <w:rFonts w:ascii="Times New Roman" w:hAnsi="Times New Roman"/>
          <w:noProof/>
          <w:color w:val="000000"/>
          <w:szCs w:val="24"/>
          <w:lang w:val="sr-Cyrl-RS"/>
        </w:rPr>
        <w:t>одршк</w:t>
      </w:r>
      <w:r w:rsidR="0042282C" w:rsidRPr="002C3A49">
        <w:rPr>
          <w:rFonts w:ascii="Times New Roman" w:hAnsi="Times New Roman"/>
          <w:noProof/>
          <w:color w:val="000000"/>
          <w:szCs w:val="24"/>
          <w:lang w:val="sr-Cyrl-RS"/>
        </w:rPr>
        <w:t>а</w:t>
      </w:r>
      <w:r w:rsidR="00886BCF" w:rsidRPr="002C3A49">
        <w:rPr>
          <w:rFonts w:ascii="Times New Roman" w:hAnsi="Times New Roman"/>
          <w:noProof/>
          <w:color w:val="000000"/>
          <w:szCs w:val="24"/>
          <w:lang w:val="sr-Cyrl-RS"/>
        </w:rPr>
        <w:t xml:space="preserve"> образовањ</w:t>
      </w:r>
      <w:r w:rsidR="0067574F" w:rsidRPr="002C3A49">
        <w:rPr>
          <w:rFonts w:ascii="Times New Roman" w:hAnsi="Times New Roman"/>
          <w:noProof/>
          <w:color w:val="000000"/>
          <w:szCs w:val="24"/>
          <w:lang w:val="sr-Cyrl-RS"/>
        </w:rPr>
        <w:t>у</w:t>
      </w:r>
      <w:r w:rsidR="00886BCF" w:rsidRPr="002C3A49">
        <w:rPr>
          <w:rFonts w:ascii="Times New Roman" w:hAnsi="Times New Roman"/>
          <w:noProof/>
          <w:color w:val="000000"/>
          <w:szCs w:val="24"/>
          <w:lang w:val="sr-Cyrl-RS"/>
        </w:rPr>
        <w:t xml:space="preserve"> ученика и студената,</w:t>
      </w:r>
      <w:r w:rsidR="00995C8E" w:rsidRPr="002C3A49">
        <w:rPr>
          <w:rFonts w:ascii="Times New Roman" w:hAnsi="Times New Roman"/>
          <w:noProof/>
          <w:color w:val="000000"/>
          <w:szCs w:val="24"/>
          <w:lang w:val="sr-Cyrl-RS"/>
        </w:rPr>
        <w:t xml:space="preserve"> </w:t>
      </w:r>
      <w:r w:rsidR="00886BCF" w:rsidRPr="002C3A49">
        <w:rPr>
          <w:rFonts w:ascii="Times New Roman" w:hAnsi="Times New Roman"/>
          <w:noProof/>
          <w:color w:val="000000"/>
          <w:szCs w:val="24"/>
          <w:lang w:val="sr-Cyrl-RS"/>
        </w:rPr>
        <w:t>набавк</w:t>
      </w:r>
      <w:r w:rsidR="0042282C" w:rsidRPr="002C3A49">
        <w:rPr>
          <w:rFonts w:ascii="Times New Roman" w:hAnsi="Times New Roman"/>
          <w:noProof/>
          <w:color w:val="000000"/>
          <w:szCs w:val="24"/>
          <w:lang w:val="sr-Cyrl-RS"/>
        </w:rPr>
        <w:t>а</w:t>
      </w:r>
      <w:r w:rsidR="00886BCF" w:rsidRPr="002C3A49">
        <w:rPr>
          <w:rFonts w:ascii="Times New Roman" w:hAnsi="Times New Roman"/>
          <w:noProof/>
          <w:color w:val="000000"/>
          <w:szCs w:val="24"/>
          <w:lang w:val="sr-Cyrl-RS"/>
        </w:rPr>
        <w:t xml:space="preserve"> наставних средстава за ученике, полазнике</w:t>
      </w:r>
      <w:r w:rsidR="00C14B3C" w:rsidRPr="002C3A49">
        <w:rPr>
          <w:rFonts w:ascii="Times New Roman" w:hAnsi="Times New Roman"/>
          <w:noProof/>
          <w:color w:val="000000"/>
          <w:szCs w:val="24"/>
          <w:lang w:val="sr-Cyrl-RS"/>
        </w:rPr>
        <w:t xml:space="preserve"> и установе</w:t>
      </w:r>
      <w:r w:rsidR="00257B15" w:rsidRPr="002C3A49">
        <w:rPr>
          <w:rFonts w:ascii="Times New Roman" w:hAnsi="Times New Roman"/>
          <w:noProof/>
          <w:color w:val="000000"/>
          <w:szCs w:val="24"/>
          <w:lang w:val="sr-Cyrl-RS"/>
        </w:rPr>
        <w:t xml:space="preserve">, </w:t>
      </w:r>
      <w:r w:rsidR="00886BCF" w:rsidRPr="002C3A49">
        <w:rPr>
          <w:rFonts w:ascii="Times New Roman" w:hAnsi="Times New Roman"/>
          <w:noProof/>
          <w:color w:val="000000"/>
          <w:szCs w:val="24"/>
          <w:lang w:val="sr-Cyrl-RS"/>
        </w:rPr>
        <w:t>с</w:t>
      </w:r>
      <w:r w:rsidR="00995C8E" w:rsidRPr="002C3A49">
        <w:rPr>
          <w:rFonts w:ascii="Times New Roman" w:hAnsi="Times New Roman"/>
          <w:noProof/>
          <w:color w:val="000000"/>
          <w:szCs w:val="24"/>
          <w:lang w:val="sr-Cyrl-RS"/>
        </w:rPr>
        <w:t>истем одбране од града</w:t>
      </w:r>
      <w:r w:rsidR="008028A6" w:rsidRPr="002C3A49">
        <w:rPr>
          <w:rFonts w:ascii="Times New Roman" w:hAnsi="Times New Roman"/>
          <w:noProof/>
          <w:color w:val="000000"/>
          <w:szCs w:val="24"/>
          <w:lang w:val="sr-Cyrl-RS"/>
        </w:rPr>
        <w:t>, одржавање објеката и oпреме, набавка опреме и материјала</w:t>
      </w:r>
      <w:r w:rsidR="00886BCF" w:rsidRPr="002C3A49">
        <w:rPr>
          <w:rFonts w:ascii="Times New Roman" w:hAnsi="Times New Roman"/>
          <w:noProof/>
          <w:color w:val="000000"/>
          <w:szCs w:val="24"/>
          <w:lang w:val="sr-Cyrl-RS"/>
        </w:rPr>
        <w:t xml:space="preserve"> и др</w:t>
      </w:r>
      <w:r w:rsidR="00F50EDE" w:rsidRPr="002C3A49">
        <w:rPr>
          <w:rFonts w:ascii="Times New Roman" w:hAnsi="Times New Roman"/>
          <w:noProof/>
          <w:color w:val="000000"/>
          <w:szCs w:val="24"/>
          <w:lang w:val="sr-Cyrl-RS"/>
        </w:rPr>
        <w:t>.</w:t>
      </w:r>
      <w:r w:rsidR="0067574F" w:rsidRPr="002C3A49">
        <w:rPr>
          <w:rFonts w:ascii="Times New Roman" w:hAnsi="Times New Roman"/>
          <w:noProof/>
          <w:color w:val="000000"/>
          <w:szCs w:val="24"/>
          <w:lang w:val="sr-Cyrl-RS"/>
        </w:rPr>
        <w:t>)</w:t>
      </w:r>
      <w:r w:rsidR="00F50EDE" w:rsidRPr="002C3A49">
        <w:rPr>
          <w:rFonts w:ascii="Times New Roman" w:hAnsi="Times New Roman"/>
          <w:noProof/>
          <w:color w:val="000000"/>
          <w:szCs w:val="24"/>
          <w:lang w:val="sr-Cyrl-RS"/>
        </w:rPr>
        <w:t>.</w:t>
      </w:r>
    </w:p>
    <w:p w14:paraId="3106B5E9" w14:textId="0BB77F00" w:rsidR="00AE51F8" w:rsidRPr="002C3A49" w:rsidRDefault="0067574F" w:rsidP="0067574F">
      <w:pPr>
        <w:tabs>
          <w:tab w:val="left" w:pos="720"/>
          <w:tab w:val="center" w:pos="1134"/>
        </w:tabs>
        <w:rPr>
          <w:rFonts w:ascii="Times New Roman" w:hAnsi="Times New Roman"/>
          <w:noProof/>
          <w:szCs w:val="24"/>
          <w:lang w:val="sr-Cyrl-RS"/>
        </w:rPr>
      </w:pPr>
      <w:r w:rsidRPr="002C3A49">
        <w:rPr>
          <w:rFonts w:ascii="Calibri" w:hAnsi="Calibri" w:cs="Calibri"/>
          <w:noProof/>
          <w:color w:val="000000"/>
          <w:sz w:val="22"/>
          <w:szCs w:val="22"/>
          <w:lang w:val="sr-Cyrl-RS"/>
        </w:rPr>
        <w:tab/>
      </w:r>
      <w:r w:rsidR="0060186A" w:rsidRPr="002C3A49">
        <w:rPr>
          <w:rFonts w:ascii="Times New Roman" w:hAnsi="Times New Roman"/>
          <w:b/>
          <w:bCs/>
          <w:noProof/>
          <w:color w:val="000000"/>
          <w:szCs w:val="24"/>
          <w:lang w:val="sr-Cyrl-RS"/>
        </w:rPr>
        <w:t>Отплата камата и пратећи трошкови задуж</w:t>
      </w:r>
      <w:r w:rsidR="009A4AEC" w:rsidRPr="002C3A49">
        <w:rPr>
          <w:rFonts w:ascii="Times New Roman" w:hAnsi="Times New Roman"/>
          <w:b/>
          <w:bCs/>
          <w:noProof/>
          <w:color w:val="000000"/>
          <w:szCs w:val="24"/>
          <w:lang w:val="sr-Cyrl-RS"/>
        </w:rPr>
        <w:t>ивања</w:t>
      </w:r>
      <w:r w:rsidR="0060186A" w:rsidRPr="002C3A49">
        <w:rPr>
          <w:rFonts w:ascii="Times New Roman" w:hAnsi="Times New Roman"/>
          <w:noProof/>
          <w:szCs w:val="24"/>
          <w:lang w:val="sr-Cyrl-RS"/>
        </w:rPr>
        <w:t xml:space="preserve"> планирани су у износу од </w:t>
      </w:r>
      <w:r w:rsidR="009F2A20" w:rsidRPr="002C3A49">
        <w:rPr>
          <w:rFonts w:ascii="Times New Roman" w:hAnsi="Times New Roman"/>
          <w:noProof/>
          <w:szCs w:val="24"/>
          <w:lang w:val="sr-Cyrl-RS"/>
        </w:rPr>
        <w:t>183,57</w:t>
      </w:r>
      <w:r w:rsidR="0060186A" w:rsidRPr="002C3A49">
        <w:rPr>
          <w:rFonts w:ascii="Times New Roman" w:hAnsi="Times New Roman"/>
          <w:noProof/>
          <w:szCs w:val="24"/>
          <w:lang w:val="sr-Cyrl-RS"/>
        </w:rPr>
        <w:t xml:space="preserve"> млрд динара </w:t>
      </w:r>
      <w:r w:rsidR="00AC1800" w:rsidRPr="002C3A49">
        <w:rPr>
          <w:rFonts w:ascii="Times New Roman" w:hAnsi="Times New Roman"/>
          <w:noProof/>
          <w:szCs w:val="24"/>
          <w:lang w:val="sr-Cyrl-RS"/>
        </w:rPr>
        <w:t>и учествују са</w:t>
      </w:r>
      <w:r w:rsidR="0060186A" w:rsidRPr="002C3A49">
        <w:rPr>
          <w:rFonts w:ascii="Times New Roman" w:hAnsi="Times New Roman"/>
          <w:noProof/>
          <w:szCs w:val="24"/>
          <w:lang w:val="sr-Cyrl-RS"/>
        </w:rPr>
        <w:t xml:space="preserve"> </w:t>
      </w:r>
      <w:r w:rsidR="00B37EC9" w:rsidRPr="002C3A49">
        <w:rPr>
          <w:rFonts w:ascii="Times New Roman" w:hAnsi="Times New Roman"/>
          <w:noProof/>
          <w:szCs w:val="24"/>
          <w:lang w:val="sr-Cyrl-RS"/>
        </w:rPr>
        <w:t>8,2</w:t>
      </w:r>
      <w:r w:rsidR="009F2A20" w:rsidRPr="002C3A49">
        <w:rPr>
          <w:rFonts w:ascii="Times New Roman" w:hAnsi="Times New Roman"/>
          <w:noProof/>
          <w:szCs w:val="24"/>
          <w:lang w:val="sr-Cyrl-RS"/>
        </w:rPr>
        <w:t>0</w:t>
      </w:r>
      <w:r w:rsidR="00630863" w:rsidRPr="002C3A49">
        <w:rPr>
          <w:rFonts w:ascii="Times New Roman" w:hAnsi="Times New Roman"/>
          <w:noProof/>
          <w:szCs w:val="24"/>
          <w:lang w:val="sr-Cyrl-RS"/>
        </w:rPr>
        <w:t>%</w:t>
      </w:r>
      <w:r w:rsidR="0060186A" w:rsidRPr="002C3A49">
        <w:rPr>
          <w:rFonts w:ascii="Times New Roman" w:hAnsi="Times New Roman"/>
          <w:noProof/>
          <w:szCs w:val="24"/>
          <w:lang w:val="sr-Cyrl-RS"/>
        </w:rPr>
        <w:t xml:space="preserve"> </w:t>
      </w:r>
      <w:r w:rsidR="00AC1800" w:rsidRPr="002C3A49">
        <w:rPr>
          <w:rFonts w:ascii="Times New Roman" w:hAnsi="Times New Roman"/>
          <w:noProof/>
          <w:szCs w:val="24"/>
          <w:lang w:val="sr-Cyrl-RS"/>
        </w:rPr>
        <w:t xml:space="preserve">у </w:t>
      </w:r>
      <w:r w:rsidR="006B7A26" w:rsidRPr="002C3A49">
        <w:rPr>
          <w:rFonts w:ascii="Times New Roman" w:hAnsi="Times New Roman"/>
          <w:noProof/>
          <w:szCs w:val="24"/>
          <w:lang w:val="sr-Cyrl-RS"/>
        </w:rPr>
        <w:t>укупни</w:t>
      </w:r>
      <w:r w:rsidR="00AC1800" w:rsidRPr="002C3A49">
        <w:rPr>
          <w:rFonts w:ascii="Times New Roman" w:hAnsi="Times New Roman"/>
          <w:noProof/>
          <w:szCs w:val="24"/>
          <w:lang w:val="sr-Cyrl-RS"/>
        </w:rPr>
        <w:t>м</w:t>
      </w:r>
      <w:r w:rsidR="006B7A26" w:rsidRPr="002C3A49">
        <w:rPr>
          <w:rFonts w:ascii="Times New Roman" w:hAnsi="Times New Roman"/>
          <w:noProof/>
          <w:szCs w:val="24"/>
          <w:lang w:val="sr-Cyrl-RS"/>
        </w:rPr>
        <w:t xml:space="preserve"> расход</w:t>
      </w:r>
      <w:r w:rsidR="00AC1800" w:rsidRPr="002C3A49">
        <w:rPr>
          <w:rFonts w:ascii="Times New Roman" w:hAnsi="Times New Roman"/>
          <w:noProof/>
          <w:szCs w:val="24"/>
          <w:lang w:val="sr-Cyrl-RS"/>
        </w:rPr>
        <w:t>има</w:t>
      </w:r>
      <w:r w:rsidR="006B7A26" w:rsidRPr="002C3A49">
        <w:rPr>
          <w:rFonts w:ascii="Times New Roman" w:hAnsi="Times New Roman"/>
          <w:noProof/>
          <w:szCs w:val="24"/>
          <w:lang w:val="sr-Cyrl-RS"/>
        </w:rPr>
        <w:t xml:space="preserve"> и изда</w:t>
      </w:r>
      <w:r w:rsidR="00AC1800" w:rsidRPr="002C3A49">
        <w:rPr>
          <w:rFonts w:ascii="Times New Roman" w:hAnsi="Times New Roman"/>
          <w:noProof/>
          <w:szCs w:val="24"/>
          <w:lang w:val="sr-Cyrl-RS"/>
        </w:rPr>
        <w:t>цима</w:t>
      </w:r>
      <w:r w:rsidR="00FB76E5" w:rsidRPr="002C3A49">
        <w:rPr>
          <w:rFonts w:ascii="Times New Roman" w:hAnsi="Times New Roman"/>
          <w:noProof/>
          <w:szCs w:val="24"/>
          <w:lang w:val="sr-Cyrl-RS"/>
        </w:rPr>
        <w:t>. Средства су највећим делом  планирана за сервисирање домаћег и спољног дуга и плаћања по гаранцијама.</w:t>
      </w:r>
    </w:p>
    <w:p w14:paraId="53C202FB" w14:textId="329AB1AE" w:rsidR="004822E2" w:rsidRPr="002C3A49" w:rsidRDefault="00AE51F8" w:rsidP="00354246">
      <w:pPr>
        <w:tabs>
          <w:tab w:val="left" w:pos="720"/>
          <w:tab w:val="center" w:pos="1134"/>
        </w:tabs>
        <w:ind w:firstLine="720"/>
        <w:rPr>
          <w:rFonts w:ascii="Times New Roman" w:hAnsi="Times New Roman"/>
          <w:noProof/>
          <w:szCs w:val="24"/>
          <w:lang w:val="sr-Cyrl-RS"/>
        </w:rPr>
      </w:pPr>
      <w:r w:rsidRPr="002C3A49">
        <w:rPr>
          <w:rFonts w:ascii="Times New Roman" w:hAnsi="Times New Roman"/>
          <w:b/>
          <w:noProof/>
          <w:szCs w:val="24"/>
          <w:lang w:val="sr-Cyrl-RS"/>
        </w:rPr>
        <w:t>Расходи за субвенци</w:t>
      </w:r>
      <w:r w:rsidR="00F2632E" w:rsidRPr="002C3A49">
        <w:rPr>
          <w:rFonts w:ascii="Times New Roman" w:hAnsi="Times New Roman"/>
          <w:b/>
          <w:noProof/>
          <w:szCs w:val="24"/>
          <w:lang w:val="sr-Cyrl-RS"/>
        </w:rPr>
        <w:t>је</w:t>
      </w:r>
      <w:r w:rsidRPr="002C3A49">
        <w:rPr>
          <w:rFonts w:ascii="Times New Roman" w:hAnsi="Times New Roman"/>
          <w:b/>
          <w:noProof/>
          <w:szCs w:val="24"/>
          <w:lang w:val="sr-Cyrl-RS"/>
        </w:rPr>
        <w:t xml:space="preserve"> </w:t>
      </w:r>
      <w:r w:rsidRPr="002C3A49">
        <w:rPr>
          <w:rFonts w:ascii="Times New Roman" w:hAnsi="Times New Roman"/>
          <w:noProof/>
          <w:szCs w:val="24"/>
          <w:lang w:val="sr-Cyrl-RS"/>
        </w:rPr>
        <w:t>планирани</w:t>
      </w:r>
      <w:r w:rsidR="00F2632E" w:rsidRPr="002C3A49">
        <w:rPr>
          <w:rFonts w:ascii="Times New Roman" w:hAnsi="Times New Roman"/>
          <w:noProof/>
          <w:szCs w:val="24"/>
          <w:lang w:val="sr-Cyrl-RS"/>
        </w:rPr>
        <w:t xml:space="preserve"> су</w:t>
      </w:r>
      <w:r w:rsidRPr="002C3A49">
        <w:rPr>
          <w:rFonts w:ascii="Times New Roman" w:hAnsi="Times New Roman"/>
          <w:noProof/>
          <w:szCs w:val="24"/>
          <w:lang w:val="sr-Cyrl-RS"/>
        </w:rPr>
        <w:t xml:space="preserve"> у укупном износу од </w:t>
      </w:r>
      <w:bookmarkStart w:id="0" w:name="_Hlk119238563"/>
      <w:r w:rsidR="009F2A20" w:rsidRPr="002C3A49">
        <w:rPr>
          <w:rFonts w:ascii="Times New Roman" w:hAnsi="Times New Roman"/>
          <w:noProof/>
          <w:szCs w:val="24"/>
          <w:lang w:val="sr-Cyrl-RS"/>
        </w:rPr>
        <w:t>184,56</w:t>
      </w:r>
      <w:r w:rsidR="00B13E85" w:rsidRPr="002C3A49">
        <w:rPr>
          <w:rFonts w:ascii="Times New Roman" w:hAnsi="Times New Roman"/>
          <w:noProof/>
          <w:szCs w:val="24"/>
          <w:lang w:val="sr-Cyrl-RS"/>
        </w:rPr>
        <w:t xml:space="preserve"> </w:t>
      </w:r>
      <w:r w:rsidRPr="002C3A49">
        <w:rPr>
          <w:rFonts w:ascii="Times New Roman" w:hAnsi="Times New Roman"/>
          <w:noProof/>
          <w:szCs w:val="24"/>
          <w:lang w:val="sr-Cyrl-RS"/>
        </w:rPr>
        <w:t xml:space="preserve">млрд динара </w:t>
      </w:r>
      <w:bookmarkEnd w:id="0"/>
      <w:r w:rsidRPr="002C3A49">
        <w:rPr>
          <w:rFonts w:ascii="Times New Roman" w:hAnsi="Times New Roman"/>
          <w:noProof/>
          <w:szCs w:val="24"/>
          <w:lang w:val="sr-Cyrl-RS"/>
        </w:rPr>
        <w:t xml:space="preserve">и учествују са </w:t>
      </w:r>
      <w:r w:rsidR="00CD2157" w:rsidRPr="002C3A49">
        <w:rPr>
          <w:rFonts w:ascii="Times New Roman" w:hAnsi="Times New Roman"/>
          <w:noProof/>
          <w:szCs w:val="24"/>
          <w:lang w:val="sr-Cyrl-RS"/>
        </w:rPr>
        <w:t>8,2</w:t>
      </w:r>
      <w:r w:rsidR="009F2A20" w:rsidRPr="002C3A49">
        <w:rPr>
          <w:rFonts w:ascii="Times New Roman" w:hAnsi="Times New Roman"/>
          <w:noProof/>
          <w:szCs w:val="24"/>
          <w:lang w:val="sr-Cyrl-RS"/>
        </w:rPr>
        <w:t>5</w:t>
      </w:r>
      <w:r w:rsidR="00630863" w:rsidRPr="002C3A49">
        <w:rPr>
          <w:rFonts w:ascii="Times New Roman" w:hAnsi="Times New Roman"/>
          <w:noProof/>
          <w:szCs w:val="24"/>
          <w:lang w:val="sr-Cyrl-RS"/>
        </w:rPr>
        <w:t>%</w:t>
      </w:r>
      <w:r w:rsidRPr="002C3A49">
        <w:rPr>
          <w:rFonts w:ascii="Times New Roman" w:hAnsi="Times New Roman"/>
          <w:noProof/>
          <w:szCs w:val="24"/>
          <w:lang w:val="sr-Cyrl-RS"/>
        </w:rPr>
        <w:t xml:space="preserve"> у укупним расходима и издацима</w:t>
      </w:r>
      <w:r w:rsidR="007958D7" w:rsidRPr="002C3A49">
        <w:rPr>
          <w:rFonts w:ascii="Times New Roman" w:hAnsi="Times New Roman"/>
          <w:noProof/>
          <w:szCs w:val="24"/>
          <w:lang w:val="sr-Cyrl-RS"/>
        </w:rPr>
        <w:t xml:space="preserve">. </w:t>
      </w:r>
      <w:r w:rsidRPr="002C3A49">
        <w:rPr>
          <w:rFonts w:ascii="Times New Roman" w:hAnsi="Times New Roman"/>
          <w:noProof/>
          <w:szCs w:val="24"/>
          <w:lang w:val="sr-Cyrl-RS"/>
        </w:rPr>
        <w:t>Субвенције су највећим делом планиране за</w:t>
      </w:r>
      <w:r w:rsidR="00873964" w:rsidRPr="002C3A49">
        <w:rPr>
          <w:rFonts w:ascii="Times New Roman" w:hAnsi="Times New Roman"/>
          <w:noProof/>
          <w:szCs w:val="24"/>
          <w:lang w:val="sr-Cyrl-RS"/>
        </w:rPr>
        <w:t>:</w:t>
      </w:r>
      <w:r w:rsidR="00596BD6" w:rsidRPr="002C3A49">
        <w:rPr>
          <w:noProof/>
          <w:lang w:val="sr-Cyrl-RS"/>
        </w:rPr>
        <w:t xml:space="preserve"> </w:t>
      </w:r>
      <w:r w:rsidR="007958D7" w:rsidRPr="002C3A49">
        <w:rPr>
          <w:rFonts w:ascii="Times New Roman" w:hAnsi="Times New Roman"/>
          <w:noProof/>
          <w:szCs w:val="24"/>
          <w:lang w:val="sr-Cyrl-RS"/>
        </w:rPr>
        <w:t>субвенције</w:t>
      </w:r>
      <w:r w:rsidR="00596BD6" w:rsidRPr="002C3A49">
        <w:rPr>
          <w:rFonts w:ascii="Times New Roman" w:hAnsi="Times New Roman"/>
          <w:noProof/>
          <w:szCs w:val="24"/>
          <w:lang w:val="sr-Cyrl-RS"/>
        </w:rPr>
        <w:t xml:space="preserve"> у пољопривреди </w:t>
      </w:r>
      <w:r w:rsidR="00055A71" w:rsidRPr="002C3A49">
        <w:rPr>
          <w:rFonts w:ascii="Times New Roman" w:hAnsi="Times New Roman"/>
          <w:noProof/>
          <w:szCs w:val="24"/>
          <w:lang w:val="sr-Cyrl-RS"/>
        </w:rPr>
        <w:t>(подршк</w:t>
      </w:r>
      <w:r w:rsidR="007958D7" w:rsidRPr="002C3A49">
        <w:rPr>
          <w:rFonts w:ascii="Times New Roman" w:hAnsi="Times New Roman"/>
          <w:noProof/>
          <w:szCs w:val="24"/>
          <w:lang w:val="sr-Cyrl-RS"/>
        </w:rPr>
        <w:t>а</w:t>
      </w:r>
      <w:r w:rsidR="00055A71" w:rsidRPr="002C3A49">
        <w:rPr>
          <w:rFonts w:ascii="Times New Roman" w:hAnsi="Times New Roman"/>
          <w:noProof/>
          <w:szCs w:val="24"/>
          <w:lang w:val="sr-Cyrl-RS"/>
        </w:rPr>
        <w:t xml:space="preserve"> реализацији мерама у оквиру </w:t>
      </w:r>
      <w:r w:rsidR="004D73DE" w:rsidRPr="002C3A49">
        <w:rPr>
          <w:rFonts w:ascii="Times New Roman" w:hAnsi="Times New Roman"/>
          <w:noProof/>
          <w:szCs w:val="24"/>
          <w:lang w:val="sr-Cyrl-RS"/>
        </w:rPr>
        <w:t>д</w:t>
      </w:r>
      <w:r w:rsidR="00055A71" w:rsidRPr="002C3A49">
        <w:rPr>
          <w:rFonts w:ascii="Times New Roman" w:hAnsi="Times New Roman"/>
          <w:noProof/>
          <w:szCs w:val="24"/>
          <w:lang w:val="sr-Cyrl-RS"/>
        </w:rPr>
        <w:t>иректних подстицаја у пољопривреди</w:t>
      </w:r>
      <w:r w:rsidR="00B101E8" w:rsidRPr="002C3A49">
        <w:rPr>
          <w:rFonts w:ascii="Times New Roman" w:hAnsi="Times New Roman"/>
          <w:noProof/>
          <w:szCs w:val="24"/>
          <w:lang w:val="sr-Cyrl-RS"/>
        </w:rPr>
        <w:t>;</w:t>
      </w:r>
      <w:r w:rsidR="00055A71" w:rsidRPr="002C3A49">
        <w:rPr>
          <w:rFonts w:ascii="Times New Roman" w:hAnsi="Times New Roman"/>
          <w:noProof/>
          <w:szCs w:val="24"/>
          <w:lang w:val="sr-Cyrl-RS"/>
        </w:rPr>
        <w:t xml:space="preserve"> подршк</w:t>
      </w:r>
      <w:r w:rsidR="007958D7" w:rsidRPr="002C3A49">
        <w:rPr>
          <w:rFonts w:ascii="Times New Roman" w:hAnsi="Times New Roman"/>
          <w:noProof/>
          <w:szCs w:val="24"/>
          <w:lang w:val="sr-Cyrl-RS"/>
        </w:rPr>
        <w:t>а</w:t>
      </w:r>
      <w:r w:rsidR="00055A71" w:rsidRPr="002C3A49">
        <w:rPr>
          <w:rFonts w:ascii="Times New Roman" w:hAnsi="Times New Roman"/>
          <w:noProof/>
          <w:szCs w:val="24"/>
          <w:lang w:val="sr-Cyrl-RS"/>
        </w:rPr>
        <w:t xml:space="preserve"> реализацији мерама руралног развоја</w:t>
      </w:r>
      <w:r w:rsidR="00E842C9" w:rsidRPr="002C3A49">
        <w:rPr>
          <w:rFonts w:ascii="Times New Roman" w:hAnsi="Times New Roman"/>
          <w:noProof/>
          <w:szCs w:val="24"/>
          <w:lang w:val="sr-Cyrl-RS"/>
        </w:rPr>
        <w:t>;</w:t>
      </w:r>
      <w:r w:rsidR="00055A71" w:rsidRPr="002C3A49">
        <w:rPr>
          <w:rFonts w:ascii="Times New Roman" w:hAnsi="Times New Roman"/>
          <w:noProof/>
          <w:szCs w:val="24"/>
          <w:lang w:val="sr-Cyrl-RS"/>
        </w:rPr>
        <w:t xml:space="preserve"> </w:t>
      </w:r>
      <w:r w:rsidR="00596BD6" w:rsidRPr="002C3A49">
        <w:rPr>
          <w:rFonts w:ascii="Times New Roman" w:hAnsi="Times New Roman"/>
          <w:noProof/>
          <w:szCs w:val="24"/>
          <w:lang w:val="sr-Cyrl-RS"/>
        </w:rPr>
        <w:t>ИПАРД</w:t>
      </w:r>
      <w:r w:rsidR="00E842C9" w:rsidRPr="002C3A49">
        <w:rPr>
          <w:rFonts w:ascii="Times New Roman" w:hAnsi="Times New Roman"/>
          <w:noProof/>
          <w:szCs w:val="24"/>
          <w:lang w:val="sr-Cyrl-RS"/>
        </w:rPr>
        <w:t>;</w:t>
      </w:r>
      <w:r w:rsidR="002360B7" w:rsidRPr="002C3A49">
        <w:rPr>
          <w:rFonts w:ascii="Times New Roman" w:hAnsi="Times New Roman"/>
          <w:noProof/>
          <w:szCs w:val="24"/>
          <w:lang w:val="sr-Cyrl-RS"/>
        </w:rPr>
        <w:t xml:space="preserve"> </w:t>
      </w:r>
      <w:r w:rsidR="002360B7" w:rsidRPr="002C3A49">
        <w:rPr>
          <w:rFonts w:ascii="Times New Roman" w:hAnsi="Times New Roman"/>
          <w:noProof/>
          <w:szCs w:val="24"/>
          <w:lang w:val="sr-Cyrl-RS"/>
        </w:rPr>
        <w:lastRenderedPageBreak/>
        <w:t>подршк</w:t>
      </w:r>
      <w:r w:rsidR="001D077F" w:rsidRPr="002C3A49">
        <w:rPr>
          <w:rFonts w:ascii="Times New Roman" w:hAnsi="Times New Roman"/>
          <w:noProof/>
          <w:szCs w:val="24"/>
          <w:lang w:val="sr-Cyrl-RS"/>
        </w:rPr>
        <w:t>а</w:t>
      </w:r>
      <w:r w:rsidR="002360B7" w:rsidRPr="002C3A49">
        <w:rPr>
          <w:rFonts w:ascii="Times New Roman" w:hAnsi="Times New Roman"/>
          <w:noProof/>
          <w:szCs w:val="24"/>
          <w:lang w:val="sr-Cyrl-RS"/>
        </w:rPr>
        <w:t xml:space="preserve"> за заштиту здравља животиња и др.</w:t>
      </w:r>
      <w:r w:rsidR="007958D7" w:rsidRPr="002C3A49">
        <w:rPr>
          <w:rFonts w:ascii="Times New Roman" w:hAnsi="Times New Roman"/>
          <w:noProof/>
          <w:szCs w:val="24"/>
          <w:lang w:val="sr-Cyrl-RS"/>
        </w:rPr>
        <w:t>);</w:t>
      </w:r>
      <w:r w:rsidR="00AE6CEE" w:rsidRPr="002C3A49">
        <w:rPr>
          <w:rFonts w:ascii="Times New Roman" w:hAnsi="Times New Roman"/>
          <w:noProof/>
          <w:szCs w:val="24"/>
          <w:lang w:val="sr-Cyrl-RS"/>
        </w:rPr>
        <w:t xml:space="preserve"> </w:t>
      </w:r>
      <w:r w:rsidR="007958D7" w:rsidRPr="002C3A49">
        <w:rPr>
          <w:rFonts w:ascii="Times New Roman" w:hAnsi="Times New Roman"/>
          <w:noProof/>
          <w:szCs w:val="24"/>
          <w:lang w:val="sr-Cyrl-RS"/>
        </w:rPr>
        <w:t xml:space="preserve">субвенције за </w:t>
      </w:r>
      <w:r w:rsidR="003E0332" w:rsidRPr="002C3A49">
        <w:rPr>
          <w:rFonts w:ascii="Times New Roman" w:hAnsi="Times New Roman"/>
          <w:noProof/>
          <w:szCs w:val="24"/>
          <w:lang w:val="sr-Cyrl-RS"/>
        </w:rPr>
        <w:t>различите видове саобраћаја</w:t>
      </w:r>
      <w:r w:rsidR="007958D7" w:rsidRPr="002C3A49">
        <w:rPr>
          <w:rFonts w:ascii="Times New Roman" w:hAnsi="Times New Roman"/>
          <w:noProof/>
          <w:szCs w:val="24"/>
          <w:lang w:val="sr-Cyrl-RS"/>
        </w:rPr>
        <w:t xml:space="preserve"> (друмски</w:t>
      </w:r>
      <w:r w:rsidR="00B101E8" w:rsidRPr="002C3A49">
        <w:rPr>
          <w:rFonts w:ascii="Times New Roman" w:hAnsi="Times New Roman"/>
          <w:noProof/>
          <w:szCs w:val="24"/>
          <w:lang w:val="sr-Cyrl-RS"/>
        </w:rPr>
        <w:t>;</w:t>
      </w:r>
      <w:r w:rsidR="007958D7" w:rsidRPr="002C3A49">
        <w:rPr>
          <w:rFonts w:ascii="Times New Roman" w:hAnsi="Times New Roman"/>
          <w:noProof/>
          <w:szCs w:val="24"/>
          <w:lang w:val="sr-Cyrl-RS"/>
        </w:rPr>
        <w:t xml:space="preserve"> железнички и ваздушни саобраћај);</w:t>
      </w:r>
      <w:r w:rsidR="00596BD6" w:rsidRPr="002C3A49">
        <w:rPr>
          <w:rFonts w:ascii="Times New Roman" w:hAnsi="Times New Roman"/>
          <w:noProof/>
          <w:szCs w:val="24"/>
          <w:lang w:val="sr-Cyrl-RS"/>
        </w:rPr>
        <w:t xml:space="preserve"> </w:t>
      </w:r>
      <w:r w:rsidR="007958D7" w:rsidRPr="002C3A49">
        <w:rPr>
          <w:rFonts w:ascii="Times New Roman" w:hAnsi="Times New Roman"/>
          <w:noProof/>
          <w:szCs w:val="24"/>
          <w:lang w:val="sr-Cyrl-RS"/>
        </w:rPr>
        <w:t>субвенције у области енергетике (к</w:t>
      </w:r>
      <w:r w:rsidR="00596BD6" w:rsidRPr="002C3A49">
        <w:rPr>
          <w:rFonts w:ascii="Times New Roman" w:hAnsi="Times New Roman"/>
          <w:noProof/>
          <w:szCs w:val="24"/>
          <w:lang w:val="sr-Cyrl-RS"/>
        </w:rPr>
        <w:t>онсолидациј</w:t>
      </w:r>
      <w:r w:rsidR="007958D7" w:rsidRPr="002C3A49">
        <w:rPr>
          <w:rFonts w:ascii="Times New Roman" w:hAnsi="Times New Roman"/>
          <w:noProof/>
          <w:szCs w:val="24"/>
          <w:lang w:val="sr-Cyrl-RS"/>
        </w:rPr>
        <w:t>а</w:t>
      </w:r>
      <w:r w:rsidR="00596BD6" w:rsidRPr="002C3A49">
        <w:rPr>
          <w:rFonts w:ascii="Times New Roman" w:hAnsi="Times New Roman"/>
          <w:noProof/>
          <w:szCs w:val="24"/>
          <w:lang w:val="sr-Cyrl-RS"/>
        </w:rPr>
        <w:t xml:space="preserve"> пословања ЈП ПЕУ Ресавица</w:t>
      </w:r>
      <w:r w:rsidR="00E842C9" w:rsidRPr="002C3A49">
        <w:rPr>
          <w:rFonts w:ascii="Times New Roman" w:hAnsi="Times New Roman"/>
          <w:noProof/>
          <w:szCs w:val="24"/>
          <w:lang w:val="sr-Cyrl-RS"/>
        </w:rPr>
        <w:t>;</w:t>
      </w:r>
      <w:r w:rsidR="00596BD6" w:rsidRPr="002C3A49">
        <w:rPr>
          <w:rFonts w:ascii="Times New Roman" w:hAnsi="Times New Roman"/>
          <w:noProof/>
          <w:szCs w:val="24"/>
          <w:lang w:val="sr-Cyrl-RS"/>
        </w:rPr>
        <w:t xml:space="preserve"> </w:t>
      </w:r>
      <w:r w:rsidR="007E7D97" w:rsidRPr="002C3A49">
        <w:rPr>
          <w:rFonts w:ascii="Times New Roman" w:hAnsi="Times New Roman"/>
          <w:noProof/>
          <w:szCs w:val="24"/>
          <w:lang w:val="sr-Cyrl-RS"/>
        </w:rPr>
        <w:t>енергетски угрожени купац  и др.</w:t>
      </w:r>
      <w:r w:rsidR="007958D7" w:rsidRPr="002C3A49">
        <w:rPr>
          <w:rFonts w:ascii="Times New Roman" w:hAnsi="Times New Roman"/>
          <w:noProof/>
          <w:szCs w:val="24"/>
          <w:lang w:val="sr-Cyrl-RS"/>
        </w:rPr>
        <w:t>);</w:t>
      </w:r>
      <w:r w:rsidR="004130A6" w:rsidRPr="002C3A49">
        <w:rPr>
          <w:rFonts w:ascii="Times New Roman" w:hAnsi="Times New Roman"/>
          <w:noProof/>
          <w:szCs w:val="24"/>
          <w:lang w:val="sr-Cyrl-RS"/>
        </w:rPr>
        <w:t xml:space="preserve"> субвенције у привреди (улагања од посебног значаја у привреди и др.); </w:t>
      </w:r>
      <w:r w:rsidR="002360B7" w:rsidRPr="002C3A49">
        <w:rPr>
          <w:rFonts w:ascii="Times New Roman" w:hAnsi="Times New Roman"/>
          <w:noProof/>
          <w:szCs w:val="24"/>
          <w:lang w:val="sr-Cyrl-RS"/>
        </w:rPr>
        <w:t>субвенције у области заштите животне средине (</w:t>
      </w:r>
      <w:r w:rsidR="00AE6CEE" w:rsidRPr="002C3A49">
        <w:rPr>
          <w:rFonts w:ascii="Times New Roman" w:hAnsi="Times New Roman"/>
          <w:noProof/>
          <w:szCs w:val="24"/>
          <w:lang w:val="sr-Cyrl-RS"/>
        </w:rPr>
        <w:t>подстицај</w:t>
      </w:r>
      <w:r w:rsidR="002360B7" w:rsidRPr="002C3A49">
        <w:rPr>
          <w:rFonts w:ascii="Times New Roman" w:hAnsi="Times New Roman"/>
          <w:noProof/>
          <w:szCs w:val="24"/>
          <w:lang w:val="sr-Cyrl-RS"/>
        </w:rPr>
        <w:t>и</w:t>
      </w:r>
      <w:r w:rsidR="00AE6CEE" w:rsidRPr="002C3A49">
        <w:rPr>
          <w:rFonts w:ascii="Times New Roman" w:hAnsi="Times New Roman"/>
          <w:noProof/>
          <w:szCs w:val="24"/>
          <w:lang w:val="sr-Cyrl-RS"/>
        </w:rPr>
        <w:t xml:space="preserve"> за поновну употребу и искоришћење отпада</w:t>
      </w:r>
      <w:r w:rsidR="002360B7" w:rsidRPr="002C3A49">
        <w:rPr>
          <w:rFonts w:ascii="Times New Roman" w:hAnsi="Times New Roman"/>
          <w:noProof/>
          <w:szCs w:val="24"/>
          <w:lang w:val="sr-Cyrl-RS"/>
        </w:rPr>
        <w:t xml:space="preserve"> и др.);</w:t>
      </w:r>
      <w:r w:rsidR="00AE6CEE" w:rsidRPr="002C3A49">
        <w:rPr>
          <w:rFonts w:ascii="Times New Roman" w:hAnsi="Times New Roman"/>
          <w:noProof/>
          <w:szCs w:val="24"/>
          <w:lang w:val="sr-Cyrl-RS"/>
        </w:rPr>
        <w:t xml:space="preserve"> </w:t>
      </w:r>
      <w:r w:rsidR="002360B7" w:rsidRPr="002C3A49">
        <w:rPr>
          <w:rFonts w:ascii="Times New Roman" w:hAnsi="Times New Roman"/>
          <w:noProof/>
          <w:szCs w:val="24"/>
          <w:lang w:val="sr-Cyrl-RS"/>
        </w:rPr>
        <w:t>субвенције у области културе (</w:t>
      </w:r>
      <w:r w:rsidR="00AE6CEE" w:rsidRPr="002C3A49">
        <w:rPr>
          <w:rFonts w:ascii="Times New Roman" w:hAnsi="Times New Roman"/>
          <w:noProof/>
          <w:szCs w:val="24"/>
          <w:lang w:val="sr-Cyrl-RS"/>
        </w:rPr>
        <w:t>п</w:t>
      </w:r>
      <w:r w:rsidR="00596BD6" w:rsidRPr="002C3A49">
        <w:rPr>
          <w:rFonts w:ascii="Times New Roman" w:hAnsi="Times New Roman"/>
          <w:noProof/>
          <w:szCs w:val="24"/>
          <w:lang w:val="sr-Cyrl-RS"/>
        </w:rPr>
        <w:t>одршк</w:t>
      </w:r>
      <w:r w:rsidR="002360B7" w:rsidRPr="002C3A49">
        <w:rPr>
          <w:rFonts w:ascii="Times New Roman" w:hAnsi="Times New Roman"/>
          <w:noProof/>
          <w:szCs w:val="24"/>
          <w:lang w:val="sr-Cyrl-RS"/>
        </w:rPr>
        <w:t>а</w:t>
      </w:r>
      <w:r w:rsidR="00596BD6" w:rsidRPr="002C3A49">
        <w:rPr>
          <w:rFonts w:ascii="Times New Roman" w:hAnsi="Times New Roman"/>
          <w:noProof/>
          <w:szCs w:val="24"/>
          <w:lang w:val="sr-Cyrl-RS"/>
        </w:rPr>
        <w:t xml:space="preserve"> филмској уметности и осталом аудиовизуелном стваралаштву</w:t>
      </w:r>
      <w:r w:rsidR="002360B7" w:rsidRPr="002C3A49">
        <w:rPr>
          <w:rFonts w:ascii="Times New Roman" w:hAnsi="Times New Roman"/>
          <w:noProof/>
          <w:szCs w:val="24"/>
          <w:lang w:val="sr-Cyrl-RS"/>
        </w:rPr>
        <w:t xml:space="preserve"> и др.); субвенције у области науке и образовања (</w:t>
      </w:r>
      <w:r w:rsidR="00AE6CEE" w:rsidRPr="002C3A49">
        <w:rPr>
          <w:rFonts w:ascii="Times New Roman" w:hAnsi="Times New Roman"/>
          <w:noProof/>
          <w:szCs w:val="24"/>
          <w:lang w:val="sr-Cyrl-RS"/>
        </w:rPr>
        <w:t>п</w:t>
      </w:r>
      <w:r w:rsidR="00596BD6" w:rsidRPr="002C3A49">
        <w:rPr>
          <w:rFonts w:ascii="Times New Roman" w:hAnsi="Times New Roman"/>
          <w:noProof/>
          <w:szCs w:val="24"/>
          <w:lang w:val="sr-Cyrl-RS"/>
        </w:rPr>
        <w:t>одршк</w:t>
      </w:r>
      <w:r w:rsidR="002360B7" w:rsidRPr="002C3A49">
        <w:rPr>
          <w:rFonts w:ascii="Times New Roman" w:hAnsi="Times New Roman"/>
          <w:noProof/>
          <w:szCs w:val="24"/>
          <w:lang w:val="sr-Cyrl-RS"/>
        </w:rPr>
        <w:t>а</w:t>
      </w:r>
      <w:r w:rsidR="00596BD6" w:rsidRPr="002C3A49">
        <w:rPr>
          <w:rFonts w:ascii="Times New Roman" w:hAnsi="Times New Roman"/>
          <w:noProof/>
          <w:szCs w:val="24"/>
          <w:lang w:val="sr-Cyrl-RS"/>
        </w:rPr>
        <w:t xml:space="preserve"> раду Фонда за иновациону делатност</w:t>
      </w:r>
      <w:r w:rsidR="00354246" w:rsidRPr="002C3A49">
        <w:rPr>
          <w:rFonts w:ascii="Times New Roman" w:hAnsi="Times New Roman"/>
          <w:noProof/>
          <w:szCs w:val="24"/>
          <w:lang w:val="sr-Cyrl-RS"/>
        </w:rPr>
        <w:t xml:space="preserve"> и Фонда за науку</w:t>
      </w:r>
      <w:r w:rsidR="002360B7" w:rsidRPr="002C3A49">
        <w:rPr>
          <w:rFonts w:ascii="Times New Roman" w:hAnsi="Times New Roman"/>
          <w:noProof/>
          <w:szCs w:val="24"/>
          <w:lang w:val="sr-Cyrl-RS"/>
        </w:rPr>
        <w:t xml:space="preserve"> и др.);</w:t>
      </w:r>
      <w:r w:rsidR="00AE6CEE" w:rsidRPr="002C3A49">
        <w:rPr>
          <w:rFonts w:ascii="Times New Roman" w:hAnsi="Times New Roman"/>
          <w:noProof/>
          <w:szCs w:val="24"/>
          <w:lang w:val="sr-Cyrl-RS"/>
        </w:rPr>
        <w:t xml:space="preserve"> </w:t>
      </w:r>
      <w:r w:rsidR="00A85D90" w:rsidRPr="002C3A49">
        <w:rPr>
          <w:rFonts w:ascii="Times New Roman" w:hAnsi="Times New Roman"/>
          <w:noProof/>
          <w:szCs w:val="24"/>
          <w:lang w:val="sr-Cyrl-RS"/>
        </w:rPr>
        <w:t>субвенције у области туризма (ваучери за интензивирање коришћења туристичке понуде Републике Србије</w:t>
      </w:r>
      <w:r w:rsidR="00B101E8" w:rsidRPr="002C3A49">
        <w:rPr>
          <w:rFonts w:ascii="Times New Roman" w:hAnsi="Times New Roman"/>
          <w:noProof/>
          <w:szCs w:val="24"/>
          <w:lang w:val="sr-Cyrl-RS"/>
        </w:rPr>
        <w:t>;</w:t>
      </w:r>
      <w:r w:rsidR="00A85D90" w:rsidRPr="002C3A49">
        <w:rPr>
          <w:rFonts w:ascii="Times New Roman" w:hAnsi="Times New Roman"/>
          <w:noProof/>
          <w:szCs w:val="24"/>
          <w:lang w:val="sr-Cyrl-RS"/>
        </w:rPr>
        <w:t xml:space="preserve"> подршка раду Туристичке организације Србије</w:t>
      </w:r>
      <w:r w:rsidR="0075277E" w:rsidRPr="002C3A49">
        <w:rPr>
          <w:rFonts w:ascii="Times New Roman" w:hAnsi="Times New Roman"/>
          <w:noProof/>
          <w:szCs w:val="24"/>
          <w:lang w:val="sr-Cyrl-RS"/>
        </w:rPr>
        <w:t xml:space="preserve"> </w:t>
      </w:r>
      <w:r w:rsidR="00A85D90" w:rsidRPr="002C3A49">
        <w:rPr>
          <w:rFonts w:ascii="Times New Roman" w:hAnsi="Times New Roman"/>
          <w:noProof/>
          <w:szCs w:val="24"/>
          <w:lang w:val="sr-Cyrl-RS"/>
        </w:rPr>
        <w:t xml:space="preserve">и др.); </w:t>
      </w:r>
      <w:r w:rsidR="00354246" w:rsidRPr="002C3A49">
        <w:rPr>
          <w:rFonts w:ascii="Times New Roman" w:hAnsi="Times New Roman"/>
          <w:noProof/>
          <w:szCs w:val="24"/>
          <w:lang w:val="sr-Cyrl-RS"/>
        </w:rPr>
        <w:t>остале субвенције (подршка унапређењу квалитета живота српског и неалбанског становништва на територији АП Косово и Метохија</w:t>
      </w:r>
      <w:r w:rsidR="00B101E8" w:rsidRPr="002C3A49">
        <w:rPr>
          <w:rFonts w:ascii="Times New Roman" w:hAnsi="Times New Roman"/>
          <w:noProof/>
          <w:szCs w:val="24"/>
          <w:lang w:val="sr-Cyrl-RS"/>
        </w:rPr>
        <w:t>;</w:t>
      </w:r>
      <w:r w:rsidR="00354246" w:rsidRPr="002C3A49">
        <w:rPr>
          <w:rFonts w:ascii="Times New Roman" w:hAnsi="Times New Roman"/>
          <w:noProof/>
          <w:szCs w:val="24"/>
          <w:lang w:val="sr-Cyrl-RS"/>
        </w:rPr>
        <w:t xml:space="preserve"> подршка раду ЈП Службени гласник</w:t>
      </w:r>
      <w:r w:rsidR="00B101E8" w:rsidRPr="002C3A49">
        <w:rPr>
          <w:rFonts w:ascii="Times New Roman" w:hAnsi="Times New Roman"/>
          <w:noProof/>
          <w:szCs w:val="24"/>
          <w:lang w:val="sr-Cyrl-RS"/>
        </w:rPr>
        <w:t>;</w:t>
      </w:r>
      <w:r w:rsidR="00354246" w:rsidRPr="002C3A49">
        <w:rPr>
          <w:rFonts w:ascii="Times New Roman" w:hAnsi="Times New Roman"/>
          <w:noProof/>
          <w:szCs w:val="24"/>
          <w:lang w:val="sr-Cyrl-RS"/>
        </w:rPr>
        <w:t xml:space="preserve"> подршка предузећима за професионалну рехабилитацију особа са инвалидитетом</w:t>
      </w:r>
      <w:r w:rsidR="00B101E8" w:rsidRPr="002C3A49">
        <w:rPr>
          <w:rFonts w:ascii="Times New Roman" w:hAnsi="Times New Roman"/>
          <w:noProof/>
          <w:szCs w:val="24"/>
          <w:lang w:val="sr-Cyrl-RS"/>
        </w:rPr>
        <w:t>;</w:t>
      </w:r>
      <w:r w:rsidR="00D6540B" w:rsidRPr="002C3A49">
        <w:rPr>
          <w:rFonts w:ascii="Times New Roman" w:hAnsi="Times New Roman"/>
          <w:noProof/>
          <w:szCs w:val="24"/>
          <w:lang w:val="sr-Cyrl-RS"/>
        </w:rPr>
        <w:t xml:space="preserve"> организација Европског првенства у ватерполу 2026. године</w:t>
      </w:r>
      <w:r w:rsidR="00B101E8" w:rsidRPr="002C3A49">
        <w:rPr>
          <w:rFonts w:ascii="Times New Roman" w:hAnsi="Times New Roman"/>
          <w:noProof/>
          <w:szCs w:val="24"/>
          <w:lang w:val="sr-Cyrl-RS"/>
        </w:rPr>
        <w:t>;</w:t>
      </w:r>
      <w:r w:rsidR="00D6540B" w:rsidRPr="002C3A49">
        <w:rPr>
          <w:rFonts w:ascii="Times New Roman" w:hAnsi="Times New Roman"/>
          <w:noProof/>
          <w:szCs w:val="24"/>
          <w:lang w:val="sr-Cyrl-RS"/>
        </w:rPr>
        <w:t xml:space="preserve"> организација Лиге нације у одбојци за жене 2024. године</w:t>
      </w:r>
      <w:r w:rsidR="00B101E8" w:rsidRPr="002C3A49">
        <w:rPr>
          <w:rFonts w:ascii="Times New Roman" w:hAnsi="Times New Roman"/>
          <w:noProof/>
          <w:szCs w:val="24"/>
          <w:lang w:val="sr-Cyrl-RS"/>
        </w:rPr>
        <w:t>;</w:t>
      </w:r>
      <w:r w:rsidR="00D6540B" w:rsidRPr="002C3A49">
        <w:rPr>
          <w:rFonts w:ascii="Times New Roman" w:hAnsi="Times New Roman"/>
          <w:noProof/>
          <w:szCs w:val="24"/>
          <w:lang w:val="sr-Cyrl-RS"/>
        </w:rPr>
        <w:t xml:space="preserve"> организација Лиге нације у одбојци за мушкарце 2024. године </w:t>
      </w:r>
      <w:r w:rsidR="00354246" w:rsidRPr="002C3A49">
        <w:rPr>
          <w:rFonts w:ascii="Times New Roman" w:hAnsi="Times New Roman"/>
          <w:noProof/>
          <w:szCs w:val="24"/>
          <w:lang w:val="sr-Cyrl-RS"/>
        </w:rPr>
        <w:t xml:space="preserve">и </w:t>
      </w:r>
      <w:r w:rsidR="00A31588" w:rsidRPr="002C3A49">
        <w:rPr>
          <w:rFonts w:ascii="Times New Roman" w:hAnsi="Times New Roman"/>
          <w:noProof/>
          <w:szCs w:val="24"/>
          <w:lang w:val="sr-Cyrl-RS"/>
        </w:rPr>
        <w:t>др.</w:t>
      </w:r>
      <w:r w:rsidR="00354246" w:rsidRPr="002C3A49">
        <w:rPr>
          <w:rFonts w:ascii="Times New Roman" w:hAnsi="Times New Roman"/>
          <w:noProof/>
          <w:szCs w:val="24"/>
          <w:lang w:val="sr-Cyrl-RS"/>
        </w:rPr>
        <w:t>)</w:t>
      </w:r>
      <w:r w:rsidR="0055204A" w:rsidRPr="002C3A49">
        <w:rPr>
          <w:rFonts w:ascii="Times New Roman" w:hAnsi="Times New Roman"/>
          <w:noProof/>
          <w:szCs w:val="24"/>
          <w:lang w:val="sr-Cyrl-RS"/>
        </w:rPr>
        <w:t>.</w:t>
      </w:r>
    </w:p>
    <w:p w14:paraId="1B9DF8A5" w14:textId="79AECE0F" w:rsidR="00761E0F" w:rsidRPr="002C3A49" w:rsidRDefault="00761E0F" w:rsidP="00917B0C">
      <w:pPr>
        <w:tabs>
          <w:tab w:val="left" w:pos="720"/>
          <w:tab w:val="center" w:pos="1134"/>
        </w:tabs>
        <w:rPr>
          <w:rFonts w:ascii="Times New Roman" w:hAnsi="Times New Roman"/>
          <w:noProof/>
          <w:szCs w:val="24"/>
          <w:lang w:val="sr-Cyrl-RS"/>
        </w:rPr>
      </w:pPr>
    </w:p>
    <w:p w14:paraId="31431BC6" w14:textId="0CA3FCF6" w:rsidR="008C16FD" w:rsidRPr="002C3A49" w:rsidRDefault="008B31C3" w:rsidP="005B683B">
      <w:pPr>
        <w:tabs>
          <w:tab w:val="left" w:pos="720"/>
          <w:tab w:val="center" w:pos="1134"/>
        </w:tabs>
        <w:rPr>
          <w:rFonts w:ascii="Times New Roman" w:hAnsi="Times New Roman"/>
          <w:noProof/>
          <w:szCs w:val="24"/>
          <w:lang w:val="sr-Cyrl-RS"/>
        </w:rPr>
      </w:pPr>
      <w:r w:rsidRPr="002C3A49">
        <w:rPr>
          <w:noProof/>
          <w:lang w:val="sr-Cyrl-RS"/>
        </w:rPr>
        <w:drawing>
          <wp:inline distT="0" distB="0" distL="0" distR="0" wp14:anchorId="0A2C2B15" wp14:editId="3F3B64F6">
            <wp:extent cx="6063049" cy="3248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3765" cy="3248409"/>
                    </a:xfrm>
                    <a:prstGeom prst="rect">
                      <a:avLst/>
                    </a:prstGeom>
                    <a:noFill/>
                  </pic:spPr>
                </pic:pic>
              </a:graphicData>
            </a:graphic>
          </wp:inline>
        </w:drawing>
      </w:r>
    </w:p>
    <w:p w14:paraId="24CA6272" w14:textId="77777777" w:rsidR="00761E0F" w:rsidRPr="002C3A49" w:rsidRDefault="00761E0F" w:rsidP="001D6C5D">
      <w:pPr>
        <w:tabs>
          <w:tab w:val="left" w:pos="720"/>
          <w:tab w:val="left" w:pos="900"/>
          <w:tab w:val="center" w:pos="1134"/>
        </w:tabs>
        <w:rPr>
          <w:rFonts w:ascii="Times New Roman" w:hAnsi="Times New Roman"/>
          <w:b/>
          <w:noProof/>
          <w:szCs w:val="24"/>
          <w:highlight w:val="yellow"/>
          <w:lang w:val="sr-Cyrl-RS"/>
        </w:rPr>
      </w:pPr>
    </w:p>
    <w:p w14:paraId="736EF6D2" w14:textId="74C5F6A2" w:rsidR="00AE51F8" w:rsidRPr="002C3A49" w:rsidRDefault="000F4B12" w:rsidP="002D10C3">
      <w:pPr>
        <w:tabs>
          <w:tab w:val="left" w:pos="720"/>
        </w:tabs>
        <w:outlineLvl w:val="0"/>
        <w:rPr>
          <w:rFonts w:ascii="Times New Roman" w:hAnsi="Times New Roman"/>
          <w:b/>
          <w:bCs/>
          <w:noProof/>
          <w:color w:val="000000"/>
          <w:szCs w:val="24"/>
          <w:lang w:val="sr-Cyrl-RS"/>
        </w:rPr>
      </w:pPr>
      <w:r w:rsidRPr="002C3A49">
        <w:rPr>
          <w:rFonts w:ascii="Times New Roman" w:hAnsi="Times New Roman"/>
          <w:b/>
          <w:bCs/>
          <w:noProof/>
          <w:color w:val="000000"/>
          <w:szCs w:val="24"/>
          <w:lang w:val="sr-Cyrl-RS"/>
        </w:rPr>
        <w:tab/>
      </w:r>
      <w:r w:rsidR="00AE51F8" w:rsidRPr="002C3A49">
        <w:rPr>
          <w:rFonts w:ascii="Times New Roman" w:hAnsi="Times New Roman"/>
          <w:b/>
          <w:bCs/>
          <w:noProof/>
          <w:color w:val="000000"/>
          <w:szCs w:val="24"/>
          <w:lang w:val="sr-Cyrl-RS"/>
        </w:rPr>
        <w:t xml:space="preserve">Дотације међународним организацијама </w:t>
      </w:r>
      <w:r w:rsidR="00AE51F8" w:rsidRPr="002C3A49">
        <w:rPr>
          <w:rFonts w:ascii="Times New Roman" w:hAnsi="Times New Roman"/>
          <w:noProof/>
          <w:color w:val="000000"/>
          <w:szCs w:val="24"/>
          <w:lang w:val="sr-Cyrl-RS"/>
        </w:rPr>
        <w:t>планиране су у износу од</w:t>
      </w:r>
      <w:r w:rsidR="00B13E85" w:rsidRPr="002C3A49">
        <w:rPr>
          <w:rFonts w:ascii="Times New Roman" w:hAnsi="Times New Roman"/>
          <w:noProof/>
          <w:color w:val="000000"/>
          <w:szCs w:val="24"/>
          <w:lang w:val="sr-Cyrl-RS"/>
        </w:rPr>
        <w:t xml:space="preserve"> </w:t>
      </w:r>
      <w:r w:rsidR="00AA0B97" w:rsidRPr="002C3A49">
        <w:rPr>
          <w:rFonts w:ascii="Times New Roman" w:hAnsi="Times New Roman"/>
          <w:noProof/>
          <w:color w:val="000000"/>
          <w:szCs w:val="24"/>
          <w:lang w:val="sr-Cyrl-RS"/>
        </w:rPr>
        <w:t>9,</w:t>
      </w:r>
      <w:r w:rsidR="00CF2D42" w:rsidRPr="002C3A49">
        <w:rPr>
          <w:rFonts w:ascii="Times New Roman" w:hAnsi="Times New Roman"/>
          <w:noProof/>
          <w:color w:val="000000"/>
          <w:szCs w:val="24"/>
          <w:lang w:val="sr-Cyrl-RS"/>
        </w:rPr>
        <w:t>8</w:t>
      </w:r>
      <w:r w:rsidR="00864404" w:rsidRPr="002C3A49">
        <w:rPr>
          <w:rFonts w:ascii="Times New Roman" w:hAnsi="Times New Roman"/>
          <w:noProof/>
          <w:color w:val="000000"/>
          <w:szCs w:val="24"/>
          <w:lang w:val="sr-Cyrl-RS"/>
        </w:rPr>
        <w:t>9</w:t>
      </w:r>
      <w:r w:rsidR="00AE51F8" w:rsidRPr="002C3A49">
        <w:rPr>
          <w:rFonts w:ascii="Times New Roman" w:hAnsi="Times New Roman"/>
          <w:noProof/>
          <w:color w:val="000000"/>
          <w:szCs w:val="24"/>
          <w:lang w:val="sr-Cyrl-RS"/>
        </w:rPr>
        <w:t xml:space="preserve"> млрд динара  и њихово учешће у укупним расходима и издацима је 0,</w:t>
      </w:r>
      <w:r w:rsidR="00630863" w:rsidRPr="002C3A49">
        <w:rPr>
          <w:rFonts w:ascii="Times New Roman" w:hAnsi="Times New Roman"/>
          <w:noProof/>
          <w:color w:val="000000"/>
          <w:szCs w:val="24"/>
          <w:lang w:val="sr-Cyrl-RS"/>
        </w:rPr>
        <w:t>4</w:t>
      </w:r>
      <w:r w:rsidR="00CF2D42" w:rsidRPr="002C3A49">
        <w:rPr>
          <w:rFonts w:ascii="Times New Roman" w:hAnsi="Times New Roman"/>
          <w:noProof/>
          <w:color w:val="000000"/>
          <w:szCs w:val="24"/>
          <w:lang w:val="sr-Cyrl-RS"/>
        </w:rPr>
        <w:t>4</w:t>
      </w:r>
      <w:r w:rsidR="00AE51F8" w:rsidRPr="002C3A49">
        <w:rPr>
          <w:rFonts w:ascii="Times New Roman" w:hAnsi="Times New Roman"/>
          <w:noProof/>
          <w:color w:val="000000"/>
          <w:szCs w:val="24"/>
          <w:lang w:val="sr-Cyrl-RS"/>
        </w:rPr>
        <w:t>%. Средства су планирана највећим делом за</w:t>
      </w:r>
      <w:r w:rsidR="00E741EB" w:rsidRPr="002C3A49">
        <w:rPr>
          <w:rFonts w:ascii="Times New Roman" w:hAnsi="Times New Roman"/>
          <w:noProof/>
          <w:color w:val="000000"/>
          <w:szCs w:val="24"/>
          <w:lang w:val="sr-Cyrl-RS"/>
        </w:rPr>
        <w:t>:</w:t>
      </w:r>
      <w:r w:rsidR="00AE51F8" w:rsidRPr="002C3A49">
        <w:rPr>
          <w:rFonts w:ascii="Times New Roman" w:hAnsi="Times New Roman"/>
          <w:noProof/>
          <w:color w:val="000000"/>
          <w:szCs w:val="24"/>
          <w:lang w:val="sr-Cyrl-RS"/>
        </w:rPr>
        <w:t xml:space="preserve"> ИПА подршку за учешће у програмима ЕУ</w:t>
      </w:r>
      <w:r w:rsidR="000B2E1D" w:rsidRPr="002C3A49">
        <w:rPr>
          <w:rFonts w:ascii="Times New Roman" w:hAnsi="Times New Roman"/>
          <w:noProof/>
          <w:color w:val="000000"/>
          <w:szCs w:val="24"/>
          <w:lang w:val="sr-Cyrl-RS"/>
        </w:rPr>
        <w:t>;</w:t>
      </w:r>
      <w:r w:rsidR="00AE51F8" w:rsidRPr="002C3A49">
        <w:rPr>
          <w:rFonts w:ascii="Times New Roman" w:hAnsi="Times New Roman"/>
          <w:noProof/>
          <w:color w:val="000000"/>
          <w:szCs w:val="24"/>
          <w:lang w:val="sr-Cyrl-RS"/>
        </w:rPr>
        <w:t xml:space="preserve"> </w:t>
      </w:r>
      <w:r w:rsidR="00F93025" w:rsidRPr="002C3A49">
        <w:rPr>
          <w:rFonts w:ascii="Times New Roman" w:hAnsi="Times New Roman"/>
          <w:noProof/>
          <w:color w:val="000000"/>
          <w:szCs w:val="24"/>
          <w:lang w:val="sr-Cyrl-RS"/>
        </w:rPr>
        <w:t>подршку интеграцији у европски образовни простор</w:t>
      </w:r>
      <w:r w:rsidR="000B2E1D" w:rsidRPr="002C3A49">
        <w:rPr>
          <w:rFonts w:ascii="Times New Roman" w:hAnsi="Times New Roman"/>
          <w:noProof/>
          <w:color w:val="000000"/>
          <w:szCs w:val="24"/>
          <w:lang w:val="sr-Cyrl-RS"/>
        </w:rPr>
        <w:t>;</w:t>
      </w:r>
      <w:r w:rsidR="00F93025" w:rsidRPr="002C3A49">
        <w:rPr>
          <w:rFonts w:ascii="Times New Roman" w:hAnsi="Times New Roman"/>
          <w:noProof/>
          <w:color w:val="000000"/>
          <w:szCs w:val="24"/>
          <w:lang w:val="sr-Cyrl-RS"/>
        </w:rPr>
        <w:t xml:space="preserve"> </w:t>
      </w:r>
      <w:r w:rsidR="00AE51F8" w:rsidRPr="002C3A49">
        <w:rPr>
          <w:rFonts w:ascii="Times New Roman" w:hAnsi="Times New Roman"/>
          <w:noProof/>
          <w:color w:val="000000"/>
          <w:szCs w:val="24"/>
          <w:lang w:val="sr-Cyrl-RS"/>
        </w:rPr>
        <w:t xml:space="preserve">чланство у међународним организацијама и међународне активности и сарадњу. </w:t>
      </w:r>
    </w:p>
    <w:p w14:paraId="48627A20" w14:textId="2FEE47B7" w:rsidR="00CE2A83" w:rsidRPr="002C3A49" w:rsidRDefault="000871DD" w:rsidP="00CE2A83">
      <w:pPr>
        <w:tabs>
          <w:tab w:val="left" w:pos="720"/>
        </w:tabs>
        <w:outlineLvl w:val="0"/>
        <w:rPr>
          <w:rStyle w:val="CharCharChar5"/>
          <w:rFonts w:ascii="Times New Roman" w:hAnsi="Times New Roman"/>
          <w:noProof/>
          <w:color w:val="000000"/>
          <w:szCs w:val="24"/>
          <w:lang w:val="sr-Cyrl-RS"/>
        </w:rPr>
      </w:pPr>
      <w:r w:rsidRPr="002C3A49">
        <w:rPr>
          <w:rFonts w:ascii="Times New Roman" w:hAnsi="Times New Roman"/>
          <w:noProof/>
          <w:color w:val="000000"/>
          <w:szCs w:val="24"/>
          <w:lang w:val="sr-Cyrl-RS"/>
        </w:rPr>
        <w:tab/>
      </w:r>
      <w:r w:rsidR="00CE2A83" w:rsidRPr="002C3A49">
        <w:rPr>
          <w:rFonts w:ascii="Times New Roman" w:hAnsi="Times New Roman"/>
          <w:b/>
          <w:noProof/>
          <w:szCs w:val="24"/>
          <w:lang w:val="sr-Cyrl-RS"/>
        </w:rPr>
        <w:t xml:space="preserve">Трансфери осталим нивоима власти </w:t>
      </w:r>
      <w:r w:rsidR="00CE2A83" w:rsidRPr="002C3A49">
        <w:rPr>
          <w:rFonts w:ascii="Times New Roman" w:hAnsi="Times New Roman"/>
          <w:bCs/>
          <w:noProof/>
          <w:szCs w:val="24"/>
          <w:lang w:val="sr-Cyrl-RS"/>
        </w:rPr>
        <w:t>планирани</w:t>
      </w:r>
      <w:r w:rsidR="00CE2A83" w:rsidRPr="002C3A49">
        <w:rPr>
          <w:rStyle w:val="CharCharChar5"/>
          <w:rFonts w:ascii="Times New Roman" w:hAnsi="Times New Roman"/>
          <w:bCs/>
          <w:noProof/>
          <w:szCs w:val="24"/>
          <w:lang w:val="sr-Cyrl-RS"/>
        </w:rPr>
        <w:t xml:space="preserve"> с</w:t>
      </w:r>
      <w:r w:rsidR="00CE2A83" w:rsidRPr="002C3A49">
        <w:rPr>
          <w:rStyle w:val="CharCharChar5"/>
          <w:rFonts w:ascii="Times New Roman" w:hAnsi="Times New Roman"/>
          <w:noProof/>
          <w:szCs w:val="24"/>
          <w:lang w:val="sr-Cyrl-RS"/>
        </w:rPr>
        <w:t xml:space="preserve">у у укупном износу од </w:t>
      </w:r>
      <w:r w:rsidR="00CF2D42" w:rsidRPr="002C3A49">
        <w:rPr>
          <w:rStyle w:val="CharCharChar5"/>
          <w:rFonts w:ascii="Times New Roman" w:hAnsi="Times New Roman"/>
          <w:noProof/>
          <w:szCs w:val="24"/>
          <w:lang w:val="sr-Cyrl-RS"/>
        </w:rPr>
        <w:t>108,04</w:t>
      </w:r>
      <w:r w:rsidR="00CE2A83" w:rsidRPr="002C3A49">
        <w:rPr>
          <w:rStyle w:val="CharCharChar5"/>
          <w:rFonts w:ascii="Times New Roman" w:hAnsi="Times New Roman"/>
          <w:noProof/>
          <w:szCs w:val="24"/>
          <w:lang w:val="sr-Cyrl-RS"/>
        </w:rPr>
        <w:t xml:space="preserve"> млрд динара и учествују са </w:t>
      </w:r>
      <w:r w:rsidR="00F55E62" w:rsidRPr="002C3A49">
        <w:rPr>
          <w:rStyle w:val="CharCharChar5"/>
          <w:rFonts w:ascii="Times New Roman" w:hAnsi="Times New Roman"/>
          <w:noProof/>
          <w:szCs w:val="24"/>
          <w:lang w:val="sr-Cyrl-RS"/>
        </w:rPr>
        <w:t>4,83</w:t>
      </w:r>
      <w:r w:rsidR="00630863" w:rsidRPr="002C3A49">
        <w:rPr>
          <w:rStyle w:val="CharCharChar5"/>
          <w:rFonts w:ascii="Times New Roman" w:hAnsi="Times New Roman"/>
          <w:noProof/>
          <w:szCs w:val="24"/>
          <w:lang w:val="sr-Cyrl-RS"/>
        </w:rPr>
        <w:t>%</w:t>
      </w:r>
      <w:r w:rsidR="00CE2A83" w:rsidRPr="002C3A49">
        <w:rPr>
          <w:rStyle w:val="CharCharChar5"/>
          <w:rFonts w:ascii="Times New Roman" w:hAnsi="Times New Roman"/>
          <w:noProof/>
          <w:szCs w:val="24"/>
          <w:lang w:val="sr-Cyrl-RS"/>
        </w:rPr>
        <w:t xml:space="preserve"> </w:t>
      </w:r>
      <w:r w:rsidR="00641494" w:rsidRPr="002C3A49">
        <w:rPr>
          <w:rStyle w:val="CharCharChar5"/>
          <w:rFonts w:ascii="Times New Roman" w:hAnsi="Times New Roman"/>
          <w:noProof/>
          <w:szCs w:val="24"/>
          <w:lang w:val="sr-Cyrl-RS"/>
        </w:rPr>
        <w:t xml:space="preserve">у </w:t>
      </w:r>
      <w:r w:rsidR="00CE2A83" w:rsidRPr="002C3A49">
        <w:rPr>
          <w:rStyle w:val="CharCharChar5"/>
          <w:rFonts w:ascii="Times New Roman" w:hAnsi="Times New Roman"/>
          <w:noProof/>
          <w:szCs w:val="24"/>
          <w:lang w:val="sr-Cyrl-RS"/>
        </w:rPr>
        <w:t>укупним расходима и издацима. Наведени трансфери су планирани за наменске и ненаменске трансфере јединицама локалне самоуправе и трансфере Аутономној покрајини Војводини.</w:t>
      </w:r>
    </w:p>
    <w:p w14:paraId="04F3FAD7" w14:textId="154345F9" w:rsidR="00CE2A83" w:rsidRPr="002C3A49" w:rsidRDefault="00CE2A83" w:rsidP="00CE2A83">
      <w:pPr>
        <w:tabs>
          <w:tab w:val="left" w:pos="720"/>
        </w:tabs>
        <w:ind w:right="-90"/>
        <w:rPr>
          <w:rFonts w:ascii="Times New Roman" w:hAnsi="Times New Roman"/>
          <w:noProof/>
          <w:szCs w:val="24"/>
          <w:lang w:val="sr-Cyrl-RS"/>
        </w:rPr>
      </w:pPr>
      <w:r w:rsidRPr="002C3A49">
        <w:rPr>
          <w:rStyle w:val="CharCharChar5"/>
          <w:rFonts w:ascii="Times New Roman" w:hAnsi="Times New Roman"/>
          <w:noProof/>
          <w:szCs w:val="24"/>
          <w:lang w:val="sr-Cyrl-RS"/>
        </w:rPr>
        <w:tab/>
      </w:r>
      <w:r w:rsidRPr="002C3A49">
        <w:rPr>
          <w:rFonts w:ascii="Times New Roman" w:hAnsi="Times New Roman"/>
          <w:noProof/>
          <w:szCs w:val="24"/>
          <w:lang w:val="sr-Cyrl-RS"/>
        </w:rPr>
        <w:t>Средства за покриће издатака буџета Аутономне покрајинe Војводине обезбедиће се из дела прихода од пореза на доходак грађана - пореза на зараде, у висини од 18% износа оствареног на териториј</w:t>
      </w:r>
      <w:r w:rsidR="00912A6C" w:rsidRPr="002C3A49">
        <w:rPr>
          <w:rFonts w:ascii="Times New Roman" w:hAnsi="Times New Roman"/>
          <w:noProof/>
          <w:szCs w:val="24"/>
          <w:lang w:val="sr-Cyrl-RS"/>
        </w:rPr>
        <w:t>и Аутономне покрајине Војводине,</w:t>
      </w:r>
      <w:r w:rsidRPr="002C3A49">
        <w:rPr>
          <w:rFonts w:ascii="Times New Roman" w:hAnsi="Times New Roman"/>
          <w:noProof/>
          <w:szCs w:val="24"/>
          <w:lang w:val="sr-Cyrl-RS"/>
        </w:rPr>
        <w:t xml:space="preserve"> из дела прихода од пореза на добит предузећа, у висини од 42,7% износа оствареног на територији Аутономне покрајине Војводине и</w:t>
      </w:r>
      <w:r w:rsidR="00EE2F13" w:rsidRPr="002C3A49">
        <w:rPr>
          <w:rFonts w:ascii="Times New Roman" w:hAnsi="Times New Roman"/>
          <w:noProof/>
          <w:szCs w:val="24"/>
          <w:lang w:val="sr-Cyrl-RS"/>
        </w:rPr>
        <w:t xml:space="preserve"> из</w:t>
      </w:r>
      <w:r w:rsidRPr="002C3A49">
        <w:rPr>
          <w:rFonts w:ascii="Times New Roman" w:hAnsi="Times New Roman"/>
          <w:noProof/>
          <w:szCs w:val="24"/>
          <w:lang w:val="sr-Cyrl-RS"/>
        </w:rPr>
        <w:t xml:space="preserve"> трансфера из буџета Републике Србије, и то:</w:t>
      </w:r>
    </w:p>
    <w:p w14:paraId="1EEAC78D" w14:textId="77777777" w:rsidR="00CE2A83" w:rsidRPr="002C3A49" w:rsidRDefault="00CE2A83" w:rsidP="00CE2A83">
      <w:pPr>
        <w:tabs>
          <w:tab w:val="left" w:pos="720"/>
        </w:tabs>
        <w:rPr>
          <w:rFonts w:ascii="Times New Roman" w:hAnsi="Times New Roman"/>
          <w:noProof/>
          <w:szCs w:val="24"/>
          <w:lang w:val="sr-Cyrl-RS"/>
        </w:rPr>
      </w:pPr>
      <w:r w:rsidRPr="002C3A49">
        <w:rPr>
          <w:rFonts w:ascii="Times New Roman" w:hAnsi="Times New Roman"/>
          <w:noProof/>
          <w:szCs w:val="24"/>
          <w:lang w:val="sr-Cyrl-RS"/>
        </w:rPr>
        <w:tab/>
        <w:t xml:space="preserve">- трансфери за поверене послове у складу са законом којим се утврђују надлежности Аутономне покрајине Војводине; </w:t>
      </w:r>
    </w:p>
    <w:p w14:paraId="2FF61D9A" w14:textId="772C9C4B" w:rsidR="00CE2A83" w:rsidRPr="002C3A49" w:rsidRDefault="00CE2A83" w:rsidP="00CE2A83">
      <w:pPr>
        <w:tabs>
          <w:tab w:val="left" w:pos="720"/>
        </w:tabs>
        <w:rPr>
          <w:rFonts w:ascii="Times New Roman" w:hAnsi="Times New Roman"/>
          <w:noProof/>
          <w:szCs w:val="24"/>
          <w:lang w:val="sr-Cyrl-RS"/>
        </w:rPr>
      </w:pPr>
      <w:r w:rsidRPr="002C3A49">
        <w:rPr>
          <w:rFonts w:ascii="Times New Roman" w:hAnsi="Times New Roman"/>
          <w:noProof/>
          <w:szCs w:val="24"/>
          <w:lang w:val="sr-Cyrl-RS"/>
        </w:rPr>
        <w:lastRenderedPageBreak/>
        <w:tab/>
        <w:t xml:space="preserve">- наменски трансфери за финансирање расхода за запослене у </w:t>
      </w:r>
      <w:r w:rsidR="00F23A23" w:rsidRPr="002C3A49">
        <w:rPr>
          <w:rFonts w:ascii="Times New Roman" w:hAnsi="Times New Roman"/>
          <w:noProof/>
          <w:szCs w:val="24"/>
          <w:lang w:val="sr-Cyrl-RS"/>
        </w:rPr>
        <w:t xml:space="preserve">основном и високом </w:t>
      </w:r>
      <w:r w:rsidRPr="002C3A49">
        <w:rPr>
          <w:rFonts w:ascii="Times New Roman" w:hAnsi="Times New Roman"/>
          <w:noProof/>
          <w:szCs w:val="24"/>
          <w:lang w:val="sr-Cyrl-RS"/>
        </w:rPr>
        <w:t>образовању на територији Аутономне покрајине Војводине у складу са овим законом;</w:t>
      </w:r>
    </w:p>
    <w:p w14:paraId="0FDA6B53" w14:textId="77777777" w:rsidR="00CE2A83" w:rsidRPr="002C3A49" w:rsidRDefault="00CE2A83" w:rsidP="00CE2A83">
      <w:pPr>
        <w:tabs>
          <w:tab w:val="left" w:pos="720"/>
        </w:tabs>
        <w:rPr>
          <w:rFonts w:ascii="Times New Roman" w:hAnsi="Times New Roman"/>
          <w:noProof/>
          <w:szCs w:val="24"/>
          <w:lang w:val="sr-Cyrl-RS"/>
        </w:rPr>
      </w:pPr>
      <w:r w:rsidRPr="002C3A49">
        <w:rPr>
          <w:rFonts w:ascii="Times New Roman" w:hAnsi="Times New Roman"/>
          <w:noProof/>
          <w:szCs w:val="24"/>
          <w:lang w:val="sr-Cyrl-RS"/>
        </w:rPr>
        <w:tab/>
        <w:t>- наменски и ненаменски трансфери јединицама локалне самоуправе са територије Аутономне покрајине Војводине, у складу са Законом о финансирању локалне самоуправе;</w:t>
      </w:r>
    </w:p>
    <w:p w14:paraId="4954027A" w14:textId="77777777" w:rsidR="00CE2A83" w:rsidRPr="002C3A49" w:rsidRDefault="00CE2A83" w:rsidP="00CE2A83">
      <w:pPr>
        <w:tabs>
          <w:tab w:val="left" w:pos="720"/>
        </w:tabs>
        <w:rPr>
          <w:rFonts w:ascii="Times New Roman" w:hAnsi="Times New Roman"/>
          <w:noProof/>
          <w:szCs w:val="24"/>
          <w:lang w:val="sr-Cyrl-RS"/>
        </w:rPr>
      </w:pPr>
      <w:r w:rsidRPr="002C3A49">
        <w:rPr>
          <w:rFonts w:ascii="Times New Roman" w:hAnsi="Times New Roman"/>
          <w:noProof/>
          <w:szCs w:val="24"/>
          <w:lang w:val="sr-Cyrl-RS"/>
        </w:rPr>
        <w:tab/>
        <w:t>- наменски капитални трансфери за пројекте које утврди Влада.</w:t>
      </w:r>
      <w:r w:rsidRPr="002C3A49">
        <w:rPr>
          <w:rFonts w:ascii="Times New Roman" w:hAnsi="Times New Roman"/>
          <w:noProof/>
          <w:szCs w:val="24"/>
          <w:lang w:val="sr-Cyrl-RS"/>
        </w:rPr>
        <w:tab/>
      </w:r>
      <w:r w:rsidRPr="002C3A49">
        <w:rPr>
          <w:rFonts w:ascii="Times New Roman" w:hAnsi="Times New Roman"/>
          <w:noProof/>
          <w:szCs w:val="24"/>
          <w:lang w:val="sr-Cyrl-RS"/>
        </w:rPr>
        <w:tab/>
      </w:r>
      <w:r w:rsidRPr="002C3A49">
        <w:rPr>
          <w:rFonts w:ascii="Times New Roman" w:hAnsi="Times New Roman"/>
          <w:noProof/>
          <w:szCs w:val="24"/>
          <w:lang w:val="sr-Cyrl-RS"/>
        </w:rPr>
        <w:tab/>
      </w:r>
    </w:p>
    <w:p w14:paraId="36EFEC6B" w14:textId="50888176" w:rsidR="00CE2A83" w:rsidRPr="002C3A49" w:rsidRDefault="00912A6C" w:rsidP="00CE2A83">
      <w:pPr>
        <w:tabs>
          <w:tab w:val="left" w:pos="720"/>
        </w:tabs>
        <w:rPr>
          <w:rFonts w:ascii="Times New Roman" w:hAnsi="Times New Roman"/>
          <w:noProof/>
          <w:szCs w:val="24"/>
          <w:lang w:val="sr-Cyrl-RS"/>
        </w:rPr>
      </w:pPr>
      <w:r w:rsidRPr="002C3A49">
        <w:rPr>
          <w:rFonts w:ascii="Times New Roman" w:hAnsi="Times New Roman"/>
          <w:noProof/>
          <w:szCs w:val="24"/>
          <w:lang w:val="sr-Cyrl-RS"/>
        </w:rPr>
        <w:tab/>
        <w:t>У наредној табели</w:t>
      </w:r>
      <w:r w:rsidR="00CE2A83" w:rsidRPr="002C3A49">
        <w:rPr>
          <w:rFonts w:ascii="Times New Roman" w:hAnsi="Times New Roman"/>
          <w:noProof/>
          <w:szCs w:val="24"/>
          <w:lang w:val="sr-Cyrl-RS"/>
        </w:rPr>
        <w:t xml:space="preserve"> приказана </w:t>
      </w:r>
      <w:r w:rsidRPr="002C3A49">
        <w:rPr>
          <w:rFonts w:ascii="Times New Roman" w:hAnsi="Times New Roman"/>
          <w:noProof/>
          <w:szCs w:val="24"/>
          <w:lang w:val="sr-Cyrl-RS"/>
        </w:rPr>
        <w:t xml:space="preserve">су </w:t>
      </w:r>
      <w:r w:rsidR="00CE2A83" w:rsidRPr="002C3A49">
        <w:rPr>
          <w:rFonts w:ascii="Times New Roman" w:hAnsi="Times New Roman"/>
          <w:noProof/>
          <w:szCs w:val="24"/>
          <w:lang w:val="sr-Cyrl-RS"/>
        </w:rPr>
        <w:t xml:space="preserve">средства која се из буџета Републике Србије усмеравају буџету Аутономне покрајине Војводине (трансфери за поверене послове, наменски и ненаменски трансфери јединицама локалне самоуправе </w:t>
      </w:r>
      <w:r w:rsidR="00C07F69" w:rsidRPr="002C3A49">
        <w:rPr>
          <w:rFonts w:ascii="Times New Roman" w:hAnsi="Times New Roman"/>
          <w:noProof/>
          <w:szCs w:val="24"/>
          <w:lang w:val="sr-Cyrl-RS"/>
        </w:rPr>
        <w:t>са територије АП Војводине и др</w:t>
      </w:r>
      <w:r w:rsidR="00CE2A83" w:rsidRPr="002C3A49">
        <w:rPr>
          <w:rFonts w:ascii="Times New Roman" w:hAnsi="Times New Roman"/>
          <w:noProof/>
          <w:szCs w:val="24"/>
          <w:lang w:val="sr-Cyrl-RS"/>
        </w:rPr>
        <w:t>), као и средства намењена за капиталне издаткe:</w:t>
      </w:r>
    </w:p>
    <w:p w14:paraId="1FDB7226" w14:textId="77777777" w:rsidR="003571AD" w:rsidRPr="002C3A49" w:rsidRDefault="003571AD" w:rsidP="00CE2A83">
      <w:pPr>
        <w:tabs>
          <w:tab w:val="left" w:pos="720"/>
        </w:tabs>
        <w:rPr>
          <w:rFonts w:ascii="Times New Roman" w:hAnsi="Times New Roman"/>
          <w:noProof/>
          <w:szCs w:val="24"/>
          <w:lang w:val="sr-Cyrl-RS"/>
        </w:rPr>
      </w:pPr>
    </w:p>
    <w:tbl>
      <w:tblPr>
        <w:tblW w:w="5128" w:type="pct"/>
        <w:tblLayout w:type="fixed"/>
        <w:tblLook w:val="04A0" w:firstRow="1" w:lastRow="0" w:firstColumn="1" w:lastColumn="0" w:noHBand="0" w:noVBand="1"/>
      </w:tblPr>
      <w:tblGrid>
        <w:gridCol w:w="927"/>
        <w:gridCol w:w="3082"/>
        <w:gridCol w:w="3781"/>
        <w:gridCol w:w="1966"/>
        <w:gridCol w:w="8"/>
      </w:tblGrid>
      <w:tr w:rsidR="00604D50" w:rsidRPr="002C3A49" w14:paraId="57142C5D" w14:textId="77777777" w:rsidTr="00917B0C">
        <w:trPr>
          <w:gridAfter w:val="1"/>
          <w:wAfter w:w="4" w:type="pct"/>
          <w:cantSplit/>
          <w:trHeight w:val="330"/>
          <w:tblHeader/>
        </w:trPr>
        <w:tc>
          <w:tcPr>
            <w:tcW w:w="47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D46AE0"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Ред. број</w:t>
            </w:r>
          </w:p>
        </w:tc>
        <w:tc>
          <w:tcPr>
            <w:tcW w:w="1578" w:type="pct"/>
            <w:tcBorders>
              <w:top w:val="single" w:sz="8" w:space="0" w:color="auto"/>
              <w:left w:val="nil"/>
              <w:bottom w:val="single" w:sz="8" w:space="0" w:color="auto"/>
              <w:right w:val="single" w:sz="8" w:space="0" w:color="auto"/>
            </w:tcBorders>
            <w:shd w:val="clear" w:color="auto" w:fill="auto"/>
            <w:vAlign w:val="center"/>
            <w:hideMark/>
          </w:tcPr>
          <w:p w14:paraId="3A14EFB0"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Орган/организација</w:t>
            </w:r>
          </w:p>
        </w:tc>
        <w:tc>
          <w:tcPr>
            <w:tcW w:w="1936" w:type="pct"/>
            <w:tcBorders>
              <w:top w:val="single" w:sz="8" w:space="0" w:color="auto"/>
              <w:left w:val="nil"/>
              <w:bottom w:val="single" w:sz="8" w:space="0" w:color="auto"/>
              <w:right w:val="single" w:sz="8" w:space="0" w:color="auto"/>
            </w:tcBorders>
            <w:shd w:val="clear" w:color="auto" w:fill="auto"/>
            <w:vAlign w:val="center"/>
            <w:hideMark/>
          </w:tcPr>
          <w:p w14:paraId="503C0462"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Законски основ</w:t>
            </w:r>
          </w:p>
        </w:tc>
        <w:tc>
          <w:tcPr>
            <w:tcW w:w="1007" w:type="pct"/>
            <w:tcBorders>
              <w:top w:val="single" w:sz="8" w:space="0" w:color="auto"/>
              <w:left w:val="nil"/>
              <w:bottom w:val="single" w:sz="8" w:space="0" w:color="auto"/>
              <w:right w:val="single" w:sz="8" w:space="0" w:color="auto"/>
            </w:tcBorders>
            <w:shd w:val="clear" w:color="auto" w:fill="auto"/>
            <w:noWrap/>
            <w:vAlign w:val="center"/>
            <w:hideMark/>
          </w:tcPr>
          <w:p w14:paraId="29810E73"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2024. год.</w:t>
            </w:r>
          </w:p>
        </w:tc>
      </w:tr>
      <w:tr w:rsidR="00604D50" w:rsidRPr="002C3A49" w14:paraId="088094D7" w14:textId="77777777" w:rsidTr="00917B0C">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BF6DCC7" w14:textId="77777777" w:rsidR="00604D50" w:rsidRPr="002C3A49" w:rsidRDefault="00604D50" w:rsidP="00BF7A9D">
            <w:pP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ТРАНСФЕРИ ИЗ БУЏЕТА РЕПУБЛИКЕ СРБИЈЕ</w:t>
            </w:r>
          </w:p>
        </w:tc>
      </w:tr>
      <w:tr w:rsidR="00604D50" w:rsidRPr="002C3A49" w14:paraId="43AA4499" w14:textId="77777777" w:rsidTr="00917B0C">
        <w:trPr>
          <w:gridAfter w:val="1"/>
          <w:wAfter w:w="4" w:type="pct"/>
          <w:trHeight w:val="272"/>
        </w:trPr>
        <w:tc>
          <w:tcPr>
            <w:tcW w:w="475" w:type="pct"/>
            <w:tcBorders>
              <w:top w:val="nil"/>
              <w:left w:val="single" w:sz="8" w:space="0" w:color="auto"/>
              <w:bottom w:val="single" w:sz="8" w:space="0" w:color="auto"/>
              <w:right w:val="single" w:sz="8" w:space="0" w:color="auto"/>
            </w:tcBorders>
            <w:shd w:val="clear" w:color="auto" w:fill="auto"/>
            <w:vAlign w:val="center"/>
            <w:hideMark/>
          </w:tcPr>
          <w:p w14:paraId="47DAA7B7"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w:t>
            </w:r>
          </w:p>
        </w:tc>
        <w:tc>
          <w:tcPr>
            <w:tcW w:w="1578" w:type="pct"/>
            <w:tcBorders>
              <w:top w:val="nil"/>
              <w:left w:val="nil"/>
              <w:bottom w:val="single" w:sz="8" w:space="0" w:color="auto"/>
              <w:right w:val="single" w:sz="8" w:space="0" w:color="auto"/>
            </w:tcBorders>
            <w:shd w:val="clear" w:color="auto" w:fill="auto"/>
            <w:vAlign w:val="center"/>
            <w:hideMark/>
          </w:tcPr>
          <w:p w14:paraId="2A60E662"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финансија</w:t>
            </w:r>
          </w:p>
        </w:tc>
        <w:tc>
          <w:tcPr>
            <w:tcW w:w="1936" w:type="pct"/>
            <w:tcBorders>
              <w:top w:val="nil"/>
              <w:left w:val="nil"/>
              <w:bottom w:val="single" w:sz="8" w:space="0" w:color="auto"/>
              <w:right w:val="single" w:sz="8" w:space="0" w:color="auto"/>
            </w:tcBorders>
            <w:shd w:val="clear" w:color="auto" w:fill="auto"/>
            <w:vAlign w:val="center"/>
            <w:hideMark/>
          </w:tcPr>
          <w:p w14:paraId="6272FB57"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финансирању локалне самоуправе (ненаменски трансфер ЈЛС на територији AПВ).</w:t>
            </w:r>
          </w:p>
        </w:tc>
        <w:tc>
          <w:tcPr>
            <w:tcW w:w="1007" w:type="pct"/>
            <w:tcBorders>
              <w:top w:val="nil"/>
              <w:left w:val="nil"/>
              <w:bottom w:val="single" w:sz="8" w:space="0" w:color="auto"/>
              <w:right w:val="single" w:sz="8" w:space="0" w:color="auto"/>
            </w:tcBorders>
            <w:shd w:val="clear" w:color="auto" w:fill="auto"/>
            <w:noWrap/>
            <w:vAlign w:val="center"/>
            <w:hideMark/>
          </w:tcPr>
          <w:p w14:paraId="70212C38"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7.705.553.738</w:t>
            </w:r>
          </w:p>
        </w:tc>
      </w:tr>
      <w:tr w:rsidR="00604D50" w:rsidRPr="002C3A49" w14:paraId="38F52D2E" w14:textId="77777777" w:rsidTr="00917B0C">
        <w:trPr>
          <w:gridAfter w:val="1"/>
          <w:wAfter w:w="4" w:type="pct"/>
          <w:trHeight w:val="517"/>
        </w:trPr>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76167CEB"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w:t>
            </w:r>
          </w:p>
        </w:tc>
        <w:tc>
          <w:tcPr>
            <w:tcW w:w="1578" w:type="pct"/>
            <w:vMerge w:val="restart"/>
            <w:tcBorders>
              <w:top w:val="nil"/>
              <w:left w:val="single" w:sz="8" w:space="0" w:color="auto"/>
              <w:bottom w:val="single" w:sz="8" w:space="0" w:color="000000"/>
              <w:right w:val="single" w:sz="8" w:space="0" w:color="auto"/>
            </w:tcBorders>
            <w:shd w:val="clear" w:color="auto" w:fill="auto"/>
            <w:vAlign w:val="center"/>
            <w:hideMark/>
          </w:tcPr>
          <w:p w14:paraId="57C32D52"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грађевинарства, саобраћаја и инфраструктуре</w:t>
            </w:r>
          </w:p>
        </w:tc>
        <w:tc>
          <w:tcPr>
            <w:tcW w:w="1936" w:type="pct"/>
            <w:vMerge w:val="restart"/>
            <w:tcBorders>
              <w:top w:val="nil"/>
              <w:left w:val="single" w:sz="8" w:space="0" w:color="auto"/>
              <w:bottom w:val="single" w:sz="8" w:space="0" w:color="000000"/>
              <w:right w:val="single" w:sz="8" w:space="0" w:color="auto"/>
            </w:tcBorders>
            <w:shd w:val="clear" w:color="auto" w:fill="auto"/>
            <w:vAlign w:val="center"/>
            <w:hideMark/>
          </w:tcPr>
          <w:p w14:paraId="75AE76A2"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утврђивању надлежности АП Војводина.</w:t>
            </w:r>
          </w:p>
        </w:tc>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10A0882"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15.000.000</w:t>
            </w:r>
          </w:p>
        </w:tc>
      </w:tr>
      <w:tr w:rsidR="00604D50" w:rsidRPr="002C3A49" w14:paraId="0F1C91A8" w14:textId="77777777" w:rsidTr="00917B0C">
        <w:trPr>
          <w:gridAfter w:val="1"/>
          <w:wAfter w:w="4" w:type="pct"/>
          <w:trHeight w:val="293"/>
        </w:trPr>
        <w:tc>
          <w:tcPr>
            <w:tcW w:w="475" w:type="pct"/>
            <w:vMerge/>
            <w:tcBorders>
              <w:top w:val="nil"/>
              <w:left w:val="single" w:sz="8" w:space="0" w:color="auto"/>
              <w:bottom w:val="single" w:sz="8" w:space="0" w:color="000000"/>
              <w:right w:val="single" w:sz="8" w:space="0" w:color="auto"/>
            </w:tcBorders>
            <w:vAlign w:val="center"/>
            <w:hideMark/>
          </w:tcPr>
          <w:p w14:paraId="30D32244"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2ED65B67"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vMerge/>
            <w:tcBorders>
              <w:top w:val="nil"/>
              <w:left w:val="single" w:sz="8" w:space="0" w:color="auto"/>
              <w:bottom w:val="single" w:sz="8" w:space="0" w:color="000000"/>
              <w:right w:val="single" w:sz="8" w:space="0" w:color="auto"/>
            </w:tcBorders>
            <w:vAlign w:val="center"/>
            <w:hideMark/>
          </w:tcPr>
          <w:p w14:paraId="707D49F1"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007" w:type="pct"/>
            <w:vMerge/>
            <w:tcBorders>
              <w:top w:val="nil"/>
              <w:left w:val="single" w:sz="8" w:space="0" w:color="auto"/>
              <w:bottom w:val="single" w:sz="8" w:space="0" w:color="000000"/>
              <w:right w:val="single" w:sz="8" w:space="0" w:color="auto"/>
            </w:tcBorders>
            <w:vAlign w:val="center"/>
            <w:hideMark/>
          </w:tcPr>
          <w:p w14:paraId="118AA65A" w14:textId="77777777" w:rsidR="00604D50" w:rsidRPr="002C3A49" w:rsidRDefault="00604D50" w:rsidP="00BF7A9D">
            <w:pPr>
              <w:jc w:val="left"/>
              <w:rPr>
                <w:rFonts w:ascii="Times New Roman" w:hAnsi="Times New Roman"/>
                <w:noProof/>
                <w:color w:val="000000"/>
                <w:sz w:val="22"/>
                <w:szCs w:val="22"/>
                <w:lang w:val="sr-Cyrl-RS" w:eastAsia="sr-Latn-RS"/>
              </w:rPr>
            </w:pPr>
          </w:p>
        </w:tc>
      </w:tr>
      <w:tr w:rsidR="00604D50" w:rsidRPr="002C3A49" w14:paraId="3D29076A" w14:textId="77777777" w:rsidTr="00917B0C">
        <w:trPr>
          <w:gridAfter w:val="1"/>
          <w:wAfter w:w="4" w:type="pct"/>
          <w:trHeight w:val="524"/>
        </w:trPr>
        <w:tc>
          <w:tcPr>
            <w:tcW w:w="475" w:type="pct"/>
            <w:vMerge w:val="restart"/>
            <w:tcBorders>
              <w:top w:val="nil"/>
              <w:left w:val="single" w:sz="8" w:space="0" w:color="auto"/>
              <w:right w:val="single" w:sz="8" w:space="0" w:color="auto"/>
            </w:tcBorders>
            <w:shd w:val="clear" w:color="auto" w:fill="auto"/>
            <w:vAlign w:val="center"/>
          </w:tcPr>
          <w:p w14:paraId="560C8E08"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3</w:t>
            </w:r>
          </w:p>
        </w:tc>
        <w:tc>
          <w:tcPr>
            <w:tcW w:w="1578" w:type="pct"/>
            <w:vMerge w:val="restart"/>
            <w:tcBorders>
              <w:top w:val="nil"/>
              <w:left w:val="single" w:sz="8" w:space="0" w:color="auto"/>
              <w:right w:val="single" w:sz="8" w:space="0" w:color="auto"/>
            </w:tcBorders>
            <w:shd w:val="clear" w:color="auto" w:fill="auto"/>
            <w:vAlign w:val="center"/>
          </w:tcPr>
          <w:p w14:paraId="3AB1A4FE"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културе</w:t>
            </w:r>
          </w:p>
        </w:tc>
        <w:tc>
          <w:tcPr>
            <w:tcW w:w="1936" w:type="pct"/>
            <w:tcBorders>
              <w:top w:val="nil"/>
              <w:left w:val="nil"/>
              <w:bottom w:val="single" w:sz="8" w:space="0" w:color="auto"/>
              <w:right w:val="single" w:sz="8" w:space="0" w:color="auto"/>
            </w:tcBorders>
            <w:shd w:val="clear" w:color="auto" w:fill="auto"/>
            <w:vAlign w:val="center"/>
          </w:tcPr>
          <w:p w14:paraId="4C13872E"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Закључак Владе Републике Србије, 05 Број: 69-12771/2016 од 29. децембра 2016. године о проглашењу Пројекта под називом Нови Сад 2021 - Европска престоница културе културним пројектом од националног значаја за Републику Србију.</w:t>
            </w:r>
          </w:p>
        </w:tc>
        <w:tc>
          <w:tcPr>
            <w:tcW w:w="1007" w:type="pct"/>
            <w:tcBorders>
              <w:top w:val="nil"/>
              <w:left w:val="nil"/>
              <w:bottom w:val="single" w:sz="8" w:space="0" w:color="auto"/>
              <w:right w:val="single" w:sz="8" w:space="0" w:color="auto"/>
            </w:tcBorders>
            <w:shd w:val="clear" w:color="auto" w:fill="auto"/>
            <w:noWrap/>
            <w:vAlign w:val="center"/>
          </w:tcPr>
          <w:p w14:paraId="2435C090"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23.600.000</w:t>
            </w:r>
          </w:p>
        </w:tc>
      </w:tr>
      <w:tr w:rsidR="00604D50" w:rsidRPr="002C3A49" w14:paraId="495D347B" w14:textId="77777777" w:rsidTr="00917B0C">
        <w:trPr>
          <w:gridAfter w:val="1"/>
          <w:wAfter w:w="4" w:type="pct"/>
          <w:trHeight w:val="677"/>
        </w:trPr>
        <w:tc>
          <w:tcPr>
            <w:tcW w:w="475" w:type="pct"/>
            <w:vMerge/>
            <w:tcBorders>
              <w:left w:val="single" w:sz="8" w:space="0" w:color="auto"/>
              <w:bottom w:val="single" w:sz="8" w:space="0" w:color="000000"/>
              <w:right w:val="single" w:sz="8" w:space="0" w:color="auto"/>
            </w:tcBorders>
            <w:shd w:val="clear" w:color="auto" w:fill="auto"/>
            <w:vAlign w:val="center"/>
          </w:tcPr>
          <w:p w14:paraId="6A0E42B3"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single" w:sz="8" w:space="0" w:color="auto"/>
              <w:bottom w:val="single" w:sz="8" w:space="0" w:color="000000"/>
              <w:right w:val="single" w:sz="8" w:space="0" w:color="auto"/>
            </w:tcBorders>
            <w:shd w:val="clear" w:color="auto" w:fill="auto"/>
            <w:vAlign w:val="center"/>
          </w:tcPr>
          <w:p w14:paraId="4021BB0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6910A18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обнови културно-историјског наслеђа и подстицању развоја Сремских Карловаца</w:t>
            </w:r>
          </w:p>
        </w:tc>
        <w:tc>
          <w:tcPr>
            <w:tcW w:w="1007" w:type="pct"/>
            <w:tcBorders>
              <w:top w:val="nil"/>
              <w:left w:val="nil"/>
              <w:bottom w:val="single" w:sz="8" w:space="0" w:color="auto"/>
              <w:right w:val="single" w:sz="8" w:space="0" w:color="auto"/>
            </w:tcBorders>
            <w:shd w:val="clear" w:color="auto" w:fill="auto"/>
            <w:noWrap/>
            <w:vAlign w:val="center"/>
          </w:tcPr>
          <w:p w14:paraId="3E11BBC4" w14:textId="77777777" w:rsidR="00604D50" w:rsidRPr="002C3A49" w:rsidRDefault="00604D50" w:rsidP="00BF7A9D">
            <w:pPr>
              <w:jc w:val="right"/>
              <w:rPr>
                <w:rFonts w:ascii="Times New Roman" w:hAnsi="Times New Roman"/>
                <w:noProof/>
                <w:color w:val="000000"/>
                <w:sz w:val="22"/>
                <w:szCs w:val="22"/>
                <w:lang w:val="sr-Cyrl-RS"/>
              </w:rPr>
            </w:pPr>
            <w:r w:rsidRPr="002C3A49">
              <w:rPr>
                <w:rFonts w:ascii="Times New Roman" w:hAnsi="Times New Roman"/>
                <w:noProof/>
                <w:color w:val="000000"/>
                <w:sz w:val="22"/>
                <w:szCs w:val="22"/>
                <w:lang w:val="sr-Cyrl-RS"/>
              </w:rPr>
              <w:t>50.000.000</w:t>
            </w:r>
          </w:p>
        </w:tc>
      </w:tr>
      <w:tr w:rsidR="00604D50" w:rsidRPr="002C3A49" w14:paraId="26CB7DA9" w14:textId="77777777" w:rsidTr="00917B0C">
        <w:trPr>
          <w:gridAfter w:val="1"/>
          <w:wAfter w:w="4" w:type="pct"/>
          <w:trHeight w:val="677"/>
        </w:trPr>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17B32A34"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4</w:t>
            </w:r>
          </w:p>
        </w:tc>
        <w:tc>
          <w:tcPr>
            <w:tcW w:w="1578" w:type="pct"/>
            <w:vMerge w:val="restart"/>
            <w:tcBorders>
              <w:top w:val="nil"/>
              <w:left w:val="single" w:sz="8" w:space="0" w:color="auto"/>
              <w:bottom w:val="single" w:sz="8" w:space="0" w:color="000000"/>
              <w:right w:val="single" w:sz="8" w:space="0" w:color="auto"/>
            </w:tcBorders>
            <w:shd w:val="clear" w:color="auto" w:fill="auto"/>
            <w:vAlign w:val="center"/>
            <w:hideMark/>
          </w:tcPr>
          <w:p w14:paraId="4F66C65C"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просвете</w:t>
            </w:r>
          </w:p>
        </w:tc>
        <w:tc>
          <w:tcPr>
            <w:tcW w:w="1936" w:type="pct"/>
            <w:tcBorders>
              <w:top w:val="nil"/>
              <w:left w:val="nil"/>
              <w:bottom w:val="single" w:sz="8" w:space="0" w:color="auto"/>
              <w:right w:val="single" w:sz="8" w:space="0" w:color="auto"/>
            </w:tcBorders>
            <w:shd w:val="clear" w:color="auto" w:fill="auto"/>
            <w:vAlign w:val="center"/>
            <w:hideMark/>
          </w:tcPr>
          <w:p w14:paraId="34D49D7A"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основама система образовања и васпитања (основно образовање-плате).</w:t>
            </w:r>
          </w:p>
        </w:tc>
        <w:tc>
          <w:tcPr>
            <w:tcW w:w="1007" w:type="pct"/>
            <w:tcBorders>
              <w:top w:val="nil"/>
              <w:left w:val="nil"/>
              <w:bottom w:val="single" w:sz="8" w:space="0" w:color="auto"/>
              <w:right w:val="single" w:sz="8" w:space="0" w:color="auto"/>
            </w:tcBorders>
            <w:shd w:val="clear" w:color="auto" w:fill="auto"/>
            <w:noWrap/>
            <w:vAlign w:val="center"/>
            <w:hideMark/>
          </w:tcPr>
          <w:p w14:paraId="5BAA13EE" w14:textId="77777777" w:rsidR="00604D50" w:rsidRPr="002C3A49" w:rsidRDefault="00604D50" w:rsidP="00BF7A9D">
            <w:pPr>
              <w:jc w:val="right"/>
              <w:rPr>
                <w:rFonts w:ascii="Times New Roman" w:hAnsi="Times New Roman"/>
                <w:noProof/>
                <w:color w:val="000000"/>
                <w:sz w:val="22"/>
                <w:szCs w:val="22"/>
                <w:lang w:val="sr-Cyrl-RS"/>
              </w:rPr>
            </w:pPr>
            <w:r w:rsidRPr="002C3A49">
              <w:rPr>
                <w:rFonts w:ascii="Times New Roman" w:hAnsi="Times New Roman"/>
                <w:noProof/>
                <w:color w:val="000000"/>
                <w:sz w:val="22"/>
                <w:szCs w:val="22"/>
                <w:lang w:val="sr-Cyrl-RS"/>
              </w:rPr>
              <w:t>28.407.350.000</w:t>
            </w:r>
          </w:p>
        </w:tc>
      </w:tr>
      <w:tr w:rsidR="00604D50" w:rsidRPr="002C3A49" w14:paraId="6FAEDF5D" w14:textId="77777777" w:rsidTr="00917B0C">
        <w:trPr>
          <w:gridAfter w:val="1"/>
          <w:wAfter w:w="4" w:type="pct"/>
          <w:trHeight w:val="960"/>
        </w:trPr>
        <w:tc>
          <w:tcPr>
            <w:tcW w:w="475" w:type="pct"/>
            <w:vMerge/>
            <w:tcBorders>
              <w:top w:val="nil"/>
              <w:left w:val="single" w:sz="8" w:space="0" w:color="auto"/>
              <w:bottom w:val="single" w:sz="8" w:space="0" w:color="000000"/>
              <w:right w:val="single" w:sz="8" w:space="0" w:color="auto"/>
            </w:tcBorders>
            <w:vAlign w:val="center"/>
            <w:hideMark/>
          </w:tcPr>
          <w:p w14:paraId="67A07AF5"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1299FC8C"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387A3DC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основама система образовања и васпитања (припремни предшколски програм).</w:t>
            </w:r>
          </w:p>
        </w:tc>
        <w:tc>
          <w:tcPr>
            <w:tcW w:w="1007" w:type="pct"/>
            <w:tcBorders>
              <w:top w:val="nil"/>
              <w:left w:val="nil"/>
              <w:bottom w:val="single" w:sz="8" w:space="0" w:color="auto"/>
              <w:right w:val="single" w:sz="8" w:space="0" w:color="auto"/>
            </w:tcBorders>
            <w:shd w:val="clear" w:color="auto" w:fill="auto"/>
            <w:noWrap/>
            <w:vAlign w:val="center"/>
            <w:hideMark/>
          </w:tcPr>
          <w:p w14:paraId="44A100F7"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794.016.000</w:t>
            </w:r>
          </w:p>
        </w:tc>
      </w:tr>
      <w:tr w:rsidR="00604D50" w:rsidRPr="002C3A49" w14:paraId="28613355" w14:textId="77777777" w:rsidTr="00917B0C">
        <w:trPr>
          <w:gridAfter w:val="1"/>
          <w:wAfter w:w="4" w:type="pct"/>
          <w:trHeight w:val="645"/>
        </w:trPr>
        <w:tc>
          <w:tcPr>
            <w:tcW w:w="475" w:type="pct"/>
            <w:vMerge/>
            <w:tcBorders>
              <w:top w:val="nil"/>
              <w:left w:val="single" w:sz="8" w:space="0" w:color="auto"/>
              <w:bottom w:val="single" w:sz="8" w:space="0" w:color="000000"/>
              <w:right w:val="single" w:sz="8" w:space="0" w:color="auto"/>
            </w:tcBorders>
            <w:vAlign w:val="center"/>
            <w:hideMark/>
          </w:tcPr>
          <w:p w14:paraId="22BBF89C"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203D3C09"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6834E40F"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високом образовању (високо образовање).</w:t>
            </w:r>
          </w:p>
        </w:tc>
        <w:tc>
          <w:tcPr>
            <w:tcW w:w="1007" w:type="pct"/>
            <w:tcBorders>
              <w:top w:val="nil"/>
              <w:left w:val="nil"/>
              <w:bottom w:val="single" w:sz="8" w:space="0" w:color="auto"/>
              <w:right w:val="single" w:sz="8" w:space="0" w:color="auto"/>
            </w:tcBorders>
            <w:shd w:val="clear" w:color="auto" w:fill="auto"/>
            <w:noWrap/>
            <w:vAlign w:val="center"/>
            <w:hideMark/>
          </w:tcPr>
          <w:p w14:paraId="501DF588" w14:textId="77777777" w:rsidR="00604D50" w:rsidRPr="002C3A49" w:rsidRDefault="00604D50" w:rsidP="00BF7A9D">
            <w:pPr>
              <w:jc w:val="right"/>
              <w:rPr>
                <w:rFonts w:ascii="Times New Roman" w:hAnsi="Times New Roman"/>
                <w:noProof/>
                <w:color w:val="000000"/>
                <w:sz w:val="22"/>
                <w:szCs w:val="22"/>
                <w:lang w:val="sr-Cyrl-RS"/>
              </w:rPr>
            </w:pPr>
            <w:r w:rsidRPr="002C3A49">
              <w:rPr>
                <w:rFonts w:ascii="Times New Roman" w:hAnsi="Times New Roman"/>
                <w:noProof/>
                <w:color w:val="000000"/>
                <w:sz w:val="22"/>
                <w:szCs w:val="22"/>
                <w:lang w:val="sr-Cyrl-RS"/>
              </w:rPr>
              <w:t>10.190.378.000</w:t>
            </w:r>
          </w:p>
        </w:tc>
      </w:tr>
      <w:tr w:rsidR="00604D50" w:rsidRPr="002C3A49" w14:paraId="71E7E576" w14:textId="77777777" w:rsidTr="00917B0C">
        <w:trPr>
          <w:gridAfter w:val="1"/>
          <w:wAfter w:w="4" w:type="pct"/>
          <w:trHeight w:val="281"/>
        </w:trPr>
        <w:tc>
          <w:tcPr>
            <w:tcW w:w="475" w:type="pct"/>
            <w:vMerge/>
            <w:tcBorders>
              <w:top w:val="nil"/>
              <w:left w:val="single" w:sz="8" w:space="0" w:color="auto"/>
              <w:bottom w:val="single" w:sz="8" w:space="0" w:color="000000"/>
              <w:right w:val="single" w:sz="8" w:space="0" w:color="auto"/>
            </w:tcBorders>
            <w:vAlign w:val="center"/>
            <w:hideMark/>
          </w:tcPr>
          <w:p w14:paraId="33FAFDF3"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3EED245A"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2A9858B4"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Отпремнине за одлазак у пензију запослених у основним школама.</w:t>
            </w:r>
          </w:p>
        </w:tc>
        <w:tc>
          <w:tcPr>
            <w:tcW w:w="1007" w:type="pct"/>
            <w:tcBorders>
              <w:top w:val="nil"/>
              <w:left w:val="nil"/>
              <w:bottom w:val="single" w:sz="8" w:space="0" w:color="auto"/>
              <w:right w:val="single" w:sz="8" w:space="0" w:color="auto"/>
            </w:tcBorders>
            <w:shd w:val="clear" w:color="auto" w:fill="auto"/>
            <w:noWrap/>
            <w:vAlign w:val="center"/>
            <w:hideMark/>
          </w:tcPr>
          <w:p w14:paraId="318FBA39"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158.000.000</w:t>
            </w:r>
          </w:p>
        </w:tc>
      </w:tr>
      <w:tr w:rsidR="00604D50" w:rsidRPr="002C3A49" w14:paraId="54DCCE17" w14:textId="77777777" w:rsidTr="00917B0C">
        <w:trPr>
          <w:gridAfter w:val="1"/>
          <w:wAfter w:w="4" w:type="pct"/>
          <w:trHeight w:val="330"/>
        </w:trPr>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685AC804"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5</w:t>
            </w:r>
          </w:p>
        </w:tc>
        <w:tc>
          <w:tcPr>
            <w:tcW w:w="1578" w:type="pct"/>
            <w:vMerge w:val="restart"/>
            <w:tcBorders>
              <w:top w:val="nil"/>
              <w:left w:val="single" w:sz="8" w:space="0" w:color="auto"/>
              <w:bottom w:val="single" w:sz="8" w:space="0" w:color="000000"/>
              <w:right w:val="single" w:sz="8" w:space="0" w:color="auto"/>
            </w:tcBorders>
            <w:shd w:val="clear" w:color="auto" w:fill="auto"/>
            <w:vAlign w:val="center"/>
            <w:hideMark/>
          </w:tcPr>
          <w:p w14:paraId="7DB82DDF"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информисања и телекомуникација</w:t>
            </w:r>
          </w:p>
        </w:tc>
        <w:tc>
          <w:tcPr>
            <w:tcW w:w="1936" w:type="pct"/>
            <w:tcBorders>
              <w:top w:val="nil"/>
              <w:left w:val="nil"/>
              <w:bottom w:val="single" w:sz="8" w:space="0" w:color="auto"/>
              <w:right w:val="single" w:sz="8" w:space="0" w:color="auto"/>
            </w:tcBorders>
            <w:shd w:val="clear" w:color="auto" w:fill="auto"/>
            <w:vAlign w:val="center"/>
            <w:hideMark/>
          </w:tcPr>
          <w:p w14:paraId="1DC4BDD9"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 xml:space="preserve">Закон о министарствима, Закон о јавном информисању и медијима, Закон о јавним медијским сервисима. </w:t>
            </w:r>
          </w:p>
        </w:tc>
        <w:tc>
          <w:tcPr>
            <w:tcW w:w="1007" w:type="pct"/>
            <w:tcBorders>
              <w:top w:val="nil"/>
              <w:left w:val="nil"/>
              <w:bottom w:val="single" w:sz="8" w:space="0" w:color="auto"/>
              <w:right w:val="single" w:sz="8" w:space="0" w:color="auto"/>
            </w:tcBorders>
            <w:shd w:val="clear" w:color="auto" w:fill="auto"/>
            <w:noWrap/>
            <w:vAlign w:val="center"/>
            <w:hideMark/>
          </w:tcPr>
          <w:p w14:paraId="1FB3EECC"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900.000.000</w:t>
            </w:r>
          </w:p>
        </w:tc>
      </w:tr>
      <w:tr w:rsidR="00604D50" w:rsidRPr="002C3A49" w14:paraId="781654C2" w14:textId="77777777" w:rsidTr="00917B0C">
        <w:trPr>
          <w:gridAfter w:val="1"/>
          <w:wAfter w:w="4" w:type="pct"/>
          <w:trHeight w:val="58"/>
        </w:trPr>
        <w:tc>
          <w:tcPr>
            <w:tcW w:w="475" w:type="pct"/>
            <w:vMerge/>
            <w:tcBorders>
              <w:top w:val="nil"/>
              <w:left w:val="single" w:sz="8" w:space="0" w:color="auto"/>
              <w:bottom w:val="single" w:sz="8" w:space="0" w:color="000000"/>
              <w:right w:val="single" w:sz="8" w:space="0" w:color="auto"/>
            </w:tcBorders>
            <w:vAlign w:val="center"/>
            <w:hideMark/>
          </w:tcPr>
          <w:p w14:paraId="35DB3B39"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367BBEA4"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444D779D"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електронским комуникацијама.</w:t>
            </w:r>
          </w:p>
        </w:tc>
        <w:tc>
          <w:tcPr>
            <w:tcW w:w="1007" w:type="pct"/>
            <w:tcBorders>
              <w:top w:val="nil"/>
              <w:left w:val="nil"/>
              <w:bottom w:val="single" w:sz="8" w:space="0" w:color="auto"/>
              <w:right w:val="single" w:sz="8" w:space="0" w:color="auto"/>
            </w:tcBorders>
            <w:shd w:val="clear" w:color="auto" w:fill="auto"/>
            <w:noWrap/>
            <w:vAlign w:val="center"/>
            <w:hideMark/>
          </w:tcPr>
          <w:p w14:paraId="6AF29A4C"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1.500.000</w:t>
            </w:r>
          </w:p>
        </w:tc>
      </w:tr>
      <w:tr w:rsidR="00604D50" w:rsidRPr="002C3A49" w14:paraId="28C3A573" w14:textId="77777777" w:rsidTr="00917B0C">
        <w:trPr>
          <w:gridAfter w:val="1"/>
          <w:wAfter w:w="4" w:type="pct"/>
          <w:trHeight w:val="722"/>
        </w:trPr>
        <w:tc>
          <w:tcPr>
            <w:tcW w:w="475" w:type="pct"/>
            <w:tcBorders>
              <w:top w:val="nil"/>
              <w:left w:val="single" w:sz="8" w:space="0" w:color="auto"/>
              <w:bottom w:val="single" w:sz="8" w:space="0" w:color="auto"/>
              <w:right w:val="single" w:sz="8" w:space="0" w:color="auto"/>
            </w:tcBorders>
            <w:shd w:val="clear" w:color="auto" w:fill="auto"/>
            <w:vAlign w:val="center"/>
          </w:tcPr>
          <w:p w14:paraId="0BBEA020"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6</w:t>
            </w:r>
          </w:p>
        </w:tc>
        <w:tc>
          <w:tcPr>
            <w:tcW w:w="1578" w:type="pct"/>
            <w:tcBorders>
              <w:top w:val="nil"/>
              <w:left w:val="nil"/>
              <w:bottom w:val="single" w:sz="8" w:space="0" w:color="auto"/>
              <w:right w:val="single" w:sz="8" w:space="0" w:color="auto"/>
            </w:tcBorders>
            <w:shd w:val="clear" w:color="auto" w:fill="auto"/>
            <w:noWrap/>
            <w:vAlign w:val="center"/>
          </w:tcPr>
          <w:p w14:paraId="2B1192AA"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унутрашње и спољне трговине</w:t>
            </w:r>
          </w:p>
        </w:tc>
        <w:tc>
          <w:tcPr>
            <w:tcW w:w="1936" w:type="pct"/>
            <w:tcBorders>
              <w:top w:val="nil"/>
              <w:left w:val="nil"/>
              <w:bottom w:val="single" w:sz="8" w:space="0" w:color="auto"/>
              <w:right w:val="single" w:sz="8" w:space="0" w:color="auto"/>
            </w:tcBorders>
            <w:shd w:val="clear" w:color="auto" w:fill="auto"/>
            <w:vAlign w:val="center"/>
          </w:tcPr>
          <w:p w14:paraId="5C344F95"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утврђивању надлежности АПВ.</w:t>
            </w:r>
          </w:p>
        </w:tc>
        <w:tc>
          <w:tcPr>
            <w:tcW w:w="1007" w:type="pct"/>
            <w:tcBorders>
              <w:top w:val="nil"/>
              <w:left w:val="nil"/>
              <w:bottom w:val="single" w:sz="8" w:space="0" w:color="auto"/>
              <w:right w:val="single" w:sz="8" w:space="0" w:color="auto"/>
            </w:tcBorders>
            <w:shd w:val="clear" w:color="auto" w:fill="auto"/>
            <w:noWrap/>
            <w:vAlign w:val="center"/>
          </w:tcPr>
          <w:p w14:paraId="5DDE0070"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2.700.000</w:t>
            </w:r>
          </w:p>
        </w:tc>
      </w:tr>
      <w:tr w:rsidR="00604D50" w:rsidRPr="002C3A49" w14:paraId="0C2DA136" w14:textId="77777777" w:rsidTr="00917B0C">
        <w:trPr>
          <w:gridAfter w:val="1"/>
          <w:wAfter w:w="4" w:type="pct"/>
          <w:trHeight w:val="578"/>
        </w:trPr>
        <w:tc>
          <w:tcPr>
            <w:tcW w:w="475" w:type="pct"/>
            <w:tcBorders>
              <w:top w:val="nil"/>
              <w:left w:val="single" w:sz="8" w:space="0" w:color="auto"/>
              <w:bottom w:val="single" w:sz="8" w:space="0" w:color="auto"/>
              <w:right w:val="single" w:sz="8" w:space="0" w:color="auto"/>
            </w:tcBorders>
            <w:shd w:val="clear" w:color="auto" w:fill="auto"/>
            <w:vAlign w:val="center"/>
            <w:hideMark/>
          </w:tcPr>
          <w:p w14:paraId="74AF01AB"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7</w:t>
            </w:r>
          </w:p>
        </w:tc>
        <w:tc>
          <w:tcPr>
            <w:tcW w:w="1578" w:type="pct"/>
            <w:tcBorders>
              <w:top w:val="nil"/>
              <w:left w:val="nil"/>
              <w:bottom w:val="single" w:sz="8" w:space="0" w:color="auto"/>
              <w:right w:val="single" w:sz="8" w:space="0" w:color="auto"/>
            </w:tcBorders>
            <w:shd w:val="clear" w:color="auto" w:fill="auto"/>
            <w:noWrap/>
            <w:vAlign w:val="center"/>
            <w:hideMark/>
          </w:tcPr>
          <w:p w14:paraId="78DFF59A"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Комесаријат за избеглице и миграције</w:t>
            </w:r>
          </w:p>
        </w:tc>
        <w:tc>
          <w:tcPr>
            <w:tcW w:w="1936" w:type="pct"/>
            <w:tcBorders>
              <w:top w:val="nil"/>
              <w:left w:val="nil"/>
              <w:bottom w:val="single" w:sz="8" w:space="0" w:color="auto"/>
              <w:right w:val="single" w:sz="8" w:space="0" w:color="auto"/>
            </w:tcBorders>
            <w:shd w:val="clear" w:color="auto" w:fill="auto"/>
            <w:vAlign w:val="center"/>
            <w:hideMark/>
          </w:tcPr>
          <w:p w14:paraId="42DE1825"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избеглицама, Закон о управљању миграцијама, Национална стратегија за решавање питања избеглица и ИРЛ.</w:t>
            </w:r>
          </w:p>
        </w:tc>
        <w:tc>
          <w:tcPr>
            <w:tcW w:w="1007" w:type="pct"/>
            <w:tcBorders>
              <w:top w:val="nil"/>
              <w:left w:val="nil"/>
              <w:bottom w:val="single" w:sz="8" w:space="0" w:color="auto"/>
              <w:right w:val="single" w:sz="8" w:space="0" w:color="auto"/>
            </w:tcBorders>
            <w:shd w:val="clear" w:color="auto" w:fill="auto"/>
            <w:noWrap/>
            <w:vAlign w:val="center"/>
            <w:hideMark/>
          </w:tcPr>
          <w:p w14:paraId="5D511F61"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170.000.000</w:t>
            </w:r>
          </w:p>
        </w:tc>
      </w:tr>
      <w:tr w:rsidR="00604D50" w:rsidRPr="002C3A49" w14:paraId="3D36689A" w14:textId="77777777" w:rsidTr="00917B0C">
        <w:trPr>
          <w:gridAfter w:val="1"/>
          <w:wAfter w:w="4" w:type="pct"/>
          <w:trHeight w:val="713"/>
        </w:trPr>
        <w:tc>
          <w:tcPr>
            <w:tcW w:w="475" w:type="pct"/>
            <w:tcBorders>
              <w:top w:val="nil"/>
              <w:left w:val="single" w:sz="8" w:space="0" w:color="auto"/>
              <w:bottom w:val="single" w:sz="8" w:space="0" w:color="auto"/>
              <w:right w:val="single" w:sz="8" w:space="0" w:color="auto"/>
            </w:tcBorders>
            <w:shd w:val="clear" w:color="auto" w:fill="auto"/>
            <w:vAlign w:val="center"/>
          </w:tcPr>
          <w:p w14:paraId="4D8E4758"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8</w:t>
            </w:r>
          </w:p>
        </w:tc>
        <w:tc>
          <w:tcPr>
            <w:tcW w:w="1578" w:type="pct"/>
            <w:tcBorders>
              <w:top w:val="nil"/>
              <w:left w:val="nil"/>
              <w:bottom w:val="single" w:sz="8" w:space="0" w:color="auto"/>
              <w:right w:val="single" w:sz="8" w:space="0" w:color="auto"/>
            </w:tcBorders>
            <w:shd w:val="clear" w:color="auto" w:fill="auto"/>
            <w:vAlign w:val="center"/>
          </w:tcPr>
          <w:p w14:paraId="6653D3AF"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за бригу о селу</w:t>
            </w:r>
          </w:p>
        </w:tc>
        <w:tc>
          <w:tcPr>
            <w:tcW w:w="1936" w:type="pct"/>
            <w:tcBorders>
              <w:top w:val="nil"/>
              <w:left w:val="nil"/>
              <w:bottom w:val="single" w:sz="8" w:space="0" w:color="auto"/>
              <w:right w:val="single" w:sz="8" w:space="0" w:color="auto"/>
            </w:tcBorders>
            <w:shd w:val="clear" w:color="auto" w:fill="auto"/>
            <w:vAlign w:val="center"/>
          </w:tcPr>
          <w:p w14:paraId="38ECBCD0"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министарствима.</w:t>
            </w:r>
          </w:p>
        </w:tc>
        <w:tc>
          <w:tcPr>
            <w:tcW w:w="1007" w:type="pct"/>
            <w:tcBorders>
              <w:top w:val="nil"/>
              <w:left w:val="nil"/>
              <w:bottom w:val="single" w:sz="8" w:space="0" w:color="auto"/>
              <w:right w:val="single" w:sz="8" w:space="0" w:color="auto"/>
            </w:tcBorders>
            <w:shd w:val="clear" w:color="auto" w:fill="auto"/>
            <w:noWrap/>
            <w:vAlign w:val="center"/>
          </w:tcPr>
          <w:p w14:paraId="6D14420A"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548.500.000</w:t>
            </w:r>
          </w:p>
        </w:tc>
      </w:tr>
      <w:tr w:rsidR="00604D50" w:rsidRPr="002C3A49" w14:paraId="2A78A303" w14:textId="77777777" w:rsidTr="00917B0C">
        <w:trPr>
          <w:gridAfter w:val="1"/>
          <w:wAfter w:w="4" w:type="pct"/>
          <w:trHeight w:val="794"/>
        </w:trPr>
        <w:tc>
          <w:tcPr>
            <w:tcW w:w="475" w:type="pct"/>
            <w:tcBorders>
              <w:top w:val="nil"/>
              <w:left w:val="single" w:sz="8" w:space="0" w:color="auto"/>
              <w:bottom w:val="single" w:sz="8" w:space="0" w:color="auto"/>
              <w:right w:val="single" w:sz="8" w:space="0" w:color="auto"/>
            </w:tcBorders>
            <w:shd w:val="clear" w:color="auto" w:fill="auto"/>
            <w:vAlign w:val="center"/>
            <w:hideMark/>
          </w:tcPr>
          <w:p w14:paraId="6B57B63B"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lastRenderedPageBreak/>
              <w:t>9</w:t>
            </w:r>
          </w:p>
        </w:tc>
        <w:tc>
          <w:tcPr>
            <w:tcW w:w="1578" w:type="pct"/>
            <w:tcBorders>
              <w:top w:val="nil"/>
              <w:left w:val="nil"/>
              <w:bottom w:val="single" w:sz="8" w:space="0" w:color="auto"/>
              <w:right w:val="single" w:sz="8" w:space="0" w:color="auto"/>
            </w:tcBorders>
            <w:shd w:val="clear" w:color="auto" w:fill="auto"/>
            <w:vAlign w:val="center"/>
            <w:hideMark/>
          </w:tcPr>
          <w:p w14:paraId="1EF6F0EB"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за рад, запошљавање, борачка и социјална питања</w:t>
            </w:r>
          </w:p>
        </w:tc>
        <w:tc>
          <w:tcPr>
            <w:tcW w:w="1936" w:type="pct"/>
            <w:tcBorders>
              <w:top w:val="nil"/>
              <w:left w:val="nil"/>
              <w:bottom w:val="single" w:sz="8" w:space="0" w:color="auto"/>
              <w:right w:val="single" w:sz="8" w:space="0" w:color="auto"/>
            </w:tcBorders>
            <w:shd w:val="clear" w:color="auto" w:fill="auto"/>
            <w:vAlign w:val="center"/>
            <w:hideMark/>
          </w:tcPr>
          <w:p w14:paraId="0285280A"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социјалној заштити.</w:t>
            </w:r>
          </w:p>
        </w:tc>
        <w:tc>
          <w:tcPr>
            <w:tcW w:w="1007" w:type="pct"/>
            <w:tcBorders>
              <w:top w:val="nil"/>
              <w:left w:val="nil"/>
              <w:bottom w:val="single" w:sz="8" w:space="0" w:color="auto"/>
              <w:right w:val="single" w:sz="8" w:space="0" w:color="auto"/>
            </w:tcBorders>
            <w:shd w:val="clear" w:color="auto" w:fill="auto"/>
            <w:noWrap/>
            <w:vAlign w:val="center"/>
            <w:hideMark/>
          </w:tcPr>
          <w:p w14:paraId="495DB1BE"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162.287.000</w:t>
            </w:r>
          </w:p>
        </w:tc>
      </w:tr>
      <w:tr w:rsidR="00604D50" w:rsidRPr="002C3A49" w14:paraId="39DD349B"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vAlign w:val="center"/>
            <w:hideMark/>
          </w:tcPr>
          <w:p w14:paraId="71128487"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10</w:t>
            </w:r>
          </w:p>
        </w:tc>
        <w:tc>
          <w:tcPr>
            <w:tcW w:w="1578" w:type="pct"/>
            <w:tcBorders>
              <w:top w:val="nil"/>
              <w:left w:val="nil"/>
              <w:bottom w:val="single" w:sz="8" w:space="0" w:color="auto"/>
              <w:right w:val="single" w:sz="8" w:space="0" w:color="auto"/>
            </w:tcBorders>
            <w:shd w:val="clear" w:color="auto" w:fill="auto"/>
            <w:vAlign w:val="center"/>
            <w:hideMark/>
          </w:tcPr>
          <w:p w14:paraId="6E731218"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пољопривреде, шумарства и водопривреде</w:t>
            </w:r>
          </w:p>
        </w:tc>
        <w:tc>
          <w:tcPr>
            <w:tcW w:w="1936" w:type="pct"/>
            <w:tcBorders>
              <w:top w:val="nil"/>
              <w:left w:val="nil"/>
              <w:bottom w:val="single" w:sz="8" w:space="0" w:color="auto"/>
              <w:right w:val="single" w:sz="8" w:space="0" w:color="auto"/>
            </w:tcBorders>
            <w:shd w:val="clear" w:color="auto" w:fill="auto"/>
            <w:vAlign w:val="center"/>
            <w:hideMark/>
          </w:tcPr>
          <w:p w14:paraId="4F8A2804"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утврђивању надлежности АП Војводина.</w:t>
            </w:r>
          </w:p>
        </w:tc>
        <w:tc>
          <w:tcPr>
            <w:tcW w:w="1007" w:type="pct"/>
            <w:tcBorders>
              <w:top w:val="nil"/>
              <w:left w:val="nil"/>
              <w:bottom w:val="single" w:sz="4" w:space="0" w:color="auto"/>
              <w:right w:val="single" w:sz="8" w:space="0" w:color="auto"/>
            </w:tcBorders>
            <w:shd w:val="clear" w:color="auto" w:fill="auto"/>
            <w:noWrap/>
            <w:vAlign w:val="center"/>
            <w:hideMark/>
          </w:tcPr>
          <w:p w14:paraId="022E00B1"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30.000.000</w:t>
            </w:r>
          </w:p>
        </w:tc>
      </w:tr>
      <w:tr w:rsidR="00604D50" w:rsidRPr="002C3A49" w14:paraId="111525D5"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763801E3"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I</w:t>
            </w:r>
          </w:p>
        </w:tc>
        <w:tc>
          <w:tcPr>
            <w:tcW w:w="1578" w:type="pct"/>
            <w:tcBorders>
              <w:top w:val="nil"/>
              <w:left w:val="nil"/>
              <w:bottom w:val="single" w:sz="8" w:space="0" w:color="auto"/>
              <w:right w:val="single" w:sz="8" w:space="0" w:color="auto"/>
            </w:tcBorders>
            <w:shd w:val="clear" w:color="auto" w:fill="auto"/>
            <w:noWrap/>
            <w:vAlign w:val="center"/>
            <w:hideMark/>
          </w:tcPr>
          <w:p w14:paraId="5DAD61AA"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СВЕГА (од 1 до 10)</w:t>
            </w:r>
          </w:p>
        </w:tc>
        <w:tc>
          <w:tcPr>
            <w:tcW w:w="1936" w:type="pct"/>
            <w:tcBorders>
              <w:top w:val="nil"/>
              <w:left w:val="nil"/>
              <w:bottom w:val="single" w:sz="8" w:space="0" w:color="auto"/>
              <w:right w:val="single" w:sz="4" w:space="0" w:color="auto"/>
            </w:tcBorders>
            <w:shd w:val="clear" w:color="auto" w:fill="auto"/>
            <w:vAlign w:val="center"/>
            <w:hideMark/>
          </w:tcPr>
          <w:p w14:paraId="5F88AEDE"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 </w:t>
            </w:r>
          </w:p>
        </w:tc>
        <w:tc>
          <w:tcPr>
            <w:tcW w:w="100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9A95B02" w14:textId="77777777" w:rsidR="00604D50" w:rsidRPr="002C3A49" w:rsidRDefault="00604D50" w:rsidP="00BF7A9D">
            <w:pPr>
              <w:jc w:val="right"/>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49.158.884.738</w:t>
            </w:r>
          </w:p>
        </w:tc>
      </w:tr>
      <w:tr w:rsidR="00604D50" w:rsidRPr="002C3A49" w14:paraId="3E73CBAF" w14:textId="77777777" w:rsidTr="00917B0C">
        <w:trPr>
          <w:trHeight w:val="333"/>
        </w:trPr>
        <w:tc>
          <w:tcPr>
            <w:tcW w:w="5000" w:type="pct"/>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14:paraId="73592881" w14:textId="77777777" w:rsidR="00604D50" w:rsidRPr="002C3A49" w:rsidRDefault="00604D50" w:rsidP="00BF7A9D">
            <w:pP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СРЕДСТВА БУЏЕТА РС КОЈА СЕ УСМЕРАВАЈУ НА ТЕРИТОРИЈУ АПВ</w:t>
            </w:r>
          </w:p>
        </w:tc>
      </w:tr>
      <w:tr w:rsidR="00604D50" w:rsidRPr="002C3A49" w14:paraId="1E07229A" w14:textId="77777777" w:rsidTr="00917B0C">
        <w:trPr>
          <w:gridAfter w:val="1"/>
          <w:wAfter w:w="4" w:type="pct"/>
          <w:trHeight w:val="156"/>
        </w:trPr>
        <w:tc>
          <w:tcPr>
            <w:tcW w:w="475" w:type="pct"/>
            <w:vMerge w:val="restart"/>
            <w:tcBorders>
              <w:top w:val="single" w:sz="4" w:space="0" w:color="auto"/>
              <w:left w:val="single" w:sz="8" w:space="0" w:color="auto"/>
              <w:right w:val="single" w:sz="8" w:space="0" w:color="auto"/>
            </w:tcBorders>
            <w:shd w:val="clear" w:color="auto" w:fill="auto"/>
            <w:noWrap/>
            <w:vAlign w:val="center"/>
            <w:hideMark/>
          </w:tcPr>
          <w:p w14:paraId="7B59C4EC"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11</w:t>
            </w:r>
          </w:p>
        </w:tc>
        <w:tc>
          <w:tcPr>
            <w:tcW w:w="1578" w:type="pct"/>
            <w:vMerge w:val="restart"/>
            <w:tcBorders>
              <w:top w:val="single" w:sz="4" w:space="0" w:color="auto"/>
              <w:left w:val="single" w:sz="8" w:space="0" w:color="auto"/>
              <w:right w:val="single" w:sz="8" w:space="0" w:color="auto"/>
            </w:tcBorders>
            <w:shd w:val="clear" w:color="auto" w:fill="auto"/>
            <w:vAlign w:val="center"/>
            <w:hideMark/>
          </w:tcPr>
          <w:p w14:paraId="3DE49575"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грађевинарства, саобраћаја и инфраструктуре</w:t>
            </w:r>
          </w:p>
        </w:tc>
        <w:tc>
          <w:tcPr>
            <w:tcW w:w="1936" w:type="pct"/>
            <w:tcBorders>
              <w:top w:val="single" w:sz="4" w:space="0" w:color="auto"/>
              <w:left w:val="nil"/>
              <w:bottom w:val="single" w:sz="8" w:space="0" w:color="auto"/>
              <w:right w:val="single" w:sz="8" w:space="0" w:color="auto"/>
            </w:tcBorders>
            <w:shd w:val="clear" w:color="auto" w:fill="auto"/>
            <w:vAlign w:val="center"/>
            <w:hideMark/>
          </w:tcPr>
          <w:p w14:paraId="05468FEF"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Брза саобраћајница Iб реда Нови Сад-Рума.</w:t>
            </w:r>
          </w:p>
        </w:tc>
        <w:tc>
          <w:tcPr>
            <w:tcW w:w="1007" w:type="pct"/>
            <w:tcBorders>
              <w:top w:val="single" w:sz="4" w:space="0" w:color="auto"/>
              <w:left w:val="nil"/>
              <w:bottom w:val="single" w:sz="8" w:space="0" w:color="auto"/>
              <w:right w:val="single" w:sz="8" w:space="0" w:color="auto"/>
            </w:tcBorders>
            <w:shd w:val="clear" w:color="auto" w:fill="auto"/>
            <w:vAlign w:val="center"/>
            <w:hideMark/>
          </w:tcPr>
          <w:p w14:paraId="7F0C82E9"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11.200.000.000</w:t>
            </w:r>
          </w:p>
        </w:tc>
      </w:tr>
      <w:tr w:rsidR="00604D50" w:rsidRPr="002C3A49" w14:paraId="182E4DF3" w14:textId="77777777" w:rsidTr="00917B0C">
        <w:trPr>
          <w:gridAfter w:val="1"/>
          <w:wAfter w:w="4" w:type="pct"/>
          <w:trHeight w:val="58"/>
        </w:trPr>
        <w:tc>
          <w:tcPr>
            <w:tcW w:w="475" w:type="pct"/>
            <w:vMerge/>
            <w:tcBorders>
              <w:left w:val="single" w:sz="8" w:space="0" w:color="auto"/>
              <w:right w:val="single" w:sz="8" w:space="0" w:color="auto"/>
            </w:tcBorders>
            <w:vAlign w:val="center"/>
            <w:hideMark/>
          </w:tcPr>
          <w:p w14:paraId="12C72E7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7E4E276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174A7FA6"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Пројекат мађарско - српске железнице.</w:t>
            </w:r>
          </w:p>
        </w:tc>
        <w:tc>
          <w:tcPr>
            <w:tcW w:w="1007" w:type="pct"/>
            <w:tcBorders>
              <w:top w:val="nil"/>
              <w:left w:val="nil"/>
              <w:bottom w:val="single" w:sz="8" w:space="0" w:color="auto"/>
              <w:right w:val="single" w:sz="8" w:space="0" w:color="auto"/>
            </w:tcBorders>
            <w:shd w:val="clear" w:color="auto" w:fill="auto"/>
            <w:vAlign w:val="center"/>
            <w:hideMark/>
          </w:tcPr>
          <w:p w14:paraId="200FC611"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38.063.255.000</w:t>
            </w:r>
          </w:p>
        </w:tc>
      </w:tr>
      <w:tr w:rsidR="00604D50" w:rsidRPr="002C3A49" w14:paraId="7C4F8148" w14:textId="77777777" w:rsidTr="00917B0C">
        <w:trPr>
          <w:gridAfter w:val="1"/>
          <w:wAfter w:w="4" w:type="pct"/>
          <w:trHeight w:val="263"/>
        </w:trPr>
        <w:tc>
          <w:tcPr>
            <w:tcW w:w="475" w:type="pct"/>
            <w:vMerge/>
            <w:tcBorders>
              <w:left w:val="single" w:sz="8" w:space="0" w:color="auto"/>
              <w:right w:val="single" w:sz="8" w:space="0" w:color="auto"/>
            </w:tcBorders>
            <w:vAlign w:val="center"/>
            <w:hideMark/>
          </w:tcPr>
          <w:p w14:paraId="4371199A"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64EFF6DE"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64DE9F4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Извођење дела радова на изградњи аутопута Е-75, деоница: ГП Келебија -петља Суботица Југ.</w:t>
            </w:r>
          </w:p>
        </w:tc>
        <w:tc>
          <w:tcPr>
            <w:tcW w:w="1007" w:type="pct"/>
            <w:tcBorders>
              <w:top w:val="nil"/>
              <w:left w:val="nil"/>
              <w:bottom w:val="single" w:sz="8" w:space="0" w:color="auto"/>
              <w:right w:val="single" w:sz="8" w:space="0" w:color="auto"/>
            </w:tcBorders>
            <w:shd w:val="clear" w:color="auto" w:fill="auto"/>
            <w:vAlign w:val="center"/>
            <w:hideMark/>
          </w:tcPr>
          <w:p w14:paraId="4B905D13"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156.000.000</w:t>
            </w:r>
          </w:p>
        </w:tc>
      </w:tr>
      <w:tr w:rsidR="00604D50" w:rsidRPr="002C3A49" w14:paraId="188462FB" w14:textId="77777777" w:rsidTr="00917B0C">
        <w:trPr>
          <w:gridAfter w:val="1"/>
          <w:wAfter w:w="4" w:type="pct"/>
          <w:trHeight w:val="58"/>
        </w:trPr>
        <w:tc>
          <w:tcPr>
            <w:tcW w:w="475" w:type="pct"/>
            <w:vMerge/>
            <w:tcBorders>
              <w:left w:val="single" w:sz="8" w:space="0" w:color="auto"/>
              <w:right w:val="single" w:sz="8" w:space="0" w:color="auto"/>
            </w:tcBorders>
            <w:vAlign w:val="center"/>
            <w:hideMark/>
          </w:tcPr>
          <w:p w14:paraId="111FB021"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07B496F7"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3610455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постројења за пречишћавање воде за пиће у Кикинди.</w:t>
            </w:r>
          </w:p>
        </w:tc>
        <w:tc>
          <w:tcPr>
            <w:tcW w:w="1007" w:type="pct"/>
            <w:tcBorders>
              <w:top w:val="nil"/>
              <w:left w:val="nil"/>
              <w:bottom w:val="single" w:sz="8" w:space="0" w:color="auto"/>
              <w:right w:val="single" w:sz="8" w:space="0" w:color="auto"/>
            </w:tcBorders>
            <w:shd w:val="clear" w:color="auto" w:fill="auto"/>
            <w:vAlign w:val="center"/>
            <w:hideMark/>
          </w:tcPr>
          <w:p w14:paraId="2940081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180.000.000</w:t>
            </w:r>
          </w:p>
        </w:tc>
      </w:tr>
      <w:tr w:rsidR="00604D50" w:rsidRPr="002C3A49" w14:paraId="6B5A2038" w14:textId="77777777" w:rsidTr="00917B0C">
        <w:trPr>
          <w:gridAfter w:val="1"/>
          <w:wAfter w:w="4" w:type="pct"/>
          <w:trHeight w:val="58"/>
        </w:trPr>
        <w:tc>
          <w:tcPr>
            <w:tcW w:w="475" w:type="pct"/>
            <w:vMerge/>
            <w:tcBorders>
              <w:left w:val="single" w:sz="8" w:space="0" w:color="auto"/>
              <w:right w:val="single" w:sz="8" w:space="0" w:color="auto"/>
            </w:tcBorders>
            <w:vAlign w:val="center"/>
            <w:hideMark/>
          </w:tcPr>
          <w:p w14:paraId="29D6093B"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132CF24E"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3E5853F5"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Проширење капацитета Луке Сремска Митровица</w:t>
            </w:r>
          </w:p>
        </w:tc>
        <w:tc>
          <w:tcPr>
            <w:tcW w:w="1007" w:type="pct"/>
            <w:tcBorders>
              <w:top w:val="nil"/>
              <w:left w:val="nil"/>
              <w:bottom w:val="single" w:sz="8" w:space="0" w:color="auto"/>
              <w:right w:val="single" w:sz="8" w:space="0" w:color="auto"/>
            </w:tcBorders>
            <w:shd w:val="clear" w:color="auto" w:fill="auto"/>
            <w:vAlign w:val="center"/>
            <w:hideMark/>
          </w:tcPr>
          <w:p w14:paraId="5D99ABA1"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1.102.700.000</w:t>
            </w:r>
          </w:p>
        </w:tc>
      </w:tr>
      <w:tr w:rsidR="00604D50" w:rsidRPr="002C3A49" w14:paraId="6F162D75" w14:textId="77777777" w:rsidTr="00917B0C">
        <w:trPr>
          <w:gridAfter w:val="1"/>
          <w:wAfter w:w="4" w:type="pct"/>
          <w:trHeight w:val="254"/>
        </w:trPr>
        <w:tc>
          <w:tcPr>
            <w:tcW w:w="475" w:type="pct"/>
            <w:vMerge/>
            <w:tcBorders>
              <w:left w:val="single" w:sz="8" w:space="0" w:color="auto"/>
              <w:right w:val="single" w:sz="8" w:space="0" w:color="auto"/>
            </w:tcBorders>
            <w:vAlign w:val="center"/>
            <w:hideMark/>
          </w:tcPr>
          <w:p w14:paraId="7B92F149"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4F3F81EB"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hideMark/>
          </w:tcPr>
          <w:p w14:paraId="5267ECB6"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Унапређење услова за превођење бродова у оквиру бране на Тиси код Новог Бечеја.</w:t>
            </w:r>
          </w:p>
        </w:tc>
        <w:tc>
          <w:tcPr>
            <w:tcW w:w="1007" w:type="pct"/>
            <w:tcBorders>
              <w:top w:val="nil"/>
              <w:left w:val="nil"/>
              <w:bottom w:val="single" w:sz="8" w:space="0" w:color="auto"/>
              <w:right w:val="single" w:sz="8" w:space="0" w:color="auto"/>
            </w:tcBorders>
            <w:shd w:val="clear" w:color="auto" w:fill="auto"/>
            <w:vAlign w:val="center"/>
            <w:hideMark/>
          </w:tcPr>
          <w:p w14:paraId="77F0E1D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103.680.000</w:t>
            </w:r>
          </w:p>
        </w:tc>
      </w:tr>
      <w:tr w:rsidR="00604D50" w:rsidRPr="002C3A49" w14:paraId="1CAD06F3" w14:textId="77777777" w:rsidTr="00917B0C">
        <w:trPr>
          <w:gridAfter w:val="1"/>
          <w:wAfter w:w="4" w:type="pct"/>
          <w:trHeight w:val="506"/>
        </w:trPr>
        <w:tc>
          <w:tcPr>
            <w:tcW w:w="475" w:type="pct"/>
            <w:vMerge/>
            <w:tcBorders>
              <w:left w:val="single" w:sz="8" w:space="0" w:color="auto"/>
              <w:right w:val="single" w:sz="8" w:space="0" w:color="auto"/>
            </w:tcBorders>
            <w:vAlign w:val="center"/>
            <w:hideMark/>
          </w:tcPr>
          <w:p w14:paraId="40DACEAD"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vAlign w:val="center"/>
            <w:hideMark/>
          </w:tcPr>
          <w:p w14:paraId="25378F5A"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single" w:sz="8" w:space="0" w:color="auto"/>
              <w:left w:val="nil"/>
              <w:bottom w:val="single" w:sz="4" w:space="0" w:color="auto"/>
              <w:right w:val="single" w:sz="8" w:space="0" w:color="auto"/>
            </w:tcBorders>
            <w:shd w:val="clear" w:color="auto" w:fill="auto"/>
            <w:vAlign w:val="center"/>
            <w:hideMark/>
          </w:tcPr>
          <w:p w14:paraId="5F8334A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Проширење капацитета Луке Богојево.</w:t>
            </w:r>
          </w:p>
        </w:tc>
        <w:tc>
          <w:tcPr>
            <w:tcW w:w="1007" w:type="pct"/>
            <w:tcBorders>
              <w:top w:val="single" w:sz="8" w:space="0" w:color="auto"/>
              <w:left w:val="nil"/>
              <w:bottom w:val="single" w:sz="4" w:space="0" w:color="auto"/>
              <w:right w:val="single" w:sz="8" w:space="0" w:color="auto"/>
            </w:tcBorders>
            <w:shd w:val="clear" w:color="auto" w:fill="auto"/>
            <w:vAlign w:val="center"/>
            <w:hideMark/>
          </w:tcPr>
          <w:p w14:paraId="4786E286"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1.107.100.000</w:t>
            </w:r>
          </w:p>
        </w:tc>
      </w:tr>
      <w:tr w:rsidR="00604D50" w:rsidRPr="002C3A49" w14:paraId="1AD1129A" w14:textId="77777777" w:rsidTr="00917B0C">
        <w:trPr>
          <w:gridAfter w:val="1"/>
          <w:wAfter w:w="4" w:type="pct"/>
          <w:trHeight w:val="173"/>
        </w:trPr>
        <w:tc>
          <w:tcPr>
            <w:tcW w:w="475" w:type="pct"/>
            <w:vMerge/>
            <w:tcBorders>
              <w:left w:val="single" w:sz="8" w:space="0" w:color="auto"/>
              <w:right w:val="single" w:sz="8" w:space="0" w:color="auto"/>
            </w:tcBorders>
            <w:shd w:val="clear" w:color="auto" w:fill="auto"/>
            <w:noWrap/>
            <w:vAlign w:val="center"/>
          </w:tcPr>
          <w:p w14:paraId="34F04AB5"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single" w:sz="8" w:space="0" w:color="auto"/>
              <w:right w:val="single" w:sz="8" w:space="0" w:color="auto"/>
            </w:tcBorders>
            <w:shd w:val="clear" w:color="auto" w:fill="auto"/>
            <w:vAlign w:val="center"/>
          </w:tcPr>
          <w:p w14:paraId="016EBE9A"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single" w:sz="4" w:space="0" w:color="auto"/>
              <w:left w:val="nil"/>
              <w:bottom w:val="single" w:sz="8" w:space="0" w:color="auto"/>
              <w:right w:val="single" w:sz="8" w:space="0" w:color="auto"/>
            </w:tcBorders>
            <w:shd w:val="clear" w:color="auto" w:fill="auto"/>
            <w:vAlign w:val="center"/>
          </w:tcPr>
          <w:p w14:paraId="1092B9F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моста - обилазнице око Новог Сада са приступним саобраћајницама.</w:t>
            </w:r>
          </w:p>
        </w:tc>
        <w:tc>
          <w:tcPr>
            <w:tcW w:w="1007" w:type="pct"/>
            <w:tcBorders>
              <w:top w:val="single" w:sz="4" w:space="0" w:color="auto"/>
              <w:left w:val="nil"/>
              <w:bottom w:val="single" w:sz="8" w:space="0" w:color="auto"/>
              <w:right w:val="single" w:sz="8" w:space="0" w:color="auto"/>
            </w:tcBorders>
            <w:shd w:val="clear" w:color="auto" w:fill="auto"/>
            <w:vAlign w:val="center"/>
          </w:tcPr>
          <w:p w14:paraId="67F41B88" w14:textId="77777777" w:rsidR="00604D50" w:rsidRPr="002C3A49" w:rsidRDefault="00604D50" w:rsidP="00BF7A9D">
            <w:pPr>
              <w:jc w:val="right"/>
              <w:rPr>
                <w:rFonts w:ascii="Times New Roman" w:hAnsi="Times New Roman"/>
                <w:noProof/>
                <w:color w:val="000000"/>
                <w:sz w:val="22"/>
                <w:szCs w:val="22"/>
                <w:highlight w:val="cyan"/>
                <w:lang w:val="sr-Cyrl-RS" w:eastAsia="sr-Latn-RS"/>
              </w:rPr>
            </w:pPr>
            <w:r w:rsidRPr="002C3A49">
              <w:rPr>
                <w:rFonts w:ascii="Times New Roman" w:hAnsi="Times New Roman"/>
                <w:noProof/>
                <w:color w:val="000000"/>
                <w:sz w:val="22"/>
                <w:szCs w:val="22"/>
                <w:lang w:val="sr-Cyrl-RS" w:eastAsia="sr-Latn-RS"/>
              </w:rPr>
              <w:t>2.600.000.000</w:t>
            </w:r>
          </w:p>
        </w:tc>
      </w:tr>
      <w:tr w:rsidR="00604D50" w:rsidRPr="002C3A49" w14:paraId="36154528" w14:textId="77777777" w:rsidTr="00917B0C">
        <w:trPr>
          <w:gridAfter w:val="1"/>
          <w:wAfter w:w="4" w:type="pct"/>
          <w:trHeight w:val="699"/>
        </w:trPr>
        <w:tc>
          <w:tcPr>
            <w:tcW w:w="475" w:type="pct"/>
            <w:vMerge/>
            <w:tcBorders>
              <w:left w:val="single" w:sz="8" w:space="0" w:color="auto"/>
              <w:bottom w:val="single" w:sz="4" w:space="0" w:color="auto"/>
              <w:right w:val="single" w:sz="8" w:space="0" w:color="auto"/>
            </w:tcBorders>
            <w:shd w:val="clear" w:color="auto" w:fill="auto"/>
            <w:noWrap/>
            <w:vAlign w:val="center"/>
          </w:tcPr>
          <w:p w14:paraId="61C3662D"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single" w:sz="8" w:space="0" w:color="auto"/>
              <w:bottom w:val="single" w:sz="4" w:space="0" w:color="auto"/>
              <w:right w:val="single" w:sz="8" w:space="0" w:color="auto"/>
            </w:tcBorders>
            <w:shd w:val="clear" w:color="auto" w:fill="auto"/>
            <w:vAlign w:val="center"/>
          </w:tcPr>
          <w:p w14:paraId="2033AA1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single" w:sz="8" w:space="0" w:color="auto"/>
              <w:left w:val="nil"/>
              <w:bottom w:val="single" w:sz="4" w:space="0" w:color="auto"/>
              <w:right w:val="single" w:sz="8" w:space="0" w:color="auto"/>
            </w:tcBorders>
            <w:shd w:val="clear" w:color="auto" w:fill="auto"/>
            <w:vAlign w:val="center"/>
          </w:tcPr>
          <w:p w14:paraId="7910CA62"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Реконструкција и доградња граничног прелаза Хоргош.</w:t>
            </w:r>
          </w:p>
        </w:tc>
        <w:tc>
          <w:tcPr>
            <w:tcW w:w="1007" w:type="pct"/>
            <w:tcBorders>
              <w:top w:val="single" w:sz="8" w:space="0" w:color="auto"/>
              <w:left w:val="nil"/>
              <w:bottom w:val="single" w:sz="4" w:space="0" w:color="auto"/>
              <w:right w:val="single" w:sz="8" w:space="0" w:color="auto"/>
            </w:tcBorders>
            <w:shd w:val="clear" w:color="auto" w:fill="auto"/>
            <w:vAlign w:val="center"/>
          </w:tcPr>
          <w:p w14:paraId="1430FAE1"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400.000.000</w:t>
            </w:r>
          </w:p>
        </w:tc>
      </w:tr>
      <w:tr w:rsidR="00604D50" w:rsidRPr="002C3A49" w14:paraId="14B3B902" w14:textId="77777777" w:rsidTr="00917B0C">
        <w:trPr>
          <w:gridAfter w:val="1"/>
          <w:wAfter w:w="4" w:type="pct"/>
          <w:trHeight w:val="173"/>
        </w:trPr>
        <w:tc>
          <w:tcPr>
            <w:tcW w:w="475" w:type="pct"/>
            <w:tcBorders>
              <w:top w:val="nil"/>
              <w:left w:val="single" w:sz="8" w:space="0" w:color="auto"/>
              <w:bottom w:val="single" w:sz="4" w:space="0" w:color="auto"/>
              <w:right w:val="single" w:sz="8" w:space="0" w:color="auto"/>
            </w:tcBorders>
            <w:shd w:val="clear" w:color="auto" w:fill="auto"/>
            <w:noWrap/>
            <w:vAlign w:val="center"/>
            <w:hideMark/>
          </w:tcPr>
          <w:p w14:paraId="690AEAF1"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12</w:t>
            </w:r>
          </w:p>
        </w:tc>
        <w:tc>
          <w:tcPr>
            <w:tcW w:w="1578" w:type="pct"/>
            <w:tcBorders>
              <w:top w:val="nil"/>
              <w:left w:val="nil"/>
              <w:bottom w:val="single" w:sz="4" w:space="0" w:color="auto"/>
              <w:right w:val="single" w:sz="8" w:space="0" w:color="auto"/>
            </w:tcBorders>
            <w:shd w:val="clear" w:color="auto" w:fill="auto"/>
            <w:vAlign w:val="center"/>
            <w:hideMark/>
          </w:tcPr>
          <w:p w14:paraId="62E41077"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 xml:space="preserve">Министарство културе </w:t>
            </w:r>
          </w:p>
        </w:tc>
        <w:tc>
          <w:tcPr>
            <w:tcW w:w="1936" w:type="pct"/>
            <w:tcBorders>
              <w:top w:val="single" w:sz="4" w:space="0" w:color="auto"/>
              <w:left w:val="nil"/>
              <w:bottom w:val="single" w:sz="4" w:space="0" w:color="auto"/>
              <w:right w:val="single" w:sz="8" w:space="0" w:color="auto"/>
            </w:tcBorders>
            <w:shd w:val="clear" w:color="auto" w:fill="auto"/>
            <w:vAlign w:val="center"/>
            <w:hideMark/>
          </w:tcPr>
          <w:p w14:paraId="62589B2A"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Подршка раду Матице Српске.</w:t>
            </w:r>
          </w:p>
        </w:tc>
        <w:tc>
          <w:tcPr>
            <w:tcW w:w="1007" w:type="pct"/>
            <w:tcBorders>
              <w:top w:val="single" w:sz="4" w:space="0" w:color="auto"/>
              <w:left w:val="nil"/>
              <w:bottom w:val="single" w:sz="4" w:space="0" w:color="auto"/>
              <w:right w:val="single" w:sz="8" w:space="0" w:color="auto"/>
            </w:tcBorders>
            <w:shd w:val="clear" w:color="auto" w:fill="auto"/>
            <w:vAlign w:val="center"/>
            <w:hideMark/>
          </w:tcPr>
          <w:p w14:paraId="7C4596B6"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61.000.000</w:t>
            </w:r>
          </w:p>
        </w:tc>
      </w:tr>
      <w:tr w:rsidR="00604D50" w:rsidRPr="002C3A49" w14:paraId="195F760D" w14:textId="77777777" w:rsidTr="00917B0C">
        <w:trPr>
          <w:gridAfter w:val="1"/>
          <w:wAfter w:w="4" w:type="pct"/>
          <w:trHeight w:val="191"/>
        </w:trPr>
        <w:tc>
          <w:tcPr>
            <w:tcW w:w="47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CD42FD"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13</w:t>
            </w:r>
          </w:p>
        </w:tc>
        <w:tc>
          <w:tcPr>
            <w:tcW w:w="1578" w:type="pct"/>
            <w:tcBorders>
              <w:top w:val="single" w:sz="4" w:space="0" w:color="auto"/>
              <w:left w:val="nil"/>
              <w:bottom w:val="single" w:sz="8" w:space="0" w:color="auto"/>
              <w:right w:val="single" w:sz="8" w:space="0" w:color="auto"/>
            </w:tcBorders>
            <w:shd w:val="clear" w:color="auto" w:fill="auto"/>
            <w:vAlign w:val="center"/>
            <w:hideMark/>
          </w:tcPr>
          <w:p w14:paraId="568FC5C4"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привреде</w:t>
            </w:r>
          </w:p>
        </w:tc>
        <w:tc>
          <w:tcPr>
            <w:tcW w:w="1936" w:type="pct"/>
            <w:tcBorders>
              <w:top w:val="single" w:sz="4" w:space="0" w:color="auto"/>
              <w:left w:val="nil"/>
              <w:bottom w:val="single" w:sz="8" w:space="0" w:color="auto"/>
              <w:right w:val="single" w:sz="8" w:space="0" w:color="auto"/>
            </w:tcBorders>
            <w:shd w:val="clear" w:color="auto" w:fill="auto"/>
            <w:vAlign w:val="center"/>
            <w:hideMark/>
          </w:tcPr>
          <w:p w14:paraId="64A2D295"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Субвенције приватним предузећима за спровођење уговора о додели средстава подстицаја.</w:t>
            </w:r>
          </w:p>
        </w:tc>
        <w:tc>
          <w:tcPr>
            <w:tcW w:w="1007" w:type="pct"/>
            <w:tcBorders>
              <w:top w:val="single" w:sz="4" w:space="0" w:color="auto"/>
              <w:left w:val="nil"/>
              <w:bottom w:val="single" w:sz="8" w:space="0" w:color="auto"/>
              <w:right w:val="single" w:sz="8" w:space="0" w:color="auto"/>
            </w:tcBorders>
            <w:shd w:val="clear" w:color="000000" w:fill="FFFFFF"/>
            <w:vAlign w:val="center"/>
            <w:hideMark/>
          </w:tcPr>
          <w:p w14:paraId="55758AEC"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6.272.023.483</w:t>
            </w:r>
          </w:p>
        </w:tc>
      </w:tr>
      <w:tr w:rsidR="00604D50" w:rsidRPr="002C3A49" w14:paraId="7B65906E" w14:textId="77777777" w:rsidTr="00917B0C">
        <w:trPr>
          <w:gridAfter w:val="1"/>
          <w:wAfter w:w="4" w:type="pct"/>
          <w:trHeight w:val="645"/>
        </w:trPr>
        <w:tc>
          <w:tcPr>
            <w:tcW w:w="475" w:type="pct"/>
            <w:tcBorders>
              <w:top w:val="nil"/>
              <w:left w:val="single" w:sz="8" w:space="0" w:color="auto"/>
              <w:bottom w:val="single" w:sz="8" w:space="0" w:color="auto"/>
              <w:right w:val="single" w:sz="8" w:space="0" w:color="auto"/>
            </w:tcBorders>
            <w:shd w:val="clear" w:color="auto" w:fill="auto"/>
            <w:noWrap/>
            <w:vAlign w:val="center"/>
          </w:tcPr>
          <w:p w14:paraId="7E407CED"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14</w:t>
            </w:r>
          </w:p>
        </w:tc>
        <w:tc>
          <w:tcPr>
            <w:tcW w:w="1578" w:type="pct"/>
            <w:tcBorders>
              <w:top w:val="nil"/>
              <w:left w:val="nil"/>
              <w:bottom w:val="single" w:sz="8" w:space="0" w:color="auto"/>
              <w:right w:val="single" w:sz="8" w:space="0" w:color="auto"/>
            </w:tcBorders>
            <w:shd w:val="clear" w:color="auto" w:fill="auto"/>
            <w:vAlign w:val="center"/>
          </w:tcPr>
          <w:p w14:paraId="0B0596BF"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правде</w:t>
            </w:r>
          </w:p>
        </w:tc>
        <w:tc>
          <w:tcPr>
            <w:tcW w:w="1936" w:type="pct"/>
            <w:tcBorders>
              <w:top w:val="nil"/>
              <w:left w:val="nil"/>
              <w:bottom w:val="single" w:sz="8" w:space="0" w:color="auto"/>
              <w:right w:val="single" w:sz="8" w:space="0" w:color="auto"/>
            </w:tcBorders>
            <w:shd w:val="clear" w:color="auto" w:fill="auto"/>
            <w:vAlign w:val="center"/>
          </w:tcPr>
          <w:p w14:paraId="7074E09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Реконструкција и адаптација објекта Привредног суда у Сомбору.</w:t>
            </w:r>
          </w:p>
        </w:tc>
        <w:tc>
          <w:tcPr>
            <w:tcW w:w="1007" w:type="pct"/>
            <w:tcBorders>
              <w:top w:val="nil"/>
              <w:left w:val="nil"/>
              <w:bottom w:val="single" w:sz="8" w:space="0" w:color="auto"/>
              <w:right w:val="single" w:sz="8" w:space="0" w:color="auto"/>
            </w:tcBorders>
            <w:shd w:val="clear" w:color="auto" w:fill="auto"/>
            <w:vAlign w:val="center"/>
          </w:tcPr>
          <w:p w14:paraId="4ED924CC"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230.000.000</w:t>
            </w:r>
          </w:p>
        </w:tc>
      </w:tr>
      <w:tr w:rsidR="00604D50" w:rsidRPr="002C3A49" w14:paraId="10607518" w14:textId="77777777" w:rsidTr="00917B0C">
        <w:trPr>
          <w:gridAfter w:val="1"/>
          <w:wAfter w:w="4" w:type="pct"/>
          <w:trHeight w:val="645"/>
        </w:trPr>
        <w:tc>
          <w:tcPr>
            <w:tcW w:w="475" w:type="pct"/>
            <w:vMerge w:val="restart"/>
            <w:tcBorders>
              <w:top w:val="nil"/>
              <w:left w:val="single" w:sz="8" w:space="0" w:color="auto"/>
              <w:right w:val="single" w:sz="8" w:space="0" w:color="auto"/>
            </w:tcBorders>
            <w:shd w:val="clear" w:color="auto" w:fill="auto"/>
            <w:noWrap/>
            <w:vAlign w:val="center"/>
            <w:hideMark/>
          </w:tcPr>
          <w:p w14:paraId="0262C280"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15</w:t>
            </w:r>
          </w:p>
        </w:tc>
        <w:tc>
          <w:tcPr>
            <w:tcW w:w="1578" w:type="pct"/>
            <w:vMerge w:val="restart"/>
            <w:tcBorders>
              <w:top w:val="nil"/>
              <w:left w:val="nil"/>
              <w:right w:val="single" w:sz="8" w:space="0" w:color="auto"/>
            </w:tcBorders>
            <w:shd w:val="clear" w:color="auto" w:fill="auto"/>
            <w:vAlign w:val="center"/>
            <w:hideMark/>
          </w:tcPr>
          <w:p w14:paraId="21CC69C4"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Управа за извршење кривичних санкција</w:t>
            </w:r>
          </w:p>
        </w:tc>
        <w:tc>
          <w:tcPr>
            <w:tcW w:w="1936" w:type="pct"/>
            <w:tcBorders>
              <w:top w:val="nil"/>
              <w:left w:val="nil"/>
              <w:bottom w:val="single" w:sz="8" w:space="0" w:color="auto"/>
              <w:right w:val="single" w:sz="8" w:space="0" w:color="auto"/>
            </w:tcBorders>
            <w:shd w:val="clear" w:color="auto" w:fill="auto"/>
            <w:vAlign w:val="center"/>
          </w:tcPr>
          <w:p w14:paraId="3A023FB3"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Радови на реконструкцији и изградњи објеката у оквиру КПЗ у Сремској Митровици</w:t>
            </w:r>
          </w:p>
        </w:tc>
        <w:tc>
          <w:tcPr>
            <w:tcW w:w="1007" w:type="pct"/>
            <w:tcBorders>
              <w:top w:val="nil"/>
              <w:left w:val="nil"/>
              <w:bottom w:val="single" w:sz="8" w:space="0" w:color="auto"/>
              <w:right w:val="single" w:sz="8" w:space="0" w:color="auto"/>
            </w:tcBorders>
            <w:shd w:val="clear" w:color="auto" w:fill="auto"/>
            <w:vAlign w:val="center"/>
          </w:tcPr>
          <w:p w14:paraId="0352890D"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20.500.000</w:t>
            </w:r>
          </w:p>
        </w:tc>
      </w:tr>
      <w:tr w:rsidR="00604D50" w:rsidRPr="002C3A49" w14:paraId="6E415544" w14:textId="77777777" w:rsidTr="00917B0C">
        <w:trPr>
          <w:gridAfter w:val="1"/>
          <w:wAfter w:w="4" w:type="pct"/>
          <w:trHeight w:val="58"/>
        </w:trPr>
        <w:tc>
          <w:tcPr>
            <w:tcW w:w="475" w:type="pct"/>
            <w:vMerge/>
            <w:tcBorders>
              <w:left w:val="single" w:sz="8" w:space="0" w:color="auto"/>
              <w:bottom w:val="single" w:sz="8" w:space="0" w:color="auto"/>
              <w:right w:val="single" w:sz="8" w:space="0" w:color="auto"/>
            </w:tcBorders>
            <w:shd w:val="clear" w:color="auto" w:fill="auto"/>
            <w:noWrap/>
            <w:vAlign w:val="center"/>
          </w:tcPr>
          <w:p w14:paraId="5F78C421"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nil"/>
              <w:bottom w:val="single" w:sz="8" w:space="0" w:color="auto"/>
              <w:right w:val="single" w:sz="8" w:space="0" w:color="auto"/>
            </w:tcBorders>
            <w:shd w:val="clear" w:color="auto" w:fill="auto"/>
            <w:vAlign w:val="center"/>
          </w:tcPr>
          <w:p w14:paraId="37090F7D"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71A3FEA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и опремање новог павиљона у Сремској Митровици.</w:t>
            </w:r>
          </w:p>
        </w:tc>
        <w:tc>
          <w:tcPr>
            <w:tcW w:w="1007" w:type="pct"/>
            <w:tcBorders>
              <w:top w:val="nil"/>
              <w:left w:val="nil"/>
              <w:bottom w:val="single" w:sz="8" w:space="0" w:color="auto"/>
              <w:right w:val="single" w:sz="8" w:space="0" w:color="auto"/>
            </w:tcBorders>
            <w:shd w:val="clear" w:color="auto" w:fill="auto"/>
            <w:vAlign w:val="center"/>
          </w:tcPr>
          <w:p w14:paraId="3B6D617A"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68.400.000</w:t>
            </w:r>
          </w:p>
        </w:tc>
      </w:tr>
      <w:tr w:rsidR="00604D50" w:rsidRPr="002C3A49" w14:paraId="3A7F4AB8" w14:textId="77777777" w:rsidTr="00917B0C">
        <w:trPr>
          <w:gridAfter w:val="1"/>
          <w:wAfter w:w="4" w:type="pct"/>
          <w:trHeight w:val="58"/>
        </w:trPr>
        <w:tc>
          <w:tcPr>
            <w:tcW w:w="475" w:type="pct"/>
            <w:vMerge/>
            <w:tcBorders>
              <w:left w:val="single" w:sz="8" w:space="0" w:color="auto"/>
              <w:bottom w:val="single" w:sz="8" w:space="0" w:color="auto"/>
              <w:right w:val="single" w:sz="8" w:space="0" w:color="auto"/>
            </w:tcBorders>
            <w:shd w:val="clear" w:color="auto" w:fill="auto"/>
            <w:noWrap/>
            <w:vAlign w:val="center"/>
          </w:tcPr>
          <w:p w14:paraId="5B710AA3"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nil"/>
              <w:bottom w:val="single" w:sz="8" w:space="0" w:color="auto"/>
              <w:right w:val="single" w:sz="8" w:space="0" w:color="auto"/>
            </w:tcBorders>
            <w:shd w:val="clear" w:color="auto" w:fill="auto"/>
            <w:vAlign w:val="center"/>
          </w:tcPr>
          <w:p w14:paraId="1AB1EFA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3743846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и опремање новог затвора у Суботици.</w:t>
            </w:r>
          </w:p>
        </w:tc>
        <w:tc>
          <w:tcPr>
            <w:tcW w:w="1007" w:type="pct"/>
            <w:tcBorders>
              <w:top w:val="nil"/>
              <w:left w:val="nil"/>
              <w:bottom w:val="single" w:sz="8" w:space="0" w:color="auto"/>
              <w:right w:val="single" w:sz="8" w:space="0" w:color="auto"/>
            </w:tcBorders>
            <w:shd w:val="clear" w:color="auto" w:fill="auto"/>
            <w:vAlign w:val="center"/>
          </w:tcPr>
          <w:p w14:paraId="343A453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58.600.000</w:t>
            </w:r>
          </w:p>
        </w:tc>
      </w:tr>
      <w:tr w:rsidR="00604D50" w:rsidRPr="002C3A49" w14:paraId="6C5F246F" w14:textId="77777777" w:rsidTr="00917B0C">
        <w:trPr>
          <w:gridAfter w:val="1"/>
          <w:wAfter w:w="4" w:type="pct"/>
          <w:trHeight w:val="58"/>
        </w:trPr>
        <w:tc>
          <w:tcPr>
            <w:tcW w:w="475" w:type="pct"/>
            <w:vMerge w:val="restart"/>
            <w:tcBorders>
              <w:top w:val="nil"/>
              <w:left w:val="single" w:sz="8" w:space="0" w:color="auto"/>
              <w:right w:val="single" w:sz="8" w:space="0" w:color="auto"/>
            </w:tcBorders>
            <w:shd w:val="clear" w:color="auto" w:fill="auto"/>
            <w:noWrap/>
            <w:vAlign w:val="center"/>
            <w:hideMark/>
          </w:tcPr>
          <w:p w14:paraId="40623D99"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16</w:t>
            </w:r>
          </w:p>
        </w:tc>
        <w:tc>
          <w:tcPr>
            <w:tcW w:w="1578" w:type="pct"/>
            <w:vMerge w:val="restart"/>
            <w:tcBorders>
              <w:top w:val="nil"/>
              <w:left w:val="nil"/>
              <w:right w:val="single" w:sz="8" w:space="0" w:color="auto"/>
            </w:tcBorders>
            <w:shd w:val="clear" w:color="auto" w:fill="auto"/>
            <w:vAlign w:val="center"/>
            <w:hideMark/>
          </w:tcPr>
          <w:p w14:paraId="13E1FEBC"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Републичка дирекција за имовину Републике Србије</w:t>
            </w:r>
          </w:p>
        </w:tc>
        <w:tc>
          <w:tcPr>
            <w:tcW w:w="1936" w:type="pct"/>
            <w:tcBorders>
              <w:top w:val="nil"/>
              <w:left w:val="nil"/>
              <w:bottom w:val="single" w:sz="8" w:space="0" w:color="auto"/>
              <w:right w:val="single" w:sz="8" w:space="0" w:color="auto"/>
            </w:tcBorders>
            <w:shd w:val="clear" w:color="auto" w:fill="auto"/>
            <w:vAlign w:val="center"/>
            <w:hideMark/>
          </w:tcPr>
          <w:p w14:paraId="5FF63834"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граничног прелаза Нештин.</w:t>
            </w:r>
          </w:p>
        </w:tc>
        <w:tc>
          <w:tcPr>
            <w:tcW w:w="1007" w:type="pct"/>
            <w:tcBorders>
              <w:top w:val="nil"/>
              <w:left w:val="nil"/>
              <w:bottom w:val="single" w:sz="8" w:space="0" w:color="auto"/>
              <w:right w:val="single" w:sz="8" w:space="0" w:color="auto"/>
            </w:tcBorders>
            <w:shd w:val="clear" w:color="auto" w:fill="auto"/>
            <w:vAlign w:val="center"/>
            <w:hideMark/>
          </w:tcPr>
          <w:p w14:paraId="03D70ECB"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112.000.000</w:t>
            </w:r>
          </w:p>
        </w:tc>
      </w:tr>
      <w:tr w:rsidR="00604D50" w:rsidRPr="002C3A49" w14:paraId="6F722C36" w14:textId="77777777" w:rsidTr="00917B0C">
        <w:trPr>
          <w:gridAfter w:val="1"/>
          <w:wAfter w:w="4" w:type="pct"/>
          <w:trHeight w:val="58"/>
        </w:trPr>
        <w:tc>
          <w:tcPr>
            <w:tcW w:w="475" w:type="pct"/>
            <w:vMerge/>
            <w:tcBorders>
              <w:left w:val="single" w:sz="8" w:space="0" w:color="auto"/>
              <w:bottom w:val="single" w:sz="8" w:space="0" w:color="auto"/>
              <w:right w:val="single" w:sz="8" w:space="0" w:color="auto"/>
            </w:tcBorders>
            <w:shd w:val="clear" w:color="auto" w:fill="auto"/>
            <w:noWrap/>
            <w:vAlign w:val="center"/>
          </w:tcPr>
          <w:p w14:paraId="1905BA5A"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nil"/>
              <w:bottom w:val="single" w:sz="8" w:space="0" w:color="auto"/>
              <w:right w:val="single" w:sz="8" w:space="0" w:color="auto"/>
            </w:tcBorders>
            <w:shd w:val="clear" w:color="auto" w:fill="auto"/>
            <w:vAlign w:val="center"/>
          </w:tcPr>
          <w:p w14:paraId="0BCAC44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7CD8600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18"/>
                <w:lang w:val="sr-Cyrl-RS" w:eastAsia="en-GB"/>
              </w:rPr>
              <w:t>Изградња граничног прелаза Сремска Рача</w:t>
            </w:r>
          </w:p>
        </w:tc>
        <w:tc>
          <w:tcPr>
            <w:tcW w:w="1007" w:type="pct"/>
            <w:tcBorders>
              <w:top w:val="nil"/>
              <w:left w:val="nil"/>
              <w:bottom w:val="single" w:sz="8" w:space="0" w:color="auto"/>
              <w:right w:val="single" w:sz="8" w:space="0" w:color="auto"/>
            </w:tcBorders>
            <w:shd w:val="clear" w:color="auto" w:fill="auto"/>
            <w:noWrap/>
            <w:vAlign w:val="center"/>
          </w:tcPr>
          <w:p w14:paraId="13E9125D"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800.000.000</w:t>
            </w:r>
          </w:p>
        </w:tc>
      </w:tr>
      <w:tr w:rsidR="00604D50" w:rsidRPr="002C3A49" w14:paraId="343F676B"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0A16F6D3"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17</w:t>
            </w:r>
          </w:p>
        </w:tc>
        <w:tc>
          <w:tcPr>
            <w:tcW w:w="1578" w:type="pct"/>
            <w:tcBorders>
              <w:top w:val="nil"/>
              <w:left w:val="nil"/>
              <w:bottom w:val="single" w:sz="8" w:space="0" w:color="auto"/>
              <w:right w:val="single" w:sz="8" w:space="0" w:color="auto"/>
            </w:tcBorders>
            <w:shd w:val="clear" w:color="auto" w:fill="auto"/>
            <w:vAlign w:val="center"/>
            <w:hideMark/>
          </w:tcPr>
          <w:p w14:paraId="2E07C303"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Управа за аграрна плаћања</w:t>
            </w:r>
          </w:p>
        </w:tc>
        <w:tc>
          <w:tcPr>
            <w:tcW w:w="1936" w:type="pct"/>
            <w:tcBorders>
              <w:top w:val="nil"/>
              <w:left w:val="nil"/>
              <w:bottom w:val="single" w:sz="8" w:space="0" w:color="auto"/>
              <w:right w:val="single" w:sz="8" w:space="0" w:color="auto"/>
            </w:tcBorders>
            <w:shd w:val="clear" w:color="auto" w:fill="auto"/>
            <w:vAlign w:val="center"/>
            <w:hideMark/>
          </w:tcPr>
          <w:p w14:paraId="7AD1131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Средства за подстицаје у пољопривреди.</w:t>
            </w:r>
          </w:p>
        </w:tc>
        <w:tc>
          <w:tcPr>
            <w:tcW w:w="1007" w:type="pct"/>
            <w:tcBorders>
              <w:top w:val="nil"/>
              <w:left w:val="nil"/>
              <w:bottom w:val="single" w:sz="8" w:space="0" w:color="auto"/>
              <w:right w:val="single" w:sz="8" w:space="0" w:color="auto"/>
            </w:tcBorders>
            <w:shd w:val="clear" w:color="auto" w:fill="auto"/>
            <w:noWrap/>
            <w:vAlign w:val="center"/>
            <w:hideMark/>
          </w:tcPr>
          <w:p w14:paraId="41D5703B"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17.000.000.000</w:t>
            </w:r>
          </w:p>
        </w:tc>
      </w:tr>
      <w:tr w:rsidR="00604D50" w:rsidRPr="002C3A49" w14:paraId="4A144307"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7F6F417E"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18</w:t>
            </w:r>
          </w:p>
        </w:tc>
        <w:tc>
          <w:tcPr>
            <w:tcW w:w="1578" w:type="pct"/>
            <w:tcBorders>
              <w:top w:val="nil"/>
              <w:left w:val="nil"/>
              <w:bottom w:val="single" w:sz="8" w:space="0" w:color="auto"/>
              <w:right w:val="single" w:sz="8" w:space="0" w:color="auto"/>
            </w:tcBorders>
            <w:shd w:val="clear" w:color="auto" w:fill="auto"/>
            <w:vAlign w:val="center"/>
            <w:hideMark/>
          </w:tcPr>
          <w:p w14:paraId="6A3085DE"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Републичка дирекција за воде</w:t>
            </w:r>
          </w:p>
        </w:tc>
        <w:tc>
          <w:tcPr>
            <w:tcW w:w="1936" w:type="pct"/>
            <w:tcBorders>
              <w:top w:val="nil"/>
              <w:left w:val="nil"/>
              <w:bottom w:val="single" w:sz="8" w:space="0" w:color="auto"/>
              <w:right w:val="single" w:sz="8" w:space="0" w:color="auto"/>
            </w:tcBorders>
            <w:shd w:val="clear" w:color="auto" w:fill="auto"/>
            <w:vAlign w:val="center"/>
            <w:hideMark/>
          </w:tcPr>
          <w:p w14:paraId="628C82AB"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система за наводњавање - прва фаза.</w:t>
            </w:r>
          </w:p>
        </w:tc>
        <w:tc>
          <w:tcPr>
            <w:tcW w:w="1007" w:type="pct"/>
            <w:tcBorders>
              <w:top w:val="nil"/>
              <w:left w:val="nil"/>
              <w:bottom w:val="single" w:sz="8" w:space="0" w:color="auto"/>
              <w:right w:val="single" w:sz="8" w:space="0" w:color="auto"/>
            </w:tcBorders>
            <w:shd w:val="clear" w:color="auto" w:fill="auto"/>
            <w:noWrap/>
            <w:vAlign w:val="center"/>
            <w:hideMark/>
          </w:tcPr>
          <w:p w14:paraId="437DBEFA"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204.691.000</w:t>
            </w:r>
          </w:p>
        </w:tc>
      </w:tr>
      <w:tr w:rsidR="00604D50" w:rsidRPr="002C3A49" w14:paraId="1909D1FA" w14:textId="77777777" w:rsidTr="00917B0C">
        <w:trPr>
          <w:gridAfter w:val="1"/>
          <w:wAfter w:w="4" w:type="pct"/>
          <w:trHeight w:val="960"/>
        </w:trPr>
        <w:tc>
          <w:tcPr>
            <w:tcW w:w="47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65C44F4"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lastRenderedPageBreak/>
              <w:t>19</w:t>
            </w:r>
          </w:p>
        </w:tc>
        <w:tc>
          <w:tcPr>
            <w:tcW w:w="1578" w:type="pct"/>
            <w:vMerge w:val="restart"/>
            <w:tcBorders>
              <w:top w:val="nil"/>
              <w:left w:val="single" w:sz="8" w:space="0" w:color="auto"/>
              <w:bottom w:val="single" w:sz="8" w:space="0" w:color="000000"/>
              <w:right w:val="single" w:sz="8" w:space="0" w:color="auto"/>
            </w:tcBorders>
            <w:shd w:val="clear" w:color="auto" w:fill="auto"/>
            <w:vAlign w:val="center"/>
            <w:hideMark/>
          </w:tcPr>
          <w:p w14:paraId="1CCDFD37"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заштите животне средине</w:t>
            </w:r>
          </w:p>
        </w:tc>
        <w:tc>
          <w:tcPr>
            <w:tcW w:w="1936" w:type="pct"/>
            <w:tcBorders>
              <w:top w:val="nil"/>
              <w:left w:val="nil"/>
              <w:bottom w:val="single" w:sz="8" w:space="0" w:color="auto"/>
              <w:right w:val="single" w:sz="8" w:space="0" w:color="auto"/>
            </w:tcBorders>
            <w:shd w:val="clear" w:color="auto" w:fill="auto"/>
            <w:vAlign w:val="center"/>
            <w:hideMark/>
          </w:tcPr>
          <w:p w14:paraId="2577DFC7"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Подстицаји за програме управљања заштићеним природним добрима од националног интереса.</w:t>
            </w:r>
          </w:p>
        </w:tc>
        <w:tc>
          <w:tcPr>
            <w:tcW w:w="1007" w:type="pct"/>
            <w:tcBorders>
              <w:top w:val="nil"/>
              <w:left w:val="nil"/>
              <w:bottom w:val="single" w:sz="8" w:space="0" w:color="auto"/>
              <w:right w:val="single" w:sz="8" w:space="0" w:color="auto"/>
            </w:tcBorders>
            <w:shd w:val="clear" w:color="auto" w:fill="auto"/>
            <w:noWrap/>
            <w:vAlign w:val="center"/>
            <w:hideMark/>
          </w:tcPr>
          <w:p w14:paraId="02D0A2F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85.000.000</w:t>
            </w:r>
          </w:p>
        </w:tc>
      </w:tr>
      <w:tr w:rsidR="00604D50" w:rsidRPr="002C3A49" w14:paraId="268C57CC" w14:textId="77777777" w:rsidTr="00917B0C">
        <w:trPr>
          <w:gridAfter w:val="1"/>
          <w:wAfter w:w="4" w:type="pct"/>
          <w:trHeight w:val="58"/>
        </w:trPr>
        <w:tc>
          <w:tcPr>
            <w:tcW w:w="475" w:type="pct"/>
            <w:vMerge/>
            <w:tcBorders>
              <w:top w:val="nil"/>
              <w:left w:val="single" w:sz="8" w:space="0" w:color="auto"/>
              <w:bottom w:val="single" w:sz="8" w:space="0" w:color="000000"/>
              <w:right w:val="single" w:sz="8" w:space="0" w:color="auto"/>
            </w:tcBorders>
            <w:vAlign w:val="center"/>
          </w:tcPr>
          <w:p w14:paraId="28C92649"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tcPr>
          <w:p w14:paraId="47CE8D6B"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5A1425F9"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Подстицаји за поновну употребу и искоришћење отпада.</w:t>
            </w:r>
          </w:p>
        </w:tc>
        <w:tc>
          <w:tcPr>
            <w:tcW w:w="1007" w:type="pct"/>
            <w:tcBorders>
              <w:top w:val="nil"/>
              <w:left w:val="nil"/>
              <w:bottom w:val="single" w:sz="8" w:space="0" w:color="auto"/>
              <w:right w:val="single" w:sz="8" w:space="0" w:color="auto"/>
            </w:tcBorders>
            <w:shd w:val="clear" w:color="auto" w:fill="auto"/>
            <w:noWrap/>
            <w:vAlign w:val="center"/>
          </w:tcPr>
          <w:p w14:paraId="5201B512"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1.400.000.000</w:t>
            </w:r>
          </w:p>
        </w:tc>
      </w:tr>
      <w:tr w:rsidR="00604D50" w:rsidRPr="002C3A49" w14:paraId="1E8727CE" w14:textId="77777777" w:rsidTr="00917B0C">
        <w:trPr>
          <w:gridAfter w:val="1"/>
          <w:wAfter w:w="4" w:type="pct"/>
          <w:trHeight w:val="58"/>
        </w:trPr>
        <w:tc>
          <w:tcPr>
            <w:tcW w:w="475" w:type="pct"/>
            <w:vMerge/>
            <w:tcBorders>
              <w:top w:val="nil"/>
              <w:left w:val="single" w:sz="8" w:space="0" w:color="auto"/>
              <w:bottom w:val="single" w:sz="8" w:space="0" w:color="000000"/>
              <w:right w:val="single" w:sz="8" w:space="0" w:color="auto"/>
            </w:tcBorders>
            <w:vAlign w:val="center"/>
            <w:hideMark/>
          </w:tcPr>
          <w:p w14:paraId="7110E1EE"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578" w:type="pct"/>
            <w:vMerge/>
            <w:tcBorders>
              <w:top w:val="nil"/>
              <w:left w:val="single" w:sz="8" w:space="0" w:color="auto"/>
              <w:bottom w:val="single" w:sz="8" w:space="0" w:color="000000"/>
              <w:right w:val="single" w:sz="8" w:space="0" w:color="auto"/>
            </w:tcBorders>
            <w:vAlign w:val="center"/>
            <w:hideMark/>
          </w:tcPr>
          <w:p w14:paraId="2FB869D6"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50C112AE"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Суфинансирање реализације пројеката заштите и очувања животне средине</w:t>
            </w:r>
          </w:p>
        </w:tc>
        <w:tc>
          <w:tcPr>
            <w:tcW w:w="1007" w:type="pct"/>
            <w:tcBorders>
              <w:top w:val="nil"/>
              <w:left w:val="nil"/>
              <w:bottom w:val="single" w:sz="8" w:space="0" w:color="auto"/>
              <w:right w:val="single" w:sz="8" w:space="0" w:color="auto"/>
            </w:tcBorders>
            <w:shd w:val="clear" w:color="auto" w:fill="auto"/>
            <w:noWrap/>
            <w:vAlign w:val="center"/>
          </w:tcPr>
          <w:p w14:paraId="19F6722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555.000.000</w:t>
            </w:r>
          </w:p>
        </w:tc>
      </w:tr>
      <w:tr w:rsidR="00604D50" w:rsidRPr="002C3A49" w14:paraId="6B1B6E8C" w14:textId="77777777" w:rsidTr="00917B0C">
        <w:trPr>
          <w:gridAfter w:val="1"/>
          <w:wAfter w:w="4" w:type="pct"/>
          <w:trHeight w:val="110"/>
        </w:trPr>
        <w:tc>
          <w:tcPr>
            <w:tcW w:w="475" w:type="pct"/>
            <w:tcBorders>
              <w:top w:val="nil"/>
              <w:left w:val="single" w:sz="8" w:space="0" w:color="auto"/>
              <w:bottom w:val="single" w:sz="8" w:space="0" w:color="auto"/>
              <w:right w:val="single" w:sz="8" w:space="0" w:color="auto"/>
            </w:tcBorders>
            <w:shd w:val="clear" w:color="auto" w:fill="auto"/>
            <w:noWrap/>
            <w:vAlign w:val="center"/>
          </w:tcPr>
          <w:p w14:paraId="420EBC30"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20</w:t>
            </w:r>
          </w:p>
        </w:tc>
        <w:tc>
          <w:tcPr>
            <w:tcW w:w="1578" w:type="pct"/>
            <w:tcBorders>
              <w:top w:val="nil"/>
              <w:left w:val="nil"/>
              <w:bottom w:val="single" w:sz="8" w:space="0" w:color="auto"/>
              <w:right w:val="single" w:sz="8" w:space="0" w:color="auto"/>
            </w:tcBorders>
            <w:shd w:val="clear" w:color="auto" w:fill="auto"/>
            <w:vAlign w:val="center"/>
          </w:tcPr>
          <w:p w14:paraId="4A5659AD"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здравља</w:t>
            </w:r>
          </w:p>
        </w:tc>
        <w:tc>
          <w:tcPr>
            <w:tcW w:w="1936" w:type="pct"/>
            <w:tcBorders>
              <w:top w:val="nil"/>
              <w:left w:val="nil"/>
              <w:bottom w:val="single" w:sz="8" w:space="0" w:color="auto"/>
              <w:right w:val="single" w:sz="8" w:space="0" w:color="auto"/>
            </w:tcBorders>
            <w:shd w:val="clear" w:color="auto" w:fill="auto"/>
            <w:vAlign w:val="center"/>
          </w:tcPr>
          <w:p w14:paraId="6DBB0C53"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Финансијски кредити ЕИБ-а за реконструкцију Клиничког центра Војводине.</w:t>
            </w:r>
          </w:p>
        </w:tc>
        <w:tc>
          <w:tcPr>
            <w:tcW w:w="1007" w:type="pct"/>
            <w:tcBorders>
              <w:top w:val="nil"/>
              <w:left w:val="nil"/>
              <w:bottom w:val="single" w:sz="8" w:space="0" w:color="auto"/>
              <w:right w:val="single" w:sz="8" w:space="0" w:color="auto"/>
            </w:tcBorders>
            <w:shd w:val="clear" w:color="auto" w:fill="auto"/>
            <w:noWrap/>
            <w:vAlign w:val="center"/>
          </w:tcPr>
          <w:p w14:paraId="3BD4BB1F"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2.969.700.000</w:t>
            </w:r>
          </w:p>
        </w:tc>
      </w:tr>
      <w:tr w:rsidR="00604D50" w:rsidRPr="002C3A49" w14:paraId="4CB34C41" w14:textId="77777777" w:rsidTr="00917B0C">
        <w:trPr>
          <w:gridAfter w:val="1"/>
          <w:wAfter w:w="4" w:type="pct"/>
          <w:trHeight w:val="110"/>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166CEC58"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21</w:t>
            </w:r>
          </w:p>
        </w:tc>
        <w:tc>
          <w:tcPr>
            <w:tcW w:w="1578" w:type="pct"/>
            <w:tcBorders>
              <w:top w:val="nil"/>
              <w:left w:val="nil"/>
              <w:bottom w:val="single" w:sz="8" w:space="0" w:color="auto"/>
              <w:right w:val="single" w:sz="8" w:space="0" w:color="auto"/>
            </w:tcBorders>
            <w:shd w:val="clear" w:color="auto" w:fill="auto"/>
            <w:vAlign w:val="center"/>
            <w:hideMark/>
          </w:tcPr>
          <w:p w14:paraId="6BB3ACA1"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за рад, запошљавање, борачка и социјална питања</w:t>
            </w:r>
          </w:p>
        </w:tc>
        <w:tc>
          <w:tcPr>
            <w:tcW w:w="1936" w:type="pct"/>
            <w:tcBorders>
              <w:top w:val="nil"/>
              <w:left w:val="nil"/>
              <w:bottom w:val="single" w:sz="8" w:space="0" w:color="auto"/>
              <w:right w:val="single" w:sz="8" w:space="0" w:color="auto"/>
            </w:tcBorders>
            <w:shd w:val="clear" w:color="auto" w:fill="auto"/>
            <w:vAlign w:val="center"/>
            <w:hideMark/>
          </w:tcPr>
          <w:p w14:paraId="66F29353"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Закон о социјалној заштити.</w:t>
            </w:r>
          </w:p>
        </w:tc>
        <w:tc>
          <w:tcPr>
            <w:tcW w:w="1007" w:type="pct"/>
            <w:tcBorders>
              <w:top w:val="nil"/>
              <w:left w:val="nil"/>
              <w:bottom w:val="single" w:sz="8" w:space="0" w:color="auto"/>
              <w:right w:val="single" w:sz="8" w:space="0" w:color="auto"/>
            </w:tcBorders>
            <w:shd w:val="clear" w:color="auto" w:fill="auto"/>
            <w:noWrap/>
            <w:vAlign w:val="center"/>
            <w:hideMark/>
          </w:tcPr>
          <w:p w14:paraId="030AB44B"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227.190.000</w:t>
            </w:r>
          </w:p>
        </w:tc>
      </w:tr>
      <w:tr w:rsidR="00604D50" w:rsidRPr="002C3A49" w14:paraId="1FB7E62C" w14:textId="77777777" w:rsidTr="00917B0C">
        <w:trPr>
          <w:gridAfter w:val="1"/>
          <w:wAfter w:w="4" w:type="pct"/>
          <w:trHeight w:val="485"/>
        </w:trPr>
        <w:tc>
          <w:tcPr>
            <w:tcW w:w="475" w:type="pct"/>
            <w:vMerge w:val="restart"/>
            <w:tcBorders>
              <w:top w:val="nil"/>
              <w:left w:val="single" w:sz="8" w:space="0" w:color="auto"/>
              <w:right w:val="single" w:sz="8" w:space="0" w:color="auto"/>
            </w:tcBorders>
            <w:vAlign w:val="center"/>
            <w:hideMark/>
          </w:tcPr>
          <w:p w14:paraId="15813D7F"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22</w:t>
            </w:r>
          </w:p>
        </w:tc>
        <w:tc>
          <w:tcPr>
            <w:tcW w:w="1578" w:type="pct"/>
            <w:vMerge w:val="restart"/>
            <w:tcBorders>
              <w:top w:val="nil"/>
              <w:left w:val="single" w:sz="8" w:space="0" w:color="auto"/>
              <w:right w:val="single" w:sz="8" w:space="0" w:color="auto"/>
            </w:tcBorders>
            <w:vAlign w:val="center"/>
            <w:hideMark/>
          </w:tcPr>
          <w:p w14:paraId="1A21007D"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просвете</w:t>
            </w:r>
          </w:p>
        </w:tc>
        <w:tc>
          <w:tcPr>
            <w:tcW w:w="1936" w:type="pct"/>
            <w:tcBorders>
              <w:left w:val="nil"/>
              <w:bottom w:val="single" w:sz="8" w:space="0" w:color="auto"/>
              <w:right w:val="single" w:sz="8" w:space="0" w:color="auto"/>
            </w:tcBorders>
            <w:shd w:val="clear" w:color="auto" w:fill="auto"/>
            <w:vAlign w:val="center"/>
          </w:tcPr>
          <w:p w14:paraId="7F1C7C98"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Расходи за запослене у средњем образовању и ученичком и студентском стандарду</w:t>
            </w:r>
          </w:p>
        </w:tc>
        <w:tc>
          <w:tcPr>
            <w:tcW w:w="1007" w:type="pct"/>
            <w:tcBorders>
              <w:top w:val="nil"/>
              <w:left w:val="nil"/>
              <w:bottom w:val="single" w:sz="8" w:space="0" w:color="auto"/>
              <w:right w:val="single" w:sz="8" w:space="0" w:color="auto"/>
            </w:tcBorders>
            <w:shd w:val="clear" w:color="auto" w:fill="auto"/>
            <w:noWrap/>
            <w:vAlign w:val="center"/>
            <w:hideMark/>
          </w:tcPr>
          <w:p w14:paraId="02E4D479"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13.598.299.000</w:t>
            </w:r>
          </w:p>
        </w:tc>
      </w:tr>
      <w:tr w:rsidR="00604D50" w:rsidRPr="002C3A49" w14:paraId="1BA934E5" w14:textId="77777777" w:rsidTr="00917B0C">
        <w:trPr>
          <w:gridAfter w:val="1"/>
          <w:wAfter w:w="4" w:type="pct"/>
          <w:trHeight w:val="58"/>
        </w:trPr>
        <w:tc>
          <w:tcPr>
            <w:tcW w:w="475" w:type="pct"/>
            <w:vMerge/>
            <w:tcBorders>
              <w:left w:val="single" w:sz="8" w:space="0" w:color="auto"/>
              <w:bottom w:val="single" w:sz="8" w:space="0" w:color="auto"/>
              <w:right w:val="single" w:sz="8" w:space="0" w:color="auto"/>
            </w:tcBorders>
            <w:shd w:val="clear" w:color="auto" w:fill="auto"/>
            <w:noWrap/>
            <w:vAlign w:val="center"/>
          </w:tcPr>
          <w:p w14:paraId="6D05F303" w14:textId="77777777" w:rsidR="00604D50" w:rsidRPr="002C3A49" w:rsidRDefault="00604D50" w:rsidP="00BF7A9D">
            <w:pPr>
              <w:jc w:val="center"/>
              <w:rPr>
                <w:rFonts w:ascii="Times New Roman" w:hAnsi="Times New Roman"/>
                <w:noProof/>
                <w:color w:val="000000"/>
                <w:sz w:val="22"/>
                <w:szCs w:val="22"/>
                <w:lang w:val="sr-Cyrl-RS" w:eastAsia="sr-Latn-RS"/>
              </w:rPr>
            </w:pPr>
          </w:p>
        </w:tc>
        <w:tc>
          <w:tcPr>
            <w:tcW w:w="1578" w:type="pct"/>
            <w:vMerge/>
            <w:tcBorders>
              <w:left w:val="single" w:sz="8" w:space="0" w:color="auto"/>
              <w:bottom w:val="single" w:sz="8" w:space="0" w:color="auto"/>
              <w:right w:val="single" w:sz="8" w:space="0" w:color="auto"/>
            </w:tcBorders>
            <w:shd w:val="clear" w:color="auto" w:fill="auto"/>
            <w:vAlign w:val="center"/>
          </w:tcPr>
          <w:p w14:paraId="1848A072" w14:textId="77777777" w:rsidR="00604D50" w:rsidRPr="002C3A49" w:rsidRDefault="00604D50" w:rsidP="00BF7A9D">
            <w:pPr>
              <w:jc w:val="left"/>
              <w:rPr>
                <w:rFonts w:ascii="Times New Roman" w:hAnsi="Times New Roman"/>
                <w:noProof/>
                <w:color w:val="000000"/>
                <w:sz w:val="22"/>
                <w:szCs w:val="22"/>
                <w:lang w:val="sr-Cyrl-RS" w:eastAsia="sr-Latn-RS"/>
              </w:rPr>
            </w:pPr>
          </w:p>
        </w:tc>
        <w:tc>
          <w:tcPr>
            <w:tcW w:w="1936" w:type="pct"/>
            <w:tcBorders>
              <w:top w:val="nil"/>
              <w:left w:val="nil"/>
              <w:bottom w:val="single" w:sz="8" w:space="0" w:color="auto"/>
              <w:right w:val="single" w:sz="8" w:space="0" w:color="auto"/>
            </w:tcBorders>
            <w:shd w:val="clear" w:color="auto" w:fill="auto"/>
            <w:vAlign w:val="center"/>
          </w:tcPr>
          <w:p w14:paraId="353FEDB0"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Изградња образовно - научних центара.</w:t>
            </w:r>
          </w:p>
        </w:tc>
        <w:tc>
          <w:tcPr>
            <w:tcW w:w="1007" w:type="pct"/>
            <w:tcBorders>
              <w:top w:val="nil"/>
              <w:left w:val="nil"/>
              <w:bottom w:val="single" w:sz="8" w:space="0" w:color="auto"/>
              <w:right w:val="single" w:sz="8" w:space="0" w:color="auto"/>
            </w:tcBorders>
            <w:shd w:val="clear" w:color="auto" w:fill="auto"/>
            <w:noWrap/>
            <w:vAlign w:val="center"/>
          </w:tcPr>
          <w:p w14:paraId="708E3C38"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352.846.000</w:t>
            </w:r>
          </w:p>
        </w:tc>
      </w:tr>
      <w:tr w:rsidR="00604D50" w:rsidRPr="002C3A49" w14:paraId="3198B68F"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455EF51B"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23</w:t>
            </w:r>
          </w:p>
        </w:tc>
        <w:tc>
          <w:tcPr>
            <w:tcW w:w="1578" w:type="pct"/>
            <w:tcBorders>
              <w:top w:val="nil"/>
              <w:left w:val="nil"/>
              <w:bottom w:val="single" w:sz="8" w:space="0" w:color="auto"/>
              <w:right w:val="single" w:sz="8" w:space="0" w:color="auto"/>
            </w:tcBorders>
            <w:shd w:val="clear" w:color="auto" w:fill="auto"/>
            <w:vAlign w:val="center"/>
            <w:hideMark/>
          </w:tcPr>
          <w:p w14:paraId="66EDE453"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туризма и омладине</w:t>
            </w:r>
          </w:p>
        </w:tc>
        <w:tc>
          <w:tcPr>
            <w:tcW w:w="1936" w:type="pct"/>
            <w:tcBorders>
              <w:top w:val="nil"/>
              <w:left w:val="nil"/>
              <w:bottom w:val="single" w:sz="8" w:space="0" w:color="auto"/>
              <w:right w:val="single" w:sz="8" w:space="0" w:color="auto"/>
            </w:tcBorders>
            <w:shd w:val="clear" w:color="auto" w:fill="auto"/>
            <w:vAlign w:val="center"/>
            <w:hideMark/>
          </w:tcPr>
          <w:p w14:paraId="4F5D23FC"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Подршка раду „Парк Палић” д.о.о.</w:t>
            </w:r>
          </w:p>
        </w:tc>
        <w:tc>
          <w:tcPr>
            <w:tcW w:w="1007" w:type="pct"/>
            <w:tcBorders>
              <w:top w:val="nil"/>
              <w:left w:val="nil"/>
              <w:bottom w:val="single" w:sz="8" w:space="0" w:color="auto"/>
              <w:right w:val="single" w:sz="8" w:space="0" w:color="auto"/>
            </w:tcBorders>
            <w:shd w:val="clear" w:color="auto" w:fill="auto"/>
            <w:noWrap/>
            <w:vAlign w:val="center"/>
            <w:hideMark/>
          </w:tcPr>
          <w:p w14:paraId="433A6099"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10.000.000</w:t>
            </w:r>
          </w:p>
        </w:tc>
      </w:tr>
      <w:tr w:rsidR="00604D50" w:rsidRPr="002C3A49" w14:paraId="3ABB0F17" w14:textId="77777777" w:rsidTr="00917B0C">
        <w:trPr>
          <w:gridAfter w:val="1"/>
          <w:wAfter w:w="4" w:type="pct"/>
          <w:trHeight w:val="573"/>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4AA051C8" w14:textId="77777777" w:rsidR="00604D50" w:rsidRPr="002C3A49" w:rsidRDefault="00604D50" w:rsidP="00BF7A9D">
            <w:pPr>
              <w:jc w:val="cente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24</w:t>
            </w:r>
          </w:p>
        </w:tc>
        <w:tc>
          <w:tcPr>
            <w:tcW w:w="1578" w:type="pct"/>
            <w:tcBorders>
              <w:top w:val="nil"/>
              <w:left w:val="nil"/>
              <w:bottom w:val="single" w:sz="8" w:space="0" w:color="auto"/>
              <w:right w:val="single" w:sz="8" w:space="0" w:color="auto"/>
            </w:tcBorders>
            <w:shd w:val="clear" w:color="auto" w:fill="auto"/>
            <w:vAlign w:val="center"/>
            <w:hideMark/>
          </w:tcPr>
          <w:p w14:paraId="036E4A97" w14:textId="77777777" w:rsidR="00604D50" w:rsidRPr="002C3A49" w:rsidRDefault="00604D50" w:rsidP="00BF7A9D">
            <w:pPr>
              <w:jc w:val="lef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Министарство за јавна улагања</w:t>
            </w:r>
          </w:p>
        </w:tc>
        <w:tc>
          <w:tcPr>
            <w:tcW w:w="1936" w:type="pct"/>
            <w:tcBorders>
              <w:top w:val="nil"/>
              <w:left w:val="nil"/>
              <w:bottom w:val="single" w:sz="8" w:space="0" w:color="auto"/>
              <w:right w:val="single" w:sz="8" w:space="0" w:color="auto"/>
            </w:tcBorders>
            <w:shd w:val="clear" w:color="auto" w:fill="auto"/>
            <w:vAlign w:val="center"/>
            <w:hideMark/>
          </w:tcPr>
          <w:p w14:paraId="393029AB"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Обнова и унапређење објеката јавне намене.</w:t>
            </w:r>
          </w:p>
        </w:tc>
        <w:tc>
          <w:tcPr>
            <w:tcW w:w="1007" w:type="pct"/>
            <w:tcBorders>
              <w:top w:val="nil"/>
              <w:left w:val="nil"/>
              <w:bottom w:val="single" w:sz="8" w:space="0" w:color="auto"/>
              <w:right w:val="single" w:sz="8" w:space="0" w:color="auto"/>
            </w:tcBorders>
            <w:shd w:val="clear" w:color="auto" w:fill="auto"/>
            <w:noWrap/>
            <w:vAlign w:val="center"/>
            <w:hideMark/>
          </w:tcPr>
          <w:p w14:paraId="07BB6269" w14:textId="77777777" w:rsidR="00604D50" w:rsidRPr="002C3A49" w:rsidRDefault="00604D50" w:rsidP="00BF7A9D">
            <w:pPr>
              <w:jc w:val="right"/>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1.312.000.000</w:t>
            </w:r>
          </w:p>
        </w:tc>
      </w:tr>
      <w:tr w:rsidR="00604D50" w:rsidRPr="002C3A49" w14:paraId="25CFB560"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auto" w:fill="auto"/>
            <w:noWrap/>
            <w:vAlign w:val="center"/>
            <w:hideMark/>
          </w:tcPr>
          <w:p w14:paraId="353EC0FE"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II</w:t>
            </w:r>
          </w:p>
        </w:tc>
        <w:tc>
          <w:tcPr>
            <w:tcW w:w="1578" w:type="pct"/>
            <w:tcBorders>
              <w:top w:val="nil"/>
              <w:left w:val="nil"/>
              <w:bottom w:val="single" w:sz="8" w:space="0" w:color="auto"/>
              <w:right w:val="single" w:sz="8" w:space="0" w:color="auto"/>
            </w:tcBorders>
            <w:shd w:val="clear" w:color="auto" w:fill="auto"/>
            <w:noWrap/>
            <w:vAlign w:val="center"/>
            <w:hideMark/>
          </w:tcPr>
          <w:p w14:paraId="437EAFBB" w14:textId="77777777" w:rsidR="00604D50" w:rsidRPr="002C3A49" w:rsidRDefault="00604D50" w:rsidP="00BF7A9D">
            <w:pPr>
              <w:jc w:val="right"/>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СВЕГА (од 11 до 24)</w:t>
            </w:r>
          </w:p>
        </w:tc>
        <w:tc>
          <w:tcPr>
            <w:tcW w:w="1936" w:type="pct"/>
            <w:tcBorders>
              <w:top w:val="nil"/>
              <w:left w:val="nil"/>
              <w:bottom w:val="single" w:sz="8" w:space="0" w:color="auto"/>
              <w:right w:val="single" w:sz="8" w:space="0" w:color="auto"/>
            </w:tcBorders>
            <w:shd w:val="clear" w:color="auto" w:fill="auto"/>
            <w:noWrap/>
            <w:vAlign w:val="center"/>
            <w:hideMark/>
          </w:tcPr>
          <w:p w14:paraId="6E288281" w14:textId="77777777" w:rsidR="00604D50" w:rsidRPr="002C3A49" w:rsidRDefault="00604D50" w:rsidP="00BF7A9D">
            <w:pPr>
              <w:rPr>
                <w:rFonts w:ascii="Times New Roman" w:hAnsi="Times New Roman"/>
                <w:noProof/>
                <w:color w:val="000000"/>
                <w:sz w:val="22"/>
                <w:szCs w:val="22"/>
                <w:lang w:val="sr-Cyrl-RS" w:eastAsia="sr-Latn-RS"/>
              </w:rPr>
            </w:pPr>
            <w:r w:rsidRPr="002C3A49">
              <w:rPr>
                <w:rFonts w:ascii="Times New Roman" w:hAnsi="Times New Roman"/>
                <w:noProof/>
                <w:color w:val="000000"/>
                <w:sz w:val="22"/>
                <w:szCs w:val="22"/>
                <w:lang w:val="sr-Cyrl-RS" w:eastAsia="sr-Latn-RS"/>
              </w:rPr>
              <w:t> </w:t>
            </w:r>
          </w:p>
        </w:tc>
        <w:tc>
          <w:tcPr>
            <w:tcW w:w="1007" w:type="pct"/>
            <w:tcBorders>
              <w:top w:val="nil"/>
              <w:left w:val="nil"/>
              <w:bottom w:val="single" w:sz="8" w:space="0" w:color="auto"/>
              <w:right w:val="single" w:sz="8" w:space="0" w:color="auto"/>
            </w:tcBorders>
            <w:shd w:val="clear" w:color="auto" w:fill="auto"/>
            <w:noWrap/>
            <w:vAlign w:val="center"/>
            <w:hideMark/>
          </w:tcPr>
          <w:p w14:paraId="23238C72" w14:textId="77777777" w:rsidR="00604D50" w:rsidRPr="002C3A49" w:rsidRDefault="00604D50" w:rsidP="00BF7A9D">
            <w:pPr>
              <w:jc w:val="right"/>
              <w:rPr>
                <w:rFonts w:ascii="Times New Roman" w:hAnsi="Times New Roman"/>
                <w:b/>
                <w:bCs/>
                <w:noProof/>
                <w:color w:val="000000"/>
                <w:sz w:val="22"/>
                <w:szCs w:val="22"/>
                <w:lang w:val="sr-Cyrl-RS"/>
              </w:rPr>
            </w:pPr>
            <w:r w:rsidRPr="002C3A49">
              <w:rPr>
                <w:rFonts w:ascii="Times New Roman" w:hAnsi="Times New Roman"/>
                <w:b/>
                <w:bCs/>
                <w:noProof/>
                <w:color w:val="000000"/>
                <w:sz w:val="22"/>
                <w:szCs w:val="22"/>
                <w:lang w:val="sr-Cyrl-RS" w:eastAsia="sr-Latn-RS"/>
              </w:rPr>
              <w:t>100.249.984.483</w:t>
            </w:r>
          </w:p>
        </w:tc>
      </w:tr>
      <w:tr w:rsidR="00604D50" w:rsidRPr="002C3A49" w14:paraId="2AEABE05" w14:textId="77777777" w:rsidTr="00917B0C">
        <w:trPr>
          <w:gridAfter w:val="1"/>
          <w:wAfter w:w="4" w:type="pct"/>
          <w:trHeight w:val="58"/>
        </w:trPr>
        <w:tc>
          <w:tcPr>
            <w:tcW w:w="475" w:type="pct"/>
            <w:tcBorders>
              <w:top w:val="nil"/>
              <w:left w:val="single" w:sz="8" w:space="0" w:color="auto"/>
              <w:bottom w:val="single" w:sz="8" w:space="0" w:color="auto"/>
              <w:right w:val="single" w:sz="8" w:space="0" w:color="auto"/>
            </w:tcBorders>
            <w:shd w:val="clear" w:color="000000" w:fill="A6A6A6"/>
            <w:noWrap/>
            <w:vAlign w:val="center"/>
            <w:hideMark/>
          </w:tcPr>
          <w:p w14:paraId="2C6DF40D" w14:textId="77777777" w:rsidR="00604D50" w:rsidRPr="002C3A49" w:rsidRDefault="00604D50" w:rsidP="00BF7A9D">
            <w:pPr>
              <w:jc w:val="center"/>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 </w:t>
            </w:r>
          </w:p>
        </w:tc>
        <w:tc>
          <w:tcPr>
            <w:tcW w:w="3514" w:type="pct"/>
            <w:gridSpan w:val="2"/>
            <w:tcBorders>
              <w:top w:val="nil"/>
              <w:left w:val="nil"/>
              <w:bottom w:val="single" w:sz="8" w:space="0" w:color="auto"/>
              <w:right w:val="single" w:sz="8" w:space="0" w:color="auto"/>
            </w:tcBorders>
            <w:shd w:val="clear" w:color="000000" w:fill="A6A6A6"/>
            <w:noWrap/>
            <w:vAlign w:val="center"/>
            <w:hideMark/>
          </w:tcPr>
          <w:p w14:paraId="113857D7" w14:textId="77777777" w:rsidR="00604D50" w:rsidRPr="002C3A49" w:rsidRDefault="00604D50" w:rsidP="00BF7A9D">
            <w:pPr>
              <w:jc w:val="right"/>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УКУПНО (I+II)  </w:t>
            </w:r>
          </w:p>
        </w:tc>
        <w:tc>
          <w:tcPr>
            <w:tcW w:w="1007" w:type="pct"/>
            <w:tcBorders>
              <w:top w:val="nil"/>
              <w:left w:val="nil"/>
              <w:bottom w:val="single" w:sz="8" w:space="0" w:color="auto"/>
              <w:right w:val="single" w:sz="8" w:space="0" w:color="auto"/>
            </w:tcBorders>
            <w:shd w:val="clear" w:color="000000" w:fill="A6A6A6"/>
            <w:noWrap/>
            <w:vAlign w:val="center"/>
            <w:hideMark/>
          </w:tcPr>
          <w:p w14:paraId="398E80AA" w14:textId="77777777" w:rsidR="00604D50" w:rsidRPr="002C3A49" w:rsidRDefault="00604D50" w:rsidP="00BF7A9D">
            <w:pPr>
              <w:jc w:val="right"/>
              <w:rPr>
                <w:rFonts w:ascii="Times New Roman" w:hAnsi="Times New Roman"/>
                <w:b/>
                <w:bCs/>
                <w:noProof/>
                <w:color w:val="000000"/>
                <w:sz w:val="22"/>
                <w:szCs w:val="22"/>
                <w:lang w:val="sr-Cyrl-RS" w:eastAsia="sr-Latn-RS"/>
              </w:rPr>
            </w:pPr>
            <w:r w:rsidRPr="002C3A49">
              <w:rPr>
                <w:rFonts w:ascii="Times New Roman" w:hAnsi="Times New Roman"/>
                <w:b/>
                <w:bCs/>
                <w:noProof/>
                <w:color w:val="000000"/>
                <w:sz w:val="22"/>
                <w:szCs w:val="22"/>
                <w:lang w:val="sr-Cyrl-RS" w:eastAsia="sr-Latn-RS"/>
              </w:rPr>
              <w:t>149.408.869.221</w:t>
            </w:r>
          </w:p>
        </w:tc>
      </w:tr>
    </w:tbl>
    <w:p w14:paraId="1BD5EC92" w14:textId="7055E058" w:rsidR="00675C3D" w:rsidRPr="002C3A49" w:rsidRDefault="00675C3D" w:rsidP="00827361">
      <w:pPr>
        <w:tabs>
          <w:tab w:val="left" w:pos="720"/>
        </w:tabs>
        <w:outlineLvl w:val="0"/>
        <w:rPr>
          <w:rFonts w:ascii="Times New Roman" w:hAnsi="Times New Roman"/>
          <w:noProof/>
          <w:szCs w:val="24"/>
          <w:lang w:val="sr-Cyrl-RS"/>
        </w:rPr>
      </w:pPr>
    </w:p>
    <w:p w14:paraId="7F3AD78E" w14:textId="4A7C133F" w:rsidR="00E76809" w:rsidRPr="002C3A49" w:rsidRDefault="00F33D49" w:rsidP="00827361">
      <w:pPr>
        <w:tabs>
          <w:tab w:val="left" w:pos="720"/>
        </w:tabs>
        <w:outlineLvl w:val="0"/>
        <w:rPr>
          <w:rStyle w:val="CharCharChar5"/>
          <w:rFonts w:ascii="Times New Roman" w:hAnsi="Times New Roman"/>
          <w:noProof/>
          <w:szCs w:val="24"/>
          <w:lang w:val="sr-Cyrl-RS"/>
        </w:rPr>
      </w:pPr>
      <w:r w:rsidRPr="002C3A49">
        <w:rPr>
          <w:rStyle w:val="CharCharChar5"/>
          <w:rFonts w:ascii="Times New Roman" w:hAnsi="Times New Roman"/>
          <w:noProof/>
          <w:szCs w:val="24"/>
          <w:lang w:val="sr-Cyrl-RS"/>
        </w:rPr>
        <w:tab/>
      </w:r>
      <w:r w:rsidR="007104F0" w:rsidRPr="002C3A49">
        <w:rPr>
          <w:rStyle w:val="CharCharChar5"/>
          <w:rFonts w:ascii="Times New Roman" w:hAnsi="Times New Roman"/>
          <w:noProof/>
          <w:szCs w:val="24"/>
          <w:lang w:val="sr-Cyrl-RS"/>
        </w:rPr>
        <w:t>У складу са Законом о финансирању локалне самоуправе утврђен је годишњи износ укупног ненаменског трансфера, који се распоређује јединицама локалне самоуправе, у укупном износу од</w:t>
      </w:r>
      <w:r w:rsidR="001D6C5D" w:rsidRPr="002C3A49">
        <w:rPr>
          <w:rStyle w:val="CharCharChar5"/>
          <w:rFonts w:ascii="Times New Roman" w:hAnsi="Times New Roman"/>
          <w:noProof/>
          <w:szCs w:val="24"/>
          <w:lang w:val="sr-Cyrl-RS"/>
        </w:rPr>
        <w:t xml:space="preserve"> 33,3 млрд</w:t>
      </w:r>
      <w:r w:rsidR="007104F0" w:rsidRPr="002C3A49">
        <w:rPr>
          <w:rStyle w:val="CharCharChar5"/>
          <w:rFonts w:ascii="Times New Roman" w:hAnsi="Times New Roman"/>
          <w:noProof/>
          <w:szCs w:val="24"/>
          <w:lang w:val="sr-Cyrl-RS"/>
        </w:rPr>
        <w:t xml:space="preserve"> динара</w:t>
      </w:r>
      <w:r w:rsidR="003553BC" w:rsidRPr="002C3A49">
        <w:rPr>
          <w:rStyle w:val="CharCharChar5"/>
          <w:rFonts w:ascii="Times New Roman" w:hAnsi="Times New Roman"/>
          <w:noProof/>
          <w:szCs w:val="24"/>
          <w:lang w:val="sr-Cyrl-RS"/>
        </w:rPr>
        <w:t>.</w:t>
      </w:r>
    </w:p>
    <w:p w14:paraId="03C99DE2" w14:textId="12606100" w:rsidR="004B640B" w:rsidRPr="002C3A49" w:rsidRDefault="004467A9" w:rsidP="008C16FD">
      <w:pPr>
        <w:rPr>
          <w:rStyle w:val="CharCharChar5"/>
          <w:rFonts w:ascii="Times New Roman" w:hAnsi="Times New Roman"/>
          <w:noProof/>
          <w:szCs w:val="24"/>
          <w:lang w:val="sr-Cyrl-RS"/>
        </w:rPr>
      </w:pPr>
      <w:r w:rsidRPr="002C3A49">
        <w:rPr>
          <w:rStyle w:val="CharCharChar5"/>
          <w:rFonts w:ascii="Times New Roman" w:hAnsi="Times New Roman"/>
          <w:noProof/>
          <w:szCs w:val="24"/>
          <w:lang w:val="sr-Cyrl-RS"/>
        </w:rPr>
        <w:tab/>
        <w:t>Остали трансфери (наменски) планирани су</w:t>
      </w:r>
      <w:r w:rsidR="00035478" w:rsidRPr="002C3A49">
        <w:rPr>
          <w:rStyle w:val="CharCharChar5"/>
          <w:rFonts w:ascii="Times New Roman" w:hAnsi="Times New Roman"/>
          <w:noProof/>
          <w:szCs w:val="24"/>
          <w:lang w:val="sr-Cyrl-RS"/>
        </w:rPr>
        <w:t xml:space="preserve"> за</w:t>
      </w:r>
      <w:r w:rsidR="00975661" w:rsidRPr="002C3A49">
        <w:rPr>
          <w:rStyle w:val="CharCharChar5"/>
          <w:rFonts w:ascii="Times New Roman" w:hAnsi="Times New Roman"/>
          <w:noProof/>
          <w:szCs w:val="24"/>
          <w:lang w:val="sr-Cyrl-RS"/>
        </w:rPr>
        <w:t>:</w:t>
      </w:r>
      <w:r w:rsidR="00035478" w:rsidRPr="002C3A49">
        <w:rPr>
          <w:rStyle w:val="CharCharChar5"/>
          <w:rFonts w:ascii="Times New Roman" w:hAnsi="Times New Roman"/>
          <w:noProof/>
          <w:szCs w:val="24"/>
          <w:lang w:val="sr-Cyrl-RS"/>
        </w:rPr>
        <w:t xml:space="preserve"> </w:t>
      </w:r>
      <w:r w:rsidR="0084707F" w:rsidRPr="002C3A49">
        <w:rPr>
          <w:rStyle w:val="CharCharChar5"/>
          <w:rFonts w:ascii="Times New Roman" w:hAnsi="Times New Roman"/>
          <w:noProof/>
          <w:szCs w:val="24"/>
          <w:lang w:val="sr-Cyrl-RS"/>
        </w:rPr>
        <w:t>подршку функционисању и унапређењу локалних административних капацитета</w:t>
      </w:r>
      <w:r w:rsidR="00035478" w:rsidRPr="002C3A49">
        <w:rPr>
          <w:rStyle w:val="CharCharChar5"/>
          <w:rFonts w:ascii="Times New Roman" w:hAnsi="Times New Roman"/>
          <w:noProof/>
          <w:szCs w:val="24"/>
          <w:lang w:val="sr-Cyrl-RS"/>
        </w:rPr>
        <w:t xml:space="preserve"> </w:t>
      </w:r>
      <w:r w:rsidR="0071189C" w:rsidRPr="002C3A49">
        <w:rPr>
          <w:rStyle w:val="CharCharChar5"/>
          <w:rFonts w:ascii="Times New Roman" w:hAnsi="Times New Roman"/>
          <w:noProof/>
          <w:szCs w:val="24"/>
          <w:lang w:val="sr-Cyrl-RS"/>
        </w:rPr>
        <w:t xml:space="preserve">као и за изградњу и реконструкцију стамбених објеката </w:t>
      </w:r>
      <w:r w:rsidR="00035478" w:rsidRPr="002C3A49">
        <w:rPr>
          <w:rStyle w:val="CharCharChar5"/>
          <w:rFonts w:ascii="Times New Roman" w:hAnsi="Times New Roman"/>
          <w:noProof/>
          <w:szCs w:val="24"/>
          <w:lang w:val="sr-Cyrl-RS"/>
        </w:rPr>
        <w:t xml:space="preserve">на територији АП Косово и Метохија, </w:t>
      </w:r>
      <w:r w:rsidR="0084707F" w:rsidRPr="002C3A49">
        <w:rPr>
          <w:rStyle w:val="CharCharChar5"/>
          <w:rFonts w:ascii="Times New Roman" w:hAnsi="Times New Roman"/>
          <w:noProof/>
          <w:szCs w:val="24"/>
          <w:lang w:val="sr-Cyrl-RS"/>
        </w:rPr>
        <w:t xml:space="preserve">подршку ЈЛС за унапређење безбедности саобраћаја, </w:t>
      </w:r>
      <w:r w:rsidR="00035478" w:rsidRPr="002C3A49">
        <w:rPr>
          <w:rStyle w:val="CharCharChar5"/>
          <w:rFonts w:ascii="Times New Roman" w:hAnsi="Times New Roman"/>
          <w:noProof/>
          <w:szCs w:val="24"/>
          <w:lang w:val="sr-Cyrl-RS"/>
        </w:rPr>
        <w:t>подршку развоју и функционисању система локалне самоуправе, спровођење програма интегралног развоја Југозападне Србије</w:t>
      </w:r>
      <w:r w:rsidR="00FC0D97" w:rsidRPr="002C3A49">
        <w:rPr>
          <w:rStyle w:val="CharCharChar5"/>
          <w:rFonts w:ascii="Times New Roman" w:hAnsi="Times New Roman"/>
          <w:noProof/>
          <w:szCs w:val="24"/>
          <w:lang w:val="sr-Cyrl-RS"/>
        </w:rPr>
        <w:t>,</w:t>
      </w:r>
      <w:r w:rsidR="00035478" w:rsidRPr="002C3A49">
        <w:rPr>
          <w:rStyle w:val="CharCharChar5"/>
          <w:rFonts w:ascii="Times New Roman" w:hAnsi="Times New Roman"/>
          <w:noProof/>
          <w:szCs w:val="24"/>
          <w:lang w:val="sr-Cyrl-RS"/>
        </w:rPr>
        <w:t xml:space="preserve"> изградњу београдског метроа, </w:t>
      </w:r>
      <w:r w:rsidR="0071189C" w:rsidRPr="002C3A49">
        <w:rPr>
          <w:rStyle w:val="CharCharChar5"/>
          <w:rFonts w:ascii="Times New Roman" w:hAnsi="Times New Roman"/>
          <w:noProof/>
          <w:szCs w:val="24"/>
          <w:lang w:val="sr-Cyrl-RS"/>
        </w:rPr>
        <w:t>управљање заштитом животне средине; санациј</w:t>
      </w:r>
      <w:r w:rsidR="009A7452" w:rsidRPr="002C3A49">
        <w:rPr>
          <w:rStyle w:val="CharCharChar5"/>
          <w:rFonts w:ascii="Times New Roman" w:hAnsi="Times New Roman"/>
          <w:noProof/>
          <w:szCs w:val="24"/>
          <w:lang w:val="sr-Cyrl-RS"/>
        </w:rPr>
        <w:t>у</w:t>
      </w:r>
      <w:r w:rsidR="0071189C" w:rsidRPr="002C3A49">
        <w:rPr>
          <w:rStyle w:val="CharCharChar5"/>
          <w:rFonts w:ascii="Times New Roman" w:hAnsi="Times New Roman"/>
          <w:noProof/>
          <w:szCs w:val="24"/>
          <w:lang w:val="sr-Cyrl-RS"/>
        </w:rPr>
        <w:t xml:space="preserve"> и затварање несанитарних депонија; реализација делатности </w:t>
      </w:r>
      <w:r w:rsidR="0054456B" w:rsidRPr="002C3A49">
        <w:rPr>
          <w:rStyle w:val="CharCharChar5"/>
          <w:rFonts w:ascii="Times New Roman" w:hAnsi="Times New Roman"/>
          <w:noProof/>
          <w:szCs w:val="24"/>
          <w:lang w:val="sr-Cyrl-RS"/>
        </w:rPr>
        <w:t xml:space="preserve">предшколског васпитања и </w:t>
      </w:r>
      <w:r w:rsidR="0071189C" w:rsidRPr="002C3A49">
        <w:rPr>
          <w:rStyle w:val="CharCharChar5"/>
          <w:rFonts w:ascii="Times New Roman" w:hAnsi="Times New Roman"/>
          <w:noProof/>
          <w:szCs w:val="24"/>
          <w:lang w:val="sr-Cyrl-RS"/>
        </w:rPr>
        <w:t xml:space="preserve">основног образовања; </w:t>
      </w:r>
      <w:r w:rsidR="00427F02" w:rsidRPr="002C3A49">
        <w:rPr>
          <w:rFonts w:ascii="Times New Roman" w:hAnsi="Times New Roman"/>
          <w:noProof/>
          <w:color w:val="000000"/>
          <w:szCs w:val="24"/>
          <w:lang w:val="sr-Cyrl-RS"/>
        </w:rPr>
        <w:t xml:space="preserve">подршку раду Универзитета у Новом Саду, </w:t>
      </w:r>
      <w:r w:rsidR="00035478" w:rsidRPr="002C3A49">
        <w:rPr>
          <w:rStyle w:val="CharCharChar5"/>
          <w:rFonts w:ascii="Times New Roman" w:hAnsi="Times New Roman"/>
          <w:noProof/>
          <w:szCs w:val="24"/>
          <w:lang w:val="sr-Cyrl-RS"/>
        </w:rPr>
        <w:t>спровођење мера за унапређење енергетске ефикасности, финансирање основне делатности јавних медијских сервиса - Радио-телевизија Војводине</w:t>
      </w:r>
      <w:r w:rsidR="0071189C" w:rsidRPr="002C3A49">
        <w:rPr>
          <w:rStyle w:val="CharCharChar5"/>
          <w:rFonts w:ascii="Times New Roman" w:hAnsi="Times New Roman"/>
          <w:noProof/>
          <w:szCs w:val="24"/>
          <w:lang w:val="sr-Cyrl-RS"/>
        </w:rPr>
        <w:t>; подстицај</w:t>
      </w:r>
      <w:r w:rsidR="009A7452" w:rsidRPr="002C3A49">
        <w:rPr>
          <w:rStyle w:val="CharCharChar5"/>
          <w:rFonts w:ascii="Times New Roman" w:hAnsi="Times New Roman"/>
          <w:noProof/>
          <w:szCs w:val="24"/>
          <w:lang w:val="sr-Cyrl-RS"/>
        </w:rPr>
        <w:t>е</w:t>
      </w:r>
      <w:r w:rsidR="0071189C" w:rsidRPr="002C3A49">
        <w:rPr>
          <w:rStyle w:val="CharCharChar5"/>
          <w:rFonts w:ascii="Times New Roman" w:hAnsi="Times New Roman"/>
          <w:noProof/>
          <w:szCs w:val="24"/>
          <w:lang w:val="sr-Cyrl-RS"/>
        </w:rPr>
        <w:t xml:space="preserve"> за изградњу инфраструктуре и супраструктуре у туристичким дестинацијама </w:t>
      </w:r>
      <w:r w:rsidR="007A3EC7" w:rsidRPr="002C3A49">
        <w:rPr>
          <w:rStyle w:val="CharCharChar5"/>
          <w:rFonts w:ascii="Times New Roman" w:hAnsi="Times New Roman"/>
          <w:noProof/>
          <w:szCs w:val="24"/>
          <w:lang w:val="sr-Cyrl-RS"/>
        </w:rPr>
        <w:t>и др</w:t>
      </w:r>
      <w:r w:rsidR="00035478" w:rsidRPr="002C3A49">
        <w:rPr>
          <w:rStyle w:val="CharCharChar5"/>
          <w:rFonts w:ascii="Times New Roman" w:hAnsi="Times New Roman"/>
          <w:noProof/>
          <w:szCs w:val="24"/>
          <w:lang w:val="sr-Cyrl-RS"/>
        </w:rPr>
        <w:t>.</w:t>
      </w:r>
    </w:p>
    <w:p w14:paraId="1675E623" w14:textId="77777777" w:rsidR="00E07616" w:rsidRPr="002C3A49" w:rsidRDefault="00E07616" w:rsidP="008C16FD">
      <w:pPr>
        <w:rPr>
          <w:rStyle w:val="CharCharChar5"/>
          <w:rFonts w:ascii="Times New Roman" w:hAnsi="Times New Roman"/>
          <w:noProof/>
          <w:szCs w:val="24"/>
          <w:lang w:val="sr-Cyrl-RS"/>
        </w:rPr>
      </w:pPr>
    </w:p>
    <w:p w14:paraId="70F2A682" w14:textId="29A24FEE" w:rsidR="00BB72EF" w:rsidRPr="002C3A49" w:rsidRDefault="008B31C3" w:rsidP="00827361">
      <w:pPr>
        <w:tabs>
          <w:tab w:val="left" w:pos="720"/>
        </w:tabs>
        <w:outlineLvl w:val="0"/>
        <w:rPr>
          <w:rStyle w:val="CharCharChar5"/>
          <w:rFonts w:ascii="Times New Roman" w:hAnsi="Times New Roman"/>
          <w:noProof/>
          <w:szCs w:val="24"/>
          <w:lang w:val="sr-Cyrl-RS"/>
        </w:rPr>
      </w:pPr>
      <w:r w:rsidRPr="002C3A49">
        <w:rPr>
          <w:noProof/>
          <w:lang w:val="sr-Cyrl-RS"/>
        </w:rPr>
        <w:lastRenderedPageBreak/>
        <w:drawing>
          <wp:inline distT="0" distB="0" distL="0" distR="0" wp14:anchorId="52E126BD" wp14:editId="60E849FC">
            <wp:extent cx="5840095" cy="2932671"/>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1995" cy="2933625"/>
                    </a:xfrm>
                    <a:prstGeom prst="rect">
                      <a:avLst/>
                    </a:prstGeom>
                    <a:noFill/>
                  </pic:spPr>
                </pic:pic>
              </a:graphicData>
            </a:graphic>
          </wp:inline>
        </w:drawing>
      </w:r>
    </w:p>
    <w:p w14:paraId="2BA5C9E1" w14:textId="77777777" w:rsidR="00493E41" w:rsidRPr="002C3A49" w:rsidRDefault="00493E41" w:rsidP="00827361">
      <w:pPr>
        <w:tabs>
          <w:tab w:val="left" w:pos="720"/>
        </w:tabs>
        <w:outlineLvl w:val="0"/>
        <w:rPr>
          <w:rStyle w:val="CharCharChar5"/>
          <w:rFonts w:ascii="Times New Roman" w:hAnsi="Times New Roman"/>
          <w:noProof/>
          <w:szCs w:val="24"/>
          <w:lang w:val="sr-Cyrl-RS"/>
        </w:rPr>
      </w:pPr>
    </w:p>
    <w:p w14:paraId="759FBCF4" w14:textId="214A37BB" w:rsidR="00A5524C" w:rsidRPr="002C3A49" w:rsidRDefault="00730285" w:rsidP="00A5524C">
      <w:pPr>
        <w:tabs>
          <w:tab w:val="left" w:pos="900"/>
        </w:tabs>
        <w:rPr>
          <w:rFonts w:ascii="Times New Roman" w:hAnsi="Times New Roman"/>
          <w:noProof/>
          <w:szCs w:val="24"/>
          <w:lang w:val="sr-Cyrl-RS"/>
        </w:rPr>
      </w:pPr>
      <w:r w:rsidRPr="002C3A49">
        <w:rPr>
          <w:rStyle w:val="CharCharChar5"/>
          <w:rFonts w:ascii="Times New Roman" w:hAnsi="Times New Roman"/>
          <w:b/>
          <w:bCs/>
          <w:noProof/>
          <w:szCs w:val="24"/>
          <w:lang w:val="sr-Cyrl-RS"/>
        </w:rPr>
        <w:tab/>
      </w:r>
      <w:r w:rsidR="00A5524C" w:rsidRPr="002C3A49">
        <w:rPr>
          <w:rFonts w:ascii="Times New Roman" w:hAnsi="Times New Roman"/>
          <w:b/>
          <w:bCs/>
          <w:noProof/>
          <w:szCs w:val="24"/>
          <w:lang w:val="sr-Cyrl-RS"/>
        </w:rPr>
        <w:t xml:space="preserve">Дотације организацијама </w:t>
      </w:r>
      <w:r w:rsidR="00D74F3A">
        <w:rPr>
          <w:rFonts w:ascii="Times New Roman" w:hAnsi="Times New Roman"/>
          <w:b/>
          <w:bCs/>
          <w:noProof/>
          <w:szCs w:val="24"/>
          <w:lang w:val="sr-Cyrl-RS"/>
        </w:rPr>
        <w:t xml:space="preserve">за </w:t>
      </w:r>
      <w:r w:rsidR="00A5524C" w:rsidRPr="002C3A49">
        <w:rPr>
          <w:rFonts w:ascii="Times New Roman" w:hAnsi="Times New Roman"/>
          <w:b/>
          <w:bCs/>
          <w:noProof/>
          <w:szCs w:val="24"/>
          <w:lang w:val="sr-Cyrl-RS"/>
        </w:rPr>
        <w:t>обавезно социјално осигурањ</w:t>
      </w:r>
      <w:r w:rsidR="00D74F3A">
        <w:rPr>
          <w:rFonts w:ascii="Times New Roman" w:hAnsi="Times New Roman"/>
          <w:b/>
          <w:bCs/>
          <w:noProof/>
          <w:szCs w:val="24"/>
          <w:lang w:val="sr-Cyrl-RS"/>
        </w:rPr>
        <w:t>е</w:t>
      </w:r>
      <w:r w:rsidR="00A5524C" w:rsidRPr="002C3A49">
        <w:rPr>
          <w:rFonts w:ascii="Times New Roman" w:hAnsi="Times New Roman"/>
          <w:b/>
          <w:bCs/>
          <w:noProof/>
          <w:szCs w:val="24"/>
          <w:lang w:val="sr-Cyrl-RS"/>
        </w:rPr>
        <w:t xml:space="preserve"> </w:t>
      </w:r>
      <w:r w:rsidR="00A5524C" w:rsidRPr="002C3A49">
        <w:rPr>
          <w:rFonts w:ascii="Times New Roman" w:hAnsi="Times New Roman"/>
          <w:noProof/>
          <w:szCs w:val="24"/>
          <w:lang w:val="sr-Cyrl-RS"/>
        </w:rPr>
        <w:t xml:space="preserve">планиране у износу од </w:t>
      </w:r>
      <w:r w:rsidR="003633FC" w:rsidRPr="002C3A49">
        <w:rPr>
          <w:rFonts w:ascii="Times New Roman" w:hAnsi="Times New Roman"/>
          <w:noProof/>
          <w:szCs w:val="24"/>
          <w:lang w:val="sr-Cyrl-RS"/>
        </w:rPr>
        <w:t>314,49</w:t>
      </w:r>
      <w:r w:rsidR="00A5524C" w:rsidRPr="002C3A49">
        <w:rPr>
          <w:rFonts w:ascii="Times New Roman" w:hAnsi="Times New Roman"/>
          <w:noProof/>
          <w:szCs w:val="24"/>
          <w:lang w:val="sr-Cyrl-RS"/>
        </w:rPr>
        <w:t xml:space="preserve"> млрд динара, што представља </w:t>
      </w:r>
      <w:r w:rsidR="003633FC" w:rsidRPr="002C3A49">
        <w:rPr>
          <w:rFonts w:ascii="Times New Roman" w:hAnsi="Times New Roman"/>
          <w:noProof/>
          <w:szCs w:val="24"/>
          <w:lang w:val="sr-Cyrl-RS"/>
        </w:rPr>
        <w:t>14,05</w:t>
      </w:r>
      <w:r w:rsidR="00A5524C" w:rsidRPr="002C3A49">
        <w:rPr>
          <w:rFonts w:ascii="Times New Roman" w:hAnsi="Times New Roman"/>
          <w:noProof/>
          <w:szCs w:val="24"/>
          <w:lang w:val="sr-Cyrl-RS"/>
        </w:rPr>
        <w:t>%, укупних расхода и издатака и односе се на дотације Националној служби за запошљавање, Републичком фонду за пензијско и инвалидско осигурање, Републичком фонду за здравствено осигурање, Фонду за социјално осигурање војних осигураника и остале дотације.</w:t>
      </w:r>
    </w:p>
    <w:p w14:paraId="0C20E311" w14:textId="25B8D6ED" w:rsidR="00A5524C" w:rsidRPr="002C3A49" w:rsidRDefault="00A5524C" w:rsidP="00A5524C">
      <w:pPr>
        <w:ind w:firstLine="709"/>
        <w:rPr>
          <w:rFonts w:ascii="Times New Roman" w:hAnsi="Times New Roman"/>
          <w:noProof/>
          <w:szCs w:val="24"/>
          <w:lang w:val="sr-Cyrl-RS"/>
        </w:rPr>
      </w:pPr>
      <w:r w:rsidRPr="002C3A49">
        <w:rPr>
          <w:rFonts w:ascii="Times New Roman" w:hAnsi="Times New Roman"/>
          <w:noProof/>
          <w:szCs w:val="24"/>
          <w:lang w:val="sr-Cyrl-RS"/>
        </w:rPr>
        <w:t>Дотације Националној служби за запошљавање планиране су у укупном износу од 3,58 млрд динара и то: са раздела Министарства финансија у износу од 2,83 млрд динара за подршку Националној служби за запошљавање за права из осигурања за случај незапослености (и других права); са раздела Министарства за рад, запошљавање, борачка и социјална питања у износу од 0,75 млрд динара за подстицање запошљавања особа са инвалидитетом и имплементацију програма „Гаранција за младе</w:t>
      </w:r>
      <w:r w:rsidR="008D57D1" w:rsidRPr="002C3A49">
        <w:rPr>
          <w:rFonts w:ascii="Times New Roman" w:hAnsi="Times New Roman"/>
          <w:noProof/>
          <w:szCs w:val="24"/>
          <w:lang w:val="sr-Cyrl-RS"/>
        </w:rPr>
        <w:t>ˮ</w:t>
      </w:r>
      <w:r w:rsidRPr="002C3A49">
        <w:rPr>
          <w:rFonts w:ascii="Times New Roman" w:hAnsi="Times New Roman"/>
          <w:noProof/>
          <w:szCs w:val="24"/>
          <w:lang w:val="sr-Cyrl-RS"/>
        </w:rPr>
        <w:t>.</w:t>
      </w:r>
    </w:p>
    <w:p w14:paraId="64B3B18E" w14:textId="77777777" w:rsidR="00A5524C" w:rsidRPr="002C3A49" w:rsidRDefault="00A5524C" w:rsidP="00A5524C">
      <w:pPr>
        <w:ind w:firstLine="709"/>
        <w:rPr>
          <w:rFonts w:ascii="Calibri" w:hAnsi="Calibri"/>
          <w:noProof/>
          <w:lang w:val="sr-Cyrl-RS"/>
        </w:rPr>
      </w:pPr>
      <w:r w:rsidRPr="002C3A49">
        <w:rPr>
          <w:rFonts w:ascii="Times New Roman" w:hAnsi="Times New Roman"/>
          <w:noProof/>
          <w:szCs w:val="24"/>
          <w:lang w:val="sr-Cyrl-RS"/>
        </w:rPr>
        <w:t xml:space="preserve">Дотације Републичком фонду за пензијско и инвалидско осигурање планиране су у укупном износу од </w:t>
      </w:r>
      <w:bookmarkStart w:id="1" w:name="_Hlk146553771"/>
      <w:r w:rsidRPr="002C3A49">
        <w:rPr>
          <w:rFonts w:ascii="Times New Roman" w:hAnsi="Times New Roman"/>
          <w:noProof/>
          <w:szCs w:val="24"/>
          <w:lang w:val="sr-Cyrl-RS"/>
        </w:rPr>
        <w:t xml:space="preserve">237,93 </w:t>
      </w:r>
      <w:bookmarkEnd w:id="1"/>
      <w:r w:rsidRPr="002C3A49">
        <w:rPr>
          <w:rFonts w:ascii="Times New Roman" w:hAnsi="Times New Roman"/>
          <w:noProof/>
          <w:szCs w:val="24"/>
          <w:lang w:val="sr-Cyrl-RS"/>
        </w:rPr>
        <w:t xml:space="preserve">млрд динара и то: са раздела Министарства финансија у износу од 237,60 </w:t>
      </w:r>
      <w:r w:rsidRPr="002C3A49">
        <w:rPr>
          <w:noProof/>
          <w:lang w:val="sr-Cyrl-RS"/>
        </w:rPr>
        <w:t>млрд динара од чега</w:t>
      </w:r>
      <w:r w:rsidRPr="002C3A49">
        <w:rPr>
          <w:rFonts w:ascii="Times New Roman" w:hAnsi="Times New Roman"/>
          <w:noProof/>
          <w:szCs w:val="24"/>
          <w:lang w:val="sr-Cyrl-RS"/>
        </w:rPr>
        <w:t xml:space="preserve"> за подршку за исплату недостајућих средстава за редовне пензије у износу од 202,75 млрд динара и за подршку остварењу права корисника у складу са Законом о пензијском и инвалидском осигурању и посебним прописима у износу од 34,85 млрд динара;</w:t>
      </w:r>
      <w:r w:rsidRPr="002C3A49">
        <w:rPr>
          <w:noProof/>
          <w:lang w:val="sr-Cyrl-RS"/>
        </w:rPr>
        <w:t xml:space="preserve"> са раздела Управе за сарадњу с црквама и верским заједницама у износу од 0</w:t>
      </w:r>
      <w:r w:rsidRPr="002C3A49">
        <w:rPr>
          <w:rFonts w:ascii="Times New Roman" w:hAnsi="Times New Roman"/>
          <w:noProof/>
          <w:lang w:val="sr-Cyrl-RS"/>
        </w:rPr>
        <w:t>,33</w:t>
      </w:r>
      <w:r w:rsidRPr="002C3A49">
        <w:rPr>
          <w:noProof/>
          <w:lang w:val="sr-Cyrl-RS"/>
        </w:rPr>
        <w:t xml:space="preserve"> млрд динара. </w:t>
      </w:r>
    </w:p>
    <w:p w14:paraId="5CAF7F22" w14:textId="77777777" w:rsidR="00A5524C" w:rsidRPr="002C3A49" w:rsidRDefault="00A5524C" w:rsidP="00A5524C">
      <w:pPr>
        <w:ind w:firstLine="709"/>
        <w:rPr>
          <w:rFonts w:ascii="Times New Roman" w:hAnsi="Times New Roman"/>
          <w:noProof/>
          <w:szCs w:val="24"/>
          <w:lang w:val="sr-Cyrl-RS"/>
        </w:rPr>
      </w:pPr>
      <w:r w:rsidRPr="002C3A49">
        <w:rPr>
          <w:rFonts w:ascii="Times New Roman" w:hAnsi="Times New Roman"/>
          <w:noProof/>
          <w:szCs w:val="24"/>
          <w:lang w:val="sr-Cyrl-RS"/>
        </w:rPr>
        <w:t xml:space="preserve">Дотације Републичком фонду за здравствено осигурање планиранe су у укупном износу од 64,58 млрд динара и то: са раздела Министарства финансија у износу од 48,97 млрд динара, од чега због смањене стопе доприноса за здравствено осигурање у износу од 48,62 млрд динара и по основу доприноса за здравствено осигурање за одређена привредна друштва у износу од 0,35 млрд динара; са раздела Министарства здравља у износу од 15,61 млрд динара и то 3,80 млрд динара за накнаду зараде у случају привремене спречености за рад због болести или компликација у вези са одржавањем трудноће, 7,20 млрд динара за здравствену заштиту лица оболелих од ретких болести, 4,60 млрд динара за здравствену заштиту лица која се сматрају осигураницима по члану 16. став 1. Закона о здравственом осигурању и 0,01 млрд динара за подршку активностима Банке репродуктивних ћелија. </w:t>
      </w:r>
    </w:p>
    <w:p w14:paraId="53AD206E" w14:textId="77777777" w:rsidR="00A5524C" w:rsidRPr="002C3A49" w:rsidRDefault="00A5524C" w:rsidP="00A5524C">
      <w:pPr>
        <w:ind w:firstLine="709"/>
        <w:rPr>
          <w:rFonts w:ascii="Times New Roman" w:hAnsi="Times New Roman"/>
          <w:noProof/>
          <w:szCs w:val="24"/>
          <w:lang w:val="sr-Cyrl-RS"/>
        </w:rPr>
      </w:pPr>
      <w:r w:rsidRPr="002C3A49">
        <w:rPr>
          <w:rFonts w:ascii="Times New Roman" w:hAnsi="Times New Roman"/>
          <w:noProof/>
          <w:szCs w:val="24"/>
          <w:lang w:val="sr-Cyrl-RS"/>
        </w:rPr>
        <w:t>Дотације Фонду за социјално осигурање војних осигураника су планиране у износу од 0,40 млрд динара са раздела Министарства одбране за накнаду дела трошкова за становање корисницима војних пензија.</w:t>
      </w:r>
    </w:p>
    <w:p w14:paraId="5F6315AA" w14:textId="1B765BED" w:rsidR="009E60C0" w:rsidRPr="002C3A49" w:rsidRDefault="00A5524C" w:rsidP="003633FC">
      <w:pPr>
        <w:ind w:firstLine="709"/>
        <w:rPr>
          <w:rFonts w:ascii="Times New Roman" w:hAnsi="Times New Roman"/>
          <w:noProof/>
          <w:szCs w:val="24"/>
          <w:lang w:val="sr-Cyrl-RS"/>
        </w:rPr>
      </w:pPr>
      <w:r w:rsidRPr="002C3A49">
        <w:rPr>
          <w:rFonts w:ascii="Times New Roman" w:hAnsi="Times New Roman"/>
          <w:noProof/>
          <w:szCs w:val="24"/>
          <w:lang w:val="sr-Cyrl-RS"/>
        </w:rPr>
        <w:t>Остале дотације у износу од 6,54 млрд намењене су за: пореске олакшице организацијама за обавезно социјално осигурање</w:t>
      </w:r>
      <w:r w:rsidR="00D648DC" w:rsidRPr="002C3A49">
        <w:rPr>
          <w:rFonts w:ascii="Times New Roman" w:hAnsi="Times New Roman"/>
          <w:noProof/>
          <w:szCs w:val="24"/>
          <w:lang w:val="sr-Cyrl-RS"/>
        </w:rPr>
        <w:t>;</w:t>
      </w:r>
      <w:r w:rsidRPr="002C3A49">
        <w:rPr>
          <w:rFonts w:ascii="Times New Roman" w:hAnsi="Times New Roman"/>
          <w:noProof/>
          <w:szCs w:val="24"/>
          <w:lang w:val="sr-Cyrl-RS"/>
        </w:rPr>
        <w:t xml:space="preserve"> изградњу, реконструкцију и опремање здравствених установа</w:t>
      </w:r>
      <w:r w:rsidR="00D648DC" w:rsidRPr="002C3A49">
        <w:rPr>
          <w:rFonts w:ascii="Times New Roman" w:hAnsi="Times New Roman"/>
          <w:noProof/>
          <w:szCs w:val="24"/>
          <w:lang w:val="sr-Cyrl-RS"/>
        </w:rPr>
        <w:t>;</w:t>
      </w:r>
      <w:r w:rsidRPr="002C3A49">
        <w:rPr>
          <w:rFonts w:ascii="Times New Roman" w:hAnsi="Times New Roman"/>
          <w:noProof/>
          <w:szCs w:val="24"/>
          <w:lang w:val="sr-Cyrl-RS"/>
        </w:rPr>
        <w:t xml:space="preserve"> инвестиционо улагање и инвестиционо-текуће одржавање просторија</w:t>
      </w:r>
      <w:r w:rsidR="00D648DC" w:rsidRPr="002C3A49">
        <w:rPr>
          <w:rFonts w:ascii="Times New Roman" w:hAnsi="Times New Roman"/>
          <w:noProof/>
          <w:szCs w:val="24"/>
          <w:lang w:val="sr-Cyrl-RS"/>
        </w:rPr>
        <w:t>;</w:t>
      </w:r>
      <w:r w:rsidRPr="002C3A49">
        <w:rPr>
          <w:rFonts w:ascii="Times New Roman" w:hAnsi="Times New Roman"/>
          <w:noProof/>
          <w:szCs w:val="24"/>
          <w:lang w:val="sr-Cyrl-RS"/>
        </w:rPr>
        <w:t xml:space="preserve"> медицинске и немедицинске опреме и др. </w:t>
      </w:r>
    </w:p>
    <w:p w14:paraId="2F13DE0E" w14:textId="77430F0B" w:rsidR="006F419D" w:rsidRPr="002C3A49" w:rsidRDefault="006F419D" w:rsidP="009E60C0">
      <w:pPr>
        <w:tabs>
          <w:tab w:val="left" w:pos="900"/>
        </w:tabs>
        <w:rPr>
          <w:rStyle w:val="CharCharChar5"/>
          <w:rFonts w:ascii="Times New Roman" w:hAnsi="Times New Roman"/>
          <w:noProof/>
          <w:szCs w:val="24"/>
          <w:lang w:val="sr-Cyrl-RS"/>
        </w:rPr>
      </w:pPr>
    </w:p>
    <w:p w14:paraId="06DC2ACB" w14:textId="2597C88C" w:rsidR="004B640B" w:rsidRPr="002C3A49" w:rsidRDefault="008B31C3" w:rsidP="005B683B">
      <w:pPr>
        <w:rPr>
          <w:rStyle w:val="CharCharChar5"/>
          <w:rFonts w:ascii="Times New Roman" w:hAnsi="Times New Roman"/>
          <w:noProof/>
          <w:szCs w:val="24"/>
          <w:lang w:val="sr-Cyrl-RS"/>
        </w:rPr>
      </w:pPr>
      <w:r w:rsidRPr="002C3A49">
        <w:rPr>
          <w:noProof/>
          <w:lang w:val="sr-Cyrl-RS"/>
        </w:rPr>
        <w:drawing>
          <wp:inline distT="0" distB="0" distL="0" distR="0" wp14:anchorId="4AF56A44" wp14:editId="772E2885">
            <wp:extent cx="6057900" cy="29585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2958553"/>
                    </a:xfrm>
                    <a:prstGeom prst="rect">
                      <a:avLst/>
                    </a:prstGeom>
                    <a:noFill/>
                  </pic:spPr>
                </pic:pic>
              </a:graphicData>
            </a:graphic>
          </wp:inline>
        </w:drawing>
      </w:r>
    </w:p>
    <w:p w14:paraId="555A9E4D" w14:textId="77777777" w:rsidR="00EF752F" w:rsidRPr="002C3A49" w:rsidRDefault="00EF752F" w:rsidP="00CE2A83">
      <w:pPr>
        <w:rPr>
          <w:rFonts w:ascii="Calibri" w:hAnsi="Calibri" w:cs="Calibri"/>
          <w:noProof/>
          <w:color w:val="000000"/>
          <w:sz w:val="22"/>
          <w:szCs w:val="22"/>
          <w:highlight w:val="yellow"/>
          <w:lang w:val="sr-Cyrl-RS"/>
        </w:rPr>
      </w:pPr>
      <w:bookmarkStart w:id="2" w:name="_Hlk56100649"/>
    </w:p>
    <w:p w14:paraId="3F1DCD2C" w14:textId="15F9A4E9" w:rsidR="001E1CED" w:rsidRPr="002C3A49" w:rsidRDefault="002772AE" w:rsidP="00CE2A83">
      <w:pPr>
        <w:tabs>
          <w:tab w:val="left" w:pos="720"/>
          <w:tab w:val="left" w:pos="900"/>
        </w:tabs>
        <w:rPr>
          <w:rFonts w:ascii="Times New Roman" w:hAnsi="Times New Roman"/>
          <w:noProof/>
          <w:color w:val="000000"/>
          <w:szCs w:val="24"/>
          <w:lang w:val="sr-Cyrl-RS"/>
        </w:rPr>
      </w:pPr>
      <w:r w:rsidRPr="002C3A49">
        <w:rPr>
          <w:rFonts w:ascii="Times New Roman" w:hAnsi="Times New Roman"/>
          <w:b/>
          <w:bCs/>
          <w:noProof/>
          <w:color w:val="000000"/>
          <w:szCs w:val="24"/>
          <w:lang w:val="sr-Cyrl-RS"/>
        </w:rPr>
        <w:tab/>
      </w:r>
      <w:r w:rsidR="00CE2A83" w:rsidRPr="002C3A49">
        <w:rPr>
          <w:rFonts w:ascii="Times New Roman" w:hAnsi="Times New Roman"/>
          <w:b/>
          <w:bCs/>
          <w:noProof/>
          <w:color w:val="000000"/>
          <w:szCs w:val="24"/>
          <w:lang w:val="sr-Cyrl-RS"/>
        </w:rPr>
        <w:t xml:space="preserve">Остале дотације и трансфери </w:t>
      </w:r>
      <w:r w:rsidR="00CE2A83" w:rsidRPr="002C3A49">
        <w:rPr>
          <w:rFonts w:ascii="Times New Roman" w:hAnsi="Times New Roman"/>
          <w:noProof/>
          <w:color w:val="000000"/>
          <w:szCs w:val="24"/>
          <w:lang w:val="sr-Cyrl-RS"/>
        </w:rPr>
        <w:t>планиран</w:t>
      </w:r>
      <w:r w:rsidR="00783E0E" w:rsidRPr="002C3A49">
        <w:rPr>
          <w:rFonts w:ascii="Times New Roman" w:hAnsi="Times New Roman"/>
          <w:noProof/>
          <w:color w:val="000000"/>
          <w:szCs w:val="24"/>
          <w:lang w:val="sr-Cyrl-RS"/>
        </w:rPr>
        <w:t>e</w:t>
      </w:r>
      <w:r w:rsidR="00CE2A83" w:rsidRPr="002C3A49">
        <w:rPr>
          <w:rFonts w:ascii="Times New Roman" w:hAnsi="Times New Roman"/>
          <w:noProof/>
          <w:color w:val="000000"/>
          <w:szCs w:val="24"/>
          <w:lang w:val="sr-Cyrl-RS"/>
        </w:rPr>
        <w:t xml:space="preserve"> су у износу од </w:t>
      </w:r>
      <w:r w:rsidR="00DE2D70" w:rsidRPr="002C3A49">
        <w:rPr>
          <w:rFonts w:ascii="Times New Roman" w:hAnsi="Times New Roman"/>
          <w:noProof/>
          <w:color w:val="000000"/>
          <w:szCs w:val="24"/>
          <w:lang w:val="sr-Cyrl-RS"/>
        </w:rPr>
        <w:t>3,</w:t>
      </w:r>
      <w:r w:rsidR="003633FC" w:rsidRPr="002C3A49">
        <w:rPr>
          <w:rFonts w:ascii="Times New Roman" w:hAnsi="Times New Roman"/>
          <w:noProof/>
          <w:color w:val="000000"/>
          <w:szCs w:val="24"/>
          <w:lang w:val="sr-Cyrl-RS"/>
        </w:rPr>
        <w:t>34</w:t>
      </w:r>
      <w:r w:rsidR="00CE2A83" w:rsidRPr="002C3A49">
        <w:rPr>
          <w:rFonts w:ascii="Times New Roman" w:hAnsi="Times New Roman"/>
          <w:noProof/>
          <w:color w:val="000000"/>
          <w:szCs w:val="24"/>
          <w:lang w:val="sr-Cyrl-RS"/>
        </w:rPr>
        <w:t xml:space="preserve"> млрд динара </w:t>
      </w:r>
      <w:r w:rsidR="00CE2A83" w:rsidRPr="002C3A49">
        <w:rPr>
          <w:rFonts w:ascii="Times New Roman" w:hAnsi="Times New Roman"/>
          <w:noProof/>
          <w:szCs w:val="24"/>
          <w:lang w:val="sr-Cyrl-RS"/>
        </w:rPr>
        <w:t>што представља 0,</w:t>
      </w:r>
      <w:r w:rsidR="00DE2D70" w:rsidRPr="002C3A49">
        <w:rPr>
          <w:rFonts w:ascii="Times New Roman" w:hAnsi="Times New Roman"/>
          <w:noProof/>
          <w:szCs w:val="24"/>
          <w:lang w:val="sr-Cyrl-RS"/>
        </w:rPr>
        <w:t>1</w:t>
      </w:r>
      <w:r w:rsidR="003633FC" w:rsidRPr="002C3A49">
        <w:rPr>
          <w:rFonts w:ascii="Times New Roman" w:hAnsi="Times New Roman"/>
          <w:noProof/>
          <w:szCs w:val="24"/>
          <w:lang w:val="sr-Cyrl-RS"/>
        </w:rPr>
        <w:t>5</w:t>
      </w:r>
      <w:r w:rsidR="00CE2A83" w:rsidRPr="002C3A49">
        <w:rPr>
          <w:rFonts w:ascii="Times New Roman" w:hAnsi="Times New Roman"/>
          <w:noProof/>
          <w:szCs w:val="24"/>
          <w:lang w:val="sr-Cyrl-RS"/>
        </w:rPr>
        <w:t>% укупних расхода и издатака</w:t>
      </w:r>
      <w:r w:rsidR="00CE2A83" w:rsidRPr="002C3A49">
        <w:rPr>
          <w:rFonts w:ascii="Times New Roman" w:hAnsi="Times New Roman"/>
          <w:noProof/>
          <w:color w:val="000000"/>
          <w:szCs w:val="24"/>
          <w:lang w:val="sr-Cyrl-RS"/>
        </w:rPr>
        <w:t>. Средства су највећим делом планирана за</w:t>
      </w:r>
      <w:r w:rsidR="00C61B36" w:rsidRPr="002C3A49">
        <w:rPr>
          <w:rFonts w:ascii="Times New Roman" w:hAnsi="Times New Roman"/>
          <w:noProof/>
          <w:color w:val="000000"/>
          <w:szCs w:val="24"/>
          <w:lang w:val="sr-Cyrl-RS"/>
        </w:rPr>
        <w:t>:</w:t>
      </w:r>
      <w:r w:rsidR="00CE2A83" w:rsidRPr="002C3A49">
        <w:rPr>
          <w:rFonts w:ascii="Times New Roman" w:hAnsi="Times New Roman"/>
          <w:noProof/>
          <w:color w:val="000000"/>
          <w:szCs w:val="24"/>
          <w:lang w:val="sr-Cyrl-RS"/>
        </w:rPr>
        <w:t xml:space="preserve"> подршку за рад института и завода за јавно здравље</w:t>
      </w:r>
      <w:r w:rsidR="000B2E1D" w:rsidRPr="002C3A49">
        <w:rPr>
          <w:rFonts w:ascii="Times New Roman" w:hAnsi="Times New Roman"/>
          <w:noProof/>
          <w:color w:val="000000"/>
          <w:szCs w:val="24"/>
          <w:lang w:val="sr-Cyrl-RS"/>
        </w:rPr>
        <w:t>;</w:t>
      </w:r>
      <w:r w:rsidR="00CE2A83" w:rsidRPr="002C3A49">
        <w:rPr>
          <w:rFonts w:ascii="Times New Roman" w:hAnsi="Times New Roman"/>
          <w:noProof/>
          <w:color w:val="000000"/>
          <w:szCs w:val="24"/>
          <w:lang w:val="sr-Cyrl-RS"/>
        </w:rPr>
        <w:t xml:space="preserve"> </w:t>
      </w:r>
      <w:r w:rsidR="001E1CED" w:rsidRPr="002C3A49">
        <w:rPr>
          <w:rFonts w:ascii="Times New Roman" w:hAnsi="Times New Roman"/>
          <w:noProof/>
          <w:color w:val="000000"/>
          <w:szCs w:val="24"/>
          <w:lang w:val="sr-Cyrl-RS"/>
        </w:rPr>
        <w:t>здравствену заштиту лица на издржавању казне затвора и пружање хитне медицинске помоћи особама непознатог пребивалишта и другим лицима која ово право не остварују на другачији начин</w:t>
      </w:r>
      <w:r w:rsidR="000B2E1D" w:rsidRPr="002C3A49">
        <w:rPr>
          <w:rFonts w:ascii="Times New Roman" w:hAnsi="Times New Roman"/>
          <w:noProof/>
          <w:color w:val="000000"/>
          <w:szCs w:val="24"/>
          <w:lang w:val="sr-Cyrl-RS"/>
        </w:rPr>
        <w:t>;</w:t>
      </w:r>
      <w:r w:rsidR="001E1CED" w:rsidRPr="002C3A49">
        <w:rPr>
          <w:rFonts w:ascii="Times New Roman" w:hAnsi="Times New Roman"/>
          <w:noProof/>
          <w:color w:val="000000"/>
          <w:szCs w:val="24"/>
          <w:lang w:val="sr-Cyrl-RS"/>
        </w:rPr>
        <w:t xml:space="preserve"> извршавање мера безбедности обавезног психијатријског лечења и чувања у здравственој установи, обавезног лечења алкохоличара и зависника од дрога</w:t>
      </w:r>
      <w:r w:rsidR="00EA5163" w:rsidRPr="002C3A49">
        <w:rPr>
          <w:rFonts w:ascii="Times New Roman" w:hAnsi="Times New Roman"/>
          <w:noProof/>
          <w:color w:val="000000"/>
          <w:szCs w:val="24"/>
          <w:lang w:val="sr-Cyrl-RS"/>
        </w:rPr>
        <w:t xml:space="preserve"> </w:t>
      </w:r>
      <w:r w:rsidR="00BE17C8" w:rsidRPr="002C3A49">
        <w:rPr>
          <w:rFonts w:ascii="Times New Roman" w:hAnsi="Times New Roman"/>
          <w:noProof/>
          <w:color w:val="000000"/>
          <w:szCs w:val="24"/>
          <w:lang w:val="sr-Cyrl-RS"/>
        </w:rPr>
        <w:t xml:space="preserve">и </w:t>
      </w:r>
      <w:r w:rsidR="001E1CED" w:rsidRPr="002C3A49">
        <w:rPr>
          <w:rFonts w:ascii="Times New Roman" w:hAnsi="Times New Roman"/>
          <w:noProof/>
          <w:color w:val="000000"/>
          <w:szCs w:val="24"/>
          <w:lang w:val="sr-Cyrl-RS"/>
        </w:rPr>
        <w:t>др.</w:t>
      </w:r>
    </w:p>
    <w:p w14:paraId="317084B5" w14:textId="7DB01E1A" w:rsidR="0071130B" w:rsidRPr="002C3A49" w:rsidRDefault="00850514" w:rsidP="00CE2A83">
      <w:pPr>
        <w:tabs>
          <w:tab w:val="left" w:pos="720"/>
        </w:tabs>
        <w:rPr>
          <w:rFonts w:ascii="Times New Roman" w:hAnsi="Times New Roman"/>
          <w:noProof/>
          <w:szCs w:val="24"/>
          <w:lang w:val="sr-Cyrl-RS"/>
        </w:rPr>
      </w:pPr>
      <w:r w:rsidRPr="002C3A49">
        <w:rPr>
          <w:rFonts w:ascii="Times New Roman" w:hAnsi="Times New Roman"/>
          <w:b/>
          <w:bCs/>
          <w:noProof/>
          <w:spacing w:val="-2"/>
          <w:szCs w:val="24"/>
          <w:lang w:val="sr-Cyrl-RS"/>
        </w:rPr>
        <w:tab/>
        <w:t xml:space="preserve">Накнаде за социјалну заштиту из буџета </w:t>
      </w:r>
      <w:r w:rsidRPr="002C3A49">
        <w:rPr>
          <w:rFonts w:ascii="Times New Roman" w:hAnsi="Times New Roman"/>
          <w:noProof/>
          <w:szCs w:val="24"/>
          <w:lang w:val="sr-Cyrl-RS"/>
        </w:rPr>
        <w:t xml:space="preserve">износе </w:t>
      </w:r>
      <w:r w:rsidR="006D39D0" w:rsidRPr="002C3A49">
        <w:rPr>
          <w:rFonts w:ascii="Times New Roman" w:hAnsi="Times New Roman"/>
          <w:noProof/>
          <w:szCs w:val="24"/>
          <w:lang w:val="sr-Cyrl-RS"/>
        </w:rPr>
        <w:t>156,69</w:t>
      </w:r>
      <w:r w:rsidRPr="002C3A49">
        <w:rPr>
          <w:rFonts w:ascii="Times New Roman" w:hAnsi="Times New Roman"/>
          <w:noProof/>
          <w:szCs w:val="24"/>
          <w:lang w:val="sr-Cyrl-RS"/>
        </w:rPr>
        <w:t xml:space="preserve"> млрд динара што представља </w:t>
      </w:r>
      <w:r w:rsidR="00F7766E" w:rsidRPr="002C3A49">
        <w:rPr>
          <w:rFonts w:ascii="Times New Roman" w:hAnsi="Times New Roman"/>
          <w:noProof/>
          <w:szCs w:val="24"/>
          <w:lang w:val="sr-Cyrl-RS"/>
        </w:rPr>
        <w:t>7,0</w:t>
      </w:r>
      <w:r w:rsidRPr="002C3A49">
        <w:rPr>
          <w:rFonts w:ascii="Times New Roman" w:hAnsi="Times New Roman"/>
          <w:noProof/>
          <w:szCs w:val="24"/>
          <w:lang w:val="sr-Cyrl-RS"/>
        </w:rPr>
        <w:t>% укупних расхода и издатака. Највећи износ средстава планиран је за</w:t>
      </w:r>
      <w:r w:rsidR="00E75F16" w:rsidRPr="002C3A49">
        <w:rPr>
          <w:rFonts w:ascii="Times New Roman" w:hAnsi="Times New Roman"/>
          <w:noProof/>
          <w:szCs w:val="24"/>
          <w:lang w:val="sr-Cyrl-RS"/>
        </w:rPr>
        <w:t>:</w:t>
      </w:r>
      <w:r w:rsidRPr="002C3A49">
        <w:rPr>
          <w:rFonts w:ascii="Times New Roman" w:hAnsi="Times New Roman"/>
          <w:noProof/>
          <w:szCs w:val="24"/>
          <w:lang w:val="sr-Cyrl-RS"/>
        </w:rPr>
        <w:t xml:space="preserve"> права корисника из области заштите породице и деце</w:t>
      </w:r>
      <w:r w:rsidR="004A1FB7" w:rsidRPr="002C3A49">
        <w:rPr>
          <w:rFonts w:ascii="Times New Roman" w:hAnsi="Times New Roman"/>
          <w:noProof/>
          <w:szCs w:val="24"/>
          <w:lang w:val="sr-Cyrl-RS"/>
        </w:rPr>
        <w:t>;</w:t>
      </w:r>
      <w:r w:rsidRPr="002C3A49">
        <w:rPr>
          <w:rFonts w:ascii="Times New Roman" w:hAnsi="Times New Roman"/>
          <w:noProof/>
          <w:szCs w:val="24"/>
          <w:lang w:val="sr-Cyrl-RS"/>
        </w:rPr>
        <w:t xml:space="preserve"> права корисника социјалне заштите</w:t>
      </w:r>
      <w:r w:rsidR="004A1FB7" w:rsidRPr="002C3A49">
        <w:rPr>
          <w:rFonts w:ascii="Times New Roman" w:hAnsi="Times New Roman"/>
          <w:noProof/>
          <w:szCs w:val="24"/>
          <w:lang w:val="sr-Cyrl-RS"/>
        </w:rPr>
        <w:t>;</w:t>
      </w:r>
      <w:r w:rsidRPr="002C3A49">
        <w:rPr>
          <w:rFonts w:ascii="Times New Roman" w:hAnsi="Times New Roman"/>
          <w:noProof/>
          <w:szCs w:val="24"/>
          <w:lang w:val="sr-Cyrl-RS"/>
        </w:rPr>
        <w:t xml:space="preserve"> права корисника борачко-инвалидске заштите</w:t>
      </w:r>
      <w:r w:rsidR="004A1FB7" w:rsidRPr="002C3A49">
        <w:rPr>
          <w:rFonts w:ascii="Times New Roman" w:hAnsi="Times New Roman"/>
          <w:noProof/>
          <w:szCs w:val="24"/>
          <w:lang w:val="sr-Cyrl-RS"/>
        </w:rPr>
        <w:t>;</w:t>
      </w:r>
      <w:r w:rsidRPr="002C3A49">
        <w:rPr>
          <w:rFonts w:ascii="Times New Roman" w:hAnsi="Times New Roman"/>
          <w:noProof/>
          <w:szCs w:val="24"/>
          <w:lang w:val="sr-Cyrl-RS"/>
        </w:rPr>
        <w:t xml:space="preserve"> </w:t>
      </w:r>
      <w:r w:rsidR="00C61EEC" w:rsidRPr="002C3A49">
        <w:rPr>
          <w:rFonts w:ascii="Times New Roman" w:hAnsi="Times New Roman"/>
          <w:noProof/>
          <w:lang w:val="sr-Cyrl-RS"/>
        </w:rPr>
        <w:t xml:space="preserve">подршку рада хранитеља; </w:t>
      </w:r>
      <w:r w:rsidRPr="002C3A49">
        <w:rPr>
          <w:rFonts w:ascii="Times New Roman" w:hAnsi="Times New Roman"/>
          <w:noProof/>
          <w:szCs w:val="24"/>
          <w:lang w:val="sr-Cyrl-RS"/>
        </w:rPr>
        <w:t>побољшање ученичког и студентског стандарда</w:t>
      </w:r>
      <w:r w:rsidR="004A1FB7" w:rsidRPr="002C3A49">
        <w:rPr>
          <w:rFonts w:ascii="Times New Roman" w:hAnsi="Times New Roman"/>
          <w:noProof/>
          <w:szCs w:val="24"/>
          <w:lang w:val="sr-Cyrl-RS"/>
        </w:rPr>
        <w:t>;</w:t>
      </w:r>
      <w:r w:rsidR="00E75F16" w:rsidRPr="002C3A49">
        <w:rPr>
          <w:rFonts w:ascii="Times New Roman" w:hAnsi="Times New Roman"/>
          <w:noProof/>
          <w:szCs w:val="24"/>
          <w:lang w:val="sr-Cyrl-RS"/>
        </w:rPr>
        <w:t xml:space="preserve"> спортске стипендије</w:t>
      </w:r>
      <w:r w:rsidR="006D3BC2" w:rsidRPr="002C3A49">
        <w:rPr>
          <w:rFonts w:ascii="Times New Roman" w:hAnsi="Times New Roman"/>
          <w:noProof/>
          <w:szCs w:val="24"/>
          <w:lang w:val="sr-Cyrl-RS"/>
        </w:rPr>
        <w:t>;</w:t>
      </w:r>
      <w:r w:rsidR="00E75F16" w:rsidRPr="002C3A49">
        <w:rPr>
          <w:rFonts w:ascii="Times New Roman" w:hAnsi="Times New Roman"/>
          <w:noProof/>
          <w:szCs w:val="24"/>
          <w:lang w:val="sr-Cyrl-RS"/>
        </w:rPr>
        <w:t xml:space="preserve"> </w:t>
      </w:r>
      <w:r w:rsidR="006D3BC2" w:rsidRPr="002C3A49">
        <w:rPr>
          <w:rFonts w:ascii="Times New Roman" w:hAnsi="Times New Roman"/>
          <w:noProof/>
          <w:szCs w:val="24"/>
          <w:lang w:val="sr-Cyrl-RS"/>
        </w:rPr>
        <w:t>национална признања за посебан допринос развоју и афирмацији спорта</w:t>
      </w:r>
      <w:r w:rsidR="006E550A" w:rsidRPr="002C3A49">
        <w:rPr>
          <w:rFonts w:ascii="Times New Roman" w:hAnsi="Times New Roman"/>
          <w:noProof/>
          <w:szCs w:val="24"/>
          <w:lang w:val="sr-Cyrl-RS"/>
        </w:rPr>
        <w:t xml:space="preserve"> </w:t>
      </w:r>
      <w:r w:rsidR="00E75F16" w:rsidRPr="002C3A49">
        <w:rPr>
          <w:rFonts w:ascii="Times New Roman" w:hAnsi="Times New Roman"/>
          <w:noProof/>
          <w:szCs w:val="24"/>
          <w:lang w:val="sr-Cyrl-RS"/>
        </w:rPr>
        <w:t>и осталу социјалну заштиту из буџета (</w:t>
      </w:r>
      <w:r w:rsidR="00EC7E6D" w:rsidRPr="002C3A49">
        <w:rPr>
          <w:rFonts w:ascii="Times New Roman" w:hAnsi="Times New Roman"/>
          <w:noProof/>
          <w:szCs w:val="24"/>
          <w:lang w:val="sr-Cyrl-RS"/>
        </w:rPr>
        <w:t xml:space="preserve">подршку школовању и усавршавању младих талената; </w:t>
      </w:r>
      <w:r w:rsidRPr="002C3A49">
        <w:rPr>
          <w:rFonts w:ascii="Times New Roman" w:hAnsi="Times New Roman"/>
          <w:noProof/>
          <w:szCs w:val="24"/>
          <w:lang w:val="sr-Cyrl-RS"/>
        </w:rPr>
        <w:t>академијске награде</w:t>
      </w:r>
      <w:r w:rsidR="004A1FB7" w:rsidRPr="002C3A49">
        <w:rPr>
          <w:rFonts w:ascii="Times New Roman" w:hAnsi="Times New Roman"/>
          <w:noProof/>
          <w:szCs w:val="24"/>
          <w:lang w:val="sr-Cyrl-RS"/>
        </w:rPr>
        <w:t>;</w:t>
      </w:r>
      <w:r w:rsidRPr="002C3A49">
        <w:rPr>
          <w:rFonts w:ascii="Times New Roman" w:hAnsi="Times New Roman"/>
          <w:noProof/>
          <w:szCs w:val="24"/>
          <w:lang w:val="sr-Cyrl-RS"/>
        </w:rPr>
        <w:t xml:space="preserve"> подршк</w:t>
      </w:r>
      <w:r w:rsidR="00920910" w:rsidRPr="002C3A49">
        <w:rPr>
          <w:rFonts w:ascii="Times New Roman" w:hAnsi="Times New Roman"/>
          <w:noProof/>
          <w:szCs w:val="24"/>
          <w:lang w:val="sr-Cyrl-RS"/>
        </w:rPr>
        <w:t>у</w:t>
      </w:r>
      <w:r w:rsidRPr="002C3A49">
        <w:rPr>
          <w:rFonts w:ascii="Times New Roman" w:hAnsi="Times New Roman"/>
          <w:noProof/>
          <w:szCs w:val="24"/>
          <w:lang w:val="sr-Cyrl-RS"/>
        </w:rPr>
        <w:t xml:space="preserve"> реализацији општег интереса у научној истраживачкој делатности</w:t>
      </w:r>
      <w:r w:rsidR="004A1FB7" w:rsidRPr="002C3A49">
        <w:rPr>
          <w:rFonts w:ascii="Times New Roman" w:hAnsi="Times New Roman"/>
          <w:noProof/>
          <w:szCs w:val="24"/>
          <w:lang w:val="sr-Cyrl-RS"/>
        </w:rPr>
        <w:t>;</w:t>
      </w:r>
      <w:r w:rsidR="00E75F16" w:rsidRPr="002C3A49">
        <w:rPr>
          <w:rFonts w:ascii="Times New Roman" w:hAnsi="Times New Roman"/>
          <w:noProof/>
          <w:szCs w:val="24"/>
          <w:lang w:val="sr-Cyrl-RS"/>
        </w:rPr>
        <w:t xml:space="preserve"> обављање делатности установа социјалне заштите</w:t>
      </w:r>
      <w:r w:rsidR="00C61EEC" w:rsidRPr="002C3A49">
        <w:rPr>
          <w:rFonts w:ascii="Times New Roman" w:hAnsi="Times New Roman"/>
          <w:noProof/>
          <w:szCs w:val="24"/>
          <w:lang w:val="sr-Cyrl-RS"/>
        </w:rPr>
        <w:t xml:space="preserve"> и </w:t>
      </w:r>
      <w:r w:rsidR="00E75F16" w:rsidRPr="002C3A49">
        <w:rPr>
          <w:rFonts w:ascii="Times New Roman" w:hAnsi="Times New Roman"/>
          <w:noProof/>
          <w:szCs w:val="24"/>
          <w:lang w:val="sr-Cyrl-RS"/>
        </w:rPr>
        <w:t>др.).</w:t>
      </w:r>
    </w:p>
    <w:p w14:paraId="687FC80D" w14:textId="77777777" w:rsidR="00917B0C" w:rsidRPr="002C3A49" w:rsidRDefault="00917B0C" w:rsidP="00CE2A83">
      <w:pPr>
        <w:tabs>
          <w:tab w:val="left" w:pos="720"/>
        </w:tabs>
        <w:rPr>
          <w:rFonts w:ascii="Times New Roman" w:hAnsi="Times New Roman"/>
          <w:noProof/>
          <w:szCs w:val="24"/>
          <w:lang w:val="sr-Cyrl-RS"/>
        </w:rPr>
      </w:pPr>
    </w:p>
    <w:p w14:paraId="6C0CEBD3" w14:textId="079F94A8" w:rsidR="006F419D" w:rsidRPr="002C3A49" w:rsidRDefault="00D15FA8" w:rsidP="00CE2A83">
      <w:pPr>
        <w:tabs>
          <w:tab w:val="left" w:pos="720"/>
        </w:tabs>
        <w:rPr>
          <w:rFonts w:ascii="Times New Roman" w:hAnsi="Times New Roman"/>
          <w:noProof/>
          <w:szCs w:val="24"/>
          <w:lang w:val="sr-Cyrl-RS"/>
        </w:rPr>
      </w:pPr>
      <w:r w:rsidRPr="002C3A49">
        <w:rPr>
          <w:noProof/>
          <w:lang w:val="sr-Cyrl-RS"/>
        </w:rPr>
        <w:drawing>
          <wp:inline distT="0" distB="0" distL="0" distR="0" wp14:anchorId="1016A509" wp14:editId="7E9D9027">
            <wp:extent cx="6027142" cy="2916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2030" cy="2918422"/>
                    </a:xfrm>
                    <a:prstGeom prst="rect">
                      <a:avLst/>
                    </a:prstGeom>
                    <a:noFill/>
                  </pic:spPr>
                </pic:pic>
              </a:graphicData>
            </a:graphic>
          </wp:inline>
        </w:drawing>
      </w:r>
    </w:p>
    <w:bookmarkEnd w:id="2"/>
    <w:p w14:paraId="24F506A2" w14:textId="77777777" w:rsidR="00116E21" w:rsidRPr="002C3A49" w:rsidRDefault="00116E21" w:rsidP="0075297D">
      <w:pPr>
        <w:tabs>
          <w:tab w:val="left" w:pos="720"/>
        </w:tabs>
        <w:rPr>
          <w:rFonts w:asciiTheme="minorHAnsi" w:hAnsiTheme="minorHAnsi"/>
          <w:noProof/>
          <w:szCs w:val="24"/>
          <w:lang w:val="sr-Cyrl-RS"/>
        </w:rPr>
      </w:pPr>
    </w:p>
    <w:p w14:paraId="0385C1A5" w14:textId="6E91B3DD" w:rsidR="00CE2A83" w:rsidRPr="002C3A49" w:rsidRDefault="00981A36" w:rsidP="002772AE">
      <w:pPr>
        <w:tabs>
          <w:tab w:val="left" w:pos="720"/>
          <w:tab w:val="left" w:pos="900"/>
        </w:tabs>
        <w:rPr>
          <w:rFonts w:ascii="Times New Roman" w:hAnsi="Times New Roman"/>
          <w:noProof/>
          <w:szCs w:val="24"/>
          <w:lang w:val="sr-Cyrl-RS"/>
        </w:rPr>
      </w:pPr>
      <w:r w:rsidRPr="002C3A49">
        <w:rPr>
          <w:rFonts w:ascii="Times New Roman" w:hAnsi="Times New Roman"/>
          <w:noProof/>
          <w:color w:val="000000"/>
          <w:szCs w:val="24"/>
          <w:lang w:val="sr-Cyrl-RS"/>
        </w:rPr>
        <w:tab/>
      </w:r>
      <w:r w:rsidR="00CE2A83" w:rsidRPr="002C3A49">
        <w:rPr>
          <w:rFonts w:ascii="Times New Roman" w:hAnsi="Times New Roman"/>
          <w:b/>
          <w:bCs/>
          <w:noProof/>
          <w:color w:val="000000"/>
          <w:szCs w:val="24"/>
          <w:lang w:val="sr-Cyrl-RS"/>
        </w:rPr>
        <w:t xml:space="preserve">Остали текући расходи </w:t>
      </w:r>
      <w:r w:rsidR="00CE2A83" w:rsidRPr="002C3A49">
        <w:rPr>
          <w:rFonts w:ascii="Times New Roman" w:hAnsi="Times New Roman"/>
          <w:noProof/>
          <w:color w:val="000000"/>
          <w:szCs w:val="24"/>
          <w:lang w:val="sr-Cyrl-RS"/>
        </w:rPr>
        <w:t xml:space="preserve">планирани су у износу од </w:t>
      </w:r>
      <w:r w:rsidR="006D39D0" w:rsidRPr="002C3A49">
        <w:rPr>
          <w:rFonts w:ascii="Times New Roman" w:hAnsi="Times New Roman"/>
          <w:noProof/>
          <w:szCs w:val="24"/>
          <w:lang w:val="sr-Cyrl-RS"/>
        </w:rPr>
        <w:t>49,</w:t>
      </w:r>
      <w:r w:rsidR="00762478" w:rsidRPr="002C3A49">
        <w:rPr>
          <w:rFonts w:ascii="Times New Roman" w:hAnsi="Times New Roman"/>
          <w:noProof/>
          <w:szCs w:val="24"/>
          <w:lang w:val="sr-Cyrl-RS"/>
        </w:rPr>
        <w:t>87</w:t>
      </w:r>
      <w:r w:rsidR="00CE2A83" w:rsidRPr="002C3A49">
        <w:rPr>
          <w:rFonts w:ascii="Times New Roman" w:hAnsi="Times New Roman"/>
          <w:noProof/>
          <w:szCs w:val="24"/>
          <w:lang w:val="sr-Cyrl-RS"/>
        </w:rPr>
        <w:t xml:space="preserve"> млрд динара што представља 2,</w:t>
      </w:r>
      <w:r w:rsidR="006D39D0" w:rsidRPr="002C3A49">
        <w:rPr>
          <w:rFonts w:ascii="Times New Roman" w:hAnsi="Times New Roman"/>
          <w:noProof/>
          <w:szCs w:val="24"/>
          <w:lang w:val="sr-Cyrl-RS"/>
        </w:rPr>
        <w:t>2</w:t>
      </w:r>
      <w:r w:rsidR="003633FC" w:rsidRPr="002C3A49">
        <w:rPr>
          <w:rFonts w:ascii="Times New Roman" w:hAnsi="Times New Roman"/>
          <w:noProof/>
          <w:szCs w:val="24"/>
          <w:lang w:val="sr-Cyrl-RS"/>
        </w:rPr>
        <w:t>3</w:t>
      </w:r>
      <w:r w:rsidR="00CE2A83" w:rsidRPr="002C3A49">
        <w:rPr>
          <w:rFonts w:ascii="Times New Roman" w:hAnsi="Times New Roman"/>
          <w:noProof/>
          <w:szCs w:val="24"/>
          <w:lang w:val="sr-Cyrl-RS"/>
        </w:rPr>
        <w:t>% укупних расх</w:t>
      </w:r>
      <w:r w:rsidR="007059E4" w:rsidRPr="002C3A49">
        <w:rPr>
          <w:rFonts w:ascii="Times New Roman" w:hAnsi="Times New Roman"/>
          <w:noProof/>
          <w:szCs w:val="24"/>
          <w:lang w:val="sr-Cyrl-RS"/>
        </w:rPr>
        <w:t>ода и издатака. Највећи износ</w:t>
      </w:r>
      <w:r w:rsidR="00CE2A83" w:rsidRPr="002C3A49">
        <w:rPr>
          <w:rFonts w:ascii="Times New Roman" w:hAnsi="Times New Roman"/>
          <w:noProof/>
          <w:szCs w:val="24"/>
          <w:lang w:val="sr-Cyrl-RS"/>
        </w:rPr>
        <w:t xml:space="preserve"> планиран</w:t>
      </w:r>
      <w:r w:rsidR="007059E4" w:rsidRPr="002C3A49">
        <w:rPr>
          <w:rFonts w:ascii="Times New Roman" w:hAnsi="Times New Roman"/>
          <w:noProof/>
          <w:szCs w:val="24"/>
          <w:lang w:val="sr-Cyrl-RS"/>
        </w:rPr>
        <w:t xml:space="preserve"> је</w:t>
      </w:r>
      <w:r w:rsidR="00CE2A83" w:rsidRPr="002C3A49">
        <w:rPr>
          <w:rFonts w:ascii="Times New Roman" w:hAnsi="Times New Roman"/>
          <w:noProof/>
          <w:szCs w:val="24"/>
          <w:lang w:val="sr-Cyrl-RS"/>
        </w:rPr>
        <w:t xml:space="preserve"> за</w:t>
      </w:r>
      <w:r w:rsidR="00CD0111" w:rsidRPr="002C3A49">
        <w:rPr>
          <w:rFonts w:ascii="Times New Roman" w:hAnsi="Times New Roman"/>
          <w:noProof/>
          <w:szCs w:val="24"/>
          <w:lang w:val="sr-Cyrl-RS"/>
        </w:rPr>
        <w:t>:</w:t>
      </w:r>
      <w:r w:rsidR="00CE2A83" w:rsidRPr="002C3A49">
        <w:rPr>
          <w:rFonts w:ascii="Times New Roman" w:hAnsi="Times New Roman"/>
          <w:noProof/>
          <w:szCs w:val="24"/>
          <w:lang w:val="sr-Cyrl-RS"/>
        </w:rPr>
        <w:t xml:space="preserve"> </w:t>
      </w:r>
      <w:r w:rsidR="00CE2A83" w:rsidRPr="002C3A49">
        <w:rPr>
          <w:rFonts w:ascii="Times New Roman" w:hAnsi="Times New Roman"/>
          <w:bCs/>
          <w:noProof/>
          <w:szCs w:val="24"/>
          <w:lang w:val="sr-Cyrl-RS"/>
        </w:rPr>
        <w:t>дотације невладиним организацијама</w:t>
      </w:r>
      <w:r w:rsidR="00CE2A83" w:rsidRPr="002C3A49">
        <w:rPr>
          <w:rFonts w:ascii="Times New Roman" w:hAnsi="Times New Roman"/>
          <w:noProof/>
          <w:szCs w:val="24"/>
          <w:lang w:val="sr-Cyrl-RS"/>
        </w:rPr>
        <w:t xml:space="preserve"> (финансирање редовног рада политичких субјеката</w:t>
      </w:r>
      <w:r w:rsidR="000B2E1D" w:rsidRPr="002C3A49">
        <w:rPr>
          <w:rFonts w:ascii="Times New Roman" w:hAnsi="Times New Roman"/>
          <w:noProof/>
          <w:szCs w:val="24"/>
          <w:lang w:val="sr-Cyrl-RS"/>
        </w:rPr>
        <w:t>;</w:t>
      </w:r>
      <w:r w:rsidR="00CE2A83" w:rsidRPr="002C3A49">
        <w:rPr>
          <w:rFonts w:ascii="Times New Roman" w:hAnsi="Times New Roman"/>
          <w:noProof/>
          <w:szCs w:val="24"/>
          <w:lang w:val="sr-Cyrl-RS"/>
        </w:rPr>
        <w:t xml:space="preserve"> финансирање гранских спортских савеза</w:t>
      </w:r>
      <w:r w:rsidR="000B2E1D" w:rsidRPr="002C3A49">
        <w:rPr>
          <w:rFonts w:ascii="Times New Roman" w:hAnsi="Times New Roman"/>
          <w:noProof/>
          <w:szCs w:val="24"/>
          <w:lang w:val="sr-Cyrl-RS"/>
        </w:rPr>
        <w:t>;</w:t>
      </w:r>
      <w:r w:rsidR="00CE2A83" w:rsidRPr="002C3A49">
        <w:rPr>
          <w:rFonts w:ascii="Calibri" w:hAnsi="Calibri" w:cs="Calibri"/>
          <w:noProof/>
          <w:color w:val="000000"/>
          <w:sz w:val="22"/>
          <w:szCs w:val="22"/>
          <w:lang w:val="sr-Cyrl-RS"/>
        </w:rPr>
        <w:t xml:space="preserve"> </w:t>
      </w:r>
      <w:r w:rsidR="00CE2A83" w:rsidRPr="002C3A49">
        <w:rPr>
          <w:rFonts w:ascii="Times New Roman" w:hAnsi="Times New Roman"/>
          <w:noProof/>
          <w:szCs w:val="24"/>
          <w:lang w:val="sr-Cyrl-RS"/>
        </w:rPr>
        <w:t>материјалн</w:t>
      </w:r>
      <w:r w:rsidR="00D85776" w:rsidRPr="002C3A49">
        <w:rPr>
          <w:rFonts w:ascii="Times New Roman" w:hAnsi="Times New Roman"/>
          <w:noProof/>
          <w:szCs w:val="24"/>
          <w:lang w:val="sr-Cyrl-RS"/>
        </w:rPr>
        <w:t>у</w:t>
      </w:r>
      <w:r w:rsidR="00CE2A83" w:rsidRPr="002C3A49">
        <w:rPr>
          <w:rFonts w:ascii="Times New Roman" w:hAnsi="Times New Roman"/>
          <w:noProof/>
          <w:szCs w:val="24"/>
          <w:lang w:val="sr-Cyrl-RS"/>
        </w:rPr>
        <w:t xml:space="preserve"> подршк</w:t>
      </w:r>
      <w:r w:rsidR="00D85776" w:rsidRPr="002C3A49">
        <w:rPr>
          <w:rFonts w:ascii="Times New Roman" w:hAnsi="Times New Roman"/>
          <w:noProof/>
          <w:szCs w:val="24"/>
          <w:lang w:val="sr-Cyrl-RS"/>
        </w:rPr>
        <w:t>у</w:t>
      </w:r>
      <w:r w:rsidR="00CE2A83" w:rsidRPr="002C3A49">
        <w:rPr>
          <w:rFonts w:ascii="Times New Roman" w:hAnsi="Times New Roman"/>
          <w:noProof/>
          <w:szCs w:val="24"/>
          <w:lang w:val="sr-Cyrl-RS"/>
        </w:rPr>
        <w:t xml:space="preserve"> раду правосудних органа</w:t>
      </w:r>
      <w:r w:rsidR="000B2E1D" w:rsidRPr="002C3A49">
        <w:rPr>
          <w:rFonts w:ascii="Times New Roman" w:hAnsi="Times New Roman"/>
          <w:noProof/>
          <w:szCs w:val="24"/>
          <w:lang w:val="sr-Cyrl-RS"/>
        </w:rPr>
        <w:t>;</w:t>
      </w:r>
      <w:r w:rsidR="00CE2A83" w:rsidRPr="002C3A49">
        <w:rPr>
          <w:rFonts w:ascii="Calibri" w:hAnsi="Calibri" w:cs="Calibri"/>
          <w:noProof/>
          <w:color w:val="000000"/>
          <w:sz w:val="22"/>
          <w:szCs w:val="22"/>
          <w:lang w:val="sr-Cyrl-RS"/>
        </w:rPr>
        <w:t xml:space="preserve"> </w:t>
      </w:r>
      <w:r w:rsidR="00CE2A83" w:rsidRPr="002C3A49">
        <w:rPr>
          <w:rFonts w:ascii="Times New Roman" w:hAnsi="Times New Roman"/>
          <w:noProof/>
          <w:szCs w:val="24"/>
          <w:lang w:val="sr-Cyrl-RS"/>
        </w:rPr>
        <w:t>унапређење положаја националних мањина</w:t>
      </w:r>
      <w:r w:rsidR="000B2E1D" w:rsidRPr="002C3A49">
        <w:rPr>
          <w:rFonts w:ascii="Times New Roman" w:hAnsi="Times New Roman"/>
          <w:noProof/>
          <w:szCs w:val="24"/>
          <w:lang w:val="sr-Cyrl-RS"/>
        </w:rPr>
        <w:t>;</w:t>
      </w:r>
      <w:r w:rsidR="00CE2A83" w:rsidRPr="002C3A49">
        <w:rPr>
          <w:rFonts w:ascii="Calibri" w:hAnsi="Calibri" w:cs="Calibri"/>
          <w:noProof/>
          <w:color w:val="000000"/>
          <w:sz w:val="22"/>
          <w:szCs w:val="22"/>
          <w:lang w:val="sr-Cyrl-RS"/>
        </w:rPr>
        <w:t xml:space="preserve"> </w:t>
      </w:r>
      <w:r w:rsidR="00CE2A83" w:rsidRPr="002C3A49">
        <w:rPr>
          <w:rFonts w:ascii="Times New Roman" w:hAnsi="Times New Roman"/>
          <w:noProof/>
          <w:szCs w:val="24"/>
          <w:lang w:val="sr-Cyrl-RS"/>
        </w:rPr>
        <w:t>подршк</w:t>
      </w:r>
      <w:r w:rsidR="00D85776" w:rsidRPr="002C3A49">
        <w:rPr>
          <w:rFonts w:ascii="Times New Roman" w:hAnsi="Times New Roman"/>
          <w:noProof/>
          <w:szCs w:val="24"/>
          <w:lang w:val="sr-Cyrl-RS"/>
        </w:rPr>
        <w:t>у</w:t>
      </w:r>
      <w:r w:rsidR="00CE2A83" w:rsidRPr="002C3A49">
        <w:rPr>
          <w:rFonts w:ascii="Times New Roman" w:hAnsi="Times New Roman"/>
          <w:noProof/>
          <w:szCs w:val="24"/>
          <w:lang w:val="sr-Cyrl-RS"/>
        </w:rPr>
        <w:t xml:space="preserve"> удружењима и локалним заједницама</w:t>
      </w:r>
      <w:r w:rsidR="00E93ABE" w:rsidRPr="002C3A49">
        <w:rPr>
          <w:rFonts w:ascii="Times New Roman" w:hAnsi="Times New Roman"/>
          <w:noProof/>
          <w:szCs w:val="24"/>
          <w:lang w:val="sr-Cyrl-RS"/>
        </w:rPr>
        <w:t xml:space="preserve"> </w:t>
      </w:r>
      <w:r w:rsidR="00CE2A83" w:rsidRPr="002C3A49">
        <w:rPr>
          <w:rFonts w:ascii="Times New Roman" w:hAnsi="Times New Roman"/>
          <w:noProof/>
          <w:szCs w:val="24"/>
          <w:lang w:val="sr-Cyrl-RS"/>
        </w:rPr>
        <w:t>и др</w:t>
      </w:r>
      <w:r w:rsidR="005A171E" w:rsidRPr="002C3A49">
        <w:rPr>
          <w:rFonts w:ascii="Times New Roman" w:hAnsi="Times New Roman"/>
          <w:noProof/>
          <w:szCs w:val="24"/>
          <w:lang w:val="sr-Cyrl-RS"/>
        </w:rPr>
        <w:t>.</w:t>
      </w:r>
      <w:r w:rsidR="00CE2A83" w:rsidRPr="002C3A49">
        <w:rPr>
          <w:rFonts w:ascii="Times New Roman" w:hAnsi="Times New Roman"/>
          <w:noProof/>
          <w:szCs w:val="24"/>
          <w:lang w:val="sr-Cyrl-RS"/>
        </w:rPr>
        <w:t>)</w:t>
      </w:r>
      <w:r w:rsidR="00BD0701" w:rsidRPr="002C3A49">
        <w:rPr>
          <w:rFonts w:ascii="Times New Roman" w:hAnsi="Times New Roman"/>
          <w:noProof/>
          <w:szCs w:val="24"/>
          <w:lang w:val="sr-Cyrl-RS"/>
        </w:rPr>
        <w:t>;</w:t>
      </w:r>
      <w:r w:rsidR="00CE2A83" w:rsidRPr="002C3A49">
        <w:rPr>
          <w:rFonts w:ascii="Times New Roman" w:hAnsi="Times New Roman"/>
          <w:noProof/>
          <w:szCs w:val="24"/>
          <w:lang w:val="sr-Cyrl-RS"/>
        </w:rPr>
        <w:t xml:space="preserve"> п</w:t>
      </w:r>
      <w:r w:rsidR="00CE2A83" w:rsidRPr="002C3A49">
        <w:rPr>
          <w:rFonts w:ascii="Times New Roman" w:hAnsi="Times New Roman"/>
          <w:bCs/>
          <w:noProof/>
          <w:szCs w:val="24"/>
          <w:lang w:val="sr-Cyrl-RS"/>
        </w:rPr>
        <w:t>орезе, обавезне таксе, казне, пенале и камате</w:t>
      </w:r>
      <w:r w:rsidR="00CE2A83" w:rsidRPr="002C3A49">
        <w:rPr>
          <w:rFonts w:ascii="Times New Roman" w:hAnsi="Times New Roman"/>
          <w:noProof/>
          <w:szCs w:val="24"/>
          <w:lang w:val="sr-Cyrl-RS"/>
        </w:rPr>
        <w:t xml:space="preserve">; </w:t>
      </w:r>
      <w:r w:rsidR="00CE2A83" w:rsidRPr="002C3A49">
        <w:rPr>
          <w:rFonts w:ascii="Times New Roman" w:hAnsi="Times New Roman"/>
          <w:bCs/>
          <w:noProof/>
          <w:szCs w:val="24"/>
          <w:lang w:val="sr-Cyrl-RS"/>
        </w:rPr>
        <w:t>новчане казне и пенале по решењу судова</w:t>
      </w:r>
      <w:r w:rsidR="00CE2A83" w:rsidRPr="002C3A49">
        <w:rPr>
          <w:rFonts w:ascii="Times New Roman" w:hAnsi="Times New Roman"/>
          <w:noProof/>
          <w:szCs w:val="24"/>
          <w:lang w:val="sr-Cyrl-RS"/>
        </w:rPr>
        <w:t xml:space="preserve"> (извршење судских поступака, заштита права у поступцима пред домаћим </w:t>
      </w:r>
      <w:r w:rsidR="00E93ABE" w:rsidRPr="002C3A49">
        <w:rPr>
          <w:rFonts w:ascii="Times New Roman" w:hAnsi="Times New Roman"/>
          <w:noProof/>
          <w:szCs w:val="24"/>
          <w:lang w:val="sr-Cyrl-RS"/>
        </w:rPr>
        <w:t xml:space="preserve">и страним </w:t>
      </w:r>
      <w:r w:rsidR="00CE2A83" w:rsidRPr="002C3A49">
        <w:rPr>
          <w:rFonts w:ascii="Times New Roman" w:hAnsi="Times New Roman"/>
          <w:noProof/>
          <w:szCs w:val="24"/>
          <w:lang w:val="sr-Cyrl-RS"/>
        </w:rPr>
        <w:t xml:space="preserve">судовима и др.); </w:t>
      </w:r>
      <w:r w:rsidR="00CE2A83" w:rsidRPr="002C3A49">
        <w:rPr>
          <w:rFonts w:ascii="Times New Roman" w:hAnsi="Times New Roman"/>
          <w:bCs/>
          <w:noProof/>
          <w:szCs w:val="24"/>
          <w:lang w:val="sr-Cyrl-RS"/>
        </w:rPr>
        <w:t>накнаду штете за повреде или штету нанету од стране државних органа</w:t>
      </w:r>
      <w:r w:rsidR="00CE2A83" w:rsidRPr="002C3A49">
        <w:rPr>
          <w:rFonts w:ascii="Times New Roman" w:hAnsi="Times New Roman"/>
          <w:b/>
          <w:noProof/>
          <w:szCs w:val="24"/>
          <w:lang w:val="sr-Cyrl-RS"/>
        </w:rPr>
        <w:t xml:space="preserve"> </w:t>
      </w:r>
      <w:r w:rsidR="00CE2A83" w:rsidRPr="002C3A49">
        <w:rPr>
          <w:rFonts w:ascii="Times New Roman" w:hAnsi="Times New Roman"/>
          <w:noProof/>
          <w:szCs w:val="24"/>
          <w:lang w:val="sr-Cyrl-RS"/>
        </w:rPr>
        <w:t>(враћање одузете имовине и обештећење за одузету имовину</w:t>
      </w:r>
      <w:r w:rsidR="00E76A98" w:rsidRPr="002C3A49">
        <w:rPr>
          <w:rFonts w:ascii="Times New Roman" w:hAnsi="Times New Roman"/>
          <w:noProof/>
          <w:szCs w:val="24"/>
          <w:lang w:val="sr-Cyrl-RS"/>
        </w:rPr>
        <w:t>)</w:t>
      </w:r>
      <w:r w:rsidR="00E93ABE" w:rsidRPr="002C3A49">
        <w:rPr>
          <w:rFonts w:ascii="Times New Roman" w:hAnsi="Times New Roman"/>
          <w:noProof/>
          <w:szCs w:val="24"/>
          <w:lang w:val="sr-Cyrl-RS"/>
        </w:rPr>
        <w:t xml:space="preserve"> </w:t>
      </w:r>
      <w:r w:rsidR="008B38AA" w:rsidRPr="002C3A49">
        <w:rPr>
          <w:rFonts w:ascii="Times New Roman" w:hAnsi="Times New Roman"/>
          <w:noProof/>
          <w:szCs w:val="24"/>
          <w:lang w:val="sr-Cyrl-RS"/>
        </w:rPr>
        <w:t>и др.</w:t>
      </w:r>
    </w:p>
    <w:p w14:paraId="3FBB957A" w14:textId="7FB3A4D5" w:rsidR="004B640B" w:rsidRPr="002C3A49" w:rsidRDefault="00CE2A83" w:rsidP="00CE2A83">
      <w:pPr>
        <w:tabs>
          <w:tab w:val="left" w:pos="720"/>
        </w:tabs>
        <w:rPr>
          <w:rFonts w:ascii="Times New Roman" w:hAnsi="Times New Roman"/>
          <w:b/>
          <w:noProof/>
          <w:szCs w:val="24"/>
          <w:lang w:val="sr-Cyrl-RS"/>
        </w:rPr>
      </w:pPr>
      <w:r w:rsidRPr="002C3A49">
        <w:rPr>
          <w:rFonts w:ascii="Times New Roman" w:hAnsi="Times New Roman"/>
          <w:b/>
          <w:noProof/>
          <w:szCs w:val="24"/>
          <w:lang w:val="sr-Cyrl-RS"/>
        </w:rPr>
        <w:tab/>
        <w:t>Издаци за нефинансијску имовину</w:t>
      </w:r>
      <w:r w:rsidRPr="002C3A49">
        <w:rPr>
          <w:noProof/>
          <w:lang w:val="sr-Cyrl-RS"/>
        </w:rPr>
        <w:t xml:space="preserve"> </w:t>
      </w:r>
      <w:r w:rsidRPr="002C3A49">
        <w:rPr>
          <w:rFonts w:ascii="Times New Roman" w:hAnsi="Times New Roman"/>
          <w:noProof/>
          <w:szCs w:val="24"/>
          <w:lang w:val="sr-Cyrl-RS"/>
        </w:rPr>
        <w:t xml:space="preserve">планирани су у износу од </w:t>
      </w:r>
      <w:r w:rsidR="008435E1" w:rsidRPr="002C3A49">
        <w:rPr>
          <w:rFonts w:ascii="Times New Roman" w:hAnsi="Times New Roman"/>
          <w:noProof/>
          <w:szCs w:val="24"/>
          <w:lang w:val="sr-Cyrl-RS"/>
        </w:rPr>
        <w:t>467,49</w:t>
      </w:r>
      <w:r w:rsidRPr="002C3A49">
        <w:rPr>
          <w:rFonts w:ascii="Times New Roman" w:hAnsi="Times New Roman"/>
          <w:noProof/>
          <w:szCs w:val="24"/>
          <w:lang w:val="sr-Cyrl-RS"/>
        </w:rPr>
        <w:t xml:space="preserve"> млрд динара што представља </w:t>
      </w:r>
      <w:r w:rsidR="00777ED5" w:rsidRPr="002C3A49">
        <w:rPr>
          <w:rFonts w:ascii="Times New Roman" w:hAnsi="Times New Roman"/>
          <w:noProof/>
          <w:szCs w:val="24"/>
          <w:lang w:val="sr-Cyrl-RS"/>
        </w:rPr>
        <w:t>2</w:t>
      </w:r>
      <w:r w:rsidR="003633FC" w:rsidRPr="002C3A49">
        <w:rPr>
          <w:rFonts w:ascii="Times New Roman" w:hAnsi="Times New Roman"/>
          <w:noProof/>
          <w:szCs w:val="24"/>
          <w:lang w:val="sr-Cyrl-RS"/>
        </w:rPr>
        <w:t>0,</w:t>
      </w:r>
      <w:r w:rsidR="008435E1" w:rsidRPr="002C3A49">
        <w:rPr>
          <w:rFonts w:ascii="Times New Roman" w:hAnsi="Times New Roman"/>
          <w:noProof/>
          <w:szCs w:val="24"/>
          <w:lang w:val="sr-Cyrl-RS"/>
        </w:rPr>
        <w:t>89</w:t>
      </w:r>
      <w:r w:rsidR="00512FFC" w:rsidRPr="002C3A49">
        <w:rPr>
          <w:rFonts w:ascii="Times New Roman" w:hAnsi="Times New Roman"/>
          <w:noProof/>
          <w:szCs w:val="24"/>
          <w:lang w:val="sr-Cyrl-RS"/>
        </w:rPr>
        <w:t>%</w:t>
      </w:r>
      <w:r w:rsidRPr="002C3A49">
        <w:rPr>
          <w:rFonts w:ascii="Times New Roman" w:hAnsi="Times New Roman"/>
          <w:noProof/>
          <w:szCs w:val="24"/>
          <w:lang w:val="sr-Cyrl-RS"/>
        </w:rPr>
        <w:t xml:space="preserve"> укупних расхода и издатака.</w:t>
      </w:r>
      <w:r w:rsidRPr="002C3A49">
        <w:rPr>
          <w:rFonts w:ascii="Times New Roman" w:hAnsi="Times New Roman"/>
          <w:b/>
          <w:noProof/>
          <w:szCs w:val="24"/>
          <w:lang w:val="sr-Cyrl-RS"/>
        </w:rPr>
        <w:t xml:space="preserve"> </w:t>
      </w:r>
    </w:p>
    <w:p w14:paraId="2C8CC4FC" w14:textId="77777777" w:rsidR="004B640B" w:rsidRPr="002C3A49" w:rsidRDefault="004B640B" w:rsidP="00CE2A83">
      <w:pPr>
        <w:tabs>
          <w:tab w:val="left" w:pos="720"/>
        </w:tabs>
        <w:rPr>
          <w:rFonts w:ascii="Times New Roman" w:hAnsi="Times New Roman"/>
          <w:b/>
          <w:noProof/>
          <w:szCs w:val="24"/>
          <w:lang w:val="sr-Cyrl-RS"/>
        </w:rPr>
      </w:pPr>
    </w:p>
    <w:p w14:paraId="366D5A69" w14:textId="760BCEA6" w:rsidR="004B640B" w:rsidRPr="002C3A49" w:rsidRDefault="00D15FA8" w:rsidP="00CE2A83">
      <w:pPr>
        <w:tabs>
          <w:tab w:val="left" w:pos="720"/>
        </w:tabs>
        <w:rPr>
          <w:rFonts w:ascii="Times New Roman" w:hAnsi="Times New Roman"/>
          <w:b/>
          <w:noProof/>
          <w:szCs w:val="24"/>
          <w:lang w:val="sr-Cyrl-RS"/>
        </w:rPr>
      </w:pPr>
      <w:r w:rsidRPr="002C3A49">
        <w:rPr>
          <w:noProof/>
          <w:lang w:val="sr-Cyrl-RS"/>
        </w:rPr>
        <w:drawing>
          <wp:inline distT="0" distB="0" distL="0" distR="0" wp14:anchorId="3E03A26D" wp14:editId="428FA540">
            <wp:extent cx="5897244" cy="2907957"/>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4148" cy="2911361"/>
                    </a:xfrm>
                    <a:prstGeom prst="rect">
                      <a:avLst/>
                    </a:prstGeom>
                    <a:noFill/>
                  </pic:spPr>
                </pic:pic>
              </a:graphicData>
            </a:graphic>
          </wp:inline>
        </w:drawing>
      </w:r>
    </w:p>
    <w:p w14:paraId="60840C2F" w14:textId="77777777" w:rsidR="008828F5" w:rsidRPr="002C3A49" w:rsidRDefault="008828F5" w:rsidP="008828F5">
      <w:pPr>
        <w:rPr>
          <w:rFonts w:ascii="Times New Roman" w:hAnsi="Times New Roman"/>
          <w:noProof/>
          <w:szCs w:val="24"/>
          <w:lang w:val="sr-Cyrl-RS"/>
        </w:rPr>
      </w:pPr>
    </w:p>
    <w:p w14:paraId="18189696" w14:textId="32263FF0" w:rsidR="007E2836" w:rsidRPr="002C3A49" w:rsidRDefault="008828F5" w:rsidP="00564DDA">
      <w:pPr>
        <w:ind w:firstLine="720"/>
        <w:rPr>
          <w:rFonts w:ascii="Calibri" w:hAnsi="Calibri" w:cs="Calibri"/>
          <w:noProof/>
          <w:color w:val="000000"/>
          <w:sz w:val="22"/>
          <w:szCs w:val="22"/>
          <w:lang w:val="sr-Cyrl-RS"/>
        </w:rPr>
      </w:pPr>
      <w:r w:rsidRPr="002C3A49">
        <w:rPr>
          <w:rFonts w:ascii="Times New Roman" w:hAnsi="Times New Roman"/>
          <w:noProof/>
          <w:szCs w:val="24"/>
          <w:lang w:val="sr-Cyrl-RS"/>
        </w:rPr>
        <w:t>У буџету Републике Србије за 2024. годину значајнија средства опредељена су за инфраструктурне пројекте: Брза саобраћајница Iб реда Нови Сад-Рума</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Пројекат мађарско - српске железнице</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Изградња аутопута Е-763, деоница: Прељина </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Пожега</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Изградња аутопута Е-761, деоница: Појате </w:t>
      </w:r>
      <w:r w:rsidR="009D47D1" w:rsidRPr="002C3A49">
        <w:rPr>
          <w:rFonts w:ascii="Times New Roman" w:hAnsi="Times New Roman"/>
          <w:noProof/>
          <w:szCs w:val="24"/>
          <w:lang w:val="sr-Cyrl-RS"/>
        </w:rPr>
        <w:t>-</w:t>
      </w:r>
      <w:r w:rsidRPr="002C3A49">
        <w:rPr>
          <w:rFonts w:ascii="Times New Roman" w:hAnsi="Times New Roman"/>
          <w:noProof/>
          <w:szCs w:val="24"/>
          <w:lang w:val="sr-Cyrl-RS"/>
        </w:rPr>
        <w:t xml:space="preserve"> Прељина</w:t>
      </w:r>
      <w:r w:rsidR="009D47D1" w:rsidRPr="002C3A49">
        <w:rPr>
          <w:rFonts w:ascii="Times New Roman" w:hAnsi="Times New Roman"/>
          <w:noProof/>
          <w:szCs w:val="24"/>
          <w:lang w:val="sr-Cyrl-RS"/>
        </w:rPr>
        <w:t>;</w:t>
      </w:r>
      <w:r w:rsidRPr="002C3A49">
        <w:rPr>
          <w:rFonts w:ascii="Times New Roman" w:hAnsi="Times New Roman"/>
          <w:noProof/>
          <w:szCs w:val="24"/>
          <w:lang w:val="sr-Cyrl-RS"/>
        </w:rPr>
        <w:t xml:space="preserve"> Изградња аутопута Е-761 Београд</w:t>
      </w:r>
      <w:r w:rsidR="00A844DE" w:rsidRPr="002C3A49">
        <w:rPr>
          <w:rFonts w:ascii="Times New Roman" w:hAnsi="Times New Roman"/>
          <w:noProof/>
          <w:szCs w:val="24"/>
          <w:lang w:val="sr-Cyrl-RS"/>
        </w:rPr>
        <w:t xml:space="preserve"> </w:t>
      </w:r>
      <w:r w:rsidRPr="002C3A49">
        <w:rPr>
          <w:rFonts w:ascii="Times New Roman" w:hAnsi="Times New Roman"/>
          <w:noProof/>
          <w:szCs w:val="24"/>
          <w:lang w:val="sr-Cyrl-RS"/>
        </w:rPr>
        <w:t>-</w:t>
      </w:r>
      <w:r w:rsidR="00A844DE" w:rsidRPr="002C3A49">
        <w:rPr>
          <w:rFonts w:ascii="Times New Roman" w:hAnsi="Times New Roman"/>
          <w:noProof/>
          <w:szCs w:val="24"/>
          <w:lang w:val="sr-Cyrl-RS"/>
        </w:rPr>
        <w:t xml:space="preserve"> </w:t>
      </w:r>
      <w:r w:rsidRPr="002C3A49">
        <w:rPr>
          <w:rFonts w:ascii="Times New Roman" w:hAnsi="Times New Roman"/>
          <w:noProof/>
          <w:szCs w:val="24"/>
          <w:lang w:val="sr-Cyrl-RS"/>
        </w:rPr>
        <w:t>Сарајево</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Изградња саобраћајнице Рума - Шабац </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Лозница</w:t>
      </w:r>
      <w:r w:rsidR="00F908B3" w:rsidRPr="002C3A49">
        <w:rPr>
          <w:rFonts w:ascii="Times New Roman" w:hAnsi="Times New Roman"/>
          <w:noProof/>
          <w:szCs w:val="24"/>
          <w:lang w:val="sr-Cyrl-RS"/>
        </w:rPr>
        <w:t>;</w:t>
      </w:r>
      <w:r w:rsidRPr="002C3A49">
        <w:rPr>
          <w:rFonts w:ascii="Times New Roman" w:hAnsi="Times New Roman"/>
          <w:noProof/>
          <w:szCs w:val="24"/>
          <w:lang w:val="sr-Cyrl-RS"/>
        </w:rPr>
        <w:t xml:space="preserve"> </w:t>
      </w:r>
      <w:r w:rsidR="00F908B3" w:rsidRPr="002C3A49">
        <w:rPr>
          <w:rFonts w:ascii="Times New Roman" w:hAnsi="Times New Roman"/>
          <w:noProof/>
          <w:color w:val="000000"/>
          <w:szCs w:val="24"/>
          <w:lang w:val="sr-Cyrl-RS"/>
        </w:rPr>
        <w:t xml:space="preserve">Изградња новог моста преко реке Саве у Београду; </w:t>
      </w:r>
      <w:r w:rsidRPr="002C3A49">
        <w:rPr>
          <w:rFonts w:ascii="Times New Roman" w:hAnsi="Times New Roman"/>
          <w:noProof/>
          <w:szCs w:val="24"/>
          <w:lang w:val="sr-Cyrl-RS"/>
        </w:rPr>
        <w:t>Пројекат изградње комуналне (канализационе) инфраструктуре и инфраструктуре за одлагање комуналног чврстог отпада у Републици Србији</w:t>
      </w:r>
      <w:r w:rsidR="003702F2" w:rsidRPr="002C3A49">
        <w:rPr>
          <w:rFonts w:ascii="Times New Roman" w:hAnsi="Times New Roman"/>
          <w:noProof/>
          <w:szCs w:val="24"/>
          <w:lang w:val="sr-Cyrl-RS"/>
        </w:rPr>
        <w:t>;</w:t>
      </w:r>
      <w:r w:rsidRPr="002C3A49">
        <w:rPr>
          <w:rFonts w:ascii="Times New Roman" w:hAnsi="Times New Roman"/>
          <w:noProof/>
          <w:szCs w:val="24"/>
          <w:lang w:val="sr-Cyrl-RS"/>
        </w:rPr>
        <w:t xml:space="preserve"> Брза саобраћајница Е-75, петља Пожаревац </w:t>
      </w:r>
      <w:r w:rsidR="00C7422F" w:rsidRPr="002C3A49">
        <w:rPr>
          <w:rFonts w:ascii="Times New Roman" w:hAnsi="Times New Roman"/>
          <w:noProof/>
          <w:szCs w:val="24"/>
          <w:lang w:val="sr-Cyrl-RS"/>
        </w:rPr>
        <w:t>-</w:t>
      </w:r>
      <w:r w:rsidRPr="002C3A49">
        <w:rPr>
          <w:rFonts w:ascii="Times New Roman" w:hAnsi="Times New Roman"/>
          <w:noProof/>
          <w:szCs w:val="24"/>
          <w:lang w:val="sr-Cyrl-RS"/>
        </w:rPr>
        <w:t xml:space="preserve"> Голубац</w:t>
      </w:r>
      <w:r w:rsidR="00963862" w:rsidRPr="002C3A49">
        <w:rPr>
          <w:rFonts w:ascii="Times New Roman" w:hAnsi="Times New Roman"/>
          <w:noProof/>
          <w:szCs w:val="24"/>
          <w:lang w:val="sr-Cyrl-RS"/>
        </w:rPr>
        <w:t xml:space="preserve"> и др.</w:t>
      </w:r>
    </w:p>
    <w:p w14:paraId="4455EAC6" w14:textId="12E34920" w:rsidR="007E2836" w:rsidRPr="002C3A49" w:rsidRDefault="007E2836" w:rsidP="00171A9A">
      <w:pPr>
        <w:ind w:firstLine="720"/>
        <w:rPr>
          <w:rFonts w:ascii="Times New Roman" w:hAnsi="Times New Roman"/>
          <w:noProof/>
          <w:color w:val="000000"/>
          <w:szCs w:val="24"/>
          <w:lang w:val="sr-Cyrl-RS"/>
        </w:rPr>
      </w:pPr>
      <w:r w:rsidRPr="002C3A49">
        <w:rPr>
          <w:rFonts w:ascii="Times New Roman" w:hAnsi="Times New Roman"/>
          <w:noProof/>
          <w:szCs w:val="24"/>
          <w:lang w:val="sr-Cyrl-RS"/>
        </w:rPr>
        <w:t xml:space="preserve">Такође, </w:t>
      </w:r>
      <w:r w:rsidR="004D73CA" w:rsidRPr="002C3A49">
        <w:rPr>
          <w:rFonts w:ascii="Times New Roman" w:hAnsi="Times New Roman"/>
          <w:noProof/>
          <w:szCs w:val="24"/>
          <w:lang w:val="sr-Cyrl-RS"/>
        </w:rPr>
        <w:t xml:space="preserve">значајна </w:t>
      </w:r>
      <w:r w:rsidRPr="002C3A49">
        <w:rPr>
          <w:rFonts w:ascii="Times New Roman" w:hAnsi="Times New Roman"/>
          <w:noProof/>
          <w:szCs w:val="24"/>
          <w:lang w:val="sr-Cyrl-RS"/>
        </w:rPr>
        <w:t>средства су планиран</w:t>
      </w:r>
      <w:r w:rsidR="005817AD" w:rsidRPr="002C3A49">
        <w:rPr>
          <w:rFonts w:ascii="Times New Roman" w:hAnsi="Times New Roman"/>
          <w:noProof/>
          <w:szCs w:val="24"/>
          <w:lang w:val="sr-Cyrl-RS"/>
        </w:rPr>
        <w:t>а</w:t>
      </w:r>
      <w:r w:rsidRPr="002C3A49">
        <w:rPr>
          <w:rFonts w:ascii="Times New Roman" w:hAnsi="Times New Roman"/>
          <w:noProof/>
          <w:szCs w:val="24"/>
          <w:lang w:val="sr-Cyrl-RS"/>
        </w:rPr>
        <w:t xml:space="preserve"> и за: опремање војске и полиције</w:t>
      </w:r>
      <w:r w:rsidR="000B2E1D" w:rsidRPr="002C3A49">
        <w:rPr>
          <w:rFonts w:ascii="Times New Roman" w:hAnsi="Times New Roman"/>
          <w:noProof/>
          <w:szCs w:val="24"/>
          <w:lang w:val="sr-Cyrl-RS"/>
        </w:rPr>
        <w:t>;</w:t>
      </w:r>
      <w:r w:rsidRPr="002C3A49">
        <w:rPr>
          <w:rFonts w:ascii="Times New Roman" w:hAnsi="Times New Roman"/>
          <w:noProof/>
          <w:szCs w:val="24"/>
          <w:lang w:val="sr-Cyrl-RS"/>
        </w:rPr>
        <w:t xml:space="preserve"> </w:t>
      </w:r>
      <w:r w:rsidR="005817AD" w:rsidRPr="002C3A49">
        <w:rPr>
          <w:rFonts w:ascii="Times New Roman" w:hAnsi="Times New Roman"/>
          <w:noProof/>
          <w:szCs w:val="24"/>
          <w:lang w:val="sr-Cyrl-RS"/>
        </w:rPr>
        <w:t>интервенцијска средства за потребе спровођења ИПА програма</w:t>
      </w:r>
      <w:r w:rsidR="000B2E1D" w:rsidRPr="002C3A49">
        <w:rPr>
          <w:rFonts w:ascii="Times New Roman" w:hAnsi="Times New Roman"/>
          <w:noProof/>
          <w:szCs w:val="24"/>
          <w:lang w:val="sr-Cyrl-RS"/>
        </w:rPr>
        <w:t>;</w:t>
      </w:r>
      <w:r w:rsidR="005817AD" w:rsidRPr="002C3A49">
        <w:rPr>
          <w:rFonts w:ascii="Times New Roman" w:hAnsi="Times New Roman"/>
          <w:noProof/>
          <w:szCs w:val="24"/>
          <w:lang w:val="sr-Cyrl-RS"/>
        </w:rPr>
        <w:t xml:space="preserve"> </w:t>
      </w:r>
      <w:r w:rsidRPr="002C3A49">
        <w:rPr>
          <w:rFonts w:ascii="Times New Roman" w:hAnsi="Times New Roman"/>
          <w:noProof/>
          <w:szCs w:val="24"/>
          <w:lang w:val="sr-Cyrl-RS"/>
        </w:rPr>
        <w:t>изградњу Националног фудбалског стадиона са пратећим садржајима</w:t>
      </w:r>
      <w:r w:rsidR="000B2E1D" w:rsidRPr="002C3A49">
        <w:rPr>
          <w:rFonts w:ascii="Times New Roman" w:hAnsi="Times New Roman"/>
          <w:noProof/>
          <w:szCs w:val="24"/>
          <w:lang w:val="sr-Cyrl-RS"/>
        </w:rPr>
        <w:t>;</w:t>
      </w:r>
      <w:r w:rsidRPr="002C3A49">
        <w:rPr>
          <w:rFonts w:ascii="Times New Roman" w:hAnsi="Times New Roman"/>
          <w:noProof/>
          <w:szCs w:val="24"/>
          <w:lang w:val="sr-Cyrl-RS"/>
        </w:rPr>
        <w:t xml:space="preserve"> EXPO Београд 2027</w:t>
      </w:r>
      <w:r w:rsidR="000B2E1D" w:rsidRPr="002C3A49">
        <w:rPr>
          <w:rFonts w:ascii="Times New Roman" w:hAnsi="Times New Roman"/>
          <w:noProof/>
          <w:szCs w:val="24"/>
          <w:lang w:val="sr-Cyrl-RS"/>
        </w:rPr>
        <w:t>;</w:t>
      </w:r>
      <w:r w:rsidRPr="002C3A49">
        <w:rPr>
          <w:rFonts w:ascii="Times New Roman" w:hAnsi="Times New Roman"/>
          <w:noProof/>
          <w:szCs w:val="24"/>
          <w:lang w:val="sr-Cyrl-RS"/>
        </w:rPr>
        <w:t xml:space="preserve"> </w:t>
      </w:r>
      <w:r w:rsidR="005817AD" w:rsidRPr="002C3A49">
        <w:rPr>
          <w:rFonts w:ascii="Times New Roman" w:hAnsi="Times New Roman"/>
          <w:noProof/>
          <w:szCs w:val="24"/>
          <w:lang w:val="sr-Cyrl-RS"/>
        </w:rPr>
        <w:t>централизовану платформу за електронске фактуре правних лица и предузетника</w:t>
      </w:r>
      <w:r w:rsidR="00760657">
        <w:rPr>
          <w:rFonts w:ascii="Times New Roman" w:hAnsi="Times New Roman"/>
          <w:noProof/>
          <w:szCs w:val="24"/>
          <w:lang w:val="sr-Cyrl-RS"/>
        </w:rPr>
        <w:t>;</w:t>
      </w:r>
      <w:r w:rsidR="005817AD" w:rsidRPr="002C3A49">
        <w:rPr>
          <w:noProof/>
          <w:lang w:val="sr-Cyrl-RS"/>
        </w:rPr>
        <w:t xml:space="preserve"> </w:t>
      </w:r>
      <w:r w:rsidRPr="002C3A49">
        <w:rPr>
          <w:rFonts w:ascii="Times New Roman" w:hAnsi="Times New Roman"/>
          <w:noProof/>
          <w:szCs w:val="24"/>
          <w:lang w:val="sr-Cyrl-RS"/>
        </w:rPr>
        <w:t>експропријацију земљишта у циљу изградње капиталних пројеката</w:t>
      </w:r>
      <w:r w:rsidR="000B2E1D" w:rsidRPr="002C3A49">
        <w:rPr>
          <w:rFonts w:ascii="Times New Roman" w:hAnsi="Times New Roman"/>
          <w:noProof/>
          <w:szCs w:val="24"/>
          <w:lang w:val="sr-Cyrl-RS"/>
        </w:rPr>
        <w:t>;</w:t>
      </w:r>
      <w:r w:rsidR="00FE1D8F" w:rsidRPr="002C3A49">
        <w:rPr>
          <w:rFonts w:ascii="Times New Roman" w:hAnsi="Times New Roman"/>
          <w:noProof/>
          <w:szCs w:val="24"/>
          <w:lang w:val="sr-Cyrl-RS"/>
        </w:rPr>
        <w:t xml:space="preserve"> </w:t>
      </w:r>
      <w:r w:rsidR="00C7422F" w:rsidRPr="002C3A49">
        <w:rPr>
          <w:rFonts w:ascii="Times New Roman" w:hAnsi="Times New Roman"/>
          <w:noProof/>
          <w:szCs w:val="24"/>
          <w:lang w:val="sr-Cyrl-RS"/>
        </w:rPr>
        <w:t>подршку развоју пословне инфраструктуре</w:t>
      </w:r>
      <w:r w:rsidR="000B2E1D" w:rsidRPr="002C3A49">
        <w:rPr>
          <w:rFonts w:ascii="Times New Roman" w:hAnsi="Times New Roman"/>
          <w:noProof/>
          <w:szCs w:val="24"/>
          <w:lang w:val="sr-Cyrl-RS"/>
        </w:rPr>
        <w:t>;</w:t>
      </w:r>
      <w:r w:rsidR="00C7422F" w:rsidRPr="002C3A49">
        <w:rPr>
          <w:rFonts w:ascii="Times New Roman" w:hAnsi="Times New Roman"/>
          <w:noProof/>
          <w:szCs w:val="24"/>
          <w:lang w:val="sr-Cyrl-RS"/>
        </w:rPr>
        <w:t xml:space="preserve"> </w:t>
      </w:r>
      <w:r w:rsidR="00963862" w:rsidRPr="002C3A49">
        <w:rPr>
          <w:rFonts w:ascii="Times New Roman" w:hAnsi="Times New Roman"/>
          <w:noProof/>
          <w:szCs w:val="24"/>
          <w:lang w:val="sr-Cyrl-RS"/>
        </w:rPr>
        <w:t>модернизацију инфраструктуре основних и средњих школа и установа студентског стандарда</w:t>
      </w:r>
      <w:r w:rsidR="000B2E1D" w:rsidRPr="002C3A49">
        <w:rPr>
          <w:rFonts w:ascii="Times New Roman" w:hAnsi="Times New Roman"/>
          <w:noProof/>
          <w:szCs w:val="24"/>
          <w:lang w:val="sr-Cyrl-RS"/>
        </w:rPr>
        <w:t>;</w:t>
      </w:r>
      <w:r w:rsidR="00963862" w:rsidRPr="002C3A49">
        <w:rPr>
          <w:rFonts w:ascii="Times New Roman" w:hAnsi="Times New Roman"/>
          <w:noProof/>
          <w:szCs w:val="24"/>
          <w:lang w:val="sr-Cyrl-RS"/>
        </w:rPr>
        <w:t xml:space="preserve"> обнову и изградњу објеката јавне намене (у области здравства, просвете и науке, спортске инфраструктуре, социјалне заштите, културе и локалне комуналне инфраструктуре)</w:t>
      </w:r>
      <w:r w:rsidR="000B2E1D" w:rsidRPr="002C3A49">
        <w:rPr>
          <w:rFonts w:ascii="Times New Roman" w:hAnsi="Times New Roman"/>
          <w:noProof/>
          <w:szCs w:val="24"/>
          <w:lang w:val="sr-Cyrl-RS"/>
        </w:rPr>
        <w:t>;</w:t>
      </w:r>
      <w:r w:rsidR="002F3B4D" w:rsidRPr="002C3A49">
        <w:rPr>
          <w:rFonts w:ascii="Times New Roman" w:hAnsi="Times New Roman"/>
          <w:noProof/>
          <w:szCs w:val="24"/>
          <w:lang w:val="sr-Cyrl-RS"/>
        </w:rPr>
        <w:t xml:space="preserve"> </w:t>
      </w:r>
      <w:r w:rsidRPr="002C3A49">
        <w:rPr>
          <w:rFonts w:ascii="Times New Roman" w:hAnsi="Times New Roman"/>
          <w:noProof/>
          <w:szCs w:val="24"/>
          <w:lang w:val="sr-Cyrl-RS"/>
        </w:rPr>
        <w:t>изградњу гасног интерконектора Србија</w:t>
      </w:r>
      <w:r w:rsidR="00A844DE" w:rsidRPr="002C3A49">
        <w:rPr>
          <w:rFonts w:ascii="Times New Roman" w:hAnsi="Times New Roman"/>
          <w:noProof/>
          <w:szCs w:val="24"/>
          <w:lang w:val="sr-Cyrl-RS"/>
        </w:rPr>
        <w:t xml:space="preserve"> </w:t>
      </w:r>
      <w:r w:rsidR="00B76EB0" w:rsidRPr="002C3A49">
        <w:rPr>
          <w:rFonts w:ascii="Times New Roman" w:hAnsi="Times New Roman"/>
          <w:noProof/>
          <w:szCs w:val="24"/>
          <w:lang w:val="sr-Cyrl-RS"/>
        </w:rPr>
        <w:t>-</w:t>
      </w:r>
      <w:r w:rsidR="00A844DE" w:rsidRPr="002C3A49">
        <w:rPr>
          <w:rFonts w:ascii="Times New Roman" w:hAnsi="Times New Roman"/>
          <w:noProof/>
          <w:szCs w:val="24"/>
          <w:lang w:val="sr-Cyrl-RS"/>
        </w:rPr>
        <w:t xml:space="preserve"> </w:t>
      </w:r>
      <w:r w:rsidRPr="002C3A49">
        <w:rPr>
          <w:rFonts w:ascii="Times New Roman" w:hAnsi="Times New Roman"/>
          <w:noProof/>
          <w:szCs w:val="24"/>
          <w:lang w:val="sr-Cyrl-RS"/>
        </w:rPr>
        <w:t>Бугарска</w:t>
      </w:r>
      <w:r w:rsidR="000B2E1D" w:rsidRPr="002C3A49">
        <w:rPr>
          <w:rFonts w:ascii="Times New Roman" w:hAnsi="Times New Roman"/>
          <w:noProof/>
          <w:szCs w:val="24"/>
          <w:lang w:val="sr-Cyrl-RS"/>
        </w:rPr>
        <w:t>;</w:t>
      </w:r>
      <w:r w:rsidRPr="002C3A49">
        <w:rPr>
          <w:rFonts w:ascii="Times New Roman" w:hAnsi="Times New Roman"/>
          <w:noProof/>
          <w:szCs w:val="24"/>
          <w:lang w:val="sr-Cyrl-RS"/>
        </w:rPr>
        <w:t xml:space="preserve"> реконструкцију Универзитетског клиничког центра Војводине у Новом Саду</w:t>
      </w:r>
      <w:r w:rsidR="000B2E1D" w:rsidRPr="002C3A49">
        <w:rPr>
          <w:rFonts w:ascii="Times New Roman" w:hAnsi="Times New Roman"/>
          <w:noProof/>
          <w:szCs w:val="24"/>
          <w:lang w:val="sr-Cyrl-RS"/>
        </w:rPr>
        <w:t>;</w:t>
      </w:r>
      <w:r w:rsidRPr="002C3A49">
        <w:rPr>
          <w:rFonts w:ascii="Times New Roman" w:hAnsi="Times New Roman"/>
          <w:noProof/>
          <w:szCs w:val="24"/>
          <w:lang w:val="sr-Cyrl-RS"/>
        </w:rPr>
        <w:t xml:space="preserve"> </w:t>
      </w:r>
      <w:r w:rsidR="00963862" w:rsidRPr="002C3A49">
        <w:rPr>
          <w:rFonts w:ascii="Times New Roman" w:hAnsi="Times New Roman"/>
          <w:noProof/>
          <w:szCs w:val="24"/>
          <w:lang w:val="sr-Cyrl-RS"/>
        </w:rPr>
        <w:t>изградњу широкопојасне комуникационе инфраструктуре у руралним пределима Републике Србије - Фаза 1 и 2</w:t>
      </w:r>
      <w:r w:rsidR="000B2E1D" w:rsidRPr="002C3A49">
        <w:rPr>
          <w:rFonts w:ascii="Times New Roman" w:hAnsi="Times New Roman"/>
          <w:noProof/>
          <w:szCs w:val="24"/>
          <w:lang w:val="sr-Cyrl-RS"/>
        </w:rPr>
        <w:t>;</w:t>
      </w:r>
      <w:r w:rsidR="00963862" w:rsidRPr="002C3A49">
        <w:rPr>
          <w:rFonts w:ascii="Times New Roman" w:hAnsi="Times New Roman"/>
          <w:noProof/>
          <w:szCs w:val="24"/>
          <w:lang w:val="sr-Cyrl-RS"/>
        </w:rPr>
        <w:t xml:space="preserve"> </w:t>
      </w:r>
      <w:r w:rsidRPr="002C3A49">
        <w:rPr>
          <w:rFonts w:ascii="Times New Roman" w:hAnsi="Times New Roman"/>
          <w:noProof/>
          <w:szCs w:val="24"/>
          <w:lang w:val="sr-Cyrl-RS"/>
        </w:rPr>
        <w:t>Креативно иновативни/мултифункционални центар „Ложионица”</w:t>
      </w:r>
      <w:r w:rsidR="00963862" w:rsidRPr="002C3A49">
        <w:rPr>
          <w:rFonts w:ascii="Times New Roman" w:hAnsi="Times New Roman"/>
          <w:noProof/>
          <w:szCs w:val="24"/>
          <w:lang w:val="sr-Cyrl-RS"/>
        </w:rPr>
        <w:t xml:space="preserve"> </w:t>
      </w:r>
      <w:r w:rsidRPr="002C3A49">
        <w:rPr>
          <w:rFonts w:ascii="Times New Roman" w:hAnsi="Times New Roman"/>
          <w:noProof/>
          <w:szCs w:val="24"/>
          <w:lang w:val="sr-Cyrl-RS"/>
        </w:rPr>
        <w:t>и др.</w:t>
      </w:r>
    </w:p>
    <w:p w14:paraId="24C2FE2D" w14:textId="14082C9F" w:rsidR="00CE2A83" w:rsidRPr="002C3A49" w:rsidRDefault="00055153" w:rsidP="005954DE">
      <w:pPr>
        <w:spacing w:after="160" w:line="252" w:lineRule="auto"/>
        <w:ind w:firstLine="720"/>
        <w:contextualSpacing/>
        <w:rPr>
          <w:rFonts w:ascii="Times New Roman" w:hAnsi="Times New Roman"/>
          <w:noProof/>
          <w:szCs w:val="24"/>
          <w:lang w:val="sr-Cyrl-RS"/>
        </w:rPr>
      </w:pPr>
      <w:r w:rsidRPr="002C3A49">
        <w:rPr>
          <w:rFonts w:ascii="Times New Roman" w:hAnsi="Times New Roman"/>
          <w:b/>
          <w:bCs/>
          <w:noProof/>
          <w:color w:val="000000"/>
          <w:lang w:val="sr-Cyrl-RS"/>
        </w:rPr>
        <w:lastRenderedPageBreak/>
        <w:t xml:space="preserve">Издаци за отплату главнице (у циљу спровођења јавних политика) </w:t>
      </w:r>
      <w:r w:rsidRPr="002C3A49">
        <w:rPr>
          <w:rFonts w:ascii="Times New Roman" w:hAnsi="Times New Roman"/>
          <w:noProof/>
          <w:color w:val="000000"/>
          <w:szCs w:val="24"/>
          <w:lang w:val="sr-Cyrl-RS"/>
        </w:rPr>
        <w:t xml:space="preserve">планирани су у износу од </w:t>
      </w:r>
      <w:r w:rsidR="00FB1E96" w:rsidRPr="002C3A49">
        <w:rPr>
          <w:rFonts w:ascii="Times New Roman" w:hAnsi="Times New Roman"/>
          <w:noProof/>
          <w:szCs w:val="24"/>
          <w:lang w:val="sr-Cyrl-RS"/>
        </w:rPr>
        <w:t>29,50</w:t>
      </w:r>
      <w:r w:rsidRPr="002C3A49">
        <w:rPr>
          <w:rFonts w:ascii="Times New Roman" w:hAnsi="Times New Roman"/>
          <w:noProof/>
          <w:szCs w:val="24"/>
          <w:lang w:val="sr-Cyrl-RS"/>
        </w:rPr>
        <w:t xml:space="preserve"> млрд динара што представља </w:t>
      </w:r>
      <w:r w:rsidR="00512FFC" w:rsidRPr="002C3A49">
        <w:rPr>
          <w:rFonts w:ascii="Times New Roman" w:hAnsi="Times New Roman"/>
          <w:noProof/>
          <w:szCs w:val="24"/>
          <w:lang w:val="sr-Cyrl-RS"/>
        </w:rPr>
        <w:t>1,</w:t>
      </w:r>
      <w:r w:rsidR="00FB1E96" w:rsidRPr="002C3A49">
        <w:rPr>
          <w:rFonts w:ascii="Times New Roman" w:hAnsi="Times New Roman"/>
          <w:noProof/>
          <w:szCs w:val="24"/>
          <w:lang w:val="sr-Cyrl-RS"/>
        </w:rPr>
        <w:t>32</w:t>
      </w:r>
      <w:r w:rsidR="00512FFC" w:rsidRPr="002C3A49">
        <w:rPr>
          <w:rFonts w:ascii="Times New Roman" w:hAnsi="Times New Roman"/>
          <w:noProof/>
          <w:szCs w:val="24"/>
          <w:lang w:val="sr-Cyrl-RS"/>
        </w:rPr>
        <w:t>%</w:t>
      </w:r>
      <w:r w:rsidRPr="002C3A49">
        <w:rPr>
          <w:rFonts w:ascii="Times New Roman" w:hAnsi="Times New Roman"/>
          <w:noProof/>
          <w:szCs w:val="24"/>
          <w:lang w:val="sr-Cyrl-RS"/>
        </w:rPr>
        <w:t xml:space="preserve"> укупних расхода и издатака</w:t>
      </w:r>
      <w:r w:rsidR="004A1DE2" w:rsidRPr="002C3A49">
        <w:rPr>
          <w:rFonts w:ascii="Times New Roman" w:hAnsi="Times New Roman"/>
          <w:noProof/>
          <w:szCs w:val="24"/>
          <w:lang w:val="sr-Cyrl-RS"/>
        </w:rPr>
        <w:t>. Средства су планирана за плаћања по гаранцијама</w:t>
      </w:r>
      <w:r w:rsidR="00A640B2" w:rsidRPr="002C3A49">
        <w:rPr>
          <w:rFonts w:ascii="Times New Roman" w:hAnsi="Times New Roman"/>
          <w:noProof/>
          <w:szCs w:val="24"/>
          <w:lang w:val="sr-Cyrl-RS"/>
        </w:rPr>
        <w:t>.</w:t>
      </w:r>
    </w:p>
    <w:p w14:paraId="713E6B8F" w14:textId="66AE0F75" w:rsidR="00833644" w:rsidRPr="002C3A49" w:rsidRDefault="00CE2A83" w:rsidP="00762478">
      <w:pPr>
        <w:ind w:firstLine="720"/>
        <w:rPr>
          <w:rFonts w:ascii="Calibri" w:hAnsi="Calibri" w:cs="Calibri"/>
          <w:noProof/>
          <w:color w:val="000000"/>
          <w:sz w:val="22"/>
          <w:szCs w:val="22"/>
          <w:lang w:val="sr-Cyrl-RS"/>
        </w:rPr>
      </w:pPr>
      <w:r w:rsidRPr="002C3A49">
        <w:rPr>
          <w:rFonts w:ascii="Times New Roman" w:hAnsi="Times New Roman"/>
          <w:b/>
          <w:bCs/>
          <w:noProof/>
          <w:color w:val="000000"/>
          <w:lang w:val="sr-Cyrl-RS"/>
        </w:rPr>
        <w:t>Издаци за набавку финансијске имовине (у циљу спровођења јавних политика)</w:t>
      </w:r>
      <w:r w:rsidRPr="002C3A49">
        <w:rPr>
          <w:rFonts w:ascii="Times New Roman" w:hAnsi="Times New Roman"/>
          <w:b/>
          <w:bCs/>
          <w:noProof/>
          <w:color w:val="000000"/>
          <w:szCs w:val="24"/>
          <w:lang w:val="sr-Cyrl-RS"/>
        </w:rPr>
        <w:t xml:space="preserve"> </w:t>
      </w:r>
      <w:r w:rsidRPr="002C3A49">
        <w:rPr>
          <w:rFonts w:ascii="Times New Roman" w:hAnsi="Times New Roman"/>
          <w:noProof/>
          <w:color w:val="000000"/>
          <w:szCs w:val="24"/>
          <w:lang w:val="sr-Cyrl-RS"/>
        </w:rPr>
        <w:t xml:space="preserve">планирани су у износу од </w:t>
      </w:r>
      <w:r w:rsidR="0061597A" w:rsidRPr="002C3A49">
        <w:rPr>
          <w:rFonts w:ascii="Times New Roman" w:hAnsi="Times New Roman"/>
          <w:noProof/>
          <w:szCs w:val="24"/>
          <w:lang w:val="sr-Cyrl-RS"/>
        </w:rPr>
        <w:t>44,</w:t>
      </w:r>
      <w:r w:rsidR="00610DA0" w:rsidRPr="002C3A49">
        <w:rPr>
          <w:rFonts w:ascii="Times New Roman" w:hAnsi="Times New Roman"/>
          <w:noProof/>
          <w:szCs w:val="24"/>
          <w:lang w:val="sr-Cyrl-RS"/>
        </w:rPr>
        <w:t>81</w:t>
      </w:r>
      <w:r w:rsidR="0061597A" w:rsidRPr="002C3A49">
        <w:rPr>
          <w:rFonts w:ascii="Times New Roman" w:hAnsi="Times New Roman"/>
          <w:noProof/>
          <w:szCs w:val="24"/>
          <w:lang w:val="sr-Cyrl-RS"/>
        </w:rPr>
        <w:t xml:space="preserve"> </w:t>
      </w:r>
      <w:r w:rsidRPr="002C3A49">
        <w:rPr>
          <w:rFonts w:ascii="Times New Roman" w:hAnsi="Times New Roman"/>
          <w:noProof/>
          <w:szCs w:val="24"/>
          <w:lang w:val="sr-Cyrl-RS"/>
        </w:rPr>
        <w:t xml:space="preserve">млрд динара, што представља </w:t>
      </w:r>
      <w:r w:rsidR="00610DA0" w:rsidRPr="002C3A49">
        <w:rPr>
          <w:rFonts w:ascii="Times New Roman" w:hAnsi="Times New Roman"/>
          <w:noProof/>
          <w:szCs w:val="24"/>
          <w:lang w:val="sr-Cyrl-RS"/>
        </w:rPr>
        <w:t>2,0</w:t>
      </w:r>
      <w:r w:rsidR="00512FFC" w:rsidRPr="002C3A49">
        <w:rPr>
          <w:rFonts w:ascii="Times New Roman" w:hAnsi="Times New Roman"/>
          <w:noProof/>
          <w:szCs w:val="24"/>
          <w:lang w:val="sr-Cyrl-RS"/>
        </w:rPr>
        <w:t>%</w:t>
      </w:r>
      <w:r w:rsidRPr="002C3A49">
        <w:rPr>
          <w:rFonts w:ascii="Times New Roman" w:hAnsi="Times New Roman"/>
          <w:noProof/>
          <w:szCs w:val="24"/>
          <w:lang w:val="sr-Cyrl-RS"/>
        </w:rPr>
        <w:t xml:space="preserve"> укупних расхода и издатака. Највећи износ</w:t>
      </w:r>
      <w:r w:rsidR="0022147E" w:rsidRPr="002C3A49">
        <w:rPr>
          <w:rFonts w:ascii="Times New Roman" w:hAnsi="Times New Roman"/>
          <w:noProof/>
          <w:szCs w:val="24"/>
          <w:lang w:val="sr-Cyrl-RS"/>
        </w:rPr>
        <w:t xml:space="preserve"> средстава</w:t>
      </w:r>
      <w:r w:rsidRPr="002C3A49">
        <w:rPr>
          <w:rFonts w:ascii="Times New Roman" w:hAnsi="Times New Roman"/>
          <w:noProof/>
          <w:szCs w:val="24"/>
          <w:lang w:val="sr-Cyrl-RS"/>
        </w:rPr>
        <w:t xml:space="preserve"> планиран</w:t>
      </w:r>
      <w:r w:rsidR="0022147E" w:rsidRPr="002C3A49">
        <w:rPr>
          <w:rFonts w:ascii="Times New Roman" w:hAnsi="Times New Roman"/>
          <w:noProof/>
          <w:szCs w:val="24"/>
          <w:lang w:val="sr-Cyrl-RS"/>
        </w:rPr>
        <w:t xml:space="preserve"> је</w:t>
      </w:r>
      <w:r w:rsidRPr="002C3A49">
        <w:rPr>
          <w:rFonts w:ascii="Times New Roman" w:hAnsi="Times New Roman"/>
          <w:noProof/>
          <w:szCs w:val="24"/>
          <w:lang w:val="sr-Cyrl-RS"/>
        </w:rPr>
        <w:t xml:space="preserve"> за</w:t>
      </w:r>
      <w:r w:rsidR="00F550E8" w:rsidRPr="002C3A49">
        <w:rPr>
          <w:rFonts w:ascii="Times New Roman" w:hAnsi="Times New Roman"/>
          <w:noProof/>
          <w:szCs w:val="24"/>
          <w:lang w:val="sr-Cyrl-RS"/>
        </w:rPr>
        <w:t>:</w:t>
      </w:r>
      <w:r w:rsidR="0022147E" w:rsidRPr="002C3A49">
        <w:rPr>
          <w:rFonts w:ascii="Times New Roman" w:hAnsi="Times New Roman"/>
          <w:bCs/>
          <w:noProof/>
          <w:lang w:val="sr-Cyrl-RS"/>
        </w:rPr>
        <w:t xml:space="preserve"> интервенцијска средства за превазилажење енергетске кризе</w:t>
      </w:r>
      <w:r w:rsidR="005C6ADF" w:rsidRPr="002C3A49">
        <w:rPr>
          <w:rFonts w:ascii="Times New Roman" w:hAnsi="Times New Roman"/>
          <w:bCs/>
          <w:noProof/>
          <w:lang w:val="sr-Cyrl-RS"/>
        </w:rPr>
        <w:t>;</w:t>
      </w:r>
      <w:r w:rsidR="00F550E8" w:rsidRPr="002C3A49">
        <w:rPr>
          <w:rFonts w:ascii="Times New Roman" w:hAnsi="Times New Roman"/>
          <w:bCs/>
          <w:noProof/>
          <w:lang w:val="sr-Cyrl-RS"/>
        </w:rPr>
        <w:t xml:space="preserve"> </w:t>
      </w:r>
      <w:r w:rsidR="0022147E" w:rsidRPr="002C3A49">
        <w:rPr>
          <w:rFonts w:ascii="Times New Roman" w:hAnsi="Times New Roman"/>
          <w:bCs/>
          <w:noProof/>
          <w:lang w:val="sr-Cyrl-RS"/>
        </w:rPr>
        <w:t>кредитну подршку предузећима у поступку приватизације</w:t>
      </w:r>
      <w:r w:rsidR="005C6ADF" w:rsidRPr="002C3A49">
        <w:rPr>
          <w:rFonts w:ascii="Times New Roman" w:hAnsi="Times New Roman"/>
          <w:bCs/>
          <w:noProof/>
          <w:lang w:val="sr-Cyrl-RS"/>
        </w:rPr>
        <w:t>;</w:t>
      </w:r>
      <w:r w:rsidR="008B38AA" w:rsidRPr="002C3A49">
        <w:rPr>
          <w:rFonts w:ascii="Times New Roman" w:hAnsi="Times New Roman"/>
          <w:bCs/>
          <w:noProof/>
          <w:lang w:val="sr-Cyrl-RS"/>
        </w:rPr>
        <w:t xml:space="preserve"> </w:t>
      </w:r>
      <w:r w:rsidR="003617CA" w:rsidRPr="002C3A49">
        <w:rPr>
          <w:rFonts w:ascii="Times New Roman" w:hAnsi="Times New Roman"/>
          <w:bCs/>
          <w:noProof/>
          <w:lang w:val="sr-Cyrl-RS"/>
        </w:rPr>
        <w:t>функционисање МО и ВС</w:t>
      </w:r>
      <w:r w:rsidR="005C6ADF" w:rsidRPr="002C3A49">
        <w:rPr>
          <w:rFonts w:ascii="Times New Roman" w:hAnsi="Times New Roman"/>
          <w:bCs/>
          <w:noProof/>
          <w:lang w:val="sr-Cyrl-RS"/>
        </w:rPr>
        <w:t>;</w:t>
      </w:r>
      <w:r w:rsidR="003617CA" w:rsidRPr="002C3A49">
        <w:rPr>
          <w:rFonts w:ascii="Times New Roman" w:hAnsi="Times New Roman"/>
          <w:bCs/>
          <w:noProof/>
          <w:lang w:val="sr-Cyrl-RS"/>
        </w:rPr>
        <w:t xml:space="preserve"> </w:t>
      </w:r>
      <w:r w:rsidR="003617CA" w:rsidRPr="002C3A49">
        <w:rPr>
          <w:rFonts w:ascii="Times New Roman" w:hAnsi="Times New Roman"/>
          <w:noProof/>
          <w:lang w:val="sr-Cyrl-RS"/>
        </w:rPr>
        <w:t>формирање и одржавање обавезних резерви нафте, деривата нафте и природног гаса и др.</w:t>
      </w:r>
    </w:p>
    <w:p w14:paraId="5D7EBC67" w14:textId="77777777" w:rsidR="00833644" w:rsidRPr="002C3A49" w:rsidRDefault="00833644" w:rsidP="00DF5008">
      <w:pPr>
        <w:spacing w:after="160" w:line="252" w:lineRule="auto"/>
        <w:contextualSpacing/>
        <w:rPr>
          <w:rFonts w:ascii="Times New Roman" w:hAnsi="Times New Roman"/>
          <w:noProof/>
          <w:szCs w:val="24"/>
          <w:highlight w:val="yellow"/>
          <w:lang w:val="sr-Cyrl-RS"/>
        </w:rPr>
      </w:pPr>
    </w:p>
    <w:p w14:paraId="210BE1D5" w14:textId="70C75928" w:rsidR="007104F0" w:rsidRPr="002C3A49" w:rsidRDefault="00055153" w:rsidP="00845DE2">
      <w:pPr>
        <w:tabs>
          <w:tab w:val="left" w:pos="720"/>
        </w:tabs>
        <w:spacing w:after="120" w:line="276" w:lineRule="auto"/>
        <w:rPr>
          <w:rStyle w:val="CharCharChar5"/>
          <w:rFonts w:ascii="Times New Roman" w:hAnsi="Times New Roman"/>
          <w:b/>
          <w:noProof/>
          <w:szCs w:val="24"/>
          <w:lang w:val="sr-Cyrl-RS"/>
        </w:rPr>
      </w:pPr>
      <w:r w:rsidRPr="002C3A49">
        <w:rPr>
          <w:rFonts w:ascii="Times New Roman" w:hAnsi="Times New Roman"/>
          <w:b/>
          <w:bCs/>
          <w:noProof/>
          <w:color w:val="000000"/>
          <w:lang w:val="sr-Cyrl-RS"/>
        </w:rPr>
        <w:tab/>
      </w:r>
      <w:r w:rsidR="007104F0" w:rsidRPr="002C3A49">
        <w:rPr>
          <w:rStyle w:val="CharCharChar5"/>
          <w:rFonts w:ascii="Times New Roman" w:hAnsi="Times New Roman"/>
          <w:b/>
          <w:noProof/>
          <w:szCs w:val="24"/>
          <w:lang w:val="sr-Cyrl-RS"/>
        </w:rPr>
        <w:t>III. ОБРАЗЛОЖЕЊЕ ПРЕДЛОГА ПОТРЕБНИХ СРЕДСТАВА ПО КОРИСНИЦИМА БУЏЕТА</w:t>
      </w:r>
    </w:p>
    <w:p w14:paraId="5FE36CDD" w14:textId="77777777" w:rsidR="007104F0" w:rsidRPr="002C3A49" w:rsidRDefault="00AF0FD8" w:rsidP="004416D9">
      <w:pPr>
        <w:tabs>
          <w:tab w:val="left" w:pos="720"/>
        </w:tabs>
        <w:outlineLvl w:val="0"/>
        <w:rPr>
          <w:rFonts w:ascii="Times New Roman" w:hAnsi="Times New Roman"/>
          <w:noProof/>
          <w:szCs w:val="24"/>
          <w:lang w:val="sr-Cyrl-RS"/>
        </w:rPr>
      </w:pPr>
      <w:r w:rsidRPr="002C3A49">
        <w:rPr>
          <w:rStyle w:val="CharCharChar5"/>
          <w:rFonts w:ascii="Times New Roman" w:hAnsi="Times New Roman"/>
          <w:noProof/>
          <w:szCs w:val="24"/>
          <w:lang w:val="sr-Cyrl-RS"/>
        </w:rPr>
        <w:tab/>
      </w:r>
      <w:r w:rsidR="007104F0" w:rsidRPr="002C3A49">
        <w:rPr>
          <w:rStyle w:val="CharCharChar5"/>
          <w:rFonts w:ascii="Times New Roman" w:hAnsi="Times New Roman"/>
          <w:noProof/>
          <w:szCs w:val="24"/>
          <w:lang w:val="sr-Cyrl-RS"/>
        </w:rPr>
        <w:t>У буџетској процедури Министарство финансија разматра захтеве корисника буџетских средстава садржане у предлозима њихових финансијских планова, који су у складу са Законом о буџетском систему исказани</w:t>
      </w:r>
      <w:r w:rsidR="007104F0" w:rsidRPr="002C3A49">
        <w:rPr>
          <w:rFonts w:ascii="Times New Roman" w:hAnsi="Times New Roman"/>
          <w:noProof/>
          <w:szCs w:val="24"/>
          <w:lang w:val="sr-Cyrl-RS"/>
        </w:rPr>
        <w:t xml:space="preserve"> на програмски начин</w:t>
      </w:r>
      <w:r w:rsidR="007104F0" w:rsidRPr="002C3A49">
        <w:rPr>
          <w:rStyle w:val="CharCharChar5"/>
          <w:rFonts w:ascii="Times New Roman" w:hAnsi="Times New Roman"/>
          <w:noProof/>
          <w:szCs w:val="24"/>
          <w:lang w:val="sr-Cyrl-RS"/>
        </w:rPr>
        <w:t>.</w:t>
      </w:r>
    </w:p>
    <w:p w14:paraId="32D434E0" w14:textId="77777777" w:rsidR="00692D32" w:rsidRPr="002C3A49" w:rsidRDefault="00C64AC3" w:rsidP="004416D9">
      <w:pPr>
        <w:tabs>
          <w:tab w:val="left" w:pos="720"/>
        </w:tabs>
        <w:outlineLvl w:val="0"/>
        <w:rPr>
          <w:rFonts w:ascii="Times New Roman" w:hAnsi="Times New Roman"/>
          <w:noProof/>
          <w:szCs w:val="24"/>
          <w:lang w:val="sr-Cyrl-RS"/>
        </w:rPr>
      </w:pPr>
      <w:r w:rsidRPr="002C3A49">
        <w:rPr>
          <w:rStyle w:val="CharCharChar5"/>
          <w:rFonts w:ascii="Times New Roman" w:hAnsi="Times New Roman"/>
          <w:noProof/>
          <w:szCs w:val="24"/>
          <w:lang w:val="sr-Cyrl-RS"/>
        </w:rPr>
        <w:tab/>
      </w:r>
      <w:r w:rsidR="007104F0" w:rsidRPr="002C3A49">
        <w:rPr>
          <w:rStyle w:val="CharCharChar5"/>
          <w:rFonts w:ascii="Times New Roman" w:hAnsi="Times New Roman"/>
          <w:noProof/>
          <w:szCs w:val="24"/>
          <w:lang w:val="sr-Cyrl-RS"/>
        </w:rPr>
        <w:t>Програмски буџет распоређује буџетска средстава према намени. Овако представљени расходи омогућавају лакше праћење ефеката утрошених средстава као и евалуацију да ли се средства троше у складу са циљевима Владе.</w:t>
      </w:r>
      <w:r w:rsidR="00633B47" w:rsidRPr="002C3A49">
        <w:rPr>
          <w:rStyle w:val="CharCharChar5"/>
          <w:rFonts w:ascii="Times New Roman" w:hAnsi="Times New Roman"/>
          <w:noProof/>
          <w:szCs w:val="24"/>
          <w:lang w:val="sr-Cyrl-RS"/>
        </w:rPr>
        <w:t xml:space="preserve"> </w:t>
      </w:r>
      <w:r w:rsidR="00CC7515" w:rsidRPr="002C3A49">
        <w:rPr>
          <w:rFonts w:ascii="Times New Roman" w:hAnsi="Times New Roman"/>
          <w:noProof/>
          <w:szCs w:val="24"/>
          <w:lang w:val="sr-Cyrl-RS"/>
        </w:rPr>
        <w:t>Такође, програмски</w:t>
      </w:r>
      <w:r w:rsidR="00692D32" w:rsidRPr="002C3A49">
        <w:rPr>
          <w:rFonts w:ascii="Times New Roman" w:hAnsi="Times New Roman"/>
          <w:noProof/>
          <w:szCs w:val="24"/>
          <w:lang w:val="sr-Cyrl-RS"/>
        </w:rPr>
        <w:t xml:space="preserve"> буџет oмoгућaвa бoљe упрaвљaњe учинкoм jaвнe упрaвe, вeћу oдгoвoрнoст кoрисникa буџета, успoстaвљaњe снaжниjих вeзa измeђу гoдишњeг буџeтa, утврђивања приоритетних рaсхoдa и издатака и спровођења jaвних пoлитикa, кao и вeћу трaнспaрeнтнoст пoтрoшњe.</w:t>
      </w:r>
    </w:p>
    <w:p w14:paraId="11FD4002" w14:textId="77777777" w:rsidR="007104F0" w:rsidRPr="002C3A49" w:rsidRDefault="00C64AC3" w:rsidP="004416D9">
      <w:pPr>
        <w:tabs>
          <w:tab w:val="left" w:pos="720"/>
        </w:tabs>
        <w:rPr>
          <w:rFonts w:ascii="Times New Roman" w:hAnsi="Times New Roman"/>
          <w:noProof/>
          <w:szCs w:val="24"/>
          <w:lang w:val="sr-Cyrl-RS"/>
        </w:rPr>
      </w:pPr>
      <w:r w:rsidRPr="002C3A49">
        <w:rPr>
          <w:rFonts w:ascii="Times New Roman" w:hAnsi="Times New Roman"/>
          <w:noProof/>
          <w:szCs w:val="24"/>
          <w:lang w:val="sr-Cyrl-RS"/>
        </w:rPr>
        <w:tab/>
      </w:r>
      <w:r w:rsidR="007104F0" w:rsidRPr="002C3A49">
        <w:rPr>
          <w:rFonts w:ascii="Times New Roman" w:hAnsi="Times New Roman"/>
          <w:noProof/>
          <w:szCs w:val="24"/>
          <w:lang w:val="sr-Cyrl-RS"/>
        </w:rPr>
        <w:t xml:space="preserve">У </w:t>
      </w:r>
      <w:r w:rsidR="006F117C" w:rsidRPr="002C3A49">
        <w:rPr>
          <w:rFonts w:ascii="Times New Roman" w:hAnsi="Times New Roman"/>
          <w:noProof/>
          <w:szCs w:val="24"/>
          <w:lang w:val="sr-Cyrl-RS"/>
        </w:rPr>
        <w:t>делу Образложење -</w:t>
      </w:r>
      <w:r w:rsidR="00A61662" w:rsidRPr="002C3A49">
        <w:rPr>
          <w:rFonts w:ascii="Times New Roman" w:hAnsi="Times New Roman"/>
          <w:noProof/>
          <w:szCs w:val="24"/>
          <w:lang w:val="sr-Cyrl-RS"/>
        </w:rPr>
        <w:t xml:space="preserve"> Програмске информације</w:t>
      </w:r>
      <w:r w:rsidR="007104F0" w:rsidRPr="002C3A49">
        <w:rPr>
          <w:rFonts w:ascii="Times New Roman" w:hAnsi="Times New Roman"/>
          <w:noProof/>
          <w:szCs w:val="24"/>
          <w:lang w:val="sr-Cyrl-RS"/>
        </w:rPr>
        <w:t xml:space="preserve"> </w:t>
      </w:r>
      <w:r w:rsidR="00A61662" w:rsidRPr="002C3A49">
        <w:rPr>
          <w:rFonts w:ascii="Times New Roman" w:hAnsi="Times New Roman"/>
          <w:noProof/>
          <w:szCs w:val="24"/>
          <w:lang w:val="sr-Cyrl-RS"/>
        </w:rPr>
        <w:t>налазе се</w:t>
      </w:r>
      <w:r w:rsidR="007104F0" w:rsidRPr="002C3A49">
        <w:rPr>
          <w:rFonts w:ascii="Times New Roman" w:hAnsi="Times New Roman"/>
          <w:noProof/>
          <w:szCs w:val="24"/>
          <w:lang w:val="sr-Cyrl-RS"/>
        </w:rPr>
        <w:t xml:space="preserve"> образложења програмских структура које су доставили буџетски корисници уз предлоге финансијских планова.</w:t>
      </w:r>
    </w:p>
    <w:p w14:paraId="34666241" w14:textId="5B0B8D20" w:rsidR="00D92799" w:rsidRPr="002C3A49" w:rsidRDefault="00D92799" w:rsidP="00D366EA">
      <w:pPr>
        <w:tabs>
          <w:tab w:val="left" w:pos="720"/>
        </w:tabs>
        <w:ind w:right="517"/>
        <w:rPr>
          <w:rFonts w:ascii="Times New Roman" w:hAnsi="Times New Roman"/>
          <w:b/>
          <w:noProof/>
          <w:szCs w:val="24"/>
          <w:lang w:val="sr-Cyrl-RS"/>
        </w:rPr>
      </w:pPr>
    </w:p>
    <w:p w14:paraId="56D42683" w14:textId="77777777" w:rsidR="007104F0" w:rsidRPr="002C3A49" w:rsidRDefault="004416D9" w:rsidP="00AF0FD8">
      <w:pPr>
        <w:tabs>
          <w:tab w:val="left" w:pos="720"/>
        </w:tabs>
        <w:rPr>
          <w:rFonts w:ascii="Times New Roman" w:hAnsi="Times New Roman"/>
          <w:noProof/>
          <w:szCs w:val="24"/>
          <w:lang w:val="sr-Cyrl-RS"/>
        </w:rPr>
      </w:pPr>
      <w:r w:rsidRPr="002C3A49">
        <w:rPr>
          <w:rFonts w:ascii="Times New Roman" w:hAnsi="Times New Roman"/>
          <w:b/>
          <w:noProof/>
          <w:szCs w:val="24"/>
          <w:lang w:val="sr-Cyrl-RS"/>
        </w:rPr>
        <w:tab/>
      </w:r>
      <w:r w:rsidR="00D366EA" w:rsidRPr="002C3A49">
        <w:rPr>
          <w:rFonts w:ascii="Times New Roman" w:hAnsi="Times New Roman"/>
          <w:b/>
          <w:noProof/>
          <w:szCs w:val="24"/>
          <w:lang w:val="sr-Cyrl-RS"/>
        </w:rPr>
        <w:t>I</w:t>
      </w:r>
      <w:r w:rsidR="007104F0" w:rsidRPr="002C3A49">
        <w:rPr>
          <w:rFonts w:ascii="Times New Roman" w:hAnsi="Times New Roman"/>
          <w:b/>
          <w:noProof/>
          <w:szCs w:val="24"/>
          <w:lang w:val="sr-Cyrl-RS"/>
        </w:rPr>
        <w:t>V. РАЗЛОЗИ ЗА РАНИЈЕ СТУПАЊЕ НА СНАГУ ЗАКОНА</w:t>
      </w:r>
    </w:p>
    <w:p w14:paraId="49243AA2" w14:textId="77777777" w:rsidR="00AD2BC3" w:rsidRPr="002C3A49" w:rsidRDefault="00AD2BC3" w:rsidP="008A0FF7">
      <w:pPr>
        <w:outlineLvl w:val="0"/>
        <w:rPr>
          <w:rFonts w:ascii="Times New Roman" w:hAnsi="Times New Roman"/>
          <w:noProof/>
          <w:szCs w:val="24"/>
          <w:lang w:val="sr-Cyrl-RS"/>
        </w:rPr>
      </w:pPr>
    </w:p>
    <w:p w14:paraId="7055A0EA" w14:textId="40762610" w:rsidR="002B6A77" w:rsidRPr="002C3A49" w:rsidRDefault="005606E5" w:rsidP="008A0FF7">
      <w:pPr>
        <w:outlineLvl w:val="0"/>
        <w:rPr>
          <w:rFonts w:ascii="Times New Roman" w:hAnsi="Times New Roman"/>
          <w:noProof/>
          <w:szCs w:val="24"/>
          <w:lang w:val="sr-Cyrl-RS"/>
        </w:rPr>
      </w:pPr>
      <w:r w:rsidRPr="002C3A49">
        <w:rPr>
          <w:rFonts w:ascii="Times New Roman" w:hAnsi="Times New Roman"/>
          <w:noProof/>
          <w:szCs w:val="24"/>
          <w:lang w:val="sr-Cyrl-RS"/>
        </w:rPr>
        <w:tab/>
      </w:r>
      <w:r w:rsidR="00382DFF" w:rsidRPr="002C3A49">
        <w:rPr>
          <w:rFonts w:ascii="Times New Roman" w:hAnsi="Times New Roman"/>
          <w:noProof/>
          <w:szCs w:val="24"/>
          <w:lang w:val="sr-Cyrl-RS"/>
        </w:rPr>
        <w:t>Прe</w:t>
      </w:r>
      <w:r w:rsidR="007104F0" w:rsidRPr="002C3A49">
        <w:rPr>
          <w:rFonts w:ascii="Times New Roman" w:hAnsi="Times New Roman"/>
          <w:noProof/>
          <w:szCs w:val="24"/>
          <w:lang w:val="sr-Cyrl-RS"/>
        </w:rPr>
        <w:t>длаже се да овај закон ступи на снагу наредног дана од дана објављивања у „Службеном гласнику Р</w:t>
      </w:r>
      <w:r w:rsidR="00D857CF" w:rsidRPr="002C3A49">
        <w:rPr>
          <w:rFonts w:ascii="Times New Roman" w:hAnsi="Times New Roman"/>
          <w:noProof/>
          <w:szCs w:val="24"/>
          <w:lang w:val="sr-Cyrl-RS"/>
        </w:rPr>
        <w:t xml:space="preserve">епублике </w:t>
      </w:r>
      <w:r w:rsidR="007104F0" w:rsidRPr="002C3A49">
        <w:rPr>
          <w:rFonts w:ascii="Times New Roman" w:hAnsi="Times New Roman"/>
          <w:noProof/>
          <w:szCs w:val="24"/>
          <w:lang w:val="sr-Cyrl-RS"/>
        </w:rPr>
        <w:t>С</w:t>
      </w:r>
      <w:r w:rsidR="00D857CF" w:rsidRPr="002C3A49">
        <w:rPr>
          <w:rFonts w:ascii="Times New Roman" w:hAnsi="Times New Roman"/>
          <w:noProof/>
          <w:szCs w:val="24"/>
          <w:lang w:val="sr-Cyrl-RS"/>
        </w:rPr>
        <w:t>рбије</w:t>
      </w:r>
      <w:r w:rsidR="007104F0" w:rsidRPr="002C3A49">
        <w:rPr>
          <w:rFonts w:ascii="Times New Roman" w:hAnsi="Times New Roman"/>
          <w:noProof/>
          <w:szCs w:val="24"/>
          <w:lang w:val="sr-Cyrl-RS"/>
        </w:rPr>
        <w:t>”. Нарочито оправдани разлози за раније ступање на снагу овог закона, у смислу члана 196. Устава Републике Србије, састоје се у потреби да се обезбеди несметано функционисање и финансирање државних органа и организација. Стога је ради обезбеђења финансирања остваривања права и дужности Републике утврђених Уставом и законом, потребно да се омогући несметано извршавање расхода, с обзиром да фискална година почиње од 1. јануара 20</w:t>
      </w:r>
      <w:r w:rsidR="00FC0AD3" w:rsidRPr="002C3A49">
        <w:rPr>
          <w:rFonts w:ascii="Times New Roman" w:hAnsi="Times New Roman"/>
          <w:noProof/>
          <w:szCs w:val="24"/>
          <w:lang w:val="sr-Cyrl-RS"/>
        </w:rPr>
        <w:t>2</w:t>
      </w:r>
      <w:r w:rsidR="007E2836" w:rsidRPr="002C3A49">
        <w:rPr>
          <w:rFonts w:ascii="Times New Roman" w:hAnsi="Times New Roman"/>
          <w:noProof/>
          <w:szCs w:val="24"/>
          <w:lang w:val="sr-Cyrl-RS"/>
        </w:rPr>
        <w:t>4</w:t>
      </w:r>
      <w:r w:rsidR="007104F0" w:rsidRPr="002C3A49">
        <w:rPr>
          <w:rFonts w:ascii="Times New Roman" w:hAnsi="Times New Roman"/>
          <w:noProof/>
          <w:szCs w:val="24"/>
          <w:lang w:val="sr-Cyrl-RS"/>
        </w:rPr>
        <w:t xml:space="preserve">. године. У случају да се </w:t>
      </w:r>
      <w:r w:rsidR="00D857CF" w:rsidRPr="002C3A49">
        <w:rPr>
          <w:rFonts w:ascii="Times New Roman" w:hAnsi="Times New Roman"/>
          <w:noProof/>
          <w:szCs w:val="24"/>
          <w:lang w:val="sr-Cyrl-RS"/>
        </w:rPr>
        <w:t xml:space="preserve">закон </w:t>
      </w:r>
      <w:r w:rsidR="007104F0" w:rsidRPr="002C3A49">
        <w:rPr>
          <w:rFonts w:ascii="Times New Roman" w:hAnsi="Times New Roman"/>
          <w:noProof/>
          <w:szCs w:val="24"/>
          <w:lang w:val="sr-Cyrl-RS"/>
        </w:rPr>
        <w:t>донесе 31. децембра 20</w:t>
      </w:r>
      <w:r w:rsidR="00AF4807" w:rsidRPr="002C3A49">
        <w:rPr>
          <w:rFonts w:ascii="Times New Roman" w:hAnsi="Times New Roman"/>
          <w:noProof/>
          <w:szCs w:val="24"/>
          <w:lang w:val="sr-Cyrl-RS"/>
        </w:rPr>
        <w:t>2</w:t>
      </w:r>
      <w:r w:rsidR="007E2836" w:rsidRPr="002C3A49">
        <w:rPr>
          <w:rFonts w:ascii="Times New Roman" w:hAnsi="Times New Roman"/>
          <w:noProof/>
          <w:szCs w:val="24"/>
          <w:lang w:val="sr-Cyrl-RS"/>
        </w:rPr>
        <w:t>3</w:t>
      </w:r>
      <w:r w:rsidR="007104F0" w:rsidRPr="002C3A49">
        <w:rPr>
          <w:rFonts w:ascii="Times New Roman" w:hAnsi="Times New Roman"/>
          <w:noProof/>
          <w:szCs w:val="24"/>
          <w:lang w:val="sr-Cyrl-RS"/>
        </w:rPr>
        <w:t xml:space="preserve">. године, била би доведена у питање редовна динамика извршавања расхода Републике, а тиме и извршавање функција и надлежности Републике. </w:t>
      </w:r>
    </w:p>
    <w:p w14:paraId="200B1544" w14:textId="77777777" w:rsidR="00C357A0" w:rsidRPr="002C3A49" w:rsidRDefault="00C357A0" w:rsidP="008A0FF7">
      <w:pPr>
        <w:outlineLvl w:val="0"/>
        <w:rPr>
          <w:rFonts w:ascii="Times New Roman" w:hAnsi="Times New Roman"/>
          <w:noProof/>
          <w:szCs w:val="24"/>
          <w:lang w:val="sr-Cyrl-RS"/>
        </w:rPr>
      </w:pPr>
    </w:p>
    <w:sectPr w:rsidR="00C357A0" w:rsidRPr="002C3A49" w:rsidSect="007A6027">
      <w:footerReference w:type="default" r:id="rId19"/>
      <w:footerReference w:type="first" r:id="rId20"/>
      <w:pgSz w:w="11907" w:h="16840" w:code="9"/>
      <w:pgMar w:top="851" w:right="1017" w:bottom="851"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687C" w14:textId="77777777" w:rsidR="00274614" w:rsidRDefault="00274614" w:rsidP="00762E8F">
      <w:r>
        <w:separator/>
      </w:r>
    </w:p>
  </w:endnote>
  <w:endnote w:type="continuationSeparator" w:id="0">
    <w:p w14:paraId="0976DFFB" w14:textId="77777777" w:rsidR="00274614" w:rsidRDefault="00274614" w:rsidP="007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hnschrift Light SemiCondensed">
    <w:panose1 w:val="020B0502040204020203"/>
    <w:charset w:val="CC"/>
    <w:family w:val="swiss"/>
    <w:pitch w:val="variable"/>
    <w:sig w:usb0="A00002C7" w:usb1="00000002"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hnschrift SemiLight SemiConde">
    <w:panose1 w:val="020B0502040204020203"/>
    <w:charset w:val="CC"/>
    <w:family w:val="swiss"/>
    <w:pitch w:val="variable"/>
    <w:sig w:usb0="A00002C7"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73409"/>
      <w:docPartObj>
        <w:docPartGallery w:val="Page Numbers (Bottom of Page)"/>
        <w:docPartUnique/>
      </w:docPartObj>
    </w:sdtPr>
    <w:sdtEndPr>
      <w:rPr>
        <w:noProof/>
      </w:rPr>
    </w:sdtEndPr>
    <w:sdtContent>
      <w:p w14:paraId="6131C7F7" w14:textId="4134AB6A" w:rsidR="000F2D97" w:rsidRDefault="000F2D97">
        <w:pPr>
          <w:pStyle w:val="Footer"/>
          <w:jc w:val="right"/>
        </w:pPr>
        <w:r>
          <w:fldChar w:fldCharType="begin"/>
        </w:r>
        <w:r>
          <w:instrText xml:space="preserve"> PAGE   \* MERGEFORMAT </w:instrText>
        </w:r>
        <w:r>
          <w:fldChar w:fldCharType="separate"/>
        </w:r>
        <w:r w:rsidR="00B87F21">
          <w:rPr>
            <w:noProof/>
          </w:rPr>
          <w:t>12</w:t>
        </w:r>
        <w:r>
          <w:rPr>
            <w:noProof/>
          </w:rPr>
          <w:fldChar w:fldCharType="end"/>
        </w:r>
      </w:p>
    </w:sdtContent>
  </w:sdt>
  <w:p w14:paraId="4DD14A83" w14:textId="77777777" w:rsidR="000F2D97" w:rsidRDefault="000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4711"/>
      <w:docPartObj>
        <w:docPartGallery w:val="Page Numbers (Bottom of Page)"/>
        <w:docPartUnique/>
      </w:docPartObj>
    </w:sdtPr>
    <w:sdtEndPr>
      <w:rPr>
        <w:noProof/>
      </w:rPr>
    </w:sdtEndPr>
    <w:sdtContent>
      <w:p w14:paraId="1B8891FB" w14:textId="4A98D00A" w:rsidR="000F2D97" w:rsidRDefault="000F2D97">
        <w:pPr>
          <w:pStyle w:val="Footer"/>
          <w:jc w:val="right"/>
        </w:pPr>
        <w:r>
          <w:fldChar w:fldCharType="begin"/>
        </w:r>
        <w:r>
          <w:instrText xml:space="preserve"> PAGE   \* MERGEFORMAT </w:instrText>
        </w:r>
        <w:r>
          <w:fldChar w:fldCharType="separate"/>
        </w:r>
        <w:r w:rsidR="00D46F44">
          <w:rPr>
            <w:noProof/>
          </w:rPr>
          <w:t>1</w:t>
        </w:r>
        <w:r>
          <w:rPr>
            <w:noProof/>
          </w:rPr>
          <w:fldChar w:fldCharType="end"/>
        </w:r>
      </w:p>
    </w:sdtContent>
  </w:sdt>
  <w:p w14:paraId="61550274" w14:textId="77777777" w:rsidR="000F2D97" w:rsidRDefault="000F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6DD3" w14:textId="77777777" w:rsidR="00274614" w:rsidRDefault="00274614" w:rsidP="00762E8F">
      <w:r>
        <w:separator/>
      </w:r>
    </w:p>
  </w:footnote>
  <w:footnote w:type="continuationSeparator" w:id="0">
    <w:p w14:paraId="536FC457" w14:textId="77777777" w:rsidR="00274614" w:rsidRDefault="00274614" w:rsidP="00762E8F">
      <w:r>
        <w:continuationSeparator/>
      </w:r>
    </w:p>
  </w:footnote>
  <w:footnote w:id="1">
    <w:p w14:paraId="414DC371" w14:textId="77777777" w:rsidR="00BE71A6" w:rsidRPr="00583342" w:rsidRDefault="00BE71A6" w:rsidP="00583342">
      <w:pPr>
        <w:pStyle w:val="FootnoteText"/>
        <w:jc w:val="both"/>
        <w:rPr>
          <w:sz w:val="22"/>
          <w:szCs w:val="22"/>
          <w:lang w:val="sr-Cyrl-RS"/>
        </w:rPr>
      </w:pPr>
      <w:r w:rsidRPr="00583342">
        <w:rPr>
          <w:rStyle w:val="FootnoteReference"/>
          <w:sz w:val="22"/>
          <w:szCs w:val="22"/>
        </w:rPr>
        <w:footnoteRef/>
      </w:r>
      <w:r w:rsidRPr="00583342">
        <w:rPr>
          <w:rStyle w:val="FootnoteReference"/>
          <w:sz w:val="22"/>
          <w:szCs w:val="22"/>
        </w:rPr>
        <w:t xml:space="preserve"> </w:t>
      </w:r>
      <w:r w:rsidRPr="00583342">
        <w:rPr>
          <w:sz w:val="22"/>
          <w:szCs w:val="22"/>
          <w:lang w:val="sr-Cyrl-RS"/>
        </w:rPr>
        <w:t>Од 2024. године у категорији редoвних непореских прихода, услед унапређења обухвата и система извршења буџета, налазиће се и сопствени приходи свих средњих школа у Републици. До сада је овај део прихода био планиран у оквиру прихода индиректних буџетских корисника.</w:t>
      </w:r>
    </w:p>
  </w:footnote>
  <w:footnote w:id="2">
    <w:p w14:paraId="5F4F8E5B" w14:textId="77777777" w:rsidR="00BE71A6" w:rsidRPr="00583342" w:rsidRDefault="00BE71A6" w:rsidP="00BE71A6">
      <w:pPr>
        <w:pStyle w:val="FootnoteText"/>
        <w:rPr>
          <w:sz w:val="22"/>
          <w:szCs w:val="22"/>
          <w:lang w:val="sr-Cyrl-RS"/>
        </w:rPr>
      </w:pPr>
      <w:r w:rsidRPr="00583342">
        <w:rPr>
          <w:rStyle w:val="FootnoteReference"/>
          <w:sz w:val="22"/>
          <w:szCs w:val="22"/>
        </w:rPr>
        <w:footnoteRef/>
      </w:r>
      <w:r w:rsidRPr="00583342">
        <w:rPr>
          <w:sz w:val="22"/>
          <w:szCs w:val="22"/>
        </w:rPr>
        <w:t xml:space="preserve"> </w:t>
      </w:r>
      <w:r w:rsidRPr="00583342">
        <w:rPr>
          <w:sz w:val="22"/>
          <w:szCs w:val="22"/>
          <w:lang w:val="sr-Cyrl-CS"/>
        </w:rPr>
        <w:t>Ови приходи односе се на индиректне кориснике који нису укључени у систем извршења буџета</w:t>
      </w:r>
      <w:r w:rsidRPr="00583342">
        <w:rPr>
          <w:sz w:val="22"/>
          <w:szCs w:val="22"/>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47F"/>
    <w:multiLevelType w:val="hybridMultilevel"/>
    <w:tmpl w:val="CDC6C934"/>
    <w:lvl w:ilvl="0" w:tplc="735C3332">
      <w:start w:val="4"/>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B575BE"/>
    <w:multiLevelType w:val="hybridMultilevel"/>
    <w:tmpl w:val="8514C64C"/>
    <w:lvl w:ilvl="0" w:tplc="2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347A3"/>
    <w:multiLevelType w:val="hybridMultilevel"/>
    <w:tmpl w:val="D1BC977E"/>
    <w:lvl w:ilvl="0" w:tplc="969EA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A3553"/>
    <w:multiLevelType w:val="hybridMultilevel"/>
    <w:tmpl w:val="EC0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17C6"/>
    <w:multiLevelType w:val="hybridMultilevel"/>
    <w:tmpl w:val="8D2C769E"/>
    <w:lvl w:ilvl="0" w:tplc="969EA29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F9C3656"/>
    <w:multiLevelType w:val="hybridMultilevel"/>
    <w:tmpl w:val="7534BFCC"/>
    <w:lvl w:ilvl="0" w:tplc="1F008DFC">
      <w:start w:val="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B2B1A"/>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295FA6"/>
    <w:multiLevelType w:val="hybridMultilevel"/>
    <w:tmpl w:val="4A38BCE6"/>
    <w:lvl w:ilvl="0" w:tplc="969EA2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AC5244"/>
    <w:multiLevelType w:val="hybridMultilevel"/>
    <w:tmpl w:val="E7FC2C76"/>
    <w:lvl w:ilvl="0" w:tplc="2DDCD66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70D3B"/>
    <w:multiLevelType w:val="hybridMultilevel"/>
    <w:tmpl w:val="9376A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E1E96"/>
    <w:multiLevelType w:val="hybridMultilevel"/>
    <w:tmpl w:val="8B2ECDA2"/>
    <w:lvl w:ilvl="0" w:tplc="FB42A7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48577039">
    <w:abstractNumId w:val="6"/>
  </w:num>
  <w:num w:numId="2" w16cid:durableId="910194974">
    <w:abstractNumId w:val="4"/>
  </w:num>
  <w:num w:numId="3" w16cid:durableId="1039822410">
    <w:abstractNumId w:val="7"/>
  </w:num>
  <w:num w:numId="4" w16cid:durableId="332339275">
    <w:abstractNumId w:val="3"/>
  </w:num>
  <w:num w:numId="5" w16cid:durableId="1297955179">
    <w:abstractNumId w:val="9"/>
  </w:num>
  <w:num w:numId="6" w16cid:durableId="1799911295">
    <w:abstractNumId w:val="5"/>
  </w:num>
  <w:num w:numId="7" w16cid:durableId="506403300">
    <w:abstractNumId w:val="8"/>
  </w:num>
  <w:num w:numId="8" w16cid:durableId="1684237044">
    <w:abstractNumId w:val="1"/>
  </w:num>
  <w:num w:numId="9" w16cid:durableId="2099057378">
    <w:abstractNumId w:val="2"/>
  </w:num>
  <w:num w:numId="10" w16cid:durableId="665474927">
    <w:abstractNumId w:val="0"/>
  </w:num>
  <w:num w:numId="11" w16cid:durableId="193302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0"/>
    <w:rsid w:val="000008C6"/>
    <w:rsid w:val="000027E8"/>
    <w:rsid w:val="0000297E"/>
    <w:rsid w:val="00003474"/>
    <w:rsid w:val="000044DB"/>
    <w:rsid w:val="000048DC"/>
    <w:rsid w:val="00006E56"/>
    <w:rsid w:val="00014917"/>
    <w:rsid w:val="000154F2"/>
    <w:rsid w:val="000176CF"/>
    <w:rsid w:val="000177C0"/>
    <w:rsid w:val="0002471C"/>
    <w:rsid w:val="0002662A"/>
    <w:rsid w:val="000307B4"/>
    <w:rsid w:val="00031315"/>
    <w:rsid w:val="0003412D"/>
    <w:rsid w:val="00035478"/>
    <w:rsid w:val="00035B16"/>
    <w:rsid w:val="00040214"/>
    <w:rsid w:val="00043FD5"/>
    <w:rsid w:val="00045D20"/>
    <w:rsid w:val="000465A8"/>
    <w:rsid w:val="000470D3"/>
    <w:rsid w:val="00047EB6"/>
    <w:rsid w:val="00050E17"/>
    <w:rsid w:val="000516D2"/>
    <w:rsid w:val="00054353"/>
    <w:rsid w:val="00055153"/>
    <w:rsid w:val="00055A71"/>
    <w:rsid w:val="00056E63"/>
    <w:rsid w:val="00060342"/>
    <w:rsid w:val="0006091D"/>
    <w:rsid w:val="00062130"/>
    <w:rsid w:val="00062B8A"/>
    <w:rsid w:val="00063137"/>
    <w:rsid w:val="0006322B"/>
    <w:rsid w:val="00064348"/>
    <w:rsid w:val="0006454C"/>
    <w:rsid w:val="00064B92"/>
    <w:rsid w:val="000711D1"/>
    <w:rsid w:val="000713AD"/>
    <w:rsid w:val="00071B56"/>
    <w:rsid w:val="000726EA"/>
    <w:rsid w:val="00074A40"/>
    <w:rsid w:val="00077175"/>
    <w:rsid w:val="00083D80"/>
    <w:rsid w:val="000871DD"/>
    <w:rsid w:val="00092011"/>
    <w:rsid w:val="0009287E"/>
    <w:rsid w:val="000A0FE6"/>
    <w:rsid w:val="000A3F0E"/>
    <w:rsid w:val="000A5E91"/>
    <w:rsid w:val="000A5FDE"/>
    <w:rsid w:val="000A7186"/>
    <w:rsid w:val="000B03B8"/>
    <w:rsid w:val="000B0B6C"/>
    <w:rsid w:val="000B2E1D"/>
    <w:rsid w:val="000B3EA4"/>
    <w:rsid w:val="000B4823"/>
    <w:rsid w:val="000B5823"/>
    <w:rsid w:val="000B70F1"/>
    <w:rsid w:val="000C0A0B"/>
    <w:rsid w:val="000C19E8"/>
    <w:rsid w:val="000C1DE8"/>
    <w:rsid w:val="000C3259"/>
    <w:rsid w:val="000C4CB3"/>
    <w:rsid w:val="000C5276"/>
    <w:rsid w:val="000C596F"/>
    <w:rsid w:val="000C724D"/>
    <w:rsid w:val="000D0158"/>
    <w:rsid w:val="000D161B"/>
    <w:rsid w:val="000D44D9"/>
    <w:rsid w:val="000D57FE"/>
    <w:rsid w:val="000D6E9C"/>
    <w:rsid w:val="000E295C"/>
    <w:rsid w:val="000E3FAA"/>
    <w:rsid w:val="000E4715"/>
    <w:rsid w:val="000E530E"/>
    <w:rsid w:val="000E66A5"/>
    <w:rsid w:val="000E7FA0"/>
    <w:rsid w:val="000F08B7"/>
    <w:rsid w:val="000F1EED"/>
    <w:rsid w:val="000F2D97"/>
    <w:rsid w:val="000F34FE"/>
    <w:rsid w:val="000F4B12"/>
    <w:rsid w:val="000F5623"/>
    <w:rsid w:val="000F57BC"/>
    <w:rsid w:val="000F5847"/>
    <w:rsid w:val="000F6CFB"/>
    <w:rsid w:val="001003BD"/>
    <w:rsid w:val="00102460"/>
    <w:rsid w:val="00103503"/>
    <w:rsid w:val="00105C97"/>
    <w:rsid w:val="00105EBE"/>
    <w:rsid w:val="001125A6"/>
    <w:rsid w:val="00113875"/>
    <w:rsid w:val="001142B9"/>
    <w:rsid w:val="001145C2"/>
    <w:rsid w:val="0011493C"/>
    <w:rsid w:val="00114E88"/>
    <w:rsid w:val="00115156"/>
    <w:rsid w:val="00116E21"/>
    <w:rsid w:val="00120216"/>
    <w:rsid w:val="00122CE8"/>
    <w:rsid w:val="0012309E"/>
    <w:rsid w:val="001230C2"/>
    <w:rsid w:val="001233D0"/>
    <w:rsid w:val="001245AA"/>
    <w:rsid w:val="00125658"/>
    <w:rsid w:val="00130AED"/>
    <w:rsid w:val="001356F3"/>
    <w:rsid w:val="001415B4"/>
    <w:rsid w:val="00146D4D"/>
    <w:rsid w:val="001473E8"/>
    <w:rsid w:val="00151749"/>
    <w:rsid w:val="00151DEC"/>
    <w:rsid w:val="00152E26"/>
    <w:rsid w:val="0016014C"/>
    <w:rsid w:val="00163421"/>
    <w:rsid w:val="001678E8"/>
    <w:rsid w:val="001715EE"/>
    <w:rsid w:val="0017168B"/>
    <w:rsid w:val="00171A9A"/>
    <w:rsid w:val="001721C5"/>
    <w:rsid w:val="001721DC"/>
    <w:rsid w:val="001731E1"/>
    <w:rsid w:val="00176135"/>
    <w:rsid w:val="0018107A"/>
    <w:rsid w:val="00182583"/>
    <w:rsid w:val="00182C3C"/>
    <w:rsid w:val="00185D00"/>
    <w:rsid w:val="001874AB"/>
    <w:rsid w:val="001878DD"/>
    <w:rsid w:val="001910D3"/>
    <w:rsid w:val="00192553"/>
    <w:rsid w:val="001935E8"/>
    <w:rsid w:val="001A08FB"/>
    <w:rsid w:val="001A49ED"/>
    <w:rsid w:val="001A50CF"/>
    <w:rsid w:val="001A6D15"/>
    <w:rsid w:val="001A7668"/>
    <w:rsid w:val="001A7F38"/>
    <w:rsid w:val="001B0A28"/>
    <w:rsid w:val="001B0BA2"/>
    <w:rsid w:val="001B0EF0"/>
    <w:rsid w:val="001B7234"/>
    <w:rsid w:val="001C0CCD"/>
    <w:rsid w:val="001C1808"/>
    <w:rsid w:val="001C2847"/>
    <w:rsid w:val="001C5A24"/>
    <w:rsid w:val="001C67A2"/>
    <w:rsid w:val="001C7A49"/>
    <w:rsid w:val="001D077F"/>
    <w:rsid w:val="001D0A77"/>
    <w:rsid w:val="001D28EF"/>
    <w:rsid w:val="001D2EC5"/>
    <w:rsid w:val="001D5957"/>
    <w:rsid w:val="001D62E4"/>
    <w:rsid w:val="001D6C5D"/>
    <w:rsid w:val="001D7707"/>
    <w:rsid w:val="001E1B96"/>
    <w:rsid w:val="001E1CED"/>
    <w:rsid w:val="001E4C6C"/>
    <w:rsid w:val="001E5377"/>
    <w:rsid w:val="001E57EF"/>
    <w:rsid w:val="001E6BD0"/>
    <w:rsid w:val="001E7029"/>
    <w:rsid w:val="001E7CC7"/>
    <w:rsid w:val="001F04BF"/>
    <w:rsid w:val="001F1086"/>
    <w:rsid w:val="001F1E25"/>
    <w:rsid w:val="001F314D"/>
    <w:rsid w:val="001F4807"/>
    <w:rsid w:val="001F76D9"/>
    <w:rsid w:val="00200B2F"/>
    <w:rsid w:val="00201652"/>
    <w:rsid w:val="00201725"/>
    <w:rsid w:val="002026E9"/>
    <w:rsid w:val="00205697"/>
    <w:rsid w:val="00206479"/>
    <w:rsid w:val="00213388"/>
    <w:rsid w:val="00214C47"/>
    <w:rsid w:val="00215ACB"/>
    <w:rsid w:val="00215CDA"/>
    <w:rsid w:val="00217064"/>
    <w:rsid w:val="002201E2"/>
    <w:rsid w:val="00220E72"/>
    <w:rsid w:val="00221156"/>
    <w:rsid w:val="0022147E"/>
    <w:rsid w:val="002215F7"/>
    <w:rsid w:val="00222803"/>
    <w:rsid w:val="002236CD"/>
    <w:rsid w:val="002251A5"/>
    <w:rsid w:val="002254EB"/>
    <w:rsid w:val="002275A9"/>
    <w:rsid w:val="00235BCE"/>
    <w:rsid w:val="002360B7"/>
    <w:rsid w:val="00236FF2"/>
    <w:rsid w:val="00237E8E"/>
    <w:rsid w:val="00240A7F"/>
    <w:rsid w:val="00242551"/>
    <w:rsid w:val="002426ED"/>
    <w:rsid w:val="0024652F"/>
    <w:rsid w:val="002477C9"/>
    <w:rsid w:val="002479C0"/>
    <w:rsid w:val="002503F5"/>
    <w:rsid w:val="00251C89"/>
    <w:rsid w:val="00252E9F"/>
    <w:rsid w:val="00253189"/>
    <w:rsid w:val="002564B6"/>
    <w:rsid w:val="00256B3D"/>
    <w:rsid w:val="00257B15"/>
    <w:rsid w:val="00260896"/>
    <w:rsid w:val="00260900"/>
    <w:rsid w:val="002621B9"/>
    <w:rsid w:val="00263D0E"/>
    <w:rsid w:val="00264E03"/>
    <w:rsid w:val="002700FC"/>
    <w:rsid w:val="00271142"/>
    <w:rsid w:val="002733D8"/>
    <w:rsid w:val="00273B84"/>
    <w:rsid w:val="002742F3"/>
    <w:rsid w:val="00274614"/>
    <w:rsid w:val="00275F38"/>
    <w:rsid w:val="002765E5"/>
    <w:rsid w:val="0027667E"/>
    <w:rsid w:val="002772AE"/>
    <w:rsid w:val="002805A9"/>
    <w:rsid w:val="00280664"/>
    <w:rsid w:val="002808DE"/>
    <w:rsid w:val="00280D3D"/>
    <w:rsid w:val="00280D60"/>
    <w:rsid w:val="0028540A"/>
    <w:rsid w:val="00286337"/>
    <w:rsid w:val="00291AE7"/>
    <w:rsid w:val="002922E4"/>
    <w:rsid w:val="00292FC4"/>
    <w:rsid w:val="00293D68"/>
    <w:rsid w:val="002A120D"/>
    <w:rsid w:val="002A20D8"/>
    <w:rsid w:val="002A26DC"/>
    <w:rsid w:val="002A2FED"/>
    <w:rsid w:val="002A4510"/>
    <w:rsid w:val="002A77B9"/>
    <w:rsid w:val="002B55FE"/>
    <w:rsid w:val="002B5CEC"/>
    <w:rsid w:val="002B6A77"/>
    <w:rsid w:val="002B6D21"/>
    <w:rsid w:val="002B74B3"/>
    <w:rsid w:val="002B7CDB"/>
    <w:rsid w:val="002C3A49"/>
    <w:rsid w:val="002C406C"/>
    <w:rsid w:val="002C4CF6"/>
    <w:rsid w:val="002C4E9E"/>
    <w:rsid w:val="002C6034"/>
    <w:rsid w:val="002C6D8D"/>
    <w:rsid w:val="002C7D29"/>
    <w:rsid w:val="002D0C43"/>
    <w:rsid w:val="002D10C3"/>
    <w:rsid w:val="002D1294"/>
    <w:rsid w:val="002D17A4"/>
    <w:rsid w:val="002D24AC"/>
    <w:rsid w:val="002D683B"/>
    <w:rsid w:val="002D72B8"/>
    <w:rsid w:val="002E0FDC"/>
    <w:rsid w:val="002E0FE6"/>
    <w:rsid w:val="002E172D"/>
    <w:rsid w:val="002E3B82"/>
    <w:rsid w:val="002E3C48"/>
    <w:rsid w:val="002E5544"/>
    <w:rsid w:val="002E68AA"/>
    <w:rsid w:val="002F3B4D"/>
    <w:rsid w:val="002F4DF9"/>
    <w:rsid w:val="002F5662"/>
    <w:rsid w:val="002F61FD"/>
    <w:rsid w:val="002F7119"/>
    <w:rsid w:val="002F748D"/>
    <w:rsid w:val="0030287B"/>
    <w:rsid w:val="003064E2"/>
    <w:rsid w:val="0030756C"/>
    <w:rsid w:val="00311011"/>
    <w:rsid w:val="0031241C"/>
    <w:rsid w:val="00313823"/>
    <w:rsid w:val="00316A00"/>
    <w:rsid w:val="00322915"/>
    <w:rsid w:val="00324B05"/>
    <w:rsid w:val="003307FA"/>
    <w:rsid w:val="00331E7D"/>
    <w:rsid w:val="003324B1"/>
    <w:rsid w:val="00334548"/>
    <w:rsid w:val="003365D3"/>
    <w:rsid w:val="003366DD"/>
    <w:rsid w:val="00337B2C"/>
    <w:rsid w:val="00345E60"/>
    <w:rsid w:val="00354246"/>
    <w:rsid w:val="003552C2"/>
    <w:rsid w:val="003553BC"/>
    <w:rsid w:val="003571AD"/>
    <w:rsid w:val="003617CA"/>
    <w:rsid w:val="003633FC"/>
    <w:rsid w:val="00363A19"/>
    <w:rsid w:val="00363D12"/>
    <w:rsid w:val="00367F9A"/>
    <w:rsid w:val="0037023A"/>
    <w:rsid w:val="003702F2"/>
    <w:rsid w:val="00373342"/>
    <w:rsid w:val="003742E1"/>
    <w:rsid w:val="00375902"/>
    <w:rsid w:val="003759AE"/>
    <w:rsid w:val="00375ADB"/>
    <w:rsid w:val="003775FF"/>
    <w:rsid w:val="00377A4C"/>
    <w:rsid w:val="00381250"/>
    <w:rsid w:val="00381DC0"/>
    <w:rsid w:val="00382DFF"/>
    <w:rsid w:val="003836E1"/>
    <w:rsid w:val="00384468"/>
    <w:rsid w:val="00386120"/>
    <w:rsid w:val="00386EC7"/>
    <w:rsid w:val="0038729D"/>
    <w:rsid w:val="00387339"/>
    <w:rsid w:val="00387BA0"/>
    <w:rsid w:val="0039096E"/>
    <w:rsid w:val="0039101F"/>
    <w:rsid w:val="00394EE7"/>
    <w:rsid w:val="00395BF3"/>
    <w:rsid w:val="0039795D"/>
    <w:rsid w:val="003A45CA"/>
    <w:rsid w:val="003A4B48"/>
    <w:rsid w:val="003A6118"/>
    <w:rsid w:val="003A71BB"/>
    <w:rsid w:val="003B2CB0"/>
    <w:rsid w:val="003B3FB3"/>
    <w:rsid w:val="003B61DC"/>
    <w:rsid w:val="003B73EF"/>
    <w:rsid w:val="003C1D50"/>
    <w:rsid w:val="003C2721"/>
    <w:rsid w:val="003C332D"/>
    <w:rsid w:val="003C60A7"/>
    <w:rsid w:val="003C7EBD"/>
    <w:rsid w:val="003D0854"/>
    <w:rsid w:val="003D26F3"/>
    <w:rsid w:val="003D3274"/>
    <w:rsid w:val="003D41BC"/>
    <w:rsid w:val="003D45D9"/>
    <w:rsid w:val="003D4BB2"/>
    <w:rsid w:val="003E0332"/>
    <w:rsid w:val="003E0F6E"/>
    <w:rsid w:val="003E39B5"/>
    <w:rsid w:val="003E3E0C"/>
    <w:rsid w:val="003E4A6E"/>
    <w:rsid w:val="003E632F"/>
    <w:rsid w:val="003E7CFE"/>
    <w:rsid w:val="003E7D5C"/>
    <w:rsid w:val="003F1CDC"/>
    <w:rsid w:val="003F254D"/>
    <w:rsid w:val="003F330C"/>
    <w:rsid w:val="003F54C2"/>
    <w:rsid w:val="003F7341"/>
    <w:rsid w:val="003F7D57"/>
    <w:rsid w:val="00406FDC"/>
    <w:rsid w:val="00407D54"/>
    <w:rsid w:val="00410DC8"/>
    <w:rsid w:val="004123E6"/>
    <w:rsid w:val="004130A6"/>
    <w:rsid w:val="004138D7"/>
    <w:rsid w:val="0042065E"/>
    <w:rsid w:val="0042282C"/>
    <w:rsid w:val="00422EA5"/>
    <w:rsid w:val="0042305B"/>
    <w:rsid w:val="00424712"/>
    <w:rsid w:val="00424A9A"/>
    <w:rsid w:val="004274CB"/>
    <w:rsid w:val="00427F02"/>
    <w:rsid w:val="00432B38"/>
    <w:rsid w:val="00433A04"/>
    <w:rsid w:val="00433BB6"/>
    <w:rsid w:val="004416D9"/>
    <w:rsid w:val="0044377C"/>
    <w:rsid w:val="004467A9"/>
    <w:rsid w:val="00447322"/>
    <w:rsid w:val="0044748A"/>
    <w:rsid w:val="0045543A"/>
    <w:rsid w:val="00455477"/>
    <w:rsid w:val="00457D1C"/>
    <w:rsid w:val="00461ADB"/>
    <w:rsid w:val="00461DEA"/>
    <w:rsid w:val="00464B98"/>
    <w:rsid w:val="004747D6"/>
    <w:rsid w:val="004754C9"/>
    <w:rsid w:val="004758DD"/>
    <w:rsid w:val="004822E2"/>
    <w:rsid w:val="004822F4"/>
    <w:rsid w:val="00487719"/>
    <w:rsid w:val="004902D7"/>
    <w:rsid w:val="00490ACA"/>
    <w:rsid w:val="00492416"/>
    <w:rsid w:val="0049267D"/>
    <w:rsid w:val="004929B6"/>
    <w:rsid w:val="004938BF"/>
    <w:rsid w:val="00493E41"/>
    <w:rsid w:val="00493F45"/>
    <w:rsid w:val="0049556C"/>
    <w:rsid w:val="004974AD"/>
    <w:rsid w:val="004979EA"/>
    <w:rsid w:val="00497C6A"/>
    <w:rsid w:val="004A0C74"/>
    <w:rsid w:val="004A1DE2"/>
    <w:rsid w:val="004A1FB7"/>
    <w:rsid w:val="004A42ED"/>
    <w:rsid w:val="004A55B2"/>
    <w:rsid w:val="004B090A"/>
    <w:rsid w:val="004B3F04"/>
    <w:rsid w:val="004B40FD"/>
    <w:rsid w:val="004B59D3"/>
    <w:rsid w:val="004B640B"/>
    <w:rsid w:val="004C1B6B"/>
    <w:rsid w:val="004C1CB8"/>
    <w:rsid w:val="004C5C6A"/>
    <w:rsid w:val="004D2CDC"/>
    <w:rsid w:val="004D3195"/>
    <w:rsid w:val="004D3520"/>
    <w:rsid w:val="004D3A92"/>
    <w:rsid w:val="004D3BFD"/>
    <w:rsid w:val="004D6185"/>
    <w:rsid w:val="004D73CA"/>
    <w:rsid w:val="004D73DE"/>
    <w:rsid w:val="004E0463"/>
    <w:rsid w:val="004E2F1B"/>
    <w:rsid w:val="004E6C95"/>
    <w:rsid w:val="004E742B"/>
    <w:rsid w:val="004E7950"/>
    <w:rsid w:val="004E7CB1"/>
    <w:rsid w:val="004E7D90"/>
    <w:rsid w:val="004F0B63"/>
    <w:rsid w:val="004F23E9"/>
    <w:rsid w:val="004F2E2B"/>
    <w:rsid w:val="0050354C"/>
    <w:rsid w:val="00503E50"/>
    <w:rsid w:val="005046C1"/>
    <w:rsid w:val="00505351"/>
    <w:rsid w:val="00505560"/>
    <w:rsid w:val="00511CBC"/>
    <w:rsid w:val="0051226E"/>
    <w:rsid w:val="00512FFC"/>
    <w:rsid w:val="00515730"/>
    <w:rsid w:val="0051635E"/>
    <w:rsid w:val="005168C6"/>
    <w:rsid w:val="00517962"/>
    <w:rsid w:val="00517A4B"/>
    <w:rsid w:val="005236BF"/>
    <w:rsid w:val="00526BD6"/>
    <w:rsid w:val="00526D95"/>
    <w:rsid w:val="00530B9C"/>
    <w:rsid w:val="00531641"/>
    <w:rsid w:val="00531C9C"/>
    <w:rsid w:val="0053247D"/>
    <w:rsid w:val="0053341C"/>
    <w:rsid w:val="00533958"/>
    <w:rsid w:val="00533F29"/>
    <w:rsid w:val="00537AAA"/>
    <w:rsid w:val="00540346"/>
    <w:rsid w:val="00540EC8"/>
    <w:rsid w:val="00542260"/>
    <w:rsid w:val="0054456B"/>
    <w:rsid w:val="00545AF0"/>
    <w:rsid w:val="005477EC"/>
    <w:rsid w:val="00551EDF"/>
    <w:rsid w:val="0055204A"/>
    <w:rsid w:val="00556620"/>
    <w:rsid w:val="00557028"/>
    <w:rsid w:val="005606E5"/>
    <w:rsid w:val="005615F6"/>
    <w:rsid w:val="00564DDA"/>
    <w:rsid w:val="00570196"/>
    <w:rsid w:val="0057255C"/>
    <w:rsid w:val="005727F5"/>
    <w:rsid w:val="00573384"/>
    <w:rsid w:val="00573616"/>
    <w:rsid w:val="00573C07"/>
    <w:rsid w:val="0057455F"/>
    <w:rsid w:val="005774C8"/>
    <w:rsid w:val="00580676"/>
    <w:rsid w:val="005817AD"/>
    <w:rsid w:val="0058180E"/>
    <w:rsid w:val="005821B2"/>
    <w:rsid w:val="00583342"/>
    <w:rsid w:val="00584829"/>
    <w:rsid w:val="005877CE"/>
    <w:rsid w:val="00590578"/>
    <w:rsid w:val="005918F3"/>
    <w:rsid w:val="00593327"/>
    <w:rsid w:val="00593CBA"/>
    <w:rsid w:val="005954DE"/>
    <w:rsid w:val="00596BD6"/>
    <w:rsid w:val="005A04A3"/>
    <w:rsid w:val="005A171E"/>
    <w:rsid w:val="005A3CC9"/>
    <w:rsid w:val="005A6BD4"/>
    <w:rsid w:val="005B15BB"/>
    <w:rsid w:val="005B170F"/>
    <w:rsid w:val="005B1FD2"/>
    <w:rsid w:val="005B683B"/>
    <w:rsid w:val="005B6DD9"/>
    <w:rsid w:val="005C0C6F"/>
    <w:rsid w:val="005C2D3B"/>
    <w:rsid w:val="005C2E12"/>
    <w:rsid w:val="005C458E"/>
    <w:rsid w:val="005C5661"/>
    <w:rsid w:val="005C6ADF"/>
    <w:rsid w:val="005D130C"/>
    <w:rsid w:val="005D41DF"/>
    <w:rsid w:val="005D6420"/>
    <w:rsid w:val="005E29DF"/>
    <w:rsid w:val="005E3F5D"/>
    <w:rsid w:val="005E4043"/>
    <w:rsid w:val="005F05EE"/>
    <w:rsid w:val="005F2BAE"/>
    <w:rsid w:val="005F61C3"/>
    <w:rsid w:val="005F64D0"/>
    <w:rsid w:val="005F7668"/>
    <w:rsid w:val="00600ABE"/>
    <w:rsid w:val="006011D7"/>
    <w:rsid w:val="0060186A"/>
    <w:rsid w:val="00601BD6"/>
    <w:rsid w:val="00602DC3"/>
    <w:rsid w:val="006030CE"/>
    <w:rsid w:val="00604D50"/>
    <w:rsid w:val="0060516C"/>
    <w:rsid w:val="00605C3E"/>
    <w:rsid w:val="00610DA0"/>
    <w:rsid w:val="00614B35"/>
    <w:rsid w:val="00614BA4"/>
    <w:rsid w:val="0061597A"/>
    <w:rsid w:val="00615EA1"/>
    <w:rsid w:val="006179F3"/>
    <w:rsid w:val="006209E0"/>
    <w:rsid w:val="006214AF"/>
    <w:rsid w:val="0062702D"/>
    <w:rsid w:val="006278A1"/>
    <w:rsid w:val="006301AC"/>
    <w:rsid w:val="0063026E"/>
    <w:rsid w:val="00630863"/>
    <w:rsid w:val="0063173D"/>
    <w:rsid w:val="00632A97"/>
    <w:rsid w:val="0063333B"/>
    <w:rsid w:val="00633B47"/>
    <w:rsid w:val="006358DE"/>
    <w:rsid w:val="00636008"/>
    <w:rsid w:val="00637270"/>
    <w:rsid w:val="00640E74"/>
    <w:rsid w:val="00641494"/>
    <w:rsid w:val="006421CD"/>
    <w:rsid w:val="0064364F"/>
    <w:rsid w:val="006436F5"/>
    <w:rsid w:val="0064506E"/>
    <w:rsid w:val="006459DA"/>
    <w:rsid w:val="00652334"/>
    <w:rsid w:val="006527FF"/>
    <w:rsid w:val="006538B7"/>
    <w:rsid w:val="00653E2F"/>
    <w:rsid w:val="00654BB2"/>
    <w:rsid w:val="00655013"/>
    <w:rsid w:val="00655F07"/>
    <w:rsid w:val="00656C15"/>
    <w:rsid w:val="006577FC"/>
    <w:rsid w:val="00657A78"/>
    <w:rsid w:val="00662231"/>
    <w:rsid w:val="0066280D"/>
    <w:rsid w:val="00664343"/>
    <w:rsid w:val="00672A4A"/>
    <w:rsid w:val="0067574F"/>
    <w:rsid w:val="006757B9"/>
    <w:rsid w:val="00675C3D"/>
    <w:rsid w:val="00677E3C"/>
    <w:rsid w:val="006800BF"/>
    <w:rsid w:val="006814A4"/>
    <w:rsid w:val="00681761"/>
    <w:rsid w:val="006843A6"/>
    <w:rsid w:val="00686077"/>
    <w:rsid w:val="00686623"/>
    <w:rsid w:val="00692D32"/>
    <w:rsid w:val="006933C2"/>
    <w:rsid w:val="00693CCF"/>
    <w:rsid w:val="00694E69"/>
    <w:rsid w:val="00696EF5"/>
    <w:rsid w:val="006A1B09"/>
    <w:rsid w:val="006A242D"/>
    <w:rsid w:val="006A289D"/>
    <w:rsid w:val="006A28B1"/>
    <w:rsid w:val="006B1987"/>
    <w:rsid w:val="006B4A36"/>
    <w:rsid w:val="006B4AF8"/>
    <w:rsid w:val="006B680B"/>
    <w:rsid w:val="006B6A33"/>
    <w:rsid w:val="006B7A26"/>
    <w:rsid w:val="006C2F74"/>
    <w:rsid w:val="006C3086"/>
    <w:rsid w:val="006C42DC"/>
    <w:rsid w:val="006C5C94"/>
    <w:rsid w:val="006C5DCF"/>
    <w:rsid w:val="006C678B"/>
    <w:rsid w:val="006D39D0"/>
    <w:rsid w:val="006D3A44"/>
    <w:rsid w:val="006D3A6C"/>
    <w:rsid w:val="006D3BC2"/>
    <w:rsid w:val="006D755B"/>
    <w:rsid w:val="006E2729"/>
    <w:rsid w:val="006E5103"/>
    <w:rsid w:val="006E550A"/>
    <w:rsid w:val="006E66BD"/>
    <w:rsid w:val="006E6B5F"/>
    <w:rsid w:val="006E7841"/>
    <w:rsid w:val="006F117C"/>
    <w:rsid w:val="006F1563"/>
    <w:rsid w:val="006F419D"/>
    <w:rsid w:val="006F430D"/>
    <w:rsid w:val="006F7707"/>
    <w:rsid w:val="007012EB"/>
    <w:rsid w:val="00701FA3"/>
    <w:rsid w:val="0070317E"/>
    <w:rsid w:val="007046B8"/>
    <w:rsid w:val="007048D4"/>
    <w:rsid w:val="007059E4"/>
    <w:rsid w:val="007068C9"/>
    <w:rsid w:val="007104F0"/>
    <w:rsid w:val="007108F8"/>
    <w:rsid w:val="0071130B"/>
    <w:rsid w:val="0071189C"/>
    <w:rsid w:val="00713F58"/>
    <w:rsid w:val="00717BE7"/>
    <w:rsid w:val="0072226A"/>
    <w:rsid w:val="00730285"/>
    <w:rsid w:val="007307EE"/>
    <w:rsid w:val="00731857"/>
    <w:rsid w:val="0073271A"/>
    <w:rsid w:val="00733540"/>
    <w:rsid w:val="00734599"/>
    <w:rsid w:val="007364F5"/>
    <w:rsid w:val="007401DD"/>
    <w:rsid w:val="007411EB"/>
    <w:rsid w:val="0074258E"/>
    <w:rsid w:val="00743197"/>
    <w:rsid w:val="00743D8B"/>
    <w:rsid w:val="00743ECF"/>
    <w:rsid w:val="00744818"/>
    <w:rsid w:val="0074770D"/>
    <w:rsid w:val="00751A1F"/>
    <w:rsid w:val="0075277E"/>
    <w:rsid w:val="0075297D"/>
    <w:rsid w:val="00757C6A"/>
    <w:rsid w:val="00760657"/>
    <w:rsid w:val="00761525"/>
    <w:rsid w:val="00761E0F"/>
    <w:rsid w:val="00762478"/>
    <w:rsid w:val="00762E8F"/>
    <w:rsid w:val="007649FD"/>
    <w:rsid w:val="0076678C"/>
    <w:rsid w:val="0077012F"/>
    <w:rsid w:val="007735F7"/>
    <w:rsid w:val="0077455D"/>
    <w:rsid w:val="00775800"/>
    <w:rsid w:val="00776DB0"/>
    <w:rsid w:val="00776F27"/>
    <w:rsid w:val="00777ED5"/>
    <w:rsid w:val="00782495"/>
    <w:rsid w:val="00782660"/>
    <w:rsid w:val="007829C8"/>
    <w:rsid w:val="00783E0E"/>
    <w:rsid w:val="00785AA8"/>
    <w:rsid w:val="007863A2"/>
    <w:rsid w:val="00792109"/>
    <w:rsid w:val="007932FF"/>
    <w:rsid w:val="007958D7"/>
    <w:rsid w:val="00795F68"/>
    <w:rsid w:val="00796065"/>
    <w:rsid w:val="007A3EC7"/>
    <w:rsid w:val="007A4F52"/>
    <w:rsid w:val="007A6027"/>
    <w:rsid w:val="007B00D9"/>
    <w:rsid w:val="007B349F"/>
    <w:rsid w:val="007B3AF1"/>
    <w:rsid w:val="007B7E49"/>
    <w:rsid w:val="007C17C4"/>
    <w:rsid w:val="007C34FF"/>
    <w:rsid w:val="007D1C7C"/>
    <w:rsid w:val="007D1EE1"/>
    <w:rsid w:val="007D4247"/>
    <w:rsid w:val="007E18D0"/>
    <w:rsid w:val="007E2836"/>
    <w:rsid w:val="007E390F"/>
    <w:rsid w:val="007E4626"/>
    <w:rsid w:val="007E611E"/>
    <w:rsid w:val="007E6653"/>
    <w:rsid w:val="007E7D7D"/>
    <w:rsid w:val="007E7D97"/>
    <w:rsid w:val="007E7F89"/>
    <w:rsid w:val="007F13AC"/>
    <w:rsid w:val="007F304E"/>
    <w:rsid w:val="008008F7"/>
    <w:rsid w:val="00800996"/>
    <w:rsid w:val="00800A69"/>
    <w:rsid w:val="008028A6"/>
    <w:rsid w:val="00805B7D"/>
    <w:rsid w:val="00805D83"/>
    <w:rsid w:val="00810382"/>
    <w:rsid w:val="008109E5"/>
    <w:rsid w:val="00811DAD"/>
    <w:rsid w:val="00812530"/>
    <w:rsid w:val="00812880"/>
    <w:rsid w:val="00814DB4"/>
    <w:rsid w:val="00815693"/>
    <w:rsid w:val="00820CA6"/>
    <w:rsid w:val="00821B52"/>
    <w:rsid w:val="00821F05"/>
    <w:rsid w:val="008228B6"/>
    <w:rsid w:val="00822FE7"/>
    <w:rsid w:val="00824F41"/>
    <w:rsid w:val="00824F5D"/>
    <w:rsid w:val="0082670C"/>
    <w:rsid w:val="00827361"/>
    <w:rsid w:val="00832D6A"/>
    <w:rsid w:val="00832DA5"/>
    <w:rsid w:val="00833644"/>
    <w:rsid w:val="00834400"/>
    <w:rsid w:val="0083720E"/>
    <w:rsid w:val="00840360"/>
    <w:rsid w:val="008435E1"/>
    <w:rsid w:val="008447F6"/>
    <w:rsid w:val="00845DE2"/>
    <w:rsid w:val="008462EA"/>
    <w:rsid w:val="0084707F"/>
    <w:rsid w:val="0085045A"/>
    <w:rsid w:val="00850514"/>
    <w:rsid w:val="00850F13"/>
    <w:rsid w:val="00854DFF"/>
    <w:rsid w:val="0085562D"/>
    <w:rsid w:val="008610E8"/>
    <w:rsid w:val="0086116A"/>
    <w:rsid w:val="00862DD4"/>
    <w:rsid w:val="00864404"/>
    <w:rsid w:val="008649D8"/>
    <w:rsid w:val="0086566A"/>
    <w:rsid w:val="00865E92"/>
    <w:rsid w:val="00870157"/>
    <w:rsid w:val="00872F4F"/>
    <w:rsid w:val="00873964"/>
    <w:rsid w:val="00875568"/>
    <w:rsid w:val="0087599F"/>
    <w:rsid w:val="0087628C"/>
    <w:rsid w:val="008776C4"/>
    <w:rsid w:val="008828F5"/>
    <w:rsid w:val="00884ED8"/>
    <w:rsid w:val="0088657D"/>
    <w:rsid w:val="00886BCF"/>
    <w:rsid w:val="008911D3"/>
    <w:rsid w:val="008923E0"/>
    <w:rsid w:val="00892FDB"/>
    <w:rsid w:val="00895C0B"/>
    <w:rsid w:val="00895D12"/>
    <w:rsid w:val="00896914"/>
    <w:rsid w:val="00896DA8"/>
    <w:rsid w:val="00897301"/>
    <w:rsid w:val="00897E6C"/>
    <w:rsid w:val="008A0FF7"/>
    <w:rsid w:val="008A223E"/>
    <w:rsid w:val="008A37F0"/>
    <w:rsid w:val="008A78F0"/>
    <w:rsid w:val="008B0258"/>
    <w:rsid w:val="008B0E44"/>
    <w:rsid w:val="008B31C3"/>
    <w:rsid w:val="008B38AA"/>
    <w:rsid w:val="008C0394"/>
    <w:rsid w:val="008C16FD"/>
    <w:rsid w:val="008C2BAA"/>
    <w:rsid w:val="008C33C0"/>
    <w:rsid w:val="008C3832"/>
    <w:rsid w:val="008C3CCB"/>
    <w:rsid w:val="008D03F1"/>
    <w:rsid w:val="008D325A"/>
    <w:rsid w:val="008D3466"/>
    <w:rsid w:val="008D3C7E"/>
    <w:rsid w:val="008D57D1"/>
    <w:rsid w:val="008E331A"/>
    <w:rsid w:val="008E542C"/>
    <w:rsid w:val="008E634D"/>
    <w:rsid w:val="008E7DE1"/>
    <w:rsid w:val="008F0EF6"/>
    <w:rsid w:val="008F106E"/>
    <w:rsid w:val="008F2B76"/>
    <w:rsid w:val="008F36F8"/>
    <w:rsid w:val="008F4227"/>
    <w:rsid w:val="008F451B"/>
    <w:rsid w:val="008F48CC"/>
    <w:rsid w:val="008F4B78"/>
    <w:rsid w:val="00900ACD"/>
    <w:rsid w:val="00901079"/>
    <w:rsid w:val="00906307"/>
    <w:rsid w:val="0090655C"/>
    <w:rsid w:val="00906B4B"/>
    <w:rsid w:val="00907A70"/>
    <w:rsid w:val="00912A6C"/>
    <w:rsid w:val="0091361B"/>
    <w:rsid w:val="00913934"/>
    <w:rsid w:val="009140A6"/>
    <w:rsid w:val="00916987"/>
    <w:rsid w:val="00917B0C"/>
    <w:rsid w:val="00920910"/>
    <w:rsid w:val="00921BC5"/>
    <w:rsid w:val="00922548"/>
    <w:rsid w:val="009260FB"/>
    <w:rsid w:val="00926E70"/>
    <w:rsid w:val="00932348"/>
    <w:rsid w:val="0093300C"/>
    <w:rsid w:val="00934403"/>
    <w:rsid w:val="0094137E"/>
    <w:rsid w:val="00942CFF"/>
    <w:rsid w:val="00943329"/>
    <w:rsid w:val="009433DD"/>
    <w:rsid w:val="009437BA"/>
    <w:rsid w:val="00944E91"/>
    <w:rsid w:val="00946294"/>
    <w:rsid w:val="00946577"/>
    <w:rsid w:val="009514A2"/>
    <w:rsid w:val="00951F42"/>
    <w:rsid w:val="00954A45"/>
    <w:rsid w:val="00956AE9"/>
    <w:rsid w:val="009572DA"/>
    <w:rsid w:val="009603EC"/>
    <w:rsid w:val="009611F3"/>
    <w:rsid w:val="009616B9"/>
    <w:rsid w:val="00963862"/>
    <w:rsid w:val="009641B0"/>
    <w:rsid w:val="00964CC6"/>
    <w:rsid w:val="00965BE7"/>
    <w:rsid w:val="00965E79"/>
    <w:rsid w:val="00966DA6"/>
    <w:rsid w:val="00971FA1"/>
    <w:rsid w:val="009725CF"/>
    <w:rsid w:val="00974200"/>
    <w:rsid w:val="00975661"/>
    <w:rsid w:val="00975CAD"/>
    <w:rsid w:val="00980349"/>
    <w:rsid w:val="00981A36"/>
    <w:rsid w:val="00982458"/>
    <w:rsid w:val="00983B07"/>
    <w:rsid w:val="00987784"/>
    <w:rsid w:val="00991FA9"/>
    <w:rsid w:val="009925FA"/>
    <w:rsid w:val="00994FF9"/>
    <w:rsid w:val="009958C2"/>
    <w:rsid w:val="00995911"/>
    <w:rsid w:val="00995C40"/>
    <w:rsid w:val="00995C8E"/>
    <w:rsid w:val="00996DE1"/>
    <w:rsid w:val="009A2518"/>
    <w:rsid w:val="009A4AEC"/>
    <w:rsid w:val="009A6E8C"/>
    <w:rsid w:val="009A7452"/>
    <w:rsid w:val="009A79C5"/>
    <w:rsid w:val="009A7CC5"/>
    <w:rsid w:val="009B2B68"/>
    <w:rsid w:val="009B33BE"/>
    <w:rsid w:val="009B3F54"/>
    <w:rsid w:val="009B5EDE"/>
    <w:rsid w:val="009B722C"/>
    <w:rsid w:val="009B7AA5"/>
    <w:rsid w:val="009C0798"/>
    <w:rsid w:val="009C0CA4"/>
    <w:rsid w:val="009C3E90"/>
    <w:rsid w:val="009C4DB3"/>
    <w:rsid w:val="009C6368"/>
    <w:rsid w:val="009D0EAC"/>
    <w:rsid w:val="009D1730"/>
    <w:rsid w:val="009D260F"/>
    <w:rsid w:val="009D274C"/>
    <w:rsid w:val="009D445B"/>
    <w:rsid w:val="009D47D1"/>
    <w:rsid w:val="009D7A44"/>
    <w:rsid w:val="009E0F07"/>
    <w:rsid w:val="009E5705"/>
    <w:rsid w:val="009E60C0"/>
    <w:rsid w:val="009E6791"/>
    <w:rsid w:val="009E787A"/>
    <w:rsid w:val="009F05DF"/>
    <w:rsid w:val="009F15F4"/>
    <w:rsid w:val="009F2A20"/>
    <w:rsid w:val="009F2D89"/>
    <w:rsid w:val="009F379C"/>
    <w:rsid w:val="009F379E"/>
    <w:rsid w:val="009F4051"/>
    <w:rsid w:val="009F6668"/>
    <w:rsid w:val="00A011AC"/>
    <w:rsid w:val="00A05569"/>
    <w:rsid w:val="00A05BB5"/>
    <w:rsid w:val="00A05BD1"/>
    <w:rsid w:val="00A07A7B"/>
    <w:rsid w:val="00A109FE"/>
    <w:rsid w:val="00A10DE8"/>
    <w:rsid w:val="00A11FD8"/>
    <w:rsid w:val="00A12DAB"/>
    <w:rsid w:val="00A1479E"/>
    <w:rsid w:val="00A2232F"/>
    <w:rsid w:val="00A2437E"/>
    <w:rsid w:val="00A25F1F"/>
    <w:rsid w:val="00A26586"/>
    <w:rsid w:val="00A267A2"/>
    <w:rsid w:val="00A27757"/>
    <w:rsid w:val="00A31588"/>
    <w:rsid w:val="00A33057"/>
    <w:rsid w:val="00A37B4F"/>
    <w:rsid w:val="00A43649"/>
    <w:rsid w:val="00A43D03"/>
    <w:rsid w:val="00A44B62"/>
    <w:rsid w:val="00A45958"/>
    <w:rsid w:val="00A45AD2"/>
    <w:rsid w:val="00A45FF8"/>
    <w:rsid w:val="00A466AE"/>
    <w:rsid w:val="00A46A65"/>
    <w:rsid w:val="00A46E69"/>
    <w:rsid w:val="00A47075"/>
    <w:rsid w:val="00A47402"/>
    <w:rsid w:val="00A50B64"/>
    <w:rsid w:val="00A50BA1"/>
    <w:rsid w:val="00A50F8C"/>
    <w:rsid w:val="00A5145E"/>
    <w:rsid w:val="00A51905"/>
    <w:rsid w:val="00A5524C"/>
    <w:rsid w:val="00A5577F"/>
    <w:rsid w:val="00A557F7"/>
    <w:rsid w:val="00A55878"/>
    <w:rsid w:val="00A56934"/>
    <w:rsid w:val="00A57667"/>
    <w:rsid w:val="00A576D5"/>
    <w:rsid w:val="00A60F5B"/>
    <w:rsid w:val="00A61662"/>
    <w:rsid w:val="00A620B3"/>
    <w:rsid w:val="00A640B2"/>
    <w:rsid w:val="00A6511A"/>
    <w:rsid w:val="00A66797"/>
    <w:rsid w:val="00A70B6D"/>
    <w:rsid w:val="00A72234"/>
    <w:rsid w:val="00A735D6"/>
    <w:rsid w:val="00A7423B"/>
    <w:rsid w:val="00A7662C"/>
    <w:rsid w:val="00A817FC"/>
    <w:rsid w:val="00A83C9F"/>
    <w:rsid w:val="00A844DE"/>
    <w:rsid w:val="00A85701"/>
    <w:rsid w:val="00A85D90"/>
    <w:rsid w:val="00A85EA2"/>
    <w:rsid w:val="00A86252"/>
    <w:rsid w:val="00A94FB0"/>
    <w:rsid w:val="00A975B3"/>
    <w:rsid w:val="00AA08D3"/>
    <w:rsid w:val="00AA0B97"/>
    <w:rsid w:val="00AA6A06"/>
    <w:rsid w:val="00AA7803"/>
    <w:rsid w:val="00AB10DC"/>
    <w:rsid w:val="00AB2EB8"/>
    <w:rsid w:val="00AB6079"/>
    <w:rsid w:val="00AC1775"/>
    <w:rsid w:val="00AC1800"/>
    <w:rsid w:val="00AC208A"/>
    <w:rsid w:val="00AC61FA"/>
    <w:rsid w:val="00AD1F65"/>
    <w:rsid w:val="00AD2BC3"/>
    <w:rsid w:val="00AD3A4E"/>
    <w:rsid w:val="00AD4681"/>
    <w:rsid w:val="00AD4B32"/>
    <w:rsid w:val="00AE01DD"/>
    <w:rsid w:val="00AE1102"/>
    <w:rsid w:val="00AE3BCA"/>
    <w:rsid w:val="00AE51F8"/>
    <w:rsid w:val="00AE54B8"/>
    <w:rsid w:val="00AE6CEE"/>
    <w:rsid w:val="00AE7A7D"/>
    <w:rsid w:val="00AE7F2F"/>
    <w:rsid w:val="00AF0FD8"/>
    <w:rsid w:val="00AF2E65"/>
    <w:rsid w:val="00AF36D0"/>
    <w:rsid w:val="00AF3E6E"/>
    <w:rsid w:val="00AF4807"/>
    <w:rsid w:val="00AF6109"/>
    <w:rsid w:val="00B00A40"/>
    <w:rsid w:val="00B00A67"/>
    <w:rsid w:val="00B05118"/>
    <w:rsid w:val="00B05495"/>
    <w:rsid w:val="00B055DB"/>
    <w:rsid w:val="00B101E8"/>
    <w:rsid w:val="00B12CFC"/>
    <w:rsid w:val="00B13181"/>
    <w:rsid w:val="00B13E85"/>
    <w:rsid w:val="00B14B9E"/>
    <w:rsid w:val="00B15E47"/>
    <w:rsid w:val="00B20AA2"/>
    <w:rsid w:val="00B21BED"/>
    <w:rsid w:val="00B2225A"/>
    <w:rsid w:val="00B258B1"/>
    <w:rsid w:val="00B27253"/>
    <w:rsid w:val="00B27AB7"/>
    <w:rsid w:val="00B32E62"/>
    <w:rsid w:val="00B33119"/>
    <w:rsid w:val="00B34FD9"/>
    <w:rsid w:val="00B37EC9"/>
    <w:rsid w:val="00B50342"/>
    <w:rsid w:val="00B516F3"/>
    <w:rsid w:val="00B51BA0"/>
    <w:rsid w:val="00B53E71"/>
    <w:rsid w:val="00B568D9"/>
    <w:rsid w:val="00B56CB3"/>
    <w:rsid w:val="00B56E81"/>
    <w:rsid w:val="00B6160A"/>
    <w:rsid w:val="00B62D63"/>
    <w:rsid w:val="00B63AE0"/>
    <w:rsid w:val="00B63FE7"/>
    <w:rsid w:val="00B6621A"/>
    <w:rsid w:val="00B668B0"/>
    <w:rsid w:val="00B67557"/>
    <w:rsid w:val="00B725FC"/>
    <w:rsid w:val="00B7272C"/>
    <w:rsid w:val="00B7346D"/>
    <w:rsid w:val="00B76EB0"/>
    <w:rsid w:val="00B778D3"/>
    <w:rsid w:val="00B83F97"/>
    <w:rsid w:val="00B85509"/>
    <w:rsid w:val="00B856FE"/>
    <w:rsid w:val="00B86BC3"/>
    <w:rsid w:val="00B87F21"/>
    <w:rsid w:val="00B90D92"/>
    <w:rsid w:val="00B91C9C"/>
    <w:rsid w:val="00B91D74"/>
    <w:rsid w:val="00B9268B"/>
    <w:rsid w:val="00B9276C"/>
    <w:rsid w:val="00B9607E"/>
    <w:rsid w:val="00B962E2"/>
    <w:rsid w:val="00BA0A96"/>
    <w:rsid w:val="00BA4B3F"/>
    <w:rsid w:val="00BA5526"/>
    <w:rsid w:val="00BA67FA"/>
    <w:rsid w:val="00BB0B98"/>
    <w:rsid w:val="00BB1E10"/>
    <w:rsid w:val="00BB2965"/>
    <w:rsid w:val="00BB72EF"/>
    <w:rsid w:val="00BC12D9"/>
    <w:rsid w:val="00BC2A3F"/>
    <w:rsid w:val="00BC2F37"/>
    <w:rsid w:val="00BC5682"/>
    <w:rsid w:val="00BD04B5"/>
    <w:rsid w:val="00BD0701"/>
    <w:rsid w:val="00BD105A"/>
    <w:rsid w:val="00BD2892"/>
    <w:rsid w:val="00BD353D"/>
    <w:rsid w:val="00BD407B"/>
    <w:rsid w:val="00BD5B43"/>
    <w:rsid w:val="00BE17C8"/>
    <w:rsid w:val="00BE335D"/>
    <w:rsid w:val="00BE3DC8"/>
    <w:rsid w:val="00BE6A71"/>
    <w:rsid w:val="00BE6F8A"/>
    <w:rsid w:val="00BE71A6"/>
    <w:rsid w:val="00BE7D83"/>
    <w:rsid w:val="00BF0A91"/>
    <w:rsid w:val="00BF3CF3"/>
    <w:rsid w:val="00BF4D40"/>
    <w:rsid w:val="00C005A4"/>
    <w:rsid w:val="00C0168A"/>
    <w:rsid w:val="00C0402B"/>
    <w:rsid w:val="00C07F69"/>
    <w:rsid w:val="00C11115"/>
    <w:rsid w:val="00C117BF"/>
    <w:rsid w:val="00C13042"/>
    <w:rsid w:val="00C14B3C"/>
    <w:rsid w:val="00C15083"/>
    <w:rsid w:val="00C16B59"/>
    <w:rsid w:val="00C21089"/>
    <w:rsid w:val="00C229FA"/>
    <w:rsid w:val="00C242C1"/>
    <w:rsid w:val="00C24AA9"/>
    <w:rsid w:val="00C24E6C"/>
    <w:rsid w:val="00C25C13"/>
    <w:rsid w:val="00C30EBA"/>
    <w:rsid w:val="00C32AC5"/>
    <w:rsid w:val="00C35185"/>
    <w:rsid w:val="00C352C2"/>
    <w:rsid w:val="00C354B6"/>
    <w:rsid w:val="00C357A0"/>
    <w:rsid w:val="00C36F80"/>
    <w:rsid w:val="00C40612"/>
    <w:rsid w:val="00C4163C"/>
    <w:rsid w:val="00C44409"/>
    <w:rsid w:val="00C51389"/>
    <w:rsid w:val="00C53263"/>
    <w:rsid w:val="00C53B0F"/>
    <w:rsid w:val="00C578E2"/>
    <w:rsid w:val="00C61B36"/>
    <w:rsid w:val="00C61EEC"/>
    <w:rsid w:val="00C63DAE"/>
    <w:rsid w:val="00C64AC3"/>
    <w:rsid w:val="00C7000E"/>
    <w:rsid w:val="00C71098"/>
    <w:rsid w:val="00C72674"/>
    <w:rsid w:val="00C729CC"/>
    <w:rsid w:val="00C7422F"/>
    <w:rsid w:val="00C75288"/>
    <w:rsid w:val="00C77554"/>
    <w:rsid w:val="00C852D3"/>
    <w:rsid w:val="00C86C0D"/>
    <w:rsid w:val="00C86F9B"/>
    <w:rsid w:val="00C93AE7"/>
    <w:rsid w:val="00C97A5C"/>
    <w:rsid w:val="00CA1632"/>
    <w:rsid w:val="00CA3F81"/>
    <w:rsid w:val="00CA50A4"/>
    <w:rsid w:val="00CB0178"/>
    <w:rsid w:val="00CB049A"/>
    <w:rsid w:val="00CB07E4"/>
    <w:rsid w:val="00CB0CC3"/>
    <w:rsid w:val="00CB37D9"/>
    <w:rsid w:val="00CB648B"/>
    <w:rsid w:val="00CC0F16"/>
    <w:rsid w:val="00CC1E88"/>
    <w:rsid w:val="00CC27DF"/>
    <w:rsid w:val="00CC3030"/>
    <w:rsid w:val="00CC4FDB"/>
    <w:rsid w:val="00CC5FC9"/>
    <w:rsid w:val="00CC609B"/>
    <w:rsid w:val="00CC6E9C"/>
    <w:rsid w:val="00CC7515"/>
    <w:rsid w:val="00CC7C07"/>
    <w:rsid w:val="00CD0111"/>
    <w:rsid w:val="00CD0335"/>
    <w:rsid w:val="00CD1D07"/>
    <w:rsid w:val="00CD2157"/>
    <w:rsid w:val="00CD3158"/>
    <w:rsid w:val="00CD4C9E"/>
    <w:rsid w:val="00CD5903"/>
    <w:rsid w:val="00CD5A0E"/>
    <w:rsid w:val="00CE145E"/>
    <w:rsid w:val="00CE2A83"/>
    <w:rsid w:val="00CE3269"/>
    <w:rsid w:val="00CE5140"/>
    <w:rsid w:val="00CE5C98"/>
    <w:rsid w:val="00CF2D42"/>
    <w:rsid w:val="00CF328C"/>
    <w:rsid w:val="00CF493B"/>
    <w:rsid w:val="00D0151B"/>
    <w:rsid w:val="00D038EB"/>
    <w:rsid w:val="00D0499B"/>
    <w:rsid w:val="00D077B5"/>
    <w:rsid w:val="00D112D8"/>
    <w:rsid w:val="00D1183D"/>
    <w:rsid w:val="00D133BA"/>
    <w:rsid w:val="00D1350B"/>
    <w:rsid w:val="00D1525E"/>
    <w:rsid w:val="00D15FA8"/>
    <w:rsid w:val="00D1728D"/>
    <w:rsid w:val="00D20D98"/>
    <w:rsid w:val="00D22327"/>
    <w:rsid w:val="00D233E3"/>
    <w:rsid w:val="00D23B59"/>
    <w:rsid w:val="00D247AA"/>
    <w:rsid w:val="00D25B31"/>
    <w:rsid w:val="00D26239"/>
    <w:rsid w:val="00D30AC7"/>
    <w:rsid w:val="00D31413"/>
    <w:rsid w:val="00D3204C"/>
    <w:rsid w:val="00D35D26"/>
    <w:rsid w:val="00D366EA"/>
    <w:rsid w:val="00D409C1"/>
    <w:rsid w:val="00D41FEB"/>
    <w:rsid w:val="00D42ECE"/>
    <w:rsid w:val="00D45EEE"/>
    <w:rsid w:val="00D460F9"/>
    <w:rsid w:val="00D46EDE"/>
    <w:rsid w:val="00D46F44"/>
    <w:rsid w:val="00D475F3"/>
    <w:rsid w:val="00D5061E"/>
    <w:rsid w:val="00D50ACB"/>
    <w:rsid w:val="00D57011"/>
    <w:rsid w:val="00D61D48"/>
    <w:rsid w:val="00D63504"/>
    <w:rsid w:val="00D648DC"/>
    <w:rsid w:val="00D6540B"/>
    <w:rsid w:val="00D7078D"/>
    <w:rsid w:val="00D717DC"/>
    <w:rsid w:val="00D74F3A"/>
    <w:rsid w:val="00D760CA"/>
    <w:rsid w:val="00D76898"/>
    <w:rsid w:val="00D76C43"/>
    <w:rsid w:val="00D80789"/>
    <w:rsid w:val="00D808E5"/>
    <w:rsid w:val="00D81F6A"/>
    <w:rsid w:val="00D85776"/>
    <w:rsid w:val="00D857CF"/>
    <w:rsid w:val="00D91DE8"/>
    <w:rsid w:val="00D92799"/>
    <w:rsid w:val="00D95FBC"/>
    <w:rsid w:val="00D96AC2"/>
    <w:rsid w:val="00DA01A1"/>
    <w:rsid w:val="00DA4691"/>
    <w:rsid w:val="00DA55F0"/>
    <w:rsid w:val="00DA5912"/>
    <w:rsid w:val="00DA63DD"/>
    <w:rsid w:val="00DA68F9"/>
    <w:rsid w:val="00DA7A74"/>
    <w:rsid w:val="00DA7FAA"/>
    <w:rsid w:val="00DB1D07"/>
    <w:rsid w:val="00DB5AD0"/>
    <w:rsid w:val="00DB5BA6"/>
    <w:rsid w:val="00DB6B3F"/>
    <w:rsid w:val="00DB7D2D"/>
    <w:rsid w:val="00DC275A"/>
    <w:rsid w:val="00DC3A25"/>
    <w:rsid w:val="00DD0DBC"/>
    <w:rsid w:val="00DD40DF"/>
    <w:rsid w:val="00DD42FF"/>
    <w:rsid w:val="00DD5469"/>
    <w:rsid w:val="00DD66E4"/>
    <w:rsid w:val="00DD7222"/>
    <w:rsid w:val="00DD752B"/>
    <w:rsid w:val="00DE2D70"/>
    <w:rsid w:val="00DE4544"/>
    <w:rsid w:val="00DE5643"/>
    <w:rsid w:val="00DE68D5"/>
    <w:rsid w:val="00DF007E"/>
    <w:rsid w:val="00DF0A48"/>
    <w:rsid w:val="00DF267C"/>
    <w:rsid w:val="00DF36B8"/>
    <w:rsid w:val="00DF36CB"/>
    <w:rsid w:val="00DF5008"/>
    <w:rsid w:val="00DF72E7"/>
    <w:rsid w:val="00DF75C7"/>
    <w:rsid w:val="00E00A6B"/>
    <w:rsid w:val="00E02712"/>
    <w:rsid w:val="00E02726"/>
    <w:rsid w:val="00E0375F"/>
    <w:rsid w:val="00E06E86"/>
    <w:rsid w:val="00E07616"/>
    <w:rsid w:val="00E10B6C"/>
    <w:rsid w:val="00E10DE4"/>
    <w:rsid w:val="00E11D8F"/>
    <w:rsid w:val="00E124D1"/>
    <w:rsid w:val="00E14AAE"/>
    <w:rsid w:val="00E16DFE"/>
    <w:rsid w:val="00E16E46"/>
    <w:rsid w:val="00E23F7D"/>
    <w:rsid w:val="00E27C5E"/>
    <w:rsid w:val="00E31E9A"/>
    <w:rsid w:val="00E329DF"/>
    <w:rsid w:val="00E33683"/>
    <w:rsid w:val="00E34D7E"/>
    <w:rsid w:val="00E3558F"/>
    <w:rsid w:val="00E35708"/>
    <w:rsid w:val="00E35FDD"/>
    <w:rsid w:val="00E371A1"/>
    <w:rsid w:val="00E373DD"/>
    <w:rsid w:val="00E377EB"/>
    <w:rsid w:val="00E4435C"/>
    <w:rsid w:val="00E5606E"/>
    <w:rsid w:val="00E6138E"/>
    <w:rsid w:val="00E615BA"/>
    <w:rsid w:val="00E6339F"/>
    <w:rsid w:val="00E64D6C"/>
    <w:rsid w:val="00E66734"/>
    <w:rsid w:val="00E678A3"/>
    <w:rsid w:val="00E67CE5"/>
    <w:rsid w:val="00E71871"/>
    <w:rsid w:val="00E741EB"/>
    <w:rsid w:val="00E74966"/>
    <w:rsid w:val="00E75F16"/>
    <w:rsid w:val="00E76809"/>
    <w:rsid w:val="00E76A98"/>
    <w:rsid w:val="00E76D65"/>
    <w:rsid w:val="00E77F6F"/>
    <w:rsid w:val="00E8215A"/>
    <w:rsid w:val="00E831FB"/>
    <w:rsid w:val="00E8360E"/>
    <w:rsid w:val="00E83828"/>
    <w:rsid w:val="00E839F0"/>
    <w:rsid w:val="00E842C9"/>
    <w:rsid w:val="00E91D92"/>
    <w:rsid w:val="00E93ABE"/>
    <w:rsid w:val="00E943A8"/>
    <w:rsid w:val="00E972CC"/>
    <w:rsid w:val="00EA5163"/>
    <w:rsid w:val="00EA70C4"/>
    <w:rsid w:val="00EB1B7F"/>
    <w:rsid w:val="00EB674B"/>
    <w:rsid w:val="00EC37D8"/>
    <w:rsid w:val="00EC7E6D"/>
    <w:rsid w:val="00ED08FE"/>
    <w:rsid w:val="00ED0DC1"/>
    <w:rsid w:val="00ED131C"/>
    <w:rsid w:val="00ED19A2"/>
    <w:rsid w:val="00ED2412"/>
    <w:rsid w:val="00ED3C0C"/>
    <w:rsid w:val="00ED473C"/>
    <w:rsid w:val="00ED48AD"/>
    <w:rsid w:val="00ED682A"/>
    <w:rsid w:val="00EE2F13"/>
    <w:rsid w:val="00EE47F5"/>
    <w:rsid w:val="00EE5164"/>
    <w:rsid w:val="00EE66EA"/>
    <w:rsid w:val="00EE6E40"/>
    <w:rsid w:val="00EE786A"/>
    <w:rsid w:val="00EF0092"/>
    <w:rsid w:val="00EF196B"/>
    <w:rsid w:val="00EF1E05"/>
    <w:rsid w:val="00EF3A64"/>
    <w:rsid w:val="00EF752F"/>
    <w:rsid w:val="00EF7FF6"/>
    <w:rsid w:val="00F01FA7"/>
    <w:rsid w:val="00F02F52"/>
    <w:rsid w:val="00F0495F"/>
    <w:rsid w:val="00F06095"/>
    <w:rsid w:val="00F06917"/>
    <w:rsid w:val="00F07101"/>
    <w:rsid w:val="00F072A7"/>
    <w:rsid w:val="00F077E5"/>
    <w:rsid w:val="00F13CFA"/>
    <w:rsid w:val="00F162EE"/>
    <w:rsid w:val="00F171E2"/>
    <w:rsid w:val="00F207D8"/>
    <w:rsid w:val="00F20B87"/>
    <w:rsid w:val="00F2127F"/>
    <w:rsid w:val="00F22B4C"/>
    <w:rsid w:val="00F23A23"/>
    <w:rsid w:val="00F23E31"/>
    <w:rsid w:val="00F2632E"/>
    <w:rsid w:val="00F27294"/>
    <w:rsid w:val="00F27295"/>
    <w:rsid w:val="00F274D5"/>
    <w:rsid w:val="00F306E0"/>
    <w:rsid w:val="00F31DF8"/>
    <w:rsid w:val="00F32B30"/>
    <w:rsid w:val="00F3308B"/>
    <w:rsid w:val="00F33D49"/>
    <w:rsid w:val="00F41D32"/>
    <w:rsid w:val="00F42E03"/>
    <w:rsid w:val="00F43E4A"/>
    <w:rsid w:val="00F45B79"/>
    <w:rsid w:val="00F50658"/>
    <w:rsid w:val="00F50EDE"/>
    <w:rsid w:val="00F50F87"/>
    <w:rsid w:val="00F527E4"/>
    <w:rsid w:val="00F52F8D"/>
    <w:rsid w:val="00F54AA0"/>
    <w:rsid w:val="00F550E8"/>
    <w:rsid w:val="00F55E62"/>
    <w:rsid w:val="00F57CAD"/>
    <w:rsid w:val="00F60183"/>
    <w:rsid w:val="00F60F12"/>
    <w:rsid w:val="00F614DB"/>
    <w:rsid w:val="00F6510E"/>
    <w:rsid w:val="00F652A0"/>
    <w:rsid w:val="00F657C0"/>
    <w:rsid w:val="00F66504"/>
    <w:rsid w:val="00F67CE2"/>
    <w:rsid w:val="00F700E1"/>
    <w:rsid w:val="00F70831"/>
    <w:rsid w:val="00F70EEE"/>
    <w:rsid w:val="00F73C71"/>
    <w:rsid w:val="00F75C14"/>
    <w:rsid w:val="00F7766E"/>
    <w:rsid w:val="00F77E1D"/>
    <w:rsid w:val="00F81DEB"/>
    <w:rsid w:val="00F8274F"/>
    <w:rsid w:val="00F82B48"/>
    <w:rsid w:val="00F83C97"/>
    <w:rsid w:val="00F86F66"/>
    <w:rsid w:val="00F908B3"/>
    <w:rsid w:val="00F91670"/>
    <w:rsid w:val="00F92B4B"/>
    <w:rsid w:val="00F93025"/>
    <w:rsid w:val="00F930C4"/>
    <w:rsid w:val="00F939E1"/>
    <w:rsid w:val="00F93CE2"/>
    <w:rsid w:val="00F959A4"/>
    <w:rsid w:val="00F96B21"/>
    <w:rsid w:val="00F96F8E"/>
    <w:rsid w:val="00F979C1"/>
    <w:rsid w:val="00FA021A"/>
    <w:rsid w:val="00FA0E16"/>
    <w:rsid w:val="00FA0F5A"/>
    <w:rsid w:val="00FA1F93"/>
    <w:rsid w:val="00FA34DD"/>
    <w:rsid w:val="00FB1E96"/>
    <w:rsid w:val="00FB270B"/>
    <w:rsid w:val="00FB2741"/>
    <w:rsid w:val="00FB2862"/>
    <w:rsid w:val="00FB40F2"/>
    <w:rsid w:val="00FB6180"/>
    <w:rsid w:val="00FB6BFC"/>
    <w:rsid w:val="00FB76E5"/>
    <w:rsid w:val="00FC0AD3"/>
    <w:rsid w:val="00FC0D97"/>
    <w:rsid w:val="00FC1422"/>
    <w:rsid w:val="00FC200B"/>
    <w:rsid w:val="00FC25DF"/>
    <w:rsid w:val="00FC6703"/>
    <w:rsid w:val="00FC6E34"/>
    <w:rsid w:val="00FC7917"/>
    <w:rsid w:val="00FC7C82"/>
    <w:rsid w:val="00FD074F"/>
    <w:rsid w:val="00FD327D"/>
    <w:rsid w:val="00FD4372"/>
    <w:rsid w:val="00FD4B9C"/>
    <w:rsid w:val="00FD78F8"/>
    <w:rsid w:val="00FE1D8F"/>
    <w:rsid w:val="00FE2EAE"/>
    <w:rsid w:val="00FE56A3"/>
    <w:rsid w:val="00FE7057"/>
    <w:rsid w:val="00FF2022"/>
    <w:rsid w:val="00FF2B7E"/>
    <w:rsid w:val="00FF3895"/>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CF0C"/>
  <w15:docId w15:val="{65B4BBFC-7A08-4534-A954-8CCB574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0"/>
    <w:rPr>
      <w:rFonts w:ascii="CTimesRoman" w:eastAsia="Times New Roman" w:hAnsi="CTimesRoman" w:cs="Times New Roman"/>
      <w:sz w:val="24"/>
      <w:szCs w:val="20"/>
      <w:lang w:val="sr-Cyrl-CS"/>
    </w:rPr>
  </w:style>
  <w:style w:type="paragraph" w:styleId="Heading1">
    <w:name w:val="heading 1"/>
    <w:basedOn w:val="Normal"/>
    <w:next w:val="Normal"/>
    <w:link w:val="Heading1Char"/>
    <w:uiPriority w:val="9"/>
    <w:qFormat/>
    <w:rsid w:val="007104F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uiPriority w:val="9"/>
    <w:qFormat/>
    <w:rsid w:val="007104F0"/>
    <w:pPr>
      <w:keepNext/>
      <w:spacing w:before="240" w:after="60"/>
      <w:jc w:val="center"/>
      <w:outlineLvl w:val="1"/>
    </w:pPr>
    <w:rPr>
      <w:b/>
      <w:caps/>
      <w:sz w:val="28"/>
      <w:lang w:eastAsia="x-none"/>
    </w:rPr>
  </w:style>
  <w:style w:type="paragraph" w:styleId="Heading3">
    <w:name w:val="heading 3"/>
    <w:basedOn w:val="Normal"/>
    <w:next w:val="Normal"/>
    <w:link w:val="Heading3Char"/>
    <w:uiPriority w:val="9"/>
    <w:qFormat/>
    <w:rsid w:val="007104F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
    <w:qFormat/>
    <w:rsid w:val="007104F0"/>
    <w:pPr>
      <w:keepNext/>
      <w:spacing w:before="240" w:after="60"/>
      <w:outlineLvl w:val="3"/>
    </w:pPr>
    <w:rPr>
      <w:rFonts w:ascii="Times New Roman" w:hAnsi="Times New Roman"/>
      <w:b/>
      <w:bCs/>
      <w:sz w:val="28"/>
      <w:szCs w:val="28"/>
      <w:lang w:eastAsia="x-none"/>
    </w:rPr>
  </w:style>
  <w:style w:type="paragraph" w:styleId="Heading5">
    <w:name w:val="heading 5"/>
    <w:basedOn w:val="Normal"/>
    <w:next w:val="Normal"/>
    <w:link w:val="Heading5Char"/>
    <w:uiPriority w:val="9"/>
    <w:qFormat/>
    <w:rsid w:val="007104F0"/>
    <w:pPr>
      <w:spacing w:before="240" w:after="60"/>
      <w:outlineLvl w:val="4"/>
    </w:pPr>
    <w:rPr>
      <w:b/>
      <w:bCs/>
      <w:i/>
      <w:iCs/>
      <w:sz w:val="26"/>
      <w:szCs w:val="26"/>
      <w:lang w:eastAsia="x-none"/>
    </w:rPr>
  </w:style>
  <w:style w:type="paragraph" w:styleId="Heading6">
    <w:name w:val="heading 6"/>
    <w:basedOn w:val="Normal"/>
    <w:next w:val="Normal"/>
    <w:link w:val="Heading6Char"/>
    <w:uiPriority w:val="9"/>
    <w:qFormat/>
    <w:rsid w:val="007104F0"/>
    <w:pPr>
      <w:spacing w:before="240" w:after="60"/>
      <w:outlineLvl w:val="5"/>
    </w:pPr>
    <w:rPr>
      <w:rFonts w:ascii="Times New Roman" w:hAnsi="Times New Roman"/>
      <w:b/>
      <w:bCs/>
      <w:sz w:val="22"/>
      <w:szCs w:val="22"/>
      <w:lang w:eastAsia="x-none"/>
    </w:rPr>
  </w:style>
  <w:style w:type="paragraph" w:styleId="Heading7">
    <w:name w:val="heading 7"/>
    <w:basedOn w:val="Normal"/>
    <w:next w:val="Normal"/>
    <w:link w:val="Heading7Char"/>
    <w:uiPriority w:val="9"/>
    <w:qFormat/>
    <w:rsid w:val="007104F0"/>
    <w:pPr>
      <w:spacing w:before="240" w:after="60"/>
      <w:outlineLvl w:val="6"/>
    </w:pPr>
    <w:rPr>
      <w:rFonts w:ascii="Times New Roman" w:hAnsi="Times New Roman"/>
      <w:szCs w:val="24"/>
      <w:lang w:eastAsia="x-none"/>
    </w:rPr>
  </w:style>
  <w:style w:type="paragraph" w:styleId="Heading8">
    <w:name w:val="heading 8"/>
    <w:basedOn w:val="Normal"/>
    <w:next w:val="Normal"/>
    <w:link w:val="Heading8Char"/>
    <w:uiPriority w:val="9"/>
    <w:qFormat/>
    <w:rsid w:val="007104F0"/>
    <w:pPr>
      <w:widowControl w:val="0"/>
      <w:autoSpaceDE w:val="0"/>
      <w:autoSpaceDN w:val="0"/>
      <w:adjustRightInd w:val="0"/>
      <w:jc w:val="left"/>
      <w:outlineLvl w:val="7"/>
    </w:pPr>
    <w:rPr>
      <w:rFonts w:ascii="Arial" w:hAnsi="Arial"/>
      <w:szCs w:val="24"/>
      <w:lang w:val="x-none" w:eastAsia="x-none"/>
    </w:rPr>
  </w:style>
  <w:style w:type="paragraph" w:styleId="Heading9">
    <w:name w:val="heading 9"/>
    <w:basedOn w:val="Normal"/>
    <w:next w:val="Normal"/>
    <w:link w:val="Heading9Char"/>
    <w:uiPriority w:val="9"/>
    <w:qFormat/>
    <w:rsid w:val="007104F0"/>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F0"/>
    <w:rPr>
      <w:rFonts w:ascii="Arial" w:eastAsia="Times New Roman" w:hAnsi="Arial" w:cs="Times New Roman"/>
      <w:b/>
      <w:bCs/>
      <w:kern w:val="32"/>
      <w:sz w:val="32"/>
      <w:szCs w:val="32"/>
      <w:lang w:val="sr-Cyrl-CS" w:eastAsia="x-none"/>
    </w:rPr>
  </w:style>
  <w:style w:type="character" w:customStyle="1" w:styleId="Heading2Char">
    <w:name w:val="Heading 2 Char"/>
    <w:basedOn w:val="DefaultParagraphFont"/>
    <w:link w:val="Heading2"/>
    <w:uiPriority w:val="9"/>
    <w:rsid w:val="007104F0"/>
    <w:rPr>
      <w:rFonts w:ascii="CTimesRoman" w:eastAsia="Times New Roman" w:hAnsi="CTimesRoman" w:cs="Times New Roman"/>
      <w:b/>
      <w:caps/>
      <w:sz w:val="28"/>
      <w:szCs w:val="20"/>
      <w:lang w:val="sr-Cyrl-CS" w:eastAsia="x-none"/>
    </w:rPr>
  </w:style>
  <w:style w:type="character" w:customStyle="1" w:styleId="Heading3Char">
    <w:name w:val="Heading 3 Char"/>
    <w:basedOn w:val="DefaultParagraphFont"/>
    <w:link w:val="Heading3"/>
    <w:uiPriority w:val="9"/>
    <w:rsid w:val="007104F0"/>
    <w:rPr>
      <w:rFonts w:ascii="Arial" w:eastAsia="Times New Roman" w:hAnsi="Arial" w:cs="Times New Roman"/>
      <w:b/>
      <w:bCs/>
      <w:sz w:val="26"/>
      <w:szCs w:val="26"/>
      <w:lang w:val="sr-Cyrl-CS" w:eastAsia="x-none"/>
    </w:rPr>
  </w:style>
  <w:style w:type="character" w:customStyle="1" w:styleId="Heading4Char">
    <w:name w:val="Heading 4 Char"/>
    <w:basedOn w:val="DefaultParagraphFont"/>
    <w:link w:val="Heading4"/>
    <w:uiPriority w:val="9"/>
    <w:rsid w:val="007104F0"/>
    <w:rPr>
      <w:rFonts w:ascii="Times New Roman" w:eastAsia="Times New Roman" w:hAnsi="Times New Roman" w:cs="Times New Roman"/>
      <w:b/>
      <w:bCs/>
      <w:sz w:val="28"/>
      <w:szCs w:val="28"/>
      <w:lang w:val="sr-Cyrl-CS" w:eastAsia="x-none"/>
    </w:rPr>
  </w:style>
  <w:style w:type="character" w:customStyle="1" w:styleId="Heading5Char">
    <w:name w:val="Heading 5 Char"/>
    <w:basedOn w:val="DefaultParagraphFont"/>
    <w:link w:val="Heading5"/>
    <w:uiPriority w:val="9"/>
    <w:rsid w:val="007104F0"/>
    <w:rPr>
      <w:rFonts w:ascii="CTimesRoman" w:eastAsia="Times New Roman" w:hAnsi="CTimesRoman" w:cs="Times New Roman"/>
      <w:b/>
      <w:bCs/>
      <w:i/>
      <w:iCs/>
      <w:sz w:val="26"/>
      <w:szCs w:val="26"/>
      <w:lang w:val="sr-Cyrl-CS" w:eastAsia="x-none"/>
    </w:rPr>
  </w:style>
  <w:style w:type="character" w:customStyle="1" w:styleId="Heading6Char">
    <w:name w:val="Heading 6 Char"/>
    <w:basedOn w:val="DefaultParagraphFont"/>
    <w:link w:val="Heading6"/>
    <w:uiPriority w:val="9"/>
    <w:rsid w:val="007104F0"/>
    <w:rPr>
      <w:rFonts w:ascii="Times New Roman" w:eastAsia="Times New Roman" w:hAnsi="Times New Roman" w:cs="Times New Roman"/>
      <w:b/>
      <w:bCs/>
      <w:lang w:val="sr-Cyrl-CS" w:eastAsia="x-none"/>
    </w:rPr>
  </w:style>
  <w:style w:type="character" w:customStyle="1" w:styleId="Heading7Char">
    <w:name w:val="Heading 7 Char"/>
    <w:basedOn w:val="DefaultParagraphFont"/>
    <w:link w:val="Heading7"/>
    <w:uiPriority w:val="9"/>
    <w:rsid w:val="007104F0"/>
    <w:rPr>
      <w:rFonts w:ascii="Times New Roman" w:eastAsia="Times New Roman" w:hAnsi="Times New Roman" w:cs="Times New Roman"/>
      <w:sz w:val="24"/>
      <w:szCs w:val="24"/>
      <w:lang w:val="sr-Cyrl-CS" w:eastAsia="x-none"/>
    </w:rPr>
  </w:style>
  <w:style w:type="character" w:customStyle="1" w:styleId="Heading8Char">
    <w:name w:val="Heading 8 Char"/>
    <w:basedOn w:val="DefaultParagraphFont"/>
    <w:link w:val="Heading8"/>
    <w:uiPriority w:val="9"/>
    <w:rsid w:val="007104F0"/>
    <w:rPr>
      <w:rFonts w:ascii="Arial" w:eastAsia="Times New Roman" w:hAnsi="Arial" w:cs="Times New Roman"/>
      <w:sz w:val="24"/>
      <w:szCs w:val="24"/>
      <w:lang w:val="x-none" w:eastAsia="x-none"/>
    </w:rPr>
  </w:style>
  <w:style w:type="character" w:customStyle="1" w:styleId="Heading9Char">
    <w:name w:val="Heading 9 Char"/>
    <w:basedOn w:val="DefaultParagraphFont"/>
    <w:link w:val="Heading9"/>
    <w:uiPriority w:val="9"/>
    <w:rsid w:val="007104F0"/>
    <w:rPr>
      <w:rFonts w:ascii="Arial" w:eastAsia="Times New Roman" w:hAnsi="Arial" w:cs="Times New Roman"/>
      <w:lang w:val="sr-Cyrl-CS" w:eastAsia="x-none"/>
    </w:rPr>
  </w:style>
  <w:style w:type="paragraph" w:customStyle="1" w:styleId="CharCharCharChar">
    <w:name w:val="Char Char Char Char"/>
    <w:basedOn w:val="Normal"/>
    <w:rsid w:val="007104F0"/>
    <w:pPr>
      <w:spacing w:after="160" w:line="240" w:lineRule="exact"/>
      <w:jc w:val="left"/>
    </w:pPr>
    <w:rPr>
      <w:rFonts w:ascii="Verdana" w:hAnsi="Verdana"/>
      <w:sz w:val="20"/>
      <w:lang w:val="en-US"/>
    </w:rPr>
  </w:style>
  <w:style w:type="paragraph" w:styleId="BodyTextIndent">
    <w:name w:val="Body Text Indent"/>
    <w:basedOn w:val="Normal"/>
    <w:link w:val="BodyTextIndentChar1"/>
    <w:rsid w:val="007104F0"/>
    <w:pPr>
      <w:ind w:left="357"/>
      <w:jc w:val="left"/>
    </w:pPr>
    <w:rPr>
      <w:rFonts w:ascii="Times New Roman" w:hAnsi="Times New Roman"/>
    </w:rPr>
  </w:style>
  <w:style w:type="character" w:customStyle="1" w:styleId="BodyTextIndentChar">
    <w:name w:val="Body Text Indent Char"/>
    <w:basedOn w:val="DefaultParagraphFont"/>
    <w:uiPriority w:val="99"/>
    <w:rsid w:val="007104F0"/>
    <w:rPr>
      <w:rFonts w:ascii="CTimesRoman" w:eastAsia="Times New Roman" w:hAnsi="CTimesRoman" w:cs="Times New Roman"/>
      <w:sz w:val="24"/>
      <w:szCs w:val="20"/>
      <w:lang w:val="sr-Cyrl-CS"/>
    </w:rPr>
  </w:style>
  <w:style w:type="character" w:customStyle="1" w:styleId="BodyTextIndentChar1">
    <w:name w:val="Body Text Indent Char1"/>
    <w:link w:val="BodyTextIndent"/>
    <w:rsid w:val="007104F0"/>
    <w:rPr>
      <w:rFonts w:ascii="Times New Roman" w:eastAsia="Times New Roman" w:hAnsi="Times New Roman" w:cs="Times New Roman"/>
      <w:sz w:val="24"/>
      <w:szCs w:val="20"/>
      <w:lang w:val="sr-Cyrl-CS"/>
    </w:rPr>
  </w:style>
  <w:style w:type="paragraph" w:styleId="BodyText">
    <w:name w:val="Body Text"/>
    <w:basedOn w:val="Normal"/>
    <w:link w:val="BodyTextChar"/>
    <w:rsid w:val="007104F0"/>
    <w:pPr>
      <w:spacing w:after="120"/>
      <w:jc w:val="left"/>
    </w:pPr>
    <w:rPr>
      <w:rFonts w:ascii="Times New Roman" w:hAnsi="Times New Roman"/>
      <w:lang w:val="x-none" w:eastAsia="x-none"/>
    </w:rPr>
  </w:style>
  <w:style w:type="character" w:customStyle="1" w:styleId="BodyTextChar">
    <w:name w:val="Body Text Char"/>
    <w:basedOn w:val="DefaultParagraphFont"/>
    <w:link w:val="BodyText"/>
    <w:rsid w:val="007104F0"/>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7104F0"/>
    <w:pPr>
      <w:spacing w:after="100" w:afterAutospacing="1"/>
    </w:pPr>
    <w:rPr>
      <w:rFonts w:ascii="Times New Roman" w:eastAsia="Arial Unicode MS" w:hAnsi="Times New Roman"/>
      <w:szCs w:val="24"/>
      <w:lang w:val="en-GB"/>
    </w:rPr>
  </w:style>
  <w:style w:type="paragraph" w:styleId="BodyText3">
    <w:name w:val="Body Text 3"/>
    <w:basedOn w:val="Normal"/>
    <w:link w:val="BodyText3Char"/>
    <w:rsid w:val="007104F0"/>
    <w:pPr>
      <w:spacing w:after="120"/>
    </w:pPr>
    <w:rPr>
      <w:sz w:val="16"/>
      <w:szCs w:val="16"/>
      <w:lang w:eastAsia="x-none"/>
    </w:rPr>
  </w:style>
  <w:style w:type="character" w:customStyle="1" w:styleId="BodyText3Char">
    <w:name w:val="Body Text 3 Char"/>
    <w:basedOn w:val="DefaultParagraphFont"/>
    <w:link w:val="BodyText3"/>
    <w:rsid w:val="007104F0"/>
    <w:rPr>
      <w:rFonts w:ascii="CTimesRoman" w:eastAsia="Times New Roman" w:hAnsi="CTimesRoman" w:cs="Times New Roman"/>
      <w:sz w:val="16"/>
      <w:szCs w:val="16"/>
      <w:lang w:val="sr-Cyrl-CS" w:eastAsia="x-none"/>
    </w:rPr>
  </w:style>
  <w:style w:type="paragraph" w:styleId="BodyTextIndent3">
    <w:name w:val="Body Text Indent 3"/>
    <w:basedOn w:val="Normal"/>
    <w:link w:val="BodyTextIndent3Char"/>
    <w:rsid w:val="007104F0"/>
    <w:pPr>
      <w:spacing w:after="120"/>
      <w:ind w:left="360"/>
    </w:pPr>
    <w:rPr>
      <w:sz w:val="16"/>
      <w:szCs w:val="16"/>
      <w:lang w:eastAsia="x-none"/>
    </w:rPr>
  </w:style>
  <w:style w:type="character" w:customStyle="1" w:styleId="BodyTextIndent3Char">
    <w:name w:val="Body Text Indent 3 Char"/>
    <w:basedOn w:val="DefaultParagraphFont"/>
    <w:link w:val="BodyTextIndent3"/>
    <w:rsid w:val="007104F0"/>
    <w:rPr>
      <w:rFonts w:ascii="CTimesRoman" w:eastAsia="Times New Roman" w:hAnsi="CTimesRoman" w:cs="Times New Roman"/>
      <w:sz w:val="16"/>
      <w:szCs w:val="16"/>
      <w:lang w:val="sr-Cyrl-CS" w:eastAsia="x-none"/>
    </w:rPr>
  </w:style>
  <w:style w:type="character" w:styleId="PageNumber">
    <w:name w:val="page number"/>
    <w:basedOn w:val="DefaultParagraphFont"/>
    <w:rsid w:val="007104F0"/>
  </w:style>
  <w:style w:type="paragraph" w:styleId="Footer">
    <w:name w:val="footer"/>
    <w:basedOn w:val="Normal"/>
    <w:link w:val="FooterChar"/>
    <w:uiPriority w:val="99"/>
    <w:rsid w:val="007104F0"/>
    <w:pPr>
      <w:tabs>
        <w:tab w:val="center" w:pos="4320"/>
        <w:tab w:val="right" w:pos="8640"/>
      </w:tabs>
      <w:jc w:val="left"/>
    </w:pPr>
    <w:rPr>
      <w:rFonts w:ascii="Times New Roman" w:hAnsi="Times New Roman"/>
      <w:lang w:val="x-none" w:eastAsia="x-none"/>
    </w:rPr>
  </w:style>
  <w:style w:type="character" w:customStyle="1" w:styleId="FooterChar">
    <w:name w:val="Footer Char"/>
    <w:basedOn w:val="DefaultParagraphFont"/>
    <w:link w:val="Footer"/>
    <w:uiPriority w:val="99"/>
    <w:rsid w:val="007104F0"/>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7104F0"/>
    <w:pPr>
      <w:jc w:val="center"/>
    </w:pPr>
    <w:rPr>
      <w:rFonts w:ascii="Times New Roman" w:hAnsi="Times New Roman"/>
      <w:b/>
      <w:bCs/>
      <w:szCs w:val="24"/>
      <w:lang w:eastAsia="x-none"/>
    </w:rPr>
  </w:style>
  <w:style w:type="character" w:customStyle="1" w:styleId="SubtitleChar">
    <w:name w:val="Subtitle Char"/>
    <w:basedOn w:val="DefaultParagraphFont"/>
    <w:link w:val="Subtitle"/>
    <w:rsid w:val="007104F0"/>
    <w:rPr>
      <w:rFonts w:ascii="Times New Roman" w:eastAsia="Times New Roman" w:hAnsi="Times New Roman" w:cs="Times New Roman"/>
      <w:b/>
      <w:bCs/>
      <w:sz w:val="24"/>
      <w:szCs w:val="24"/>
      <w:lang w:val="sr-Cyrl-CS" w:eastAsia="x-none"/>
    </w:rPr>
  </w:style>
  <w:style w:type="paragraph" w:styleId="Header">
    <w:name w:val="header"/>
    <w:basedOn w:val="Normal"/>
    <w:link w:val="HeaderChar"/>
    <w:uiPriority w:val="99"/>
    <w:rsid w:val="007104F0"/>
    <w:pPr>
      <w:tabs>
        <w:tab w:val="center" w:pos="4535"/>
        <w:tab w:val="right" w:pos="9071"/>
      </w:tabs>
    </w:pPr>
    <w:rPr>
      <w:lang w:eastAsia="x-none"/>
    </w:rPr>
  </w:style>
  <w:style w:type="character" w:customStyle="1" w:styleId="HeaderChar">
    <w:name w:val="Header Char"/>
    <w:basedOn w:val="DefaultParagraphFont"/>
    <w:link w:val="Header"/>
    <w:uiPriority w:val="99"/>
    <w:rsid w:val="007104F0"/>
    <w:rPr>
      <w:rFonts w:ascii="CTimesRoman" w:eastAsia="Times New Roman" w:hAnsi="CTimesRoman" w:cs="Times New Roman"/>
      <w:sz w:val="24"/>
      <w:szCs w:val="20"/>
      <w:lang w:val="sr-Cyrl-CS" w:eastAsia="x-none"/>
    </w:rPr>
  </w:style>
  <w:style w:type="paragraph" w:customStyle="1" w:styleId="Pismo">
    <w:name w:val="Pismo"/>
    <w:basedOn w:val="Normal"/>
    <w:next w:val="Normal"/>
    <w:rsid w:val="007104F0"/>
    <w:pPr>
      <w:keepNext/>
    </w:pPr>
    <w:rPr>
      <w:lang w:val="en-US"/>
    </w:rPr>
  </w:style>
  <w:style w:type="paragraph" w:styleId="BodyTextIndent2">
    <w:name w:val="Body Text Indent 2"/>
    <w:basedOn w:val="Normal"/>
    <w:link w:val="BodyTextIndent2Char"/>
    <w:rsid w:val="007104F0"/>
    <w:pPr>
      <w:spacing w:after="120" w:line="480" w:lineRule="auto"/>
      <w:ind w:left="360"/>
    </w:pPr>
    <w:rPr>
      <w:lang w:eastAsia="x-none"/>
    </w:rPr>
  </w:style>
  <w:style w:type="character" w:customStyle="1" w:styleId="BodyTextIndent2Char">
    <w:name w:val="Body Text Indent 2 Char"/>
    <w:basedOn w:val="DefaultParagraphFont"/>
    <w:link w:val="BodyTextIndent2"/>
    <w:rsid w:val="007104F0"/>
    <w:rPr>
      <w:rFonts w:ascii="CTimesRoman" w:eastAsia="Times New Roman" w:hAnsi="CTimesRoman" w:cs="Times New Roman"/>
      <w:sz w:val="24"/>
      <w:szCs w:val="20"/>
      <w:lang w:val="sr-Cyrl-CS" w:eastAsia="x-none"/>
    </w:rPr>
  </w:style>
  <w:style w:type="paragraph" w:customStyle="1" w:styleId="Buletiutekstu">
    <w:name w:val="Buleti u tekstu"/>
    <w:basedOn w:val="Normal"/>
    <w:rsid w:val="007104F0"/>
    <w:pPr>
      <w:tabs>
        <w:tab w:val="num" w:pos="1035"/>
      </w:tabs>
      <w:spacing w:before="120" w:line="260" w:lineRule="exact"/>
      <w:ind w:left="1035" w:hanging="360"/>
    </w:pPr>
    <w:rPr>
      <w:rFonts w:ascii="Times New Roman" w:hAnsi="Times New Roman"/>
      <w:bCs/>
      <w:szCs w:val="24"/>
      <w:lang w:val="it-IT"/>
    </w:rPr>
  </w:style>
  <w:style w:type="paragraph" w:customStyle="1" w:styleId="a">
    <w:name w:val="Текст"/>
    <w:basedOn w:val="Normal"/>
    <w:rsid w:val="007104F0"/>
    <w:pPr>
      <w:tabs>
        <w:tab w:val="left" w:pos="1418"/>
      </w:tabs>
      <w:spacing w:after="120"/>
    </w:pPr>
    <w:rPr>
      <w:rFonts w:ascii="Tahoma" w:hAnsi="Tahoma" w:cs="Tahoma"/>
      <w:sz w:val="20"/>
      <w:szCs w:val="24"/>
    </w:rPr>
  </w:style>
  <w:style w:type="paragraph" w:customStyle="1" w:styleId="Podnaslov">
    <w:name w:val="Podnaslov"/>
    <w:basedOn w:val="Normal"/>
    <w:rsid w:val="007104F0"/>
    <w:pPr>
      <w:keepNext/>
      <w:tabs>
        <w:tab w:val="left" w:pos="1800"/>
      </w:tabs>
      <w:spacing w:before="120" w:after="120"/>
      <w:ind w:left="720" w:right="720"/>
      <w:jc w:val="center"/>
    </w:pPr>
    <w:rPr>
      <w:rFonts w:ascii="Arial" w:hAnsi="Arial"/>
      <w:b/>
      <w:sz w:val="22"/>
    </w:rPr>
  </w:style>
  <w:style w:type="paragraph" w:customStyle="1" w:styleId="Normal1">
    <w:name w:val="Normal1"/>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lan">
    <w:name w:val="clan"/>
    <w:basedOn w:val="Normal"/>
    <w:rsid w:val="007104F0"/>
    <w:pPr>
      <w:spacing w:before="240" w:after="120"/>
      <w:jc w:val="center"/>
    </w:pPr>
    <w:rPr>
      <w:rFonts w:ascii="Arial" w:hAnsi="Arial" w:cs="Arial"/>
      <w:b/>
      <w:bCs/>
      <w:szCs w:val="24"/>
      <w:lang w:val="sr-Latn-CS" w:eastAsia="sr-Latn-CS"/>
    </w:rPr>
  </w:style>
  <w:style w:type="paragraph" w:customStyle="1" w:styleId="060---pododeljak">
    <w:name w:val="060---pododeljak"/>
    <w:basedOn w:val="Normal"/>
    <w:rsid w:val="007104F0"/>
    <w:pPr>
      <w:jc w:val="center"/>
    </w:pPr>
    <w:rPr>
      <w:rFonts w:ascii="Arial" w:hAnsi="Arial" w:cs="Arial"/>
      <w:sz w:val="31"/>
      <w:szCs w:val="31"/>
      <w:lang w:val="sr-Latn-CS" w:eastAsia="sr-Latn-CS"/>
    </w:rPr>
  </w:style>
  <w:style w:type="paragraph" w:customStyle="1" w:styleId="120---podnaslov-clana">
    <w:name w:val="120---podnaslov-clana"/>
    <w:basedOn w:val="Normal"/>
    <w:rsid w:val="007104F0"/>
    <w:pPr>
      <w:spacing w:before="240" w:after="240"/>
      <w:jc w:val="center"/>
    </w:pPr>
    <w:rPr>
      <w:rFonts w:ascii="Arial" w:hAnsi="Arial" w:cs="Arial"/>
      <w:i/>
      <w:iCs/>
      <w:szCs w:val="24"/>
      <w:lang w:val="sr-Latn-CS" w:eastAsia="sr-Latn-CS"/>
    </w:rPr>
  </w:style>
  <w:style w:type="paragraph" w:customStyle="1" w:styleId="Char">
    <w:name w:val="Char"/>
    <w:basedOn w:val="Normal"/>
    <w:rsid w:val="007104F0"/>
    <w:pPr>
      <w:spacing w:after="160" w:line="240" w:lineRule="exact"/>
      <w:jc w:val="left"/>
    </w:pPr>
    <w:rPr>
      <w:rFonts w:ascii="Verdana" w:hAnsi="Verdana"/>
      <w:sz w:val="20"/>
      <w:lang w:val="en-US"/>
    </w:rPr>
  </w:style>
  <w:style w:type="paragraph" w:customStyle="1" w:styleId="CharChar">
    <w:name w:val="Char Char"/>
    <w:basedOn w:val="Normal"/>
    <w:link w:val="CharCharChar1"/>
    <w:rsid w:val="007104F0"/>
    <w:pPr>
      <w:spacing w:after="160" w:line="240" w:lineRule="exact"/>
      <w:jc w:val="left"/>
    </w:pPr>
    <w:rPr>
      <w:rFonts w:ascii="Verdana" w:hAnsi="Verdana"/>
      <w:sz w:val="20"/>
      <w:lang w:val="en-US"/>
    </w:rPr>
  </w:style>
  <w:style w:type="character" w:customStyle="1" w:styleId="CharCharChar1">
    <w:name w:val="Char Char Char1"/>
    <w:link w:val="CharChar"/>
    <w:rsid w:val="007104F0"/>
    <w:rPr>
      <w:rFonts w:ascii="Verdana" w:eastAsia="Times New Roman" w:hAnsi="Verdana"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104F0"/>
    <w:pPr>
      <w:spacing w:after="160" w:line="240" w:lineRule="exact"/>
      <w:jc w:val="left"/>
    </w:pPr>
    <w:rPr>
      <w:rFonts w:ascii="Verdana" w:hAnsi="Verdana"/>
      <w:sz w:val="20"/>
      <w:lang w:val="en-US"/>
    </w:rPr>
  </w:style>
  <w:style w:type="paragraph" w:customStyle="1" w:styleId="1tekst">
    <w:name w:val="1tekst"/>
    <w:basedOn w:val="Normal"/>
    <w:rsid w:val="007104F0"/>
    <w:pPr>
      <w:ind w:left="261" w:right="261" w:firstLine="240"/>
    </w:pPr>
    <w:rPr>
      <w:rFonts w:ascii="Arial" w:hAnsi="Arial" w:cs="Arial"/>
      <w:sz w:val="20"/>
      <w:lang w:val="en-US"/>
    </w:rPr>
  </w:style>
  <w:style w:type="character" w:styleId="Hyperlink">
    <w:name w:val="Hyperlink"/>
    <w:rsid w:val="007104F0"/>
    <w:rPr>
      <w:color w:val="000080"/>
      <w:u w:val="single"/>
    </w:rPr>
  </w:style>
  <w:style w:type="paragraph" w:customStyle="1" w:styleId="NormalArial">
    <w:name w:val="Normal + Arial"/>
    <w:basedOn w:val="Normal"/>
    <w:link w:val="NormalArialChar"/>
    <w:rsid w:val="007104F0"/>
    <w:rPr>
      <w:rFonts w:ascii="Arial" w:hAnsi="Arial" w:cs="Arial"/>
      <w:b/>
      <w:szCs w:val="24"/>
      <w:lang w:val="ru-RU"/>
    </w:rPr>
  </w:style>
  <w:style w:type="character" w:customStyle="1" w:styleId="NormalArialChar">
    <w:name w:val="Normal + Arial Char"/>
    <w:link w:val="NormalArial"/>
    <w:rsid w:val="007104F0"/>
    <w:rPr>
      <w:rFonts w:ascii="Arial" w:eastAsia="Times New Roman" w:hAnsi="Arial" w:cs="Arial"/>
      <w:b/>
      <w:sz w:val="24"/>
      <w:szCs w:val="24"/>
      <w:lang w:val="ru-RU"/>
    </w:rPr>
  </w:style>
  <w:style w:type="paragraph" w:styleId="ListParagraph">
    <w:name w:val="List Paragraph"/>
    <w:basedOn w:val="Normal"/>
    <w:link w:val="ListParagraphChar"/>
    <w:uiPriority w:val="34"/>
    <w:qFormat/>
    <w:rsid w:val="007104F0"/>
    <w:pPr>
      <w:spacing w:after="200" w:line="276" w:lineRule="auto"/>
      <w:ind w:left="720"/>
      <w:contextualSpacing/>
      <w:jc w:val="left"/>
    </w:pPr>
    <w:rPr>
      <w:rFonts w:ascii="Calibri" w:hAnsi="Calibri"/>
      <w:sz w:val="22"/>
      <w:szCs w:val="22"/>
      <w:lang w:val="x-none" w:eastAsia="x-none"/>
    </w:rPr>
  </w:style>
  <w:style w:type="paragraph" w:styleId="BodyText2">
    <w:name w:val="Body Text 2"/>
    <w:basedOn w:val="Normal"/>
    <w:link w:val="BodyText2Char"/>
    <w:rsid w:val="007104F0"/>
    <w:pPr>
      <w:spacing w:after="120" w:line="480" w:lineRule="auto"/>
    </w:pPr>
    <w:rPr>
      <w:lang w:eastAsia="x-none"/>
    </w:rPr>
  </w:style>
  <w:style w:type="character" w:customStyle="1" w:styleId="BodyText2Char">
    <w:name w:val="Body Text 2 Char"/>
    <w:basedOn w:val="DefaultParagraphFont"/>
    <w:link w:val="BodyText2"/>
    <w:rsid w:val="007104F0"/>
    <w:rPr>
      <w:rFonts w:ascii="CTimesRoman" w:eastAsia="Times New Roman" w:hAnsi="CTimesRoman" w:cs="Times New Roman"/>
      <w:sz w:val="24"/>
      <w:szCs w:val="20"/>
      <w:lang w:val="sr-Cyrl-CS" w:eastAsia="x-none"/>
    </w:rPr>
  </w:style>
  <w:style w:type="paragraph" w:styleId="Title">
    <w:name w:val="Title"/>
    <w:basedOn w:val="Normal"/>
    <w:link w:val="TitleChar"/>
    <w:qFormat/>
    <w:rsid w:val="007104F0"/>
    <w:pPr>
      <w:jc w:val="center"/>
    </w:pPr>
    <w:rPr>
      <w:rFonts w:ascii="Times New Roman" w:hAnsi="Times New Roman"/>
      <w:b/>
      <w:bCs/>
      <w:sz w:val="32"/>
      <w:szCs w:val="24"/>
    </w:rPr>
  </w:style>
  <w:style w:type="character" w:customStyle="1" w:styleId="TitleChar">
    <w:name w:val="Title Char"/>
    <w:basedOn w:val="DefaultParagraphFont"/>
    <w:link w:val="Title"/>
    <w:rsid w:val="007104F0"/>
    <w:rPr>
      <w:rFonts w:ascii="Times New Roman" w:eastAsia="Times New Roman" w:hAnsi="Times New Roman" w:cs="Times New Roman"/>
      <w:b/>
      <w:bCs/>
      <w:sz w:val="32"/>
      <w:szCs w:val="24"/>
      <w:lang w:val="sr-Cyrl-CS"/>
    </w:rPr>
  </w:style>
  <w:style w:type="paragraph" w:customStyle="1" w:styleId="txt">
    <w:name w:val="txt"/>
    <w:basedOn w:val="Normal"/>
    <w:rsid w:val="007104F0"/>
    <w:pPr>
      <w:spacing w:before="100" w:beforeAutospacing="1" w:after="100" w:afterAutospacing="1"/>
      <w:jc w:val="left"/>
    </w:pPr>
    <w:rPr>
      <w:rFonts w:ascii="Verdana" w:hAnsi="Verdana"/>
      <w:color w:val="003366"/>
      <w:szCs w:val="24"/>
      <w:lang w:val="en-US"/>
    </w:rPr>
  </w:style>
  <w:style w:type="paragraph" w:customStyle="1" w:styleId="CharChar2CharCharCharChar">
    <w:name w:val="Char Char2 Char Char Char Char"/>
    <w:basedOn w:val="Normal"/>
    <w:rsid w:val="007104F0"/>
    <w:pPr>
      <w:tabs>
        <w:tab w:val="left" w:pos="709"/>
      </w:tabs>
      <w:jc w:val="left"/>
    </w:pPr>
    <w:rPr>
      <w:rFonts w:ascii="Arial Narrow" w:hAnsi="Arial Narrow"/>
      <w:b/>
      <w:sz w:val="26"/>
      <w:szCs w:val="24"/>
      <w:lang w:val="pl-PL" w:eastAsia="pl-PL"/>
    </w:rPr>
  </w:style>
  <w:style w:type="character" w:styleId="FootnoteReference">
    <w:name w:val="footnote reference"/>
    <w:aliases w:val="BVI fnr"/>
    <w:uiPriority w:val="99"/>
    <w:rsid w:val="007104F0"/>
    <w:rPr>
      <w:vertAlign w:val="superscript"/>
    </w:rPr>
  </w:style>
  <w:style w:type="paragraph" w:customStyle="1" w:styleId="CharCharCharCharChar">
    <w:name w:val="Char Char Char Char Char"/>
    <w:basedOn w:val="Normal"/>
    <w:link w:val="CharCharCharCharCharChar1"/>
    <w:rsid w:val="007104F0"/>
    <w:pPr>
      <w:spacing w:after="160" w:line="240" w:lineRule="exact"/>
      <w:jc w:val="left"/>
    </w:pPr>
    <w:rPr>
      <w:rFonts w:ascii="Verdana" w:hAnsi="Verdana"/>
      <w:sz w:val="20"/>
      <w:lang w:val="en-US"/>
    </w:rPr>
  </w:style>
  <w:style w:type="character" w:customStyle="1" w:styleId="CharCharCharCharCharChar1">
    <w:name w:val="Char Char Char Char Char Char1"/>
    <w:link w:val="CharCharCharCharChar"/>
    <w:rsid w:val="007104F0"/>
    <w:rPr>
      <w:rFonts w:ascii="Verdana" w:eastAsia="Times New Roman" w:hAnsi="Verdana" w:cs="Times New Roman"/>
      <w:sz w:val="20"/>
      <w:szCs w:val="20"/>
    </w:rPr>
  </w:style>
  <w:style w:type="paragraph" w:customStyle="1" w:styleId="Naslov2CharCharChar">
    <w:name w:val="Naslov 2 Char Char Char"/>
    <w:basedOn w:val="Normal"/>
    <w:rsid w:val="007104F0"/>
    <w:pPr>
      <w:tabs>
        <w:tab w:val="left" w:pos="567"/>
      </w:tabs>
      <w:spacing w:before="120" w:after="160" w:line="240" w:lineRule="exact"/>
      <w:ind w:left="1584" w:hanging="504"/>
      <w:jc w:val="left"/>
    </w:pPr>
    <w:rPr>
      <w:rFonts w:ascii="Arial" w:hAnsi="Arial"/>
      <w:b/>
      <w:bCs/>
      <w:color w:val="000000"/>
      <w:szCs w:val="24"/>
      <w:lang w:val="en-US"/>
    </w:rPr>
  </w:style>
  <w:style w:type="paragraph" w:customStyle="1" w:styleId="CharCharCharCharChar3">
    <w:name w:val="Char Char Char Char Char3"/>
    <w:basedOn w:val="Normal"/>
    <w:rsid w:val="007104F0"/>
    <w:pPr>
      <w:spacing w:after="160" w:line="240" w:lineRule="exact"/>
      <w:jc w:val="left"/>
    </w:pPr>
    <w:rPr>
      <w:rFonts w:ascii="Verdana" w:hAnsi="Verdana"/>
      <w:sz w:val="20"/>
      <w:lang w:val="en-US"/>
    </w:rPr>
  </w:style>
  <w:style w:type="paragraph" w:customStyle="1" w:styleId="CharCharCharCharCharCharCharCharCharCharCharCharChar">
    <w:name w:val="Char Char Char Char Char Char Char Char Char Char Char Char Char"/>
    <w:basedOn w:val="Normal"/>
    <w:rsid w:val="007104F0"/>
    <w:pPr>
      <w:spacing w:after="160" w:line="240" w:lineRule="exact"/>
      <w:jc w:val="left"/>
    </w:pPr>
    <w:rPr>
      <w:rFonts w:ascii="Verdana" w:hAnsi="Verdana"/>
      <w:sz w:val="20"/>
      <w:lang w:val="en-US"/>
    </w:rPr>
  </w:style>
  <w:style w:type="character" w:customStyle="1" w:styleId="CharCharChar">
    <w:name w:val="Char Char Char"/>
    <w:rsid w:val="007104F0"/>
    <w:rPr>
      <w:sz w:val="24"/>
      <w:lang w:val="sr-Cyrl-CS" w:eastAsia="en-US" w:bidi="ar-SA"/>
    </w:rPr>
  </w:style>
  <w:style w:type="table" w:styleId="TableGrid">
    <w:name w:val="Table Grid"/>
    <w:basedOn w:val="TableNormal"/>
    <w:uiPriority w:val="39"/>
    <w:rsid w:val="007104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
    <w:name w:val="Char Char Char6"/>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9">
    <w:name w:val="Char Char Char Char9"/>
    <w:basedOn w:val="Normal"/>
    <w:rsid w:val="007104F0"/>
    <w:pPr>
      <w:spacing w:after="160" w:line="240" w:lineRule="exact"/>
      <w:jc w:val="left"/>
    </w:pPr>
    <w:rPr>
      <w:rFonts w:ascii="Tahoma" w:hAnsi="Tahoma" w:cs="Tahoma"/>
      <w:sz w:val="20"/>
      <w:lang w:val="en-US"/>
    </w:rPr>
  </w:style>
  <w:style w:type="paragraph" w:customStyle="1" w:styleId="CharCharCharChar1">
    <w:name w:val="Char Char Char Char1"/>
    <w:basedOn w:val="Normal"/>
    <w:rsid w:val="007104F0"/>
    <w:pPr>
      <w:spacing w:after="160" w:line="240" w:lineRule="exact"/>
      <w:jc w:val="left"/>
    </w:pPr>
    <w:rPr>
      <w:rFonts w:ascii="Tahoma" w:hAnsi="Tahoma" w:cs="Tahoma"/>
      <w:sz w:val="20"/>
      <w:lang w:val="en-US"/>
    </w:rPr>
  </w:style>
  <w:style w:type="paragraph" w:customStyle="1" w:styleId="CharCharCharChar2">
    <w:name w:val="Char Char Char Char2"/>
    <w:basedOn w:val="Normal"/>
    <w:rsid w:val="007104F0"/>
    <w:pPr>
      <w:spacing w:after="160" w:line="240" w:lineRule="exact"/>
      <w:jc w:val="left"/>
    </w:pPr>
    <w:rPr>
      <w:rFonts w:ascii="Tahoma" w:hAnsi="Tahoma" w:cs="Tahoma"/>
      <w:sz w:val="20"/>
      <w:lang w:val="en-US"/>
    </w:rPr>
  </w:style>
  <w:style w:type="paragraph" w:customStyle="1" w:styleId="CharCharCharChar3">
    <w:name w:val="Char Char Char Char3"/>
    <w:basedOn w:val="Normal"/>
    <w:rsid w:val="007104F0"/>
    <w:pPr>
      <w:spacing w:after="160" w:line="240" w:lineRule="exact"/>
      <w:jc w:val="left"/>
    </w:pPr>
    <w:rPr>
      <w:rFonts w:ascii="Tahoma" w:hAnsi="Tahoma" w:cs="Tahoma"/>
      <w:sz w:val="20"/>
      <w:lang w:val="en-US"/>
    </w:rPr>
  </w:style>
  <w:style w:type="paragraph" w:customStyle="1" w:styleId="CharCharCharChar4">
    <w:name w:val="Char Char Char Char4"/>
    <w:basedOn w:val="Normal"/>
    <w:rsid w:val="007104F0"/>
    <w:pPr>
      <w:spacing w:after="160" w:line="240" w:lineRule="exact"/>
      <w:jc w:val="left"/>
    </w:pPr>
    <w:rPr>
      <w:rFonts w:ascii="Tahoma" w:hAnsi="Tahoma" w:cs="Tahoma"/>
      <w:sz w:val="20"/>
      <w:lang w:val="en-US"/>
    </w:rPr>
  </w:style>
  <w:style w:type="paragraph" w:customStyle="1" w:styleId="Default">
    <w:name w:val="Default"/>
    <w:link w:val="DefaultChar"/>
    <w:rsid w:val="007104F0"/>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7104F0"/>
    <w:rPr>
      <w:rFonts w:ascii="Arial" w:eastAsia="Times New Roman" w:hAnsi="Arial" w:cs="Arial"/>
      <w:color w:val="000000"/>
      <w:sz w:val="24"/>
      <w:szCs w:val="24"/>
    </w:rPr>
  </w:style>
  <w:style w:type="paragraph" w:customStyle="1" w:styleId="4clan">
    <w:name w:val="4clan"/>
    <w:basedOn w:val="Normal"/>
    <w:rsid w:val="007104F0"/>
    <w:pPr>
      <w:spacing w:before="30" w:after="30"/>
      <w:jc w:val="center"/>
    </w:pPr>
    <w:rPr>
      <w:rFonts w:ascii="Arial" w:hAnsi="Arial" w:cs="Arial"/>
      <w:b/>
      <w:bCs/>
      <w:sz w:val="20"/>
      <w:lang w:val="en-US"/>
    </w:rPr>
  </w:style>
  <w:style w:type="character" w:customStyle="1" w:styleId="CharChar3">
    <w:name w:val="Char Char3"/>
    <w:rsid w:val="007104F0"/>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lan0">
    <w:name w:val="Clan"/>
    <w:basedOn w:val="Normal"/>
    <w:rsid w:val="007104F0"/>
    <w:pPr>
      <w:keepNext/>
      <w:tabs>
        <w:tab w:val="left" w:pos="1080"/>
      </w:tabs>
      <w:spacing w:before="120" w:after="120"/>
      <w:ind w:left="720" w:right="720"/>
      <w:jc w:val="center"/>
    </w:pPr>
    <w:rPr>
      <w:rFonts w:ascii="Arial" w:hAnsi="Arial"/>
      <w:b/>
      <w:sz w:val="22"/>
    </w:rPr>
  </w:style>
  <w:style w:type="paragraph" w:customStyle="1" w:styleId="TableContents">
    <w:name w:val="Table Contents"/>
    <w:basedOn w:val="Normal"/>
    <w:rsid w:val="007104F0"/>
    <w:pPr>
      <w:widowControl w:val="0"/>
      <w:suppressLineNumbers/>
      <w:suppressAutoHyphens/>
      <w:jc w:val="left"/>
    </w:pPr>
    <w:rPr>
      <w:rFonts w:ascii="Times New Roman" w:eastAsia="Lucida Sans Unicode" w:hAnsi="Times New Roman"/>
      <w:kern w:val="1"/>
      <w:szCs w:val="24"/>
      <w:lang w:val="en-US"/>
    </w:rPr>
  </w:style>
  <w:style w:type="paragraph" w:customStyle="1" w:styleId="Style1">
    <w:name w:val="Style1"/>
    <w:basedOn w:val="Normal"/>
    <w:rsid w:val="007104F0"/>
    <w:rPr>
      <w:rFonts w:ascii="Times New Roman" w:hAnsi="Times New Roman"/>
      <w:szCs w:val="24"/>
      <w:lang w:val="en-US"/>
    </w:rPr>
  </w:style>
  <w:style w:type="paragraph" w:customStyle="1" w:styleId="Style2">
    <w:name w:val="Style2"/>
    <w:basedOn w:val="Normal"/>
    <w:rsid w:val="007104F0"/>
    <w:pPr>
      <w:jc w:val="center"/>
    </w:pPr>
    <w:rPr>
      <w:rFonts w:ascii="Times New Roman" w:hAnsi="Times New Roman"/>
      <w:b/>
      <w:sz w:val="28"/>
      <w:szCs w:val="24"/>
      <w:lang w:val="en-US"/>
    </w:rPr>
  </w:style>
  <w:style w:type="character" w:customStyle="1" w:styleId="CharChar2">
    <w:name w:val="Char Char2"/>
    <w:rsid w:val="007104F0"/>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7104F0"/>
    <w:rPr>
      <w:rFonts w:ascii="Tahoma" w:hAnsi="Tahoma"/>
      <w:sz w:val="16"/>
      <w:szCs w:val="16"/>
      <w:lang w:eastAsia="x-none"/>
    </w:rPr>
  </w:style>
  <w:style w:type="character" w:customStyle="1" w:styleId="BalloonTextChar">
    <w:name w:val="Balloon Text Char"/>
    <w:basedOn w:val="DefaultParagraphFont"/>
    <w:link w:val="BalloonText"/>
    <w:uiPriority w:val="99"/>
    <w:rsid w:val="007104F0"/>
    <w:rPr>
      <w:rFonts w:ascii="Tahoma" w:eastAsia="Times New Roman" w:hAnsi="Tahoma" w:cs="Times New Roman"/>
      <w:sz w:val="16"/>
      <w:szCs w:val="16"/>
      <w:lang w:val="sr-Cyrl-CS" w:eastAsia="x-none"/>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Car Car"/>
    <w:basedOn w:val="Normal"/>
    <w:link w:val="FootnoteTextChar"/>
    <w:uiPriority w:val="99"/>
    <w:rsid w:val="007104F0"/>
    <w:pPr>
      <w:jc w:val="left"/>
    </w:pPr>
    <w:rPr>
      <w:rFonts w:ascii="Times New Roman" w:hAnsi="Times New Roman"/>
      <w:sz w:val="20"/>
      <w:lang w:val="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uiPriority w:val="99"/>
    <w:rsid w:val="007104F0"/>
    <w:rPr>
      <w:rFonts w:ascii="Times New Roman" w:eastAsia="Times New Roman" w:hAnsi="Times New Roman" w:cs="Times New Roman"/>
      <w:sz w:val="20"/>
      <w:szCs w:val="20"/>
    </w:rPr>
  </w:style>
  <w:style w:type="character" w:styleId="CommentReference">
    <w:name w:val="annotation reference"/>
    <w:uiPriority w:val="99"/>
    <w:rsid w:val="007104F0"/>
    <w:rPr>
      <w:sz w:val="16"/>
      <w:szCs w:val="16"/>
    </w:rPr>
  </w:style>
  <w:style w:type="paragraph" w:customStyle="1" w:styleId="PIMIPATextCharChar">
    <w:name w:val="PIMIPA Text Char Char"/>
    <w:basedOn w:val="BodyText"/>
    <w:qFormat/>
    <w:rsid w:val="007104F0"/>
    <w:pPr>
      <w:spacing w:before="40" w:after="80"/>
      <w:ind w:left="1134"/>
      <w:jc w:val="both"/>
    </w:pPr>
    <w:rPr>
      <w:rFonts w:ascii="Garamond" w:hAnsi="Garamond"/>
      <w:caps/>
      <w:color w:val="808080"/>
      <w:spacing w:val="-5"/>
      <w:kern w:val="28"/>
      <w:szCs w:val="24"/>
      <w:lang w:val="en-GB"/>
    </w:rPr>
  </w:style>
  <w:style w:type="paragraph" w:customStyle="1" w:styleId="CharCharCharCharCharCharCharCharCharChar">
    <w:name w:val="Char Char Char Char Char Char Char Char Char Char"/>
    <w:basedOn w:val="Normal"/>
    <w:link w:val="CharCharCharCharCharCharCharCharCharCharChar"/>
    <w:rsid w:val="007104F0"/>
    <w:pPr>
      <w:spacing w:after="160" w:line="240" w:lineRule="exact"/>
      <w:jc w:val="left"/>
    </w:pPr>
    <w:rPr>
      <w:rFonts w:ascii="Tahoma" w:hAnsi="Tahoma"/>
      <w:sz w:val="20"/>
      <w:lang w:val="en-US"/>
    </w:rPr>
  </w:style>
  <w:style w:type="character" w:customStyle="1" w:styleId="CharCharCharCharCharCharCharCharCharCharChar">
    <w:name w:val="Char Char Char Char Char Char Char Char Char Char Char"/>
    <w:link w:val="CharCharCharCharCharCharCharCharCharChar"/>
    <w:rsid w:val="007104F0"/>
    <w:rPr>
      <w:rFonts w:ascii="Tahoma" w:eastAsia="Times New Roman" w:hAnsi="Tahoma" w:cs="Times New Roman"/>
      <w:sz w:val="20"/>
      <w:szCs w:val="20"/>
    </w:rPr>
  </w:style>
  <w:style w:type="paragraph" w:customStyle="1" w:styleId="CharCharCharCharCharCharCharChar">
    <w:name w:val="Char Char Char Char Char Char Char Char"/>
    <w:basedOn w:val="Normal"/>
    <w:rsid w:val="007104F0"/>
    <w:pPr>
      <w:spacing w:after="160" w:line="240" w:lineRule="exact"/>
      <w:jc w:val="left"/>
    </w:pPr>
    <w:rPr>
      <w:rFonts w:ascii="Verdana" w:hAnsi="Verdana"/>
      <w:sz w:val="20"/>
      <w:lang w:val="en-US"/>
    </w:rPr>
  </w:style>
  <w:style w:type="paragraph" w:customStyle="1" w:styleId="DecimalAligned">
    <w:name w:val="Decimal Aligned"/>
    <w:basedOn w:val="Normal"/>
    <w:qFormat/>
    <w:rsid w:val="007104F0"/>
    <w:pPr>
      <w:tabs>
        <w:tab w:val="decimal" w:pos="360"/>
      </w:tabs>
      <w:spacing w:after="200" w:line="276" w:lineRule="auto"/>
      <w:jc w:val="left"/>
    </w:pPr>
    <w:rPr>
      <w:rFonts w:ascii="Calibri" w:hAnsi="Calibri"/>
      <w:sz w:val="22"/>
      <w:szCs w:val="22"/>
      <w:lang w:val="en-US"/>
    </w:rPr>
  </w:style>
  <w:style w:type="character" w:styleId="SubtleEmphasis">
    <w:name w:val="Subtle Emphasis"/>
    <w:qFormat/>
    <w:rsid w:val="007104F0"/>
    <w:rPr>
      <w:rFonts w:eastAsia="Times New Roman" w:cs="Times New Roman"/>
      <w:bCs w:val="0"/>
      <w:i/>
      <w:iCs/>
      <w:color w:val="808080"/>
      <w:szCs w:val="22"/>
      <w:lang w:val="en-US"/>
    </w:rPr>
  </w:style>
  <w:style w:type="paragraph" w:styleId="CommentText">
    <w:name w:val="annotation text"/>
    <w:basedOn w:val="Normal"/>
    <w:link w:val="CommentTextChar"/>
    <w:uiPriority w:val="99"/>
    <w:rsid w:val="007104F0"/>
    <w:rPr>
      <w:sz w:val="20"/>
      <w:lang w:eastAsia="x-none"/>
    </w:rPr>
  </w:style>
  <w:style w:type="character" w:customStyle="1" w:styleId="CommentTextChar">
    <w:name w:val="Comment Text Char"/>
    <w:basedOn w:val="DefaultParagraphFont"/>
    <w:link w:val="CommentText"/>
    <w:uiPriority w:val="99"/>
    <w:rsid w:val="007104F0"/>
    <w:rPr>
      <w:rFonts w:ascii="CTimesRoman" w:eastAsia="Times New Roman" w:hAnsi="CTimesRoman" w:cs="Times New Roman"/>
      <w:sz w:val="20"/>
      <w:szCs w:val="20"/>
      <w:lang w:val="sr-Cyrl-CS" w:eastAsia="x-none"/>
    </w:rPr>
  </w:style>
  <w:style w:type="paragraph" w:styleId="CommentSubject">
    <w:name w:val="annotation subject"/>
    <w:basedOn w:val="CommentText"/>
    <w:next w:val="CommentText"/>
    <w:link w:val="CommentSubjectChar"/>
    <w:uiPriority w:val="99"/>
    <w:rsid w:val="007104F0"/>
    <w:rPr>
      <w:b/>
      <w:bCs/>
    </w:rPr>
  </w:style>
  <w:style w:type="character" w:customStyle="1" w:styleId="CommentSubjectChar">
    <w:name w:val="Comment Subject Char"/>
    <w:basedOn w:val="CommentTextChar"/>
    <w:link w:val="CommentSubject"/>
    <w:uiPriority w:val="99"/>
    <w:rsid w:val="007104F0"/>
    <w:rPr>
      <w:rFonts w:ascii="CTimesRoman" w:eastAsia="Times New Roman" w:hAnsi="CTimesRoman" w:cs="Times New Roman"/>
      <w:b/>
      <w:bCs/>
      <w:sz w:val="20"/>
      <w:szCs w:val="20"/>
      <w:lang w:val="sr-Cyrl-CS" w:eastAsia="x-none"/>
    </w:rPr>
  </w:style>
  <w:style w:type="paragraph" w:customStyle="1" w:styleId="CharCharCharCharCharCharCharCharCharChar1">
    <w:name w:val="Char Char Char Char Char Char Char Char Char Char1"/>
    <w:basedOn w:val="Normal"/>
    <w:rsid w:val="007104F0"/>
    <w:pPr>
      <w:spacing w:after="160" w:line="240" w:lineRule="exact"/>
      <w:jc w:val="left"/>
    </w:pPr>
    <w:rPr>
      <w:rFonts w:ascii="Tahoma" w:hAnsi="Tahoma"/>
      <w:sz w:val="20"/>
      <w:lang w:val="en-US"/>
    </w:rPr>
  </w:style>
  <w:style w:type="paragraph" w:customStyle="1" w:styleId="Text1">
    <w:name w:val="Text 1"/>
    <w:basedOn w:val="Normal"/>
    <w:link w:val="Text1Char"/>
    <w:rsid w:val="007104F0"/>
    <w:pPr>
      <w:spacing w:before="120" w:after="120"/>
      <w:ind w:left="850"/>
    </w:pPr>
    <w:rPr>
      <w:rFonts w:ascii="Times New Roman" w:hAnsi="Times New Roman"/>
      <w:szCs w:val="24"/>
      <w:lang w:val="en-GB" w:eastAsia="de-DE"/>
    </w:rPr>
  </w:style>
  <w:style w:type="character" w:customStyle="1" w:styleId="Text1Char">
    <w:name w:val="Text 1 Char"/>
    <w:link w:val="Text1"/>
    <w:rsid w:val="007104F0"/>
    <w:rPr>
      <w:rFonts w:ascii="Times New Roman" w:eastAsia="Times New Roman" w:hAnsi="Times New Roman" w:cs="Times New Roman"/>
      <w:sz w:val="24"/>
      <w:szCs w:val="24"/>
      <w:lang w:val="en-GB" w:eastAsia="de-DE"/>
    </w:rPr>
  </w:style>
  <w:style w:type="paragraph" w:styleId="NoSpacing">
    <w:name w:val="No Spacing"/>
    <w:uiPriority w:val="1"/>
    <w:qFormat/>
    <w:rsid w:val="007104F0"/>
    <w:rPr>
      <w:rFonts w:ascii="Arial" w:eastAsia="Times New Roman" w:hAnsi="Arial" w:cs="Times New Roman"/>
      <w:sz w:val="24"/>
      <w:szCs w:val="24"/>
      <w:lang w:val="en-CA"/>
    </w:rPr>
  </w:style>
  <w:style w:type="character" w:customStyle="1" w:styleId="FontStyle13">
    <w:name w:val="Font Style13"/>
    <w:rsid w:val="007104F0"/>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7104F0"/>
    <w:pPr>
      <w:adjustRightInd w:val="0"/>
      <w:snapToGrid w:val="0"/>
      <w:spacing w:before="120" w:after="120"/>
    </w:pPr>
    <w:rPr>
      <w:rFonts w:ascii="Arial" w:hAnsi="Arial" w:cs="Arial"/>
      <w:sz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7104F0"/>
    <w:pPr>
      <w:spacing w:after="160" w:line="240" w:lineRule="exact"/>
      <w:jc w:val="left"/>
    </w:pPr>
    <w:rPr>
      <w:rFonts w:ascii="Arial" w:hAnsi="Arial" w:cs="Arial"/>
      <w:sz w:val="20"/>
      <w:lang w:val="en-US"/>
    </w:rPr>
  </w:style>
  <w:style w:type="character" w:customStyle="1" w:styleId="Text1CharChar">
    <w:name w:val="Text 1 Char Char"/>
    <w:rsid w:val="007104F0"/>
    <w:rPr>
      <w:sz w:val="24"/>
      <w:szCs w:val="24"/>
      <w:lang w:val="en-GB" w:eastAsia="de-DE" w:bidi="ar-SA"/>
    </w:rPr>
  </w:style>
  <w:style w:type="paragraph" w:customStyle="1" w:styleId="CharCharCharCharCharCharChar">
    <w:name w:val="Char Char Char Char Char Char Char"/>
    <w:basedOn w:val="Normal"/>
    <w:rsid w:val="007104F0"/>
    <w:pPr>
      <w:spacing w:after="160" w:line="240" w:lineRule="exact"/>
      <w:jc w:val="left"/>
    </w:pPr>
    <w:rPr>
      <w:rFonts w:ascii="Tahoma" w:hAnsi="Tahoma"/>
      <w:sz w:val="20"/>
      <w:lang w:val="en-US"/>
    </w:rPr>
  </w:style>
  <w:style w:type="paragraph" w:customStyle="1" w:styleId="Text2Char">
    <w:name w:val="Text 2 Char"/>
    <w:basedOn w:val="Normal"/>
    <w:link w:val="Text2CharChar"/>
    <w:semiHidden/>
    <w:rsid w:val="007104F0"/>
    <w:pPr>
      <w:tabs>
        <w:tab w:val="left" w:pos="2161"/>
      </w:tabs>
      <w:spacing w:after="240"/>
      <w:ind w:left="1202"/>
    </w:pPr>
    <w:rPr>
      <w:rFonts w:ascii="Tahoma" w:hAnsi="Tahoma"/>
      <w:color w:val="000000"/>
      <w:szCs w:val="24"/>
      <w:lang w:val="en-GB" w:eastAsia="en-GB"/>
    </w:rPr>
  </w:style>
  <w:style w:type="character" w:customStyle="1" w:styleId="Text2CharChar">
    <w:name w:val="Text 2 Char Char"/>
    <w:link w:val="Text2Char"/>
    <w:rsid w:val="007104F0"/>
    <w:rPr>
      <w:rFonts w:ascii="Tahoma" w:eastAsia="Times New Roman" w:hAnsi="Tahoma" w:cs="Times New Roman"/>
      <w:color w:val="000000"/>
      <w:sz w:val="24"/>
      <w:szCs w:val="24"/>
      <w:lang w:val="en-GB" w:eastAsia="en-GB"/>
    </w:rPr>
  </w:style>
  <w:style w:type="paragraph" w:customStyle="1" w:styleId="CharCharCharCharCharCharCharCharCharCharCharChar">
    <w:name w:val="Char Char Char Char Char Char Char Char Char Char Char Char"/>
    <w:basedOn w:val="Normal"/>
    <w:rsid w:val="007104F0"/>
    <w:pPr>
      <w:spacing w:after="160" w:line="240" w:lineRule="exact"/>
      <w:jc w:val="left"/>
    </w:pPr>
    <w:rPr>
      <w:rFonts w:ascii="Tahoma" w:hAnsi="Tahoma"/>
      <w:sz w:val="20"/>
      <w:lang w:val="en-US"/>
    </w:rPr>
  </w:style>
  <w:style w:type="paragraph" w:customStyle="1" w:styleId="Zakon">
    <w:name w:val="Zakon"/>
    <w:basedOn w:val="Normal"/>
    <w:rsid w:val="007104F0"/>
    <w:pPr>
      <w:keepNext/>
      <w:tabs>
        <w:tab w:val="left" w:pos="1080"/>
      </w:tabs>
      <w:spacing w:after="120"/>
      <w:ind w:left="720" w:right="720"/>
      <w:jc w:val="center"/>
    </w:pPr>
    <w:rPr>
      <w:rFonts w:ascii="Arial" w:eastAsia="Calibri" w:hAnsi="Arial" w:cs="Arial"/>
      <w:b/>
      <w:caps/>
      <w:sz w:val="34"/>
      <w:szCs w:val="22"/>
    </w:rPr>
  </w:style>
  <w:style w:type="paragraph" w:customStyle="1" w:styleId="CharCharCharCharCharCharCharChar3">
    <w:name w:val="Char Char Char Char Char Char Char Char3"/>
    <w:basedOn w:val="Normal"/>
    <w:rsid w:val="007104F0"/>
    <w:pPr>
      <w:spacing w:after="160" w:line="240" w:lineRule="exact"/>
      <w:jc w:val="left"/>
    </w:pPr>
    <w:rPr>
      <w:rFonts w:ascii="Verdana" w:hAnsi="Verdana"/>
      <w:sz w:val="20"/>
      <w:lang w:val="en-US"/>
    </w:rPr>
  </w:style>
  <w:style w:type="paragraph" w:customStyle="1" w:styleId="Normal11">
    <w:name w:val="Normal11"/>
    <w:basedOn w:val="Normal"/>
    <w:rsid w:val="007104F0"/>
    <w:pPr>
      <w:spacing w:before="100" w:beforeAutospacing="1" w:after="100" w:afterAutospacing="1"/>
      <w:jc w:val="left"/>
    </w:pPr>
    <w:rPr>
      <w:rFonts w:ascii="Arial" w:hAnsi="Arial" w:cs="Arial"/>
      <w:sz w:val="22"/>
      <w:szCs w:val="22"/>
      <w:lang w:val="sr-Latn-CS" w:eastAsia="sr-Latn-CS"/>
    </w:rPr>
  </w:style>
  <w:style w:type="character" w:styleId="FollowedHyperlink">
    <w:name w:val="FollowedHyperlink"/>
    <w:rsid w:val="007104F0"/>
    <w:rPr>
      <w:color w:val="800080"/>
      <w:u w:val="single"/>
    </w:rPr>
  </w:style>
  <w:style w:type="paragraph" w:customStyle="1" w:styleId="rvps1">
    <w:name w:val="rvps1"/>
    <w:basedOn w:val="Normal"/>
    <w:rsid w:val="007104F0"/>
    <w:pPr>
      <w:jc w:val="left"/>
    </w:pPr>
    <w:rPr>
      <w:rFonts w:ascii="Times New Roman" w:hAnsi="Times New Roman"/>
      <w:szCs w:val="24"/>
      <w:lang w:val="en-US"/>
    </w:rPr>
  </w:style>
  <w:style w:type="character" w:styleId="Strong">
    <w:name w:val="Strong"/>
    <w:qFormat/>
    <w:rsid w:val="007104F0"/>
    <w:rPr>
      <w:b/>
      <w:bCs/>
    </w:rPr>
  </w:style>
  <w:style w:type="paragraph" w:customStyle="1" w:styleId="IFS2012tekst">
    <w:name w:val="IFS 2012 tekst"/>
    <w:basedOn w:val="Normal"/>
    <w:uiPriority w:val="99"/>
    <w:qFormat/>
    <w:rsid w:val="007104F0"/>
    <w:pPr>
      <w:spacing w:after="120"/>
    </w:pPr>
    <w:rPr>
      <w:rFonts w:ascii="Cambria" w:eastAsia="Calibri" w:hAnsi="Cambria"/>
      <w:sz w:val="21"/>
      <w:szCs w:val="22"/>
    </w:rPr>
  </w:style>
  <w:style w:type="paragraph" w:customStyle="1" w:styleId="CharCharCharCharCharCharCharCharCharChar14">
    <w:name w:val="Char Char Char Char Char Char Char Char Char Char14"/>
    <w:basedOn w:val="Normal"/>
    <w:rsid w:val="007104F0"/>
    <w:pPr>
      <w:spacing w:after="160" w:line="240" w:lineRule="exact"/>
      <w:jc w:val="left"/>
    </w:pPr>
    <w:rPr>
      <w:rFonts w:ascii="Tahoma" w:hAnsi="Tahoma"/>
      <w:sz w:val="20"/>
      <w:lang w:val="en-US"/>
    </w:rPr>
  </w:style>
  <w:style w:type="paragraph" w:customStyle="1" w:styleId="CharCharCharCharCharCharCharCharCharChar5">
    <w:name w:val="Char Char Char Char Char Char Char Char Char Char5"/>
    <w:basedOn w:val="Normal"/>
    <w:rsid w:val="007104F0"/>
    <w:pPr>
      <w:spacing w:after="160" w:line="240" w:lineRule="exact"/>
      <w:jc w:val="left"/>
    </w:pPr>
    <w:rPr>
      <w:rFonts w:ascii="Tahoma" w:hAnsi="Tahoma"/>
      <w:sz w:val="20"/>
      <w:lang w:val="en-US"/>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7104F0"/>
    <w:pPr>
      <w:tabs>
        <w:tab w:val="left" w:pos="709"/>
      </w:tabs>
      <w:jc w:val="left"/>
    </w:pPr>
    <w:rPr>
      <w:rFonts w:ascii="Arial Narrow" w:hAnsi="Arial Narrow"/>
      <w:b/>
      <w:sz w:val="26"/>
      <w:szCs w:val="24"/>
      <w:lang w:val="pl-PL" w:eastAsia="pl-PL"/>
    </w:rPr>
  </w:style>
  <w:style w:type="paragraph" w:customStyle="1" w:styleId="CharTegnTegnChar">
    <w:name w:val="Char Tegn Tegn Char"/>
    <w:basedOn w:val="Normal"/>
    <w:rsid w:val="007104F0"/>
    <w:pPr>
      <w:tabs>
        <w:tab w:val="left" w:pos="567"/>
      </w:tabs>
      <w:spacing w:before="120" w:after="160" w:line="240" w:lineRule="exact"/>
      <w:ind w:left="1584" w:hanging="504"/>
      <w:jc w:val="left"/>
    </w:pPr>
    <w:rPr>
      <w:rFonts w:ascii="Arial" w:hAnsi="Arial"/>
      <w:b/>
      <w:bCs/>
      <w:color w:val="000000"/>
      <w:sz w:val="20"/>
      <w:lang w:val="en-US"/>
    </w:rPr>
  </w:style>
  <w:style w:type="paragraph" w:customStyle="1" w:styleId="CharCharCharCharCharCharCharCharCharCharCharCharCharCharChar">
    <w:name w:val="Char Char Char Char Char Char Char Char Char Char Char Char Char Char Char"/>
    <w:basedOn w:val="Normal"/>
    <w:rsid w:val="007104F0"/>
    <w:pPr>
      <w:spacing w:after="160" w:line="240" w:lineRule="exact"/>
      <w:jc w:val="left"/>
    </w:pPr>
    <w:rPr>
      <w:rFonts w:ascii="Tahoma" w:hAnsi="Tahoma" w:cs="Tahoma"/>
      <w:sz w:val="20"/>
      <w:lang w:val="en-US"/>
    </w:rPr>
  </w:style>
  <w:style w:type="character" w:styleId="Emphasis">
    <w:name w:val="Emphasis"/>
    <w:qFormat/>
    <w:rsid w:val="007104F0"/>
    <w:rPr>
      <w:i/>
      <w:iCs/>
    </w:rPr>
  </w:style>
  <w:style w:type="paragraph" w:styleId="PlainText">
    <w:name w:val="Plain Text"/>
    <w:basedOn w:val="Normal"/>
    <w:link w:val="PlainTextChar"/>
    <w:uiPriority w:val="99"/>
    <w:rsid w:val="007104F0"/>
    <w:pPr>
      <w:spacing w:after="240"/>
    </w:pPr>
    <w:rPr>
      <w:rFonts w:ascii="Courier New" w:hAnsi="Courier New"/>
      <w:sz w:val="20"/>
      <w:lang w:eastAsia="x-none"/>
    </w:rPr>
  </w:style>
  <w:style w:type="character" w:customStyle="1" w:styleId="PlainTextChar">
    <w:name w:val="Plain Text Char"/>
    <w:basedOn w:val="DefaultParagraphFont"/>
    <w:link w:val="PlainText"/>
    <w:uiPriority w:val="99"/>
    <w:rsid w:val="007104F0"/>
    <w:rPr>
      <w:rFonts w:ascii="Courier New" w:eastAsia="Times New Roman" w:hAnsi="Courier New" w:cs="Times New Roman"/>
      <w:sz w:val="20"/>
      <w:szCs w:val="20"/>
      <w:lang w:val="sr-Cyrl-CS" w:eastAsia="x-none"/>
    </w:rPr>
  </w:style>
  <w:style w:type="paragraph" w:customStyle="1" w:styleId="font5">
    <w:name w:val="font5"/>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6">
    <w:name w:val="font6"/>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font7">
    <w:name w:val="font7"/>
    <w:basedOn w:val="Normal"/>
    <w:rsid w:val="007104F0"/>
    <w:pPr>
      <w:spacing w:before="100" w:beforeAutospacing="1" w:after="100" w:afterAutospacing="1"/>
      <w:jc w:val="left"/>
    </w:pPr>
    <w:rPr>
      <w:rFonts w:ascii="Tahoma" w:hAnsi="Tahoma" w:cs="Tahoma"/>
      <w:b/>
      <w:bCs/>
      <w:color w:val="000000"/>
      <w:sz w:val="16"/>
      <w:szCs w:val="16"/>
      <w:lang w:val="en-US"/>
    </w:rPr>
  </w:style>
  <w:style w:type="paragraph" w:customStyle="1" w:styleId="font8">
    <w:name w:val="font8"/>
    <w:basedOn w:val="Normal"/>
    <w:rsid w:val="007104F0"/>
    <w:pPr>
      <w:spacing w:before="100" w:beforeAutospacing="1" w:after="100" w:afterAutospacing="1"/>
      <w:jc w:val="left"/>
    </w:pPr>
    <w:rPr>
      <w:rFonts w:ascii="Tahoma" w:hAnsi="Tahoma" w:cs="Tahoma"/>
      <w:color w:val="000000"/>
      <w:sz w:val="16"/>
      <w:szCs w:val="16"/>
      <w:lang w:val="en-US"/>
    </w:rPr>
  </w:style>
  <w:style w:type="paragraph" w:customStyle="1" w:styleId="xl63">
    <w:name w:val="xl6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4">
    <w:name w:val="xl6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5">
    <w:name w:val="xl65"/>
    <w:basedOn w:val="Normal"/>
    <w:rsid w:val="007104F0"/>
    <w:pPr>
      <w:spacing w:before="100" w:beforeAutospacing="1" w:after="100" w:afterAutospacing="1"/>
      <w:jc w:val="center"/>
      <w:textAlignment w:val="center"/>
    </w:pPr>
    <w:rPr>
      <w:rFonts w:ascii="Times New Roman" w:hAnsi="Times New Roman"/>
      <w:sz w:val="14"/>
      <w:szCs w:val="14"/>
      <w:lang w:val="en-US"/>
    </w:rPr>
  </w:style>
  <w:style w:type="paragraph" w:customStyle="1" w:styleId="xl66">
    <w:name w:val="xl66"/>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7">
    <w:name w:val="xl67"/>
    <w:basedOn w:val="Normal"/>
    <w:rsid w:val="007104F0"/>
    <w:pP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8">
    <w:name w:val="xl6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69">
    <w:name w:val="xl69"/>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lang w:val="en-US"/>
    </w:rPr>
  </w:style>
  <w:style w:type="paragraph" w:customStyle="1" w:styleId="xl70">
    <w:name w:val="xl70"/>
    <w:basedOn w:val="Normal"/>
    <w:rsid w:val="007104F0"/>
    <w:pPr>
      <w:spacing w:before="100" w:beforeAutospacing="1" w:after="100" w:afterAutospacing="1"/>
      <w:jc w:val="left"/>
    </w:pPr>
    <w:rPr>
      <w:rFonts w:ascii="Times New Roman" w:hAnsi="Times New Roman"/>
      <w:sz w:val="14"/>
      <w:szCs w:val="14"/>
      <w:lang w:val="en-US"/>
    </w:rPr>
  </w:style>
  <w:style w:type="paragraph" w:customStyle="1" w:styleId="xl71">
    <w:name w:val="xl71"/>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2">
    <w:name w:val="xl7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3">
    <w:name w:val="xl7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74">
    <w:name w:val="xl7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5">
    <w:name w:val="xl75"/>
    <w:basedOn w:val="Normal"/>
    <w:rsid w:val="007104F0"/>
    <w:pPr>
      <w:spacing w:before="100" w:beforeAutospacing="1" w:after="100" w:afterAutospacing="1"/>
      <w:jc w:val="center"/>
    </w:pPr>
    <w:rPr>
      <w:rFonts w:ascii="Times New Roman" w:hAnsi="Times New Roman"/>
      <w:sz w:val="14"/>
      <w:szCs w:val="14"/>
      <w:lang w:val="en-US"/>
    </w:rPr>
  </w:style>
  <w:style w:type="paragraph" w:customStyle="1" w:styleId="xl76">
    <w:name w:val="xl76"/>
    <w:basedOn w:val="Normal"/>
    <w:rsid w:val="007104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hAnsi="Times New Roman"/>
      <w:sz w:val="14"/>
      <w:szCs w:val="14"/>
      <w:lang w:val="en-US"/>
    </w:rPr>
  </w:style>
  <w:style w:type="paragraph" w:customStyle="1" w:styleId="xl77">
    <w:name w:val="xl77"/>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8">
    <w:name w:val="xl7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14"/>
      <w:szCs w:val="14"/>
      <w:lang w:val="en-US"/>
    </w:rPr>
  </w:style>
  <w:style w:type="paragraph" w:customStyle="1" w:styleId="xl79">
    <w:name w:val="xl79"/>
    <w:basedOn w:val="Normal"/>
    <w:rsid w:val="00710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4"/>
      <w:szCs w:val="14"/>
      <w:lang w:val="en-US"/>
    </w:rPr>
  </w:style>
  <w:style w:type="paragraph" w:customStyle="1" w:styleId="xl80">
    <w:name w:val="xl80"/>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1">
    <w:name w:val="xl81"/>
    <w:basedOn w:val="Normal"/>
    <w:rsid w:val="007104F0"/>
    <w:pPr>
      <w:spacing w:before="100" w:beforeAutospacing="1" w:after="100" w:afterAutospacing="1"/>
      <w:jc w:val="left"/>
    </w:pPr>
    <w:rPr>
      <w:rFonts w:ascii="Times New Roman" w:hAnsi="Times New Roman"/>
      <w:i/>
      <w:iCs/>
      <w:sz w:val="14"/>
      <w:szCs w:val="14"/>
      <w:lang w:val="en-US"/>
    </w:rPr>
  </w:style>
  <w:style w:type="paragraph" w:customStyle="1" w:styleId="xl82">
    <w:name w:val="xl8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xl83">
    <w:name w:val="xl8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84">
    <w:name w:val="xl84"/>
    <w:basedOn w:val="Normal"/>
    <w:rsid w:val="007104F0"/>
    <w:pP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5">
    <w:name w:val="xl85"/>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rPr>
  </w:style>
  <w:style w:type="paragraph" w:customStyle="1" w:styleId="xl86">
    <w:name w:val="xl86"/>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14"/>
      <w:szCs w:val="14"/>
      <w:lang w:val="en-US"/>
    </w:rPr>
  </w:style>
  <w:style w:type="paragraph" w:customStyle="1" w:styleId="xl87">
    <w:name w:val="xl87"/>
    <w:basedOn w:val="Normal"/>
    <w:rsid w:val="007104F0"/>
    <w:pP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88">
    <w:name w:val="xl88"/>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89">
    <w:name w:val="xl89"/>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0">
    <w:name w:val="xl90"/>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1">
    <w:name w:val="xl91"/>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2">
    <w:name w:val="xl92"/>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3">
    <w:name w:val="xl93"/>
    <w:basedOn w:val="Normal"/>
    <w:rsid w:val="007104F0"/>
    <w:pP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94">
    <w:name w:val="xl94"/>
    <w:basedOn w:val="Normal"/>
    <w:rsid w:val="007104F0"/>
    <w:pP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5">
    <w:name w:val="xl95"/>
    <w:basedOn w:val="Normal"/>
    <w:rsid w:val="007104F0"/>
    <w:pP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6">
    <w:name w:val="xl96"/>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i/>
      <w:iCs/>
      <w:sz w:val="14"/>
      <w:szCs w:val="14"/>
      <w:lang w:val="en-US"/>
    </w:rPr>
  </w:style>
  <w:style w:type="paragraph" w:customStyle="1" w:styleId="xl97">
    <w:name w:val="xl97"/>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98">
    <w:name w:val="xl98"/>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99">
    <w:name w:val="xl99"/>
    <w:basedOn w:val="Normal"/>
    <w:rsid w:val="007104F0"/>
    <w:pPr>
      <w:shd w:val="clear" w:color="000000" w:fill="D8D8D8"/>
      <w:spacing w:before="100" w:beforeAutospacing="1" w:after="100" w:afterAutospacing="1"/>
      <w:jc w:val="left"/>
    </w:pPr>
    <w:rPr>
      <w:rFonts w:ascii="Times New Roman" w:hAnsi="Times New Roman"/>
      <w:i/>
      <w:iCs/>
      <w:sz w:val="14"/>
      <w:szCs w:val="14"/>
      <w:lang w:val="en-US"/>
    </w:rPr>
  </w:style>
  <w:style w:type="paragraph" w:customStyle="1" w:styleId="xl100">
    <w:name w:val="xl100"/>
    <w:basedOn w:val="Normal"/>
    <w:rsid w:val="007104F0"/>
    <w:pPr>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101">
    <w:name w:val="xl101"/>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2">
    <w:name w:val="xl102"/>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3">
    <w:name w:val="xl103"/>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4">
    <w:name w:val="xl104"/>
    <w:basedOn w:val="Normal"/>
    <w:rsid w:val="007104F0"/>
    <w:pPr>
      <w:shd w:val="clear" w:color="000000" w:fill="BFBFBF"/>
      <w:spacing w:before="100" w:beforeAutospacing="1" w:after="100" w:afterAutospacing="1"/>
      <w:jc w:val="left"/>
    </w:pPr>
    <w:rPr>
      <w:rFonts w:ascii="Times New Roman" w:hAnsi="Times New Roman"/>
      <w:sz w:val="14"/>
      <w:szCs w:val="14"/>
      <w:lang w:val="en-US"/>
    </w:rPr>
  </w:style>
  <w:style w:type="paragraph" w:customStyle="1" w:styleId="xl105">
    <w:name w:val="xl105"/>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106">
    <w:name w:val="xl106"/>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7">
    <w:name w:val="xl107"/>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8">
    <w:name w:val="xl108"/>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9">
    <w:name w:val="xl109"/>
    <w:basedOn w:val="Normal"/>
    <w:rsid w:val="007104F0"/>
    <w:pPr>
      <w:pBdr>
        <w:top w:val="single" w:sz="4" w:space="0" w:color="auto"/>
        <w:left w:val="single" w:sz="4" w:space="0" w:color="auto"/>
        <w:bottom w:val="single" w:sz="4" w:space="0" w:color="auto"/>
      </w:pBdr>
      <w:shd w:val="clear" w:color="000000" w:fill="CCC0DA"/>
      <w:spacing w:before="100" w:beforeAutospacing="1" w:after="100" w:afterAutospacing="1"/>
      <w:jc w:val="center"/>
    </w:pPr>
    <w:rPr>
      <w:rFonts w:ascii="Times New Roman" w:hAnsi="Times New Roman"/>
      <w:sz w:val="14"/>
      <w:szCs w:val="14"/>
      <w:lang w:val="en-US"/>
    </w:rPr>
  </w:style>
  <w:style w:type="paragraph" w:customStyle="1" w:styleId="xl110">
    <w:name w:val="xl110"/>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b/>
      <w:bCs/>
      <w:sz w:val="18"/>
      <w:szCs w:val="18"/>
      <w:lang w:val="en-US"/>
    </w:rPr>
  </w:style>
  <w:style w:type="paragraph" w:customStyle="1" w:styleId="xl111">
    <w:name w:val="xl111"/>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sz w:val="14"/>
      <w:szCs w:val="14"/>
      <w:lang w:val="en-US"/>
    </w:rPr>
  </w:style>
  <w:style w:type="paragraph" w:customStyle="1" w:styleId="xl112">
    <w:name w:val="xl11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Tekst">
    <w:name w:val="Tekst"/>
    <w:basedOn w:val="Normal"/>
    <w:link w:val="TekstChar"/>
    <w:rsid w:val="007104F0"/>
    <w:pPr>
      <w:spacing w:after="120"/>
    </w:pPr>
    <w:rPr>
      <w:rFonts w:ascii="Tahoma" w:hAnsi="Tahoma"/>
      <w:sz w:val="22"/>
      <w:szCs w:val="22"/>
      <w:lang w:val="sr-Latn-CS" w:eastAsia="x-none"/>
    </w:rPr>
  </w:style>
  <w:style w:type="character" w:customStyle="1" w:styleId="TekstChar">
    <w:name w:val="Tekst Char"/>
    <w:link w:val="Tekst"/>
    <w:rsid w:val="007104F0"/>
    <w:rPr>
      <w:rFonts w:ascii="Tahoma" w:eastAsia="Times New Roman" w:hAnsi="Tahoma" w:cs="Times New Roman"/>
      <w:lang w:val="sr-Latn-CS" w:eastAsia="x-none"/>
    </w:rPr>
  </w:style>
  <w:style w:type="paragraph" w:customStyle="1" w:styleId="1">
    <w:name w:val="Текст 1"/>
    <w:basedOn w:val="Normal"/>
    <w:rsid w:val="007104F0"/>
    <w:pPr>
      <w:tabs>
        <w:tab w:val="left" w:pos="1418"/>
      </w:tabs>
      <w:spacing w:after="120"/>
    </w:pPr>
    <w:rPr>
      <w:rFonts w:ascii="Tahoma" w:hAnsi="Tahoma" w:cs="Tahoma"/>
      <w:sz w:val="22"/>
      <w:szCs w:val="22"/>
      <w:lang w:val="ru-RU"/>
    </w:rPr>
  </w:style>
  <w:style w:type="paragraph" w:customStyle="1" w:styleId="CharCharCharChar8">
    <w:name w:val="Char Char Char Char8"/>
    <w:basedOn w:val="Normal"/>
    <w:rsid w:val="007104F0"/>
    <w:pPr>
      <w:spacing w:after="160" w:line="240" w:lineRule="exact"/>
      <w:jc w:val="left"/>
    </w:pPr>
    <w:rPr>
      <w:rFonts w:ascii="Verdana" w:hAnsi="Verdana"/>
      <w:sz w:val="20"/>
      <w:szCs w:val="24"/>
      <w:lang w:val="en-US"/>
    </w:rPr>
  </w:style>
  <w:style w:type="paragraph" w:customStyle="1" w:styleId="Normal2">
    <w:name w:val="Normal2"/>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har1">
    <w:name w:val="Char1"/>
    <w:basedOn w:val="Normal"/>
    <w:rsid w:val="007104F0"/>
    <w:pPr>
      <w:spacing w:after="160" w:line="240" w:lineRule="exact"/>
      <w:jc w:val="left"/>
    </w:pPr>
    <w:rPr>
      <w:rFonts w:ascii="Verdana" w:hAnsi="Verdana"/>
      <w:sz w:val="20"/>
      <w:szCs w:val="24"/>
      <w:lang w:val="en-US"/>
    </w:rPr>
  </w:style>
  <w:style w:type="paragraph" w:customStyle="1" w:styleId="CharChar4">
    <w:name w:val="Char Char4"/>
    <w:basedOn w:val="Normal"/>
    <w:link w:val="CharCharChar12"/>
    <w:rsid w:val="007104F0"/>
    <w:pPr>
      <w:spacing w:after="160" w:line="240" w:lineRule="exact"/>
      <w:jc w:val="left"/>
    </w:pPr>
    <w:rPr>
      <w:rFonts w:ascii="Verdana" w:hAnsi="Verdana"/>
      <w:sz w:val="20"/>
      <w:lang w:val="x-none" w:eastAsia="x-none"/>
    </w:rPr>
  </w:style>
  <w:style w:type="character" w:customStyle="1" w:styleId="CharCharChar12">
    <w:name w:val="Char Char Char12"/>
    <w:link w:val="CharChar4"/>
    <w:rsid w:val="007104F0"/>
    <w:rPr>
      <w:rFonts w:ascii="Verdana" w:eastAsia="Times New Roman" w:hAnsi="Verdana" w:cs="Times New Roman"/>
      <w:sz w:val="20"/>
      <w:szCs w:val="20"/>
      <w:lang w:val="x-none" w:eastAsia="x-none"/>
    </w:rPr>
  </w:style>
  <w:style w:type="paragraph" w:customStyle="1" w:styleId="CharCharCharCharCharCharCharCharCharCharCharCharCharCharCharCharCharCharChar1">
    <w:name w:val="Char Char Char Char Char Char Char Char Char Char Char Char Char Char Char Char Char Char Char1"/>
    <w:basedOn w:val="Normal"/>
    <w:rsid w:val="007104F0"/>
    <w:pPr>
      <w:spacing w:after="160" w:line="240" w:lineRule="exact"/>
      <w:jc w:val="left"/>
    </w:pPr>
    <w:rPr>
      <w:rFonts w:ascii="Verdana" w:hAnsi="Verdana"/>
      <w:sz w:val="20"/>
      <w:szCs w:val="24"/>
      <w:lang w:val="en-US"/>
    </w:rPr>
  </w:style>
  <w:style w:type="paragraph" w:customStyle="1" w:styleId="CharChar2CharCharCharChar1">
    <w:name w:val="Char Char2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harCharCharCharChar2">
    <w:name w:val="Char Char Char Char Char2"/>
    <w:basedOn w:val="Normal"/>
    <w:link w:val="CharCharCharCharCharChar11"/>
    <w:rsid w:val="007104F0"/>
    <w:pPr>
      <w:spacing w:after="160" w:line="240" w:lineRule="exact"/>
      <w:jc w:val="left"/>
    </w:pPr>
    <w:rPr>
      <w:rFonts w:ascii="Verdana" w:hAnsi="Verdana"/>
      <w:sz w:val="20"/>
      <w:lang w:val="x-none" w:eastAsia="x-none"/>
    </w:rPr>
  </w:style>
  <w:style w:type="character" w:customStyle="1" w:styleId="CharCharCharCharCharChar11">
    <w:name w:val="Char Char Char Char Char Char11"/>
    <w:link w:val="CharCharCharCharChar2"/>
    <w:rsid w:val="007104F0"/>
    <w:rPr>
      <w:rFonts w:ascii="Verdana" w:eastAsia="Times New Roman" w:hAnsi="Verdana" w:cs="Times New Roman"/>
      <w:sz w:val="20"/>
      <w:szCs w:val="20"/>
      <w:lang w:val="x-none" w:eastAsia="x-none"/>
    </w:rPr>
  </w:style>
  <w:style w:type="paragraph" w:customStyle="1" w:styleId="CharCharCharCharCharCharCharCharCharCharCharCharChar1">
    <w:name w:val="Char Char Char Char Char Char Char Char Char Char Char Char Char1"/>
    <w:basedOn w:val="Normal"/>
    <w:rsid w:val="007104F0"/>
    <w:pPr>
      <w:spacing w:after="160" w:line="240" w:lineRule="exact"/>
      <w:jc w:val="left"/>
    </w:pPr>
    <w:rPr>
      <w:rFonts w:ascii="Verdana" w:hAnsi="Verdana"/>
      <w:sz w:val="20"/>
      <w:szCs w:val="24"/>
      <w:lang w:val="en-US"/>
    </w:rPr>
  </w:style>
  <w:style w:type="character" w:customStyle="1" w:styleId="CharCharChar5">
    <w:name w:val="Char Char Char5"/>
    <w:rsid w:val="007104F0"/>
    <w:rPr>
      <w:sz w:val="24"/>
      <w:lang w:val="sr-Cyrl-CS" w:eastAsia="en-US" w:bidi="ar-SA"/>
    </w:rPr>
  </w:style>
  <w:style w:type="character" w:customStyle="1" w:styleId="CharChar31">
    <w:name w:val="Char Char31"/>
    <w:rsid w:val="007104F0"/>
    <w:rPr>
      <w:sz w:val="24"/>
      <w:lang w:val="sr-Cyrl-CS" w:eastAsia="en-US" w:bidi="ar-SA"/>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Normal"/>
    <w:rsid w:val="007104F0"/>
    <w:pPr>
      <w:tabs>
        <w:tab w:val="left" w:pos="709"/>
      </w:tabs>
      <w:jc w:val="left"/>
    </w:pPr>
    <w:rPr>
      <w:rFonts w:ascii="Arial Narrow" w:hAnsi="Arial Narrow"/>
      <w:b/>
      <w:sz w:val="26"/>
      <w:szCs w:val="24"/>
      <w:lang w:val="pl-PL" w:eastAsia="pl-PL"/>
    </w:rPr>
  </w:style>
  <w:style w:type="character" w:customStyle="1" w:styleId="CharChar21">
    <w:name w:val="Char Char21"/>
    <w:rsid w:val="007104F0"/>
    <w:rPr>
      <w:rFonts w:ascii="Times New Roman" w:eastAsia="Times New Roman" w:hAnsi="Times New Roman" w:cs="Times New Roman"/>
      <w:sz w:val="24"/>
      <w:szCs w:val="20"/>
    </w:rPr>
  </w:style>
  <w:style w:type="paragraph" w:customStyle="1" w:styleId="CharCharCharCharCharCharCharCharCharChar4">
    <w:name w:val="Char Char Char Char Char Char Char Char Char Char4"/>
    <w:basedOn w:val="Normal"/>
    <w:link w:val="CharCharCharCharCharCharCharCharCharCharChar1"/>
    <w:rsid w:val="007104F0"/>
    <w:pPr>
      <w:spacing w:after="160" w:line="240" w:lineRule="exact"/>
      <w:jc w:val="left"/>
    </w:pPr>
    <w:rPr>
      <w:rFonts w:ascii="Tahoma" w:hAnsi="Tahoma"/>
      <w:sz w:val="20"/>
      <w:lang w:val="x-none" w:eastAsia="x-none"/>
    </w:rPr>
  </w:style>
  <w:style w:type="character" w:customStyle="1" w:styleId="CharCharCharCharCharCharCharCharCharCharChar1">
    <w:name w:val="Char Char Char Char Char Char Char Char Char Char Char1"/>
    <w:link w:val="CharCharCharCharCharCharCharCharCharChar4"/>
    <w:rsid w:val="007104F0"/>
    <w:rPr>
      <w:rFonts w:ascii="Tahoma" w:eastAsia="Times New Roman" w:hAnsi="Tahoma" w:cs="Times New Roman"/>
      <w:sz w:val="20"/>
      <w:szCs w:val="20"/>
      <w:lang w:val="x-none" w:eastAsia="x-none"/>
    </w:rPr>
  </w:style>
  <w:style w:type="paragraph" w:customStyle="1" w:styleId="CharCharCharCharCharCharCharChar2">
    <w:name w:val="Char Char Char Char Char Char Char Char2"/>
    <w:basedOn w:val="Normal"/>
    <w:rsid w:val="007104F0"/>
    <w:pPr>
      <w:spacing w:after="160" w:line="240" w:lineRule="exact"/>
      <w:jc w:val="left"/>
    </w:pPr>
    <w:rPr>
      <w:rFonts w:ascii="Verdana" w:hAnsi="Verdana"/>
      <w:sz w:val="20"/>
      <w:szCs w:val="24"/>
      <w:lang w:val="en-US"/>
    </w:rPr>
  </w:style>
  <w:style w:type="paragraph" w:customStyle="1" w:styleId="CharCharCharCharCharCharCharCharCharChar13">
    <w:name w:val="Char Char Char Char Char Char Char Char Char Char13"/>
    <w:basedOn w:val="Normal"/>
    <w:rsid w:val="007104F0"/>
    <w:pPr>
      <w:spacing w:after="160" w:line="240" w:lineRule="exact"/>
      <w:jc w:val="left"/>
    </w:pPr>
    <w:rPr>
      <w:rFonts w:ascii="Tahoma" w:hAnsi="Tahoma"/>
      <w:sz w:val="20"/>
      <w:szCs w:val="24"/>
      <w:lang w:val="en-US"/>
    </w:rPr>
  </w:style>
  <w:style w:type="paragraph" w:customStyle="1" w:styleId="CharCharCharCharCharCharChar2">
    <w:name w:val="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2">
    <w:name w:val="Char Char Char Char Char 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CharCharChar1">
    <w:name w:val="Char Char Char Char Char Char Char Char Char Char Char Char Char Char Char1"/>
    <w:basedOn w:val="Normal"/>
    <w:rsid w:val="007104F0"/>
    <w:pPr>
      <w:spacing w:after="160" w:line="240" w:lineRule="exact"/>
      <w:jc w:val="left"/>
    </w:pPr>
    <w:rPr>
      <w:rFonts w:ascii="Tahoma" w:hAnsi="Tahoma" w:cs="Tahoma"/>
      <w:sz w:val="20"/>
      <w:szCs w:val="24"/>
      <w:lang w:val="en-US"/>
    </w:rPr>
  </w:style>
  <w:style w:type="numbering" w:customStyle="1" w:styleId="NoList1">
    <w:name w:val="No List1"/>
    <w:next w:val="NoList"/>
    <w:uiPriority w:val="99"/>
    <w:semiHidden/>
    <w:unhideWhenUsed/>
    <w:rsid w:val="007104F0"/>
  </w:style>
  <w:style w:type="numbering" w:customStyle="1" w:styleId="NoList2">
    <w:name w:val="No List2"/>
    <w:next w:val="NoList"/>
    <w:uiPriority w:val="99"/>
    <w:semiHidden/>
    <w:unhideWhenUsed/>
    <w:rsid w:val="007104F0"/>
  </w:style>
  <w:style w:type="paragraph" w:customStyle="1" w:styleId="SM">
    <w:name w:val="SM"/>
    <w:basedOn w:val="Normal"/>
    <w:rsid w:val="007104F0"/>
    <w:pPr>
      <w:tabs>
        <w:tab w:val="left" w:pos="1418"/>
      </w:tabs>
    </w:pPr>
    <w:rPr>
      <w:rFonts w:cs="CTimesRoman"/>
      <w:szCs w:val="24"/>
    </w:rPr>
  </w:style>
  <w:style w:type="paragraph" w:customStyle="1" w:styleId="CharCharCharCharChar1">
    <w:name w:val="Char Char Char Char Char1"/>
    <w:basedOn w:val="Normal"/>
    <w:rsid w:val="007104F0"/>
    <w:pPr>
      <w:spacing w:after="160" w:line="240" w:lineRule="exact"/>
      <w:jc w:val="left"/>
    </w:pPr>
    <w:rPr>
      <w:rFonts w:ascii="Verdana" w:hAnsi="Verdana" w:cs="Verdana"/>
      <w:sz w:val="20"/>
      <w:lang w:val="en-US"/>
    </w:rPr>
  </w:style>
  <w:style w:type="paragraph" w:customStyle="1" w:styleId="CharCharChar3">
    <w:name w:val="Char Char Char3"/>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6">
    <w:name w:val="Char Char Char Char6"/>
    <w:basedOn w:val="Normal"/>
    <w:rsid w:val="007104F0"/>
    <w:pPr>
      <w:spacing w:after="160" w:line="240" w:lineRule="exact"/>
      <w:jc w:val="left"/>
    </w:pPr>
    <w:rPr>
      <w:rFonts w:ascii="Tahoma" w:hAnsi="Tahoma" w:cs="Tahoma"/>
      <w:sz w:val="20"/>
      <w:lang w:val="en-US"/>
    </w:rPr>
  </w:style>
  <w:style w:type="paragraph" w:customStyle="1" w:styleId="CharCharCharCharCharCharCharChar1">
    <w:name w:val="Char Char Char Char Char Char Char Char1"/>
    <w:basedOn w:val="Normal"/>
    <w:rsid w:val="007104F0"/>
    <w:pPr>
      <w:spacing w:after="160" w:line="240" w:lineRule="exact"/>
      <w:jc w:val="left"/>
    </w:pPr>
    <w:rPr>
      <w:rFonts w:ascii="Verdana" w:hAnsi="Verdana" w:cs="Verdana"/>
      <w:sz w:val="20"/>
      <w:lang w:val="en-US"/>
    </w:rPr>
  </w:style>
  <w:style w:type="paragraph" w:customStyle="1" w:styleId="CharCharCharCharCharCharCharCharCharChar11">
    <w:name w:val="Char Char Char Char Char Char Char Char Char Char11"/>
    <w:basedOn w:val="Normal"/>
    <w:rsid w:val="007104F0"/>
    <w:pPr>
      <w:spacing w:after="160" w:line="240" w:lineRule="exact"/>
      <w:jc w:val="left"/>
    </w:pPr>
    <w:rPr>
      <w:rFonts w:ascii="Tahoma" w:hAnsi="Tahoma" w:cs="Tahoma"/>
      <w:sz w:val="20"/>
      <w:lang w:val="en-US"/>
    </w:rPr>
  </w:style>
  <w:style w:type="paragraph" w:customStyle="1" w:styleId="CharCharCharCharCharCharCharCharCharChar2">
    <w:name w:val="Char Char Char Char Char Char Char Char Char Char2"/>
    <w:basedOn w:val="Normal"/>
    <w:rsid w:val="007104F0"/>
    <w:pPr>
      <w:spacing w:after="160" w:line="240" w:lineRule="exact"/>
      <w:jc w:val="left"/>
    </w:pPr>
    <w:rPr>
      <w:rFonts w:ascii="Tahoma" w:hAnsi="Tahoma" w:cs="Tahoma"/>
      <w:sz w:val="20"/>
      <w:lang w:val="en-US"/>
    </w:rPr>
  </w:style>
  <w:style w:type="character" w:customStyle="1" w:styleId="rvts3">
    <w:name w:val="rvts3"/>
    <w:rsid w:val="007104F0"/>
    <w:rPr>
      <w:color w:val="000000"/>
      <w:sz w:val="20"/>
      <w:szCs w:val="20"/>
    </w:rPr>
  </w:style>
  <w:style w:type="paragraph" w:customStyle="1" w:styleId="CharCharCharChar5">
    <w:name w:val="Char Char Char Char5"/>
    <w:basedOn w:val="Normal"/>
    <w:rsid w:val="007104F0"/>
    <w:pPr>
      <w:spacing w:after="160" w:line="240" w:lineRule="exact"/>
      <w:jc w:val="left"/>
    </w:pPr>
    <w:rPr>
      <w:rFonts w:ascii="Verdana" w:hAnsi="Verdana" w:cs="Verdana"/>
      <w:sz w:val="20"/>
      <w:lang w:val="en-US"/>
    </w:rPr>
  </w:style>
  <w:style w:type="character" w:customStyle="1" w:styleId="CharCharChar2">
    <w:name w:val="Char Char Char2"/>
    <w:rsid w:val="007104F0"/>
    <w:rPr>
      <w:sz w:val="24"/>
      <w:szCs w:val="24"/>
      <w:lang w:val="sr-Cyrl-CS" w:eastAsia="en-US"/>
    </w:rPr>
  </w:style>
  <w:style w:type="paragraph" w:customStyle="1" w:styleId="CharCharCharChar7">
    <w:name w:val="Char Char Char Char7"/>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3">
    <w:name w:val="Char Char Char Char Char Char Char Char Char Char3"/>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12">
    <w:name w:val="Char Char Char Char Char Char Char Char Char Char12"/>
    <w:basedOn w:val="Normal"/>
    <w:uiPriority w:val="99"/>
    <w:rsid w:val="007104F0"/>
    <w:pPr>
      <w:spacing w:after="160" w:line="240" w:lineRule="exact"/>
      <w:jc w:val="left"/>
    </w:pPr>
    <w:rPr>
      <w:rFonts w:ascii="Tahoma" w:hAnsi="Tahoma" w:cs="Tahoma"/>
      <w:sz w:val="20"/>
      <w:lang w:val="en-US"/>
    </w:rPr>
  </w:style>
  <w:style w:type="character" w:customStyle="1" w:styleId="FootnoteTextCharCharCharCharCharCharCharCharChar">
    <w:name w:val="Footnote Text Char Char Char Char Char Char Char Char Char"/>
    <w:semiHidden/>
    <w:rsid w:val="007104F0"/>
    <w:rPr>
      <w:lang w:val="de-DE"/>
    </w:rPr>
  </w:style>
  <w:style w:type="paragraph" w:customStyle="1" w:styleId="CharCharCharCharCharCharChar1">
    <w:name w:val="Char Char Char Char Char Char Char1"/>
    <w:basedOn w:val="Normal"/>
    <w:uiPriority w:val="99"/>
    <w:rsid w:val="007104F0"/>
    <w:pPr>
      <w:spacing w:after="160" w:line="240" w:lineRule="exact"/>
      <w:jc w:val="left"/>
    </w:pPr>
    <w:rPr>
      <w:rFonts w:ascii="Tahoma" w:hAnsi="Tahoma" w:cs="Tahoma"/>
      <w:sz w:val="20"/>
      <w:lang w:val="en-US"/>
    </w:rPr>
  </w:style>
  <w:style w:type="paragraph" w:customStyle="1" w:styleId="CharCharChar11">
    <w:name w:val="Char Char Char11"/>
    <w:basedOn w:val="Normal"/>
    <w:uiPriority w:val="99"/>
    <w:rsid w:val="007104F0"/>
    <w:pPr>
      <w:spacing w:after="160" w:line="240" w:lineRule="exact"/>
      <w:jc w:val="left"/>
    </w:pPr>
    <w:rPr>
      <w:rFonts w:ascii="Tahoma" w:hAnsi="Tahoma" w:cs="Tahoma"/>
      <w:sz w:val="20"/>
      <w:lang w:val="en-US"/>
    </w:rPr>
  </w:style>
  <w:style w:type="paragraph" w:customStyle="1" w:styleId="CharChar1">
    <w:name w:val="Char Char1"/>
    <w:basedOn w:val="Normal"/>
    <w:uiPriority w:val="99"/>
    <w:rsid w:val="007104F0"/>
    <w:pPr>
      <w:spacing w:after="160" w:line="240" w:lineRule="exact"/>
      <w:jc w:val="left"/>
    </w:pPr>
    <w:rPr>
      <w:rFonts w:ascii="Tahoma" w:hAnsi="Tahoma" w:cs="Tahoma"/>
      <w:sz w:val="20"/>
      <w:lang w:val="en-US"/>
    </w:rPr>
  </w:style>
  <w:style w:type="paragraph" w:customStyle="1" w:styleId="Text2">
    <w:name w:val="Text 2"/>
    <w:basedOn w:val="Normal"/>
    <w:semiHidden/>
    <w:rsid w:val="007104F0"/>
    <w:pPr>
      <w:tabs>
        <w:tab w:val="left" w:pos="2161"/>
      </w:tabs>
      <w:spacing w:after="240"/>
      <w:ind w:left="1202"/>
    </w:pPr>
    <w:rPr>
      <w:rFonts w:ascii="Tahoma" w:hAnsi="Tahoma" w:cs="Tahoma"/>
      <w:color w:val="000000"/>
      <w:szCs w:val="24"/>
      <w:lang w:val="en-GB" w:eastAsia="en-GB"/>
    </w:rPr>
  </w:style>
  <w:style w:type="paragraph" w:customStyle="1" w:styleId="CharCharCharCharCharCharCharCharCharCharCharChar1">
    <w:name w:val="Char Char Char Char Char Char Char Char Char Char Char Char1"/>
    <w:basedOn w:val="Normal"/>
    <w:uiPriority w:val="99"/>
    <w:rsid w:val="007104F0"/>
    <w:pPr>
      <w:spacing w:after="160" w:line="240" w:lineRule="exact"/>
      <w:jc w:val="left"/>
    </w:pPr>
    <w:rPr>
      <w:rFonts w:ascii="Tahoma" w:hAnsi="Tahoma" w:cs="Tahoma"/>
      <w:sz w:val="20"/>
      <w:lang w:val="en-US"/>
    </w:rPr>
  </w:style>
  <w:style w:type="character" w:customStyle="1" w:styleId="ListParagraphChar">
    <w:name w:val="List Paragraph Char"/>
    <w:link w:val="ListParagraph"/>
    <w:uiPriority w:val="99"/>
    <w:locked/>
    <w:rsid w:val="007104F0"/>
    <w:rPr>
      <w:rFonts w:ascii="Calibri" w:eastAsia="Times New Roman" w:hAnsi="Calibri" w:cs="Times New Roman"/>
      <w:lang w:val="x-none" w:eastAsia="x-none"/>
    </w:rPr>
  </w:style>
  <w:style w:type="character" w:customStyle="1" w:styleId="CharCharChar4">
    <w:name w:val="Char Char Char4"/>
    <w:uiPriority w:val="99"/>
    <w:rsid w:val="007104F0"/>
    <w:rPr>
      <w:sz w:val="24"/>
      <w:szCs w:val="24"/>
      <w:lang w:val="sr-Cyrl-CS" w:eastAsia="en-US"/>
    </w:rPr>
  </w:style>
  <w:style w:type="paragraph" w:customStyle="1" w:styleId="font9">
    <w:name w:val="font9"/>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10">
    <w:name w:val="font10"/>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xl113">
    <w:name w:val="xl11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rPr>
  </w:style>
  <w:style w:type="paragraph" w:customStyle="1" w:styleId="xl114">
    <w:name w:val="xl11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US"/>
    </w:rPr>
  </w:style>
  <w:style w:type="paragraph" w:customStyle="1" w:styleId="xl115">
    <w:name w:val="xl115"/>
    <w:basedOn w:val="Normal"/>
    <w:uiPriority w:val="99"/>
    <w:rsid w:val="007104F0"/>
    <w:pPr>
      <w:shd w:val="clear" w:color="000000" w:fill="FFFFFF"/>
      <w:spacing w:before="100" w:beforeAutospacing="1" w:after="100" w:afterAutospacing="1"/>
      <w:jc w:val="left"/>
    </w:pPr>
    <w:rPr>
      <w:sz w:val="14"/>
      <w:szCs w:val="14"/>
      <w:lang w:val="en-US"/>
    </w:rPr>
  </w:style>
  <w:style w:type="numbering" w:styleId="111111">
    <w:name w:val="Outline List 2"/>
    <w:basedOn w:val="NoList"/>
    <w:rsid w:val="007104F0"/>
    <w:pPr>
      <w:numPr>
        <w:numId w:val="1"/>
      </w:numPr>
    </w:pPr>
  </w:style>
  <w:style w:type="paragraph" w:customStyle="1" w:styleId="CharCharChar1Char">
    <w:name w:val="Char Char Char1 Char"/>
    <w:basedOn w:val="Normal"/>
    <w:rsid w:val="007104F0"/>
    <w:pPr>
      <w:tabs>
        <w:tab w:val="left" w:pos="567"/>
      </w:tabs>
      <w:spacing w:before="120" w:after="160" w:line="240" w:lineRule="exact"/>
      <w:ind w:left="1584" w:hanging="504"/>
      <w:jc w:val="left"/>
    </w:pPr>
    <w:rPr>
      <w:rFonts w:ascii="Arial" w:hAnsi="Arial"/>
      <w:b/>
      <w:bCs/>
      <w:color w:val="000080"/>
      <w:sz w:val="20"/>
      <w:lang w:val="en-US"/>
    </w:rPr>
  </w:style>
  <w:style w:type="character" w:customStyle="1" w:styleId="hps">
    <w:name w:val="hps"/>
    <w:rsid w:val="007104F0"/>
  </w:style>
  <w:style w:type="character" w:customStyle="1" w:styleId="shorttext">
    <w:name w:val="short_text"/>
    <w:rsid w:val="007104F0"/>
  </w:style>
  <w:style w:type="paragraph" w:customStyle="1" w:styleId="Normal3">
    <w:name w:val="Normal3"/>
    <w:basedOn w:val="Normal"/>
    <w:rsid w:val="007104F0"/>
    <w:pPr>
      <w:spacing w:before="100" w:beforeAutospacing="1" w:after="100" w:afterAutospacing="1"/>
      <w:jc w:val="left"/>
    </w:pPr>
    <w:rPr>
      <w:rFonts w:ascii="Arial" w:hAnsi="Arial" w:cs="Arial"/>
      <w:sz w:val="22"/>
      <w:szCs w:val="22"/>
      <w:lang w:val="sr-Latn-CS" w:eastAsia="sr-Latn-CS"/>
    </w:rPr>
  </w:style>
  <w:style w:type="table" w:customStyle="1" w:styleId="PlainTable51">
    <w:name w:val="Plain Table 51"/>
    <w:basedOn w:val="TableNormal"/>
    <w:uiPriority w:val="45"/>
    <w:rsid w:val="007104F0"/>
    <w:rPr>
      <w:rFonts w:ascii="Calibri" w:eastAsia="Calibri" w:hAnsi="Calibri" w:cs="Times New Roman"/>
    </w:rPr>
    <w:tblPr>
      <w:tblStyleRowBandSize w:val="1"/>
      <w:tblStyleColBandSize w:val="1"/>
    </w:tblPr>
    <w:tblStylePr w:type="firstRow">
      <w:rPr>
        <w:rFonts w:ascii="Bahnschrift Light SemiCondensed" w:eastAsia="Times New Roman" w:hAnsi="Bahnschrift Light SemiCondensed" w:cs="Times New Roman"/>
        <w:i/>
        <w:iCs/>
        <w:sz w:val="26"/>
      </w:rPr>
      <w:tblPr/>
      <w:tcPr>
        <w:tcBorders>
          <w:bottom w:val="single" w:sz="4" w:space="0" w:color="7F7F7F"/>
        </w:tcBorders>
        <w:shd w:val="clear" w:color="auto" w:fill="FFFFFF"/>
      </w:tcPr>
    </w:tblStylePr>
    <w:tblStylePr w:type="lastRow">
      <w:rPr>
        <w:rFonts w:ascii="Bahnschrift Light SemiCondensed" w:eastAsia="Times New Roman" w:hAnsi="Bahnschrift Light SemiCondensed" w:cs="Times New Roman"/>
        <w:i/>
        <w:iCs/>
        <w:sz w:val="26"/>
      </w:rPr>
      <w:tblPr/>
      <w:tcPr>
        <w:tcBorders>
          <w:top w:val="single" w:sz="4" w:space="0" w:color="7F7F7F"/>
        </w:tcBorders>
        <w:shd w:val="clear" w:color="auto" w:fill="FFFFFF"/>
      </w:tcPr>
    </w:tblStylePr>
    <w:tblStylePr w:type="firstCol">
      <w:pPr>
        <w:jc w:val="right"/>
      </w:pPr>
      <w:rPr>
        <w:rFonts w:ascii="Bahnschrift Light SemiCondensed" w:eastAsia="Times New Roman" w:hAnsi="Bahnschrift Light SemiCondensed" w:cs="Times New Roman"/>
        <w:i/>
        <w:iCs/>
        <w:sz w:val="26"/>
      </w:rPr>
      <w:tblPr/>
      <w:tcPr>
        <w:tcBorders>
          <w:right w:val="single" w:sz="4" w:space="0" w:color="7F7F7F"/>
        </w:tcBorders>
        <w:shd w:val="clear" w:color="auto" w:fill="FFFFFF"/>
      </w:tcPr>
    </w:tblStylePr>
    <w:tblStylePr w:type="lastCol">
      <w:rPr>
        <w:rFonts w:ascii="Bahnschrift Light SemiCondensed" w:eastAsia="Times New Roman" w:hAnsi="Bahnschrift Ligh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snovnisud">
    <w:name w:val="osnovni_sud"/>
    <w:basedOn w:val="DefaultParagraphFont"/>
    <w:rsid w:val="007104F0"/>
  </w:style>
  <w:style w:type="table" w:customStyle="1" w:styleId="GridTable4-Accent11">
    <w:name w:val="Grid Table 4 - Accent 11"/>
    <w:basedOn w:val="TableNormal"/>
    <w:uiPriority w:val="49"/>
    <w:rsid w:val="007104F0"/>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11">
    <w:name w:val="List Table 1 Light - Accent 11"/>
    <w:basedOn w:val="TableNormal"/>
    <w:uiPriority w:val="46"/>
    <w:rsid w:val="007104F0"/>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TableNormal"/>
    <w:uiPriority w:val="47"/>
    <w:rsid w:val="007104F0"/>
    <w:rPr>
      <w:rFonts w:ascii="Calibri" w:eastAsia="Calibri" w:hAnsi="Calibri" w:cs="Times New Roman"/>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7104F0"/>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1">
    <w:name w:val="List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51">
    <w:name w:val="List Table 3 - Accent 51"/>
    <w:basedOn w:val="TableNormal"/>
    <w:uiPriority w:val="48"/>
    <w:rsid w:val="007104F0"/>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7Colorful-Accent11">
    <w:name w:val="Grid Table 7 Colorful - Accent 11"/>
    <w:basedOn w:val="TableNormal"/>
    <w:uiPriority w:val="52"/>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1">
    <w:name w:val="Grid Table 1 Light - Accent 5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104F0"/>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104F0"/>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104F0"/>
    <w:rPr>
      <w:rFonts w:ascii="Calibri" w:eastAsia="Calibri" w:hAnsi="Calibri" w:cs="Arial"/>
      <w:lang w:val="sr-Latn-RS"/>
    </w:rPr>
  </w:style>
  <w:style w:type="paragraph" w:customStyle="1" w:styleId="stil1tekst">
    <w:name w:val="stil_1tekst"/>
    <w:basedOn w:val="Normal"/>
    <w:rsid w:val="007104F0"/>
    <w:pPr>
      <w:ind w:left="525" w:right="525" w:firstLine="240"/>
    </w:pPr>
    <w:rPr>
      <w:rFonts w:ascii="Times New Roman" w:hAnsi="Times New Roman"/>
      <w:szCs w:val="24"/>
      <w:lang w:val="en-US"/>
    </w:rPr>
  </w:style>
  <w:style w:type="table" w:customStyle="1" w:styleId="TableGrid1">
    <w:name w:val="Table Grid1"/>
    <w:basedOn w:val="TableNormal"/>
    <w:next w:val="TableNormal"/>
    <w:uiPriority w:val="59"/>
    <w:rsid w:val="007104F0"/>
    <w:rPr>
      <w:rFonts w:ascii="Constantia" w:eastAsia="Constantia" w:hAnsi="Constantia" w:cs="Times New Roman"/>
      <w:lang w:val="sr-Cyrl-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uiPriority w:val="41"/>
    <w:rsid w:val="007104F0"/>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rsid w:val="007104F0"/>
    <w:rPr>
      <w:rFonts w:ascii="Times New Roman" w:eastAsia="Times New Roman" w:hAnsi="Times New Roman"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 Accent 51"/>
    <w:basedOn w:val="TableNormal"/>
    <w:uiPriority w:val="51"/>
    <w:rsid w:val="007104F0"/>
    <w:rPr>
      <w:rFonts w:ascii="Times New Roman" w:eastAsia="Times New Roman" w:hAnsi="Times New Roman" w:cs="Times New Roman"/>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41">
    <w:name w:val="Grid Table 7 Colorful - Accent 41"/>
    <w:basedOn w:val="TableNormal"/>
    <w:uiPriority w:val="52"/>
    <w:rsid w:val="007104F0"/>
    <w:rPr>
      <w:rFonts w:ascii="Times New Roman" w:eastAsia="Times New Roman" w:hAnsi="Times New Roman" w:cs="Times New Roman"/>
      <w:color w:val="5F497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2-Accent11">
    <w:name w:val="Grid Table 2 - Accent 11"/>
    <w:basedOn w:val="TableNormal"/>
    <w:uiPriority w:val="47"/>
    <w:rsid w:val="007104F0"/>
    <w:rPr>
      <w:rFonts w:ascii="Times New Roman" w:eastAsia="Times New Roman" w:hAnsi="Times New Roman" w:cs="Times New Roman"/>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rsid w:val="007104F0"/>
    <w:rPr>
      <w:sz w:val="20"/>
    </w:rPr>
  </w:style>
  <w:style w:type="character" w:customStyle="1" w:styleId="EndnoteTextChar">
    <w:name w:val="Endnote Text Char"/>
    <w:basedOn w:val="DefaultParagraphFont"/>
    <w:link w:val="EndnoteText"/>
    <w:rsid w:val="007104F0"/>
    <w:rPr>
      <w:rFonts w:ascii="CTimesRoman" w:eastAsia="Times New Roman" w:hAnsi="CTimesRoman" w:cs="Times New Roman"/>
      <w:sz w:val="20"/>
      <w:szCs w:val="20"/>
      <w:lang w:val="sr-Cyrl-CS"/>
    </w:rPr>
  </w:style>
  <w:style w:type="character" w:styleId="EndnoteReference">
    <w:name w:val="endnote reference"/>
    <w:rsid w:val="007104F0"/>
    <w:rPr>
      <w:vertAlign w:val="superscript"/>
    </w:rPr>
  </w:style>
  <w:style w:type="character" w:customStyle="1" w:styleId="FootnoteTextChar1">
    <w:name w:val="Footnote Text Char1"/>
    <w:aliases w:val="fn Char1,Footnote Text Char Char Char Char1,Footnote Text Char Char Char2,Fußnote Char1,Car Car Char1,Footnote Text Char Char1 Char1,Footnote Text Char1 Char Char Char1,Footnote Text Char Char1 Char Char Char1"/>
    <w:uiPriority w:val="99"/>
    <w:semiHidden/>
    <w:rsid w:val="007104F0"/>
    <w:rPr>
      <w:rFonts w:ascii="CTimesRoman" w:eastAsia="Times New Roman" w:hAnsi="CTimesRoman" w:cs="Times New Roman"/>
      <w:sz w:val="20"/>
      <w:szCs w:val="20"/>
      <w:lang w:val="sr-Cyrl-CS"/>
    </w:rPr>
  </w:style>
  <w:style w:type="table" w:customStyle="1" w:styleId="TableGrid2">
    <w:name w:val="Table Grid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104F0"/>
  </w:style>
  <w:style w:type="table" w:customStyle="1" w:styleId="TableGrid7">
    <w:name w:val="Table Grid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7104F0"/>
  </w:style>
  <w:style w:type="table" w:customStyle="1" w:styleId="TableGrid8">
    <w:name w:val="Table Grid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7104F0"/>
  </w:style>
  <w:style w:type="table" w:customStyle="1" w:styleId="TableGrid10">
    <w:name w:val="Table Grid1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7104F0"/>
  </w:style>
  <w:style w:type="table" w:customStyle="1" w:styleId="TableGrid11">
    <w:name w:val="Table Grid11"/>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7104F0"/>
  </w:style>
  <w:style w:type="table" w:customStyle="1" w:styleId="TableGrid14">
    <w:name w:val="Table Grid1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7104F0"/>
  </w:style>
  <w:style w:type="table" w:customStyle="1" w:styleId="TableGrid23">
    <w:name w:val="Table Grid2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7104F0"/>
  </w:style>
  <w:style w:type="table" w:customStyle="1" w:styleId="TableGrid24">
    <w:name w:val="Table Grid2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2">
    <w:name w:val="Plain Table 52"/>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0">
    <w:name w:val="No List10"/>
    <w:next w:val="NoList"/>
    <w:uiPriority w:val="99"/>
    <w:semiHidden/>
    <w:unhideWhenUsed/>
    <w:rsid w:val="007104F0"/>
  </w:style>
  <w:style w:type="table" w:customStyle="1" w:styleId="TableGrid25">
    <w:name w:val="Table Grid2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104F0"/>
  </w:style>
  <w:style w:type="table" w:customStyle="1" w:styleId="TableGrid36">
    <w:name w:val="Table Grid3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104F0"/>
  </w:style>
  <w:style w:type="table" w:customStyle="1" w:styleId="TableGrid41">
    <w:name w:val="Table Grid4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104F0"/>
  </w:style>
  <w:style w:type="table" w:customStyle="1" w:styleId="TableGrid42">
    <w:name w:val="Table Grid4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4">
    <w:name w:val="No List14"/>
    <w:next w:val="NoList"/>
    <w:uiPriority w:val="99"/>
    <w:semiHidden/>
    <w:unhideWhenUsed/>
    <w:rsid w:val="007104F0"/>
  </w:style>
  <w:style w:type="table" w:customStyle="1" w:styleId="TableGrid46">
    <w:name w:val="Table Grid4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5">
    <w:name w:val="No List15"/>
    <w:next w:val="NoList"/>
    <w:uiPriority w:val="99"/>
    <w:semiHidden/>
    <w:unhideWhenUsed/>
    <w:rsid w:val="007104F0"/>
  </w:style>
  <w:style w:type="table" w:customStyle="1" w:styleId="TableGrid50">
    <w:name w:val="Table Grid5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7104F0"/>
  </w:style>
  <w:style w:type="table" w:customStyle="1" w:styleId="TableGrid51">
    <w:name w:val="Table Grid5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7">
    <w:name w:val="No List17"/>
    <w:next w:val="NoList"/>
    <w:uiPriority w:val="99"/>
    <w:semiHidden/>
    <w:unhideWhenUsed/>
    <w:rsid w:val="007104F0"/>
  </w:style>
  <w:style w:type="table" w:customStyle="1" w:styleId="TableGrid52">
    <w:name w:val="Table Grid5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8">
    <w:name w:val="No List18"/>
    <w:next w:val="NoList"/>
    <w:uiPriority w:val="99"/>
    <w:semiHidden/>
    <w:unhideWhenUsed/>
    <w:rsid w:val="007104F0"/>
  </w:style>
  <w:style w:type="table" w:customStyle="1" w:styleId="TableGrid53">
    <w:name w:val="Table Grid5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7104F0"/>
    <w:pPr>
      <w:widowControl w:val="0"/>
      <w:suppressAutoHyphens/>
      <w:autoSpaceDN w:val="0"/>
      <w:spacing w:after="120"/>
      <w:jc w:val="left"/>
      <w:textAlignment w:val="baseline"/>
    </w:pPr>
    <w:rPr>
      <w:rFonts w:ascii="Times New Roman" w:eastAsia="SimSun" w:hAnsi="Times New Roman" w:cs="Mangal"/>
      <w:kern w:val="3"/>
      <w:szCs w:val="24"/>
      <w:lang w:val="en-US" w:eastAsia="zh-CN" w:bidi="hi-IN"/>
    </w:rPr>
  </w:style>
  <w:style w:type="table" w:customStyle="1" w:styleId="PlainTable511">
    <w:name w:val="Plain Table 511"/>
    <w:basedOn w:val="TableNormal"/>
    <w:uiPriority w:val="45"/>
    <w:rsid w:val="007104F0"/>
    <w:rPr>
      <w:rFonts w:ascii="Calibri" w:eastAsia="Calibri" w:hAnsi="Calibri" w:cs="Times New Roman"/>
      <w:lang w:val="sr-Cyrl-CS"/>
    </w:rPr>
    <w:tblPr>
      <w:tblStyleRowBandSize w:val="1"/>
      <w:tblStyleColBandSize w:val="1"/>
    </w:tblPr>
    <w:tblStylePr w:type="firstRow">
      <w:rPr>
        <w:rFonts w:ascii="CTimesRoman" w:eastAsia="Times New Roman" w:hAnsi="CTimesRoman" w:cs="Times New Roman"/>
        <w:i/>
        <w:iCs/>
        <w:sz w:val="26"/>
      </w:rPr>
      <w:tblPr/>
      <w:tcPr>
        <w:tcBorders>
          <w:bottom w:val="single" w:sz="4" w:space="0" w:color="7F7F7F"/>
        </w:tcBorders>
        <w:shd w:val="clear" w:color="auto" w:fill="FFFFFF"/>
      </w:tcPr>
    </w:tblStylePr>
    <w:tblStylePr w:type="lastRow">
      <w:rPr>
        <w:rFonts w:ascii="CTimesRoman" w:eastAsia="Times New Roman" w:hAnsi="CTimesRoman" w:cs="Times New Roman"/>
        <w:i/>
        <w:iCs/>
        <w:sz w:val="26"/>
      </w:rPr>
      <w:tblPr/>
      <w:tcPr>
        <w:tcBorders>
          <w:top w:val="single" w:sz="4" w:space="0" w:color="7F7F7F"/>
        </w:tcBorders>
        <w:shd w:val="clear" w:color="auto" w:fill="FFFFFF"/>
      </w:tcPr>
    </w:tblStylePr>
    <w:tblStylePr w:type="firstCol">
      <w:pPr>
        <w:jc w:val="right"/>
      </w:pPr>
      <w:rPr>
        <w:rFonts w:ascii="CTimesRoman" w:eastAsia="Times New Roman" w:hAnsi="CTimesRoman" w:cs="Times New Roman"/>
        <w:i/>
        <w:iCs/>
        <w:sz w:val="26"/>
      </w:rPr>
      <w:tblPr/>
      <w:tcPr>
        <w:tcBorders>
          <w:right w:val="single" w:sz="4" w:space="0" w:color="7F7F7F"/>
        </w:tcBorders>
        <w:shd w:val="clear" w:color="auto" w:fill="FFFFFF"/>
      </w:tcPr>
    </w:tblStylePr>
    <w:tblStylePr w:type="lastCol">
      <w:rPr>
        <w:rFonts w:ascii="CTimesRoman" w:eastAsia="Times New Roman" w:hAnsi="CTimes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uiPriority w:val="99"/>
    <w:semiHidden/>
    <w:unhideWhenUsed/>
    <w:rsid w:val="007104F0"/>
  </w:style>
  <w:style w:type="table" w:customStyle="1" w:styleId="TableGrid131">
    <w:name w:val="Table Grid1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3">
    <w:name w:val="Plain Table 53"/>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TableNormal"/>
    <w:uiPriority w:val="45"/>
    <w:rsid w:val="007104F0"/>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5">
    <w:name w:val="Plain Table 55"/>
    <w:basedOn w:val="TableNormal"/>
    <w:uiPriority w:val="45"/>
    <w:rsid w:val="00640E74"/>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3">
    <w:name w:val="Plain Table 513"/>
    <w:basedOn w:val="TableNormal"/>
    <w:uiPriority w:val="45"/>
    <w:rsid w:val="007B7E49"/>
    <w:rPr>
      <w:lang w:val="sr-Cyrl-CS"/>
    </w:rPr>
    <w:tblPr>
      <w:tblStyleRowBandSize w:val="1"/>
      <w:tblStyleColBandSize w:val="1"/>
    </w:tblPr>
    <w:tblStylePr w:type="firstRow">
      <w:rPr>
        <w:rFonts w:ascii="Bahnschrift SemiLight SemiConde" w:eastAsia="Times New Roman" w:hAnsi="Bahnschrift SemiLight SemiConde" w:cs="Times New Roman"/>
        <w:i/>
        <w:iCs/>
        <w:sz w:val="26"/>
      </w:rPr>
      <w:tblPr/>
      <w:tcPr>
        <w:tcBorders>
          <w:bottom w:val="single" w:sz="4" w:space="0" w:color="7F7F7F"/>
        </w:tcBorders>
        <w:shd w:val="clear" w:color="auto" w:fill="FFFFFF"/>
      </w:tcPr>
    </w:tblStylePr>
    <w:tblStylePr w:type="lastRow">
      <w:rPr>
        <w:rFonts w:ascii="Bahnschrift SemiLight SemiConde" w:eastAsia="Times New Roman" w:hAnsi="Bahnschrift SemiLight SemiConde" w:cs="Times New Roman"/>
        <w:i/>
        <w:iCs/>
        <w:sz w:val="26"/>
      </w:rPr>
      <w:tblPr/>
      <w:tcPr>
        <w:tcBorders>
          <w:top w:val="single" w:sz="4" w:space="0" w:color="7F7F7F"/>
        </w:tcBorders>
        <w:shd w:val="clear" w:color="auto" w:fill="FFFFFF"/>
      </w:tcPr>
    </w:tblStylePr>
    <w:tblStylePr w:type="firstCol">
      <w:pPr>
        <w:jc w:val="right"/>
      </w:pPr>
      <w:rPr>
        <w:rFonts w:ascii="Bahnschrift SemiLight SemiConde" w:eastAsia="Times New Roman" w:hAnsi="Bahnschrift SemiLight SemiConde" w:cs="Times New Roman"/>
        <w:i/>
        <w:iCs/>
        <w:sz w:val="26"/>
      </w:rPr>
      <w:tblPr/>
      <w:tcPr>
        <w:tcBorders>
          <w:right w:val="single" w:sz="4" w:space="0" w:color="7F7F7F"/>
        </w:tcBorders>
        <w:shd w:val="clear" w:color="auto" w:fill="FFFFFF"/>
      </w:tcPr>
    </w:tblStylePr>
    <w:tblStylePr w:type="lastCol">
      <w:rPr>
        <w:rFonts w:ascii="Bahnschrift SemiLight SemiConde" w:eastAsia="Times New Roman" w:hAnsi="Bahnschrift SemiLight SemiCond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910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9">
      <w:bodyDiv w:val="1"/>
      <w:marLeft w:val="0"/>
      <w:marRight w:val="0"/>
      <w:marTop w:val="0"/>
      <w:marBottom w:val="0"/>
      <w:divBdr>
        <w:top w:val="none" w:sz="0" w:space="0" w:color="auto"/>
        <w:left w:val="none" w:sz="0" w:space="0" w:color="auto"/>
        <w:bottom w:val="none" w:sz="0" w:space="0" w:color="auto"/>
        <w:right w:val="none" w:sz="0" w:space="0" w:color="auto"/>
      </w:divBdr>
    </w:div>
    <w:div w:id="31346694">
      <w:bodyDiv w:val="1"/>
      <w:marLeft w:val="0"/>
      <w:marRight w:val="0"/>
      <w:marTop w:val="0"/>
      <w:marBottom w:val="0"/>
      <w:divBdr>
        <w:top w:val="none" w:sz="0" w:space="0" w:color="auto"/>
        <w:left w:val="none" w:sz="0" w:space="0" w:color="auto"/>
        <w:bottom w:val="none" w:sz="0" w:space="0" w:color="auto"/>
        <w:right w:val="none" w:sz="0" w:space="0" w:color="auto"/>
      </w:divBdr>
    </w:div>
    <w:div w:id="44259476">
      <w:bodyDiv w:val="1"/>
      <w:marLeft w:val="0"/>
      <w:marRight w:val="0"/>
      <w:marTop w:val="0"/>
      <w:marBottom w:val="0"/>
      <w:divBdr>
        <w:top w:val="none" w:sz="0" w:space="0" w:color="auto"/>
        <w:left w:val="none" w:sz="0" w:space="0" w:color="auto"/>
        <w:bottom w:val="none" w:sz="0" w:space="0" w:color="auto"/>
        <w:right w:val="none" w:sz="0" w:space="0" w:color="auto"/>
      </w:divBdr>
    </w:div>
    <w:div w:id="53630057">
      <w:bodyDiv w:val="1"/>
      <w:marLeft w:val="0"/>
      <w:marRight w:val="0"/>
      <w:marTop w:val="0"/>
      <w:marBottom w:val="0"/>
      <w:divBdr>
        <w:top w:val="none" w:sz="0" w:space="0" w:color="auto"/>
        <w:left w:val="none" w:sz="0" w:space="0" w:color="auto"/>
        <w:bottom w:val="none" w:sz="0" w:space="0" w:color="auto"/>
        <w:right w:val="none" w:sz="0" w:space="0" w:color="auto"/>
      </w:divBdr>
    </w:div>
    <w:div w:id="81878730">
      <w:bodyDiv w:val="1"/>
      <w:marLeft w:val="0"/>
      <w:marRight w:val="0"/>
      <w:marTop w:val="0"/>
      <w:marBottom w:val="0"/>
      <w:divBdr>
        <w:top w:val="none" w:sz="0" w:space="0" w:color="auto"/>
        <w:left w:val="none" w:sz="0" w:space="0" w:color="auto"/>
        <w:bottom w:val="none" w:sz="0" w:space="0" w:color="auto"/>
        <w:right w:val="none" w:sz="0" w:space="0" w:color="auto"/>
      </w:divBdr>
    </w:div>
    <w:div w:id="131562585">
      <w:bodyDiv w:val="1"/>
      <w:marLeft w:val="0"/>
      <w:marRight w:val="0"/>
      <w:marTop w:val="0"/>
      <w:marBottom w:val="0"/>
      <w:divBdr>
        <w:top w:val="none" w:sz="0" w:space="0" w:color="auto"/>
        <w:left w:val="none" w:sz="0" w:space="0" w:color="auto"/>
        <w:bottom w:val="none" w:sz="0" w:space="0" w:color="auto"/>
        <w:right w:val="none" w:sz="0" w:space="0" w:color="auto"/>
      </w:divBdr>
    </w:div>
    <w:div w:id="133451564">
      <w:bodyDiv w:val="1"/>
      <w:marLeft w:val="0"/>
      <w:marRight w:val="0"/>
      <w:marTop w:val="0"/>
      <w:marBottom w:val="0"/>
      <w:divBdr>
        <w:top w:val="none" w:sz="0" w:space="0" w:color="auto"/>
        <w:left w:val="none" w:sz="0" w:space="0" w:color="auto"/>
        <w:bottom w:val="none" w:sz="0" w:space="0" w:color="auto"/>
        <w:right w:val="none" w:sz="0" w:space="0" w:color="auto"/>
      </w:divBdr>
    </w:div>
    <w:div w:id="205876789">
      <w:bodyDiv w:val="1"/>
      <w:marLeft w:val="0"/>
      <w:marRight w:val="0"/>
      <w:marTop w:val="0"/>
      <w:marBottom w:val="0"/>
      <w:divBdr>
        <w:top w:val="none" w:sz="0" w:space="0" w:color="auto"/>
        <w:left w:val="none" w:sz="0" w:space="0" w:color="auto"/>
        <w:bottom w:val="none" w:sz="0" w:space="0" w:color="auto"/>
        <w:right w:val="none" w:sz="0" w:space="0" w:color="auto"/>
      </w:divBdr>
    </w:div>
    <w:div w:id="229079089">
      <w:bodyDiv w:val="1"/>
      <w:marLeft w:val="0"/>
      <w:marRight w:val="0"/>
      <w:marTop w:val="0"/>
      <w:marBottom w:val="0"/>
      <w:divBdr>
        <w:top w:val="none" w:sz="0" w:space="0" w:color="auto"/>
        <w:left w:val="none" w:sz="0" w:space="0" w:color="auto"/>
        <w:bottom w:val="none" w:sz="0" w:space="0" w:color="auto"/>
        <w:right w:val="none" w:sz="0" w:space="0" w:color="auto"/>
      </w:divBdr>
    </w:div>
    <w:div w:id="237834965">
      <w:bodyDiv w:val="1"/>
      <w:marLeft w:val="0"/>
      <w:marRight w:val="0"/>
      <w:marTop w:val="0"/>
      <w:marBottom w:val="0"/>
      <w:divBdr>
        <w:top w:val="none" w:sz="0" w:space="0" w:color="auto"/>
        <w:left w:val="none" w:sz="0" w:space="0" w:color="auto"/>
        <w:bottom w:val="none" w:sz="0" w:space="0" w:color="auto"/>
        <w:right w:val="none" w:sz="0" w:space="0" w:color="auto"/>
      </w:divBdr>
    </w:div>
    <w:div w:id="243800174">
      <w:bodyDiv w:val="1"/>
      <w:marLeft w:val="0"/>
      <w:marRight w:val="0"/>
      <w:marTop w:val="0"/>
      <w:marBottom w:val="0"/>
      <w:divBdr>
        <w:top w:val="none" w:sz="0" w:space="0" w:color="auto"/>
        <w:left w:val="none" w:sz="0" w:space="0" w:color="auto"/>
        <w:bottom w:val="none" w:sz="0" w:space="0" w:color="auto"/>
        <w:right w:val="none" w:sz="0" w:space="0" w:color="auto"/>
      </w:divBdr>
    </w:div>
    <w:div w:id="291447368">
      <w:bodyDiv w:val="1"/>
      <w:marLeft w:val="0"/>
      <w:marRight w:val="0"/>
      <w:marTop w:val="0"/>
      <w:marBottom w:val="0"/>
      <w:divBdr>
        <w:top w:val="none" w:sz="0" w:space="0" w:color="auto"/>
        <w:left w:val="none" w:sz="0" w:space="0" w:color="auto"/>
        <w:bottom w:val="none" w:sz="0" w:space="0" w:color="auto"/>
        <w:right w:val="none" w:sz="0" w:space="0" w:color="auto"/>
      </w:divBdr>
    </w:div>
    <w:div w:id="316541277">
      <w:bodyDiv w:val="1"/>
      <w:marLeft w:val="0"/>
      <w:marRight w:val="0"/>
      <w:marTop w:val="0"/>
      <w:marBottom w:val="0"/>
      <w:divBdr>
        <w:top w:val="none" w:sz="0" w:space="0" w:color="auto"/>
        <w:left w:val="none" w:sz="0" w:space="0" w:color="auto"/>
        <w:bottom w:val="none" w:sz="0" w:space="0" w:color="auto"/>
        <w:right w:val="none" w:sz="0" w:space="0" w:color="auto"/>
      </w:divBdr>
    </w:div>
    <w:div w:id="364792878">
      <w:bodyDiv w:val="1"/>
      <w:marLeft w:val="0"/>
      <w:marRight w:val="0"/>
      <w:marTop w:val="0"/>
      <w:marBottom w:val="0"/>
      <w:divBdr>
        <w:top w:val="none" w:sz="0" w:space="0" w:color="auto"/>
        <w:left w:val="none" w:sz="0" w:space="0" w:color="auto"/>
        <w:bottom w:val="none" w:sz="0" w:space="0" w:color="auto"/>
        <w:right w:val="none" w:sz="0" w:space="0" w:color="auto"/>
      </w:divBdr>
    </w:div>
    <w:div w:id="437985655">
      <w:bodyDiv w:val="1"/>
      <w:marLeft w:val="0"/>
      <w:marRight w:val="0"/>
      <w:marTop w:val="0"/>
      <w:marBottom w:val="0"/>
      <w:divBdr>
        <w:top w:val="none" w:sz="0" w:space="0" w:color="auto"/>
        <w:left w:val="none" w:sz="0" w:space="0" w:color="auto"/>
        <w:bottom w:val="none" w:sz="0" w:space="0" w:color="auto"/>
        <w:right w:val="none" w:sz="0" w:space="0" w:color="auto"/>
      </w:divBdr>
    </w:div>
    <w:div w:id="442262314">
      <w:bodyDiv w:val="1"/>
      <w:marLeft w:val="0"/>
      <w:marRight w:val="0"/>
      <w:marTop w:val="0"/>
      <w:marBottom w:val="0"/>
      <w:divBdr>
        <w:top w:val="none" w:sz="0" w:space="0" w:color="auto"/>
        <w:left w:val="none" w:sz="0" w:space="0" w:color="auto"/>
        <w:bottom w:val="none" w:sz="0" w:space="0" w:color="auto"/>
        <w:right w:val="none" w:sz="0" w:space="0" w:color="auto"/>
      </w:divBdr>
    </w:div>
    <w:div w:id="470899927">
      <w:bodyDiv w:val="1"/>
      <w:marLeft w:val="0"/>
      <w:marRight w:val="0"/>
      <w:marTop w:val="0"/>
      <w:marBottom w:val="0"/>
      <w:divBdr>
        <w:top w:val="none" w:sz="0" w:space="0" w:color="auto"/>
        <w:left w:val="none" w:sz="0" w:space="0" w:color="auto"/>
        <w:bottom w:val="none" w:sz="0" w:space="0" w:color="auto"/>
        <w:right w:val="none" w:sz="0" w:space="0" w:color="auto"/>
      </w:divBdr>
    </w:div>
    <w:div w:id="488446711">
      <w:bodyDiv w:val="1"/>
      <w:marLeft w:val="0"/>
      <w:marRight w:val="0"/>
      <w:marTop w:val="0"/>
      <w:marBottom w:val="0"/>
      <w:divBdr>
        <w:top w:val="none" w:sz="0" w:space="0" w:color="auto"/>
        <w:left w:val="none" w:sz="0" w:space="0" w:color="auto"/>
        <w:bottom w:val="none" w:sz="0" w:space="0" w:color="auto"/>
        <w:right w:val="none" w:sz="0" w:space="0" w:color="auto"/>
      </w:divBdr>
    </w:div>
    <w:div w:id="502207438">
      <w:bodyDiv w:val="1"/>
      <w:marLeft w:val="0"/>
      <w:marRight w:val="0"/>
      <w:marTop w:val="0"/>
      <w:marBottom w:val="0"/>
      <w:divBdr>
        <w:top w:val="none" w:sz="0" w:space="0" w:color="auto"/>
        <w:left w:val="none" w:sz="0" w:space="0" w:color="auto"/>
        <w:bottom w:val="none" w:sz="0" w:space="0" w:color="auto"/>
        <w:right w:val="none" w:sz="0" w:space="0" w:color="auto"/>
      </w:divBdr>
    </w:div>
    <w:div w:id="505748525">
      <w:bodyDiv w:val="1"/>
      <w:marLeft w:val="0"/>
      <w:marRight w:val="0"/>
      <w:marTop w:val="0"/>
      <w:marBottom w:val="0"/>
      <w:divBdr>
        <w:top w:val="none" w:sz="0" w:space="0" w:color="auto"/>
        <w:left w:val="none" w:sz="0" w:space="0" w:color="auto"/>
        <w:bottom w:val="none" w:sz="0" w:space="0" w:color="auto"/>
        <w:right w:val="none" w:sz="0" w:space="0" w:color="auto"/>
      </w:divBdr>
    </w:div>
    <w:div w:id="665982718">
      <w:bodyDiv w:val="1"/>
      <w:marLeft w:val="0"/>
      <w:marRight w:val="0"/>
      <w:marTop w:val="0"/>
      <w:marBottom w:val="0"/>
      <w:divBdr>
        <w:top w:val="none" w:sz="0" w:space="0" w:color="auto"/>
        <w:left w:val="none" w:sz="0" w:space="0" w:color="auto"/>
        <w:bottom w:val="none" w:sz="0" w:space="0" w:color="auto"/>
        <w:right w:val="none" w:sz="0" w:space="0" w:color="auto"/>
      </w:divBdr>
    </w:div>
    <w:div w:id="715276311">
      <w:bodyDiv w:val="1"/>
      <w:marLeft w:val="0"/>
      <w:marRight w:val="0"/>
      <w:marTop w:val="0"/>
      <w:marBottom w:val="0"/>
      <w:divBdr>
        <w:top w:val="none" w:sz="0" w:space="0" w:color="auto"/>
        <w:left w:val="none" w:sz="0" w:space="0" w:color="auto"/>
        <w:bottom w:val="none" w:sz="0" w:space="0" w:color="auto"/>
        <w:right w:val="none" w:sz="0" w:space="0" w:color="auto"/>
      </w:divBdr>
    </w:div>
    <w:div w:id="736394255">
      <w:bodyDiv w:val="1"/>
      <w:marLeft w:val="0"/>
      <w:marRight w:val="0"/>
      <w:marTop w:val="0"/>
      <w:marBottom w:val="0"/>
      <w:divBdr>
        <w:top w:val="none" w:sz="0" w:space="0" w:color="auto"/>
        <w:left w:val="none" w:sz="0" w:space="0" w:color="auto"/>
        <w:bottom w:val="none" w:sz="0" w:space="0" w:color="auto"/>
        <w:right w:val="none" w:sz="0" w:space="0" w:color="auto"/>
      </w:divBdr>
    </w:div>
    <w:div w:id="743986906">
      <w:bodyDiv w:val="1"/>
      <w:marLeft w:val="0"/>
      <w:marRight w:val="0"/>
      <w:marTop w:val="0"/>
      <w:marBottom w:val="0"/>
      <w:divBdr>
        <w:top w:val="none" w:sz="0" w:space="0" w:color="auto"/>
        <w:left w:val="none" w:sz="0" w:space="0" w:color="auto"/>
        <w:bottom w:val="none" w:sz="0" w:space="0" w:color="auto"/>
        <w:right w:val="none" w:sz="0" w:space="0" w:color="auto"/>
      </w:divBdr>
    </w:div>
    <w:div w:id="755899532">
      <w:bodyDiv w:val="1"/>
      <w:marLeft w:val="0"/>
      <w:marRight w:val="0"/>
      <w:marTop w:val="0"/>
      <w:marBottom w:val="0"/>
      <w:divBdr>
        <w:top w:val="none" w:sz="0" w:space="0" w:color="auto"/>
        <w:left w:val="none" w:sz="0" w:space="0" w:color="auto"/>
        <w:bottom w:val="none" w:sz="0" w:space="0" w:color="auto"/>
        <w:right w:val="none" w:sz="0" w:space="0" w:color="auto"/>
      </w:divBdr>
    </w:div>
    <w:div w:id="774010889">
      <w:bodyDiv w:val="1"/>
      <w:marLeft w:val="0"/>
      <w:marRight w:val="0"/>
      <w:marTop w:val="0"/>
      <w:marBottom w:val="0"/>
      <w:divBdr>
        <w:top w:val="none" w:sz="0" w:space="0" w:color="auto"/>
        <w:left w:val="none" w:sz="0" w:space="0" w:color="auto"/>
        <w:bottom w:val="none" w:sz="0" w:space="0" w:color="auto"/>
        <w:right w:val="none" w:sz="0" w:space="0" w:color="auto"/>
      </w:divBdr>
    </w:div>
    <w:div w:id="818694109">
      <w:bodyDiv w:val="1"/>
      <w:marLeft w:val="0"/>
      <w:marRight w:val="0"/>
      <w:marTop w:val="0"/>
      <w:marBottom w:val="0"/>
      <w:divBdr>
        <w:top w:val="none" w:sz="0" w:space="0" w:color="auto"/>
        <w:left w:val="none" w:sz="0" w:space="0" w:color="auto"/>
        <w:bottom w:val="none" w:sz="0" w:space="0" w:color="auto"/>
        <w:right w:val="none" w:sz="0" w:space="0" w:color="auto"/>
      </w:divBdr>
    </w:div>
    <w:div w:id="834953504">
      <w:bodyDiv w:val="1"/>
      <w:marLeft w:val="0"/>
      <w:marRight w:val="0"/>
      <w:marTop w:val="0"/>
      <w:marBottom w:val="0"/>
      <w:divBdr>
        <w:top w:val="none" w:sz="0" w:space="0" w:color="auto"/>
        <w:left w:val="none" w:sz="0" w:space="0" w:color="auto"/>
        <w:bottom w:val="none" w:sz="0" w:space="0" w:color="auto"/>
        <w:right w:val="none" w:sz="0" w:space="0" w:color="auto"/>
      </w:divBdr>
    </w:div>
    <w:div w:id="901328287">
      <w:bodyDiv w:val="1"/>
      <w:marLeft w:val="0"/>
      <w:marRight w:val="0"/>
      <w:marTop w:val="0"/>
      <w:marBottom w:val="0"/>
      <w:divBdr>
        <w:top w:val="none" w:sz="0" w:space="0" w:color="auto"/>
        <w:left w:val="none" w:sz="0" w:space="0" w:color="auto"/>
        <w:bottom w:val="none" w:sz="0" w:space="0" w:color="auto"/>
        <w:right w:val="none" w:sz="0" w:space="0" w:color="auto"/>
      </w:divBdr>
    </w:div>
    <w:div w:id="914822749">
      <w:bodyDiv w:val="1"/>
      <w:marLeft w:val="0"/>
      <w:marRight w:val="0"/>
      <w:marTop w:val="0"/>
      <w:marBottom w:val="0"/>
      <w:divBdr>
        <w:top w:val="none" w:sz="0" w:space="0" w:color="auto"/>
        <w:left w:val="none" w:sz="0" w:space="0" w:color="auto"/>
        <w:bottom w:val="none" w:sz="0" w:space="0" w:color="auto"/>
        <w:right w:val="none" w:sz="0" w:space="0" w:color="auto"/>
      </w:divBdr>
    </w:div>
    <w:div w:id="959267706">
      <w:bodyDiv w:val="1"/>
      <w:marLeft w:val="0"/>
      <w:marRight w:val="0"/>
      <w:marTop w:val="0"/>
      <w:marBottom w:val="0"/>
      <w:divBdr>
        <w:top w:val="none" w:sz="0" w:space="0" w:color="auto"/>
        <w:left w:val="none" w:sz="0" w:space="0" w:color="auto"/>
        <w:bottom w:val="none" w:sz="0" w:space="0" w:color="auto"/>
        <w:right w:val="none" w:sz="0" w:space="0" w:color="auto"/>
      </w:divBdr>
    </w:div>
    <w:div w:id="967473513">
      <w:bodyDiv w:val="1"/>
      <w:marLeft w:val="0"/>
      <w:marRight w:val="0"/>
      <w:marTop w:val="0"/>
      <w:marBottom w:val="0"/>
      <w:divBdr>
        <w:top w:val="none" w:sz="0" w:space="0" w:color="auto"/>
        <w:left w:val="none" w:sz="0" w:space="0" w:color="auto"/>
        <w:bottom w:val="none" w:sz="0" w:space="0" w:color="auto"/>
        <w:right w:val="none" w:sz="0" w:space="0" w:color="auto"/>
      </w:divBdr>
    </w:div>
    <w:div w:id="969093958">
      <w:bodyDiv w:val="1"/>
      <w:marLeft w:val="0"/>
      <w:marRight w:val="0"/>
      <w:marTop w:val="0"/>
      <w:marBottom w:val="0"/>
      <w:divBdr>
        <w:top w:val="none" w:sz="0" w:space="0" w:color="auto"/>
        <w:left w:val="none" w:sz="0" w:space="0" w:color="auto"/>
        <w:bottom w:val="none" w:sz="0" w:space="0" w:color="auto"/>
        <w:right w:val="none" w:sz="0" w:space="0" w:color="auto"/>
      </w:divBdr>
    </w:div>
    <w:div w:id="1006711784">
      <w:bodyDiv w:val="1"/>
      <w:marLeft w:val="0"/>
      <w:marRight w:val="0"/>
      <w:marTop w:val="0"/>
      <w:marBottom w:val="0"/>
      <w:divBdr>
        <w:top w:val="none" w:sz="0" w:space="0" w:color="auto"/>
        <w:left w:val="none" w:sz="0" w:space="0" w:color="auto"/>
        <w:bottom w:val="none" w:sz="0" w:space="0" w:color="auto"/>
        <w:right w:val="none" w:sz="0" w:space="0" w:color="auto"/>
      </w:divBdr>
    </w:div>
    <w:div w:id="1039017170">
      <w:bodyDiv w:val="1"/>
      <w:marLeft w:val="0"/>
      <w:marRight w:val="0"/>
      <w:marTop w:val="0"/>
      <w:marBottom w:val="0"/>
      <w:divBdr>
        <w:top w:val="none" w:sz="0" w:space="0" w:color="auto"/>
        <w:left w:val="none" w:sz="0" w:space="0" w:color="auto"/>
        <w:bottom w:val="none" w:sz="0" w:space="0" w:color="auto"/>
        <w:right w:val="none" w:sz="0" w:space="0" w:color="auto"/>
      </w:divBdr>
    </w:div>
    <w:div w:id="1047069787">
      <w:bodyDiv w:val="1"/>
      <w:marLeft w:val="0"/>
      <w:marRight w:val="0"/>
      <w:marTop w:val="0"/>
      <w:marBottom w:val="0"/>
      <w:divBdr>
        <w:top w:val="none" w:sz="0" w:space="0" w:color="auto"/>
        <w:left w:val="none" w:sz="0" w:space="0" w:color="auto"/>
        <w:bottom w:val="none" w:sz="0" w:space="0" w:color="auto"/>
        <w:right w:val="none" w:sz="0" w:space="0" w:color="auto"/>
      </w:divBdr>
    </w:div>
    <w:div w:id="1103527017">
      <w:bodyDiv w:val="1"/>
      <w:marLeft w:val="0"/>
      <w:marRight w:val="0"/>
      <w:marTop w:val="0"/>
      <w:marBottom w:val="0"/>
      <w:divBdr>
        <w:top w:val="none" w:sz="0" w:space="0" w:color="auto"/>
        <w:left w:val="none" w:sz="0" w:space="0" w:color="auto"/>
        <w:bottom w:val="none" w:sz="0" w:space="0" w:color="auto"/>
        <w:right w:val="none" w:sz="0" w:space="0" w:color="auto"/>
      </w:divBdr>
    </w:div>
    <w:div w:id="1137457946">
      <w:bodyDiv w:val="1"/>
      <w:marLeft w:val="0"/>
      <w:marRight w:val="0"/>
      <w:marTop w:val="0"/>
      <w:marBottom w:val="0"/>
      <w:divBdr>
        <w:top w:val="none" w:sz="0" w:space="0" w:color="auto"/>
        <w:left w:val="none" w:sz="0" w:space="0" w:color="auto"/>
        <w:bottom w:val="none" w:sz="0" w:space="0" w:color="auto"/>
        <w:right w:val="none" w:sz="0" w:space="0" w:color="auto"/>
      </w:divBdr>
    </w:div>
    <w:div w:id="1171529592">
      <w:bodyDiv w:val="1"/>
      <w:marLeft w:val="0"/>
      <w:marRight w:val="0"/>
      <w:marTop w:val="0"/>
      <w:marBottom w:val="0"/>
      <w:divBdr>
        <w:top w:val="none" w:sz="0" w:space="0" w:color="auto"/>
        <w:left w:val="none" w:sz="0" w:space="0" w:color="auto"/>
        <w:bottom w:val="none" w:sz="0" w:space="0" w:color="auto"/>
        <w:right w:val="none" w:sz="0" w:space="0" w:color="auto"/>
      </w:divBdr>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
    <w:div w:id="1211191539">
      <w:bodyDiv w:val="1"/>
      <w:marLeft w:val="0"/>
      <w:marRight w:val="0"/>
      <w:marTop w:val="0"/>
      <w:marBottom w:val="0"/>
      <w:divBdr>
        <w:top w:val="none" w:sz="0" w:space="0" w:color="auto"/>
        <w:left w:val="none" w:sz="0" w:space="0" w:color="auto"/>
        <w:bottom w:val="none" w:sz="0" w:space="0" w:color="auto"/>
        <w:right w:val="none" w:sz="0" w:space="0" w:color="auto"/>
      </w:divBdr>
    </w:div>
    <w:div w:id="1218513071">
      <w:bodyDiv w:val="1"/>
      <w:marLeft w:val="0"/>
      <w:marRight w:val="0"/>
      <w:marTop w:val="0"/>
      <w:marBottom w:val="0"/>
      <w:divBdr>
        <w:top w:val="none" w:sz="0" w:space="0" w:color="auto"/>
        <w:left w:val="none" w:sz="0" w:space="0" w:color="auto"/>
        <w:bottom w:val="none" w:sz="0" w:space="0" w:color="auto"/>
        <w:right w:val="none" w:sz="0" w:space="0" w:color="auto"/>
      </w:divBdr>
    </w:div>
    <w:div w:id="1236282577">
      <w:bodyDiv w:val="1"/>
      <w:marLeft w:val="0"/>
      <w:marRight w:val="0"/>
      <w:marTop w:val="0"/>
      <w:marBottom w:val="0"/>
      <w:divBdr>
        <w:top w:val="none" w:sz="0" w:space="0" w:color="auto"/>
        <w:left w:val="none" w:sz="0" w:space="0" w:color="auto"/>
        <w:bottom w:val="none" w:sz="0" w:space="0" w:color="auto"/>
        <w:right w:val="none" w:sz="0" w:space="0" w:color="auto"/>
      </w:divBdr>
    </w:div>
    <w:div w:id="1275139764">
      <w:bodyDiv w:val="1"/>
      <w:marLeft w:val="0"/>
      <w:marRight w:val="0"/>
      <w:marTop w:val="0"/>
      <w:marBottom w:val="0"/>
      <w:divBdr>
        <w:top w:val="none" w:sz="0" w:space="0" w:color="auto"/>
        <w:left w:val="none" w:sz="0" w:space="0" w:color="auto"/>
        <w:bottom w:val="none" w:sz="0" w:space="0" w:color="auto"/>
        <w:right w:val="none" w:sz="0" w:space="0" w:color="auto"/>
      </w:divBdr>
    </w:div>
    <w:div w:id="1281499276">
      <w:bodyDiv w:val="1"/>
      <w:marLeft w:val="0"/>
      <w:marRight w:val="0"/>
      <w:marTop w:val="0"/>
      <w:marBottom w:val="0"/>
      <w:divBdr>
        <w:top w:val="none" w:sz="0" w:space="0" w:color="auto"/>
        <w:left w:val="none" w:sz="0" w:space="0" w:color="auto"/>
        <w:bottom w:val="none" w:sz="0" w:space="0" w:color="auto"/>
        <w:right w:val="none" w:sz="0" w:space="0" w:color="auto"/>
      </w:divBdr>
    </w:div>
    <w:div w:id="1320620604">
      <w:bodyDiv w:val="1"/>
      <w:marLeft w:val="0"/>
      <w:marRight w:val="0"/>
      <w:marTop w:val="0"/>
      <w:marBottom w:val="0"/>
      <w:divBdr>
        <w:top w:val="none" w:sz="0" w:space="0" w:color="auto"/>
        <w:left w:val="none" w:sz="0" w:space="0" w:color="auto"/>
        <w:bottom w:val="none" w:sz="0" w:space="0" w:color="auto"/>
        <w:right w:val="none" w:sz="0" w:space="0" w:color="auto"/>
      </w:divBdr>
    </w:div>
    <w:div w:id="1352149538">
      <w:bodyDiv w:val="1"/>
      <w:marLeft w:val="0"/>
      <w:marRight w:val="0"/>
      <w:marTop w:val="0"/>
      <w:marBottom w:val="0"/>
      <w:divBdr>
        <w:top w:val="none" w:sz="0" w:space="0" w:color="auto"/>
        <w:left w:val="none" w:sz="0" w:space="0" w:color="auto"/>
        <w:bottom w:val="none" w:sz="0" w:space="0" w:color="auto"/>
        <w:right w:val="none" w:sz="0" w:space="0" w:color="auto"/>
      </w:divBdr>
    </w:div>
    <w:div w:id="1385566546">
      <w:bodyDiv w:val="1"/>
      <w:marLeft w:val="0"/>
      <w:marRight w:val="0"/>
      <w:marTop w:val="0"/>
      <w:marBottom w:val="0"/>
      <w:divBdr>
        <w:top w:val="none" w:sz="0" w:space="0" w:color="auto"/>
        <w:left w:val="none" w:sz="0" w:space="0" w:color="auto"/>
        <w:bottom w:val="none" w:sz="0" w:space="0" w:color="auto"/>
        <w:right w:val="none" w:sz="0" w:space="0" w:color="auto"/>
      </w:divBdr>
    </w:div>
    <w:div w:id="1474252449">
      <w:bodyDiv w:val="1"/>
      <w:marLeft w:val="0"/>
      <w:marRight w:val="0"/>
      <w:marTop w:val="0"/>
      <w:marBottom w:val="0"/>
      <w:divBdr>
        <w:top w:val="none" w:sz="0" w:space="0" w:color="auto"/>
        <w:left w:val="none" w:sz="0" w:space="0" w:color="auto"/>
        <w:bottom w:val="none" w:sz="0" w:space="0" w:color="auto"/>
        <w:right w:val="none" w:sz="0" w:space="0" w:color="auto"/>
      </w:divBdr>
    </w:div>
    <w:div w:id="1506750172">
      <w:bodyDiv w:val="1"/>
      <w:marLeft w:val="0"/>
      <w:marRight w:val="0"/>
      <w:marTop w:val="0"/>
      <w:marBottom w:val="0"/>
      <w:divBdr>
        <w:top w:val="none" w:sz="0" w:space="0" w:color="auto"/>
        <w:left w:val="none" w:sz="0" w:space="0" w:color="auto"/>
        <w:bottom w:val="none" w:sz="0" w:space="0" w:color="auto"/>
        <w:right w:val="none" w:sz="0" w:space="0" w:color="auto"/>
      </w:divBdr>
    </w:div>
    <w:div w:id="1513300331">
      <w:bodyDiv w:val="1"/>
      <w:marLeft w:val="0"/>
      <w:marRight w:val="0"/>
      <w:marTop w:val="0"/>
      <w:marBottom w:val="0"/>
      <w:divBdr>
        <w:top w:val="none" w:sz="0" w:space="0" w:color="auto"/>
        <w:left w:val="none" w:sz="0" w:space="0" w:color="auto"/>
        <w:bottom w:val="none" w:sz="0" w:space="0" w:color="auto"/>
        <w:right w:val="none" w:sz="0" w:space="0" w:color="auto"/>
      </w:divBdr>
    </w:div>
    <w:div w:id="1519929423">
      <w:bodyDiv w:val="1"/>
      <w:marLeft w:val="0"/>
      <w:marRight w:val="0"/>
      <w:marTop w:val="0"/>
      <w:marBottom w:val="0"/>
      <w:divBdr>
        <w:top w:val="none" w:sz="0" w:space="0" w:color="auto"/>
        <w:left w:val="none" w:sz="0" w:space="0" w:color="auto"/>
        <w:bottom w:val="none" w:sz="0" w:space="0" w:color="auto"/>
        <w:right w:val="none" w:sz="0" w:space="0" w:color="auto"/>
      </w:divBdr>
    </w:div>
    <w:div w:id="1542791315">
      <w:bodyDiv w:val="1"/>
      <w:marLeft w:val="0"/>
      <w:marRight w:val="0"/>
      <w:marTop w:val="0"/>
      <w:marBottom w:val="0"/>
      <w:divBdr>
        <w:top w:val="none" w:sz="0" w:space="0" w:color="auto"/>
        <w:left w:val="none" w:sz="0" w:space="0" w:color="auto"/>
        <w:bottom w:val="none" w:sz="0" w:space="0" w:color="auto"/>
        <w:right w:val="none" w:sz="0" w:space="0" w:color="auto"/>
      </w:divBdr>
    </w:div>
    <w:div w:id="1553079291">
      <w:bodyDiv w:val="1"/>
      <w:marLeft w:val="0"/>
      <w:marRight w:val="0"/>
      <w:marTop w:val="0"/>
      <w:marBottom w:val="0"/>
      <w:divBdr>
        <w:top w:val="none" w:sz="0" w:space="0" w:color="auto"/>
        <w:left w:val="none" w:sz="0" w:space="0" w:color="auto"/>
        <w:bottom w:val="none" w:sz="0" w:space="0" w:color="auto"/>
        <w:right w:val="none" w:sz="0" w:space="0" w:color="auto"/>
      </w:divBdr>
    </w:div>
    <w:div w:id="1569458275">
      <w:bodyDiv w:val="1"/>
      <w:marLeft w:val="0"/>
      <w:marRight w:val="0"/>
      <w:marTop w:val="0"/>
      <w:marBottom w:val="0"/>
      <w:divBdr>
        <w:top w:val="none" w:sz="0" w:space="0" w:color="auto"/>
        <w:left w:val="none" w:sz="0" w:space="0" w:color="auto"/>
        <w:bottom w:val="none" w:sz="0" w:space="0" w:color="auto"/>
        <w:right w:val="none" w:sz="0" w:space="0" w:color="auto"/>
      </w:divBdr>
    </w:div>
    <w:div w:id="1571697054">
      <w:bodyDiv w:val="1"/>
      <w:marLeft w:val="0"/>
      <w:marRight w:val="0"/>
      <w:marTop w:val="0"/>
      <w:marBottom w:val="0"/>
      <w:divBdr>
        <w:top w:val="none" w:sz="0" w:space="0" w:color="auto"/>
        <w:left w:val="none" w:sz="0" w:space="0" w:color="auto"/>
        <w:bottom w:val="none" w:sz="0" w:space="0" w:color="auto"/>
        <w:right w:val="none" w:sz="0" w:space="0" w:color="auto"/>
      </w:divBdr>
    </w:div>
    <w:div w:id="1585258595">
      <w:bodyDiv w:val="1"/>
      <w:marLeft w:val="0"/>
      <w:marRight w:val="0"/>
      <w:marTop w:val="0"/>
      <w:marBottom w:val="0"/>
      <w:divBdr>
        <w:top w:val="none" w:sz="0" w:space="0" w:color="auto"/>
        <w:left w:val="none" w:sz="0" w:space="0" w:color="auto"/>
        <w:bottom w:val="none" w:sz="0" w:space="0" w:color="auto"/>
        <w:right w:val="none" w:sz="0" w:space="0" w:color="auto"/>
      </w:divBdr>
    </w:div>
    <w:div w:id="1619683705">
      <w:bodyDiv w:val="1"/>
      <w:marLeft w:val="0"/>
      <w:marRight w:val="0"/>
      <w:marTop w:val="0"/>
      <w:marBottom w:val="0"/>
      <w:divBdr>
        <w:top w:val="none" w:sz="0" w:space="0" w:color="auto"/>
        <w:left w:val="none" w:sz="0" w:space="0" w:color="auto"/>
        <w:bottom w:val="none" w:sz="0" w:space="0" w:color="auto"/>
        <w:right w:val="none" w:sz="0" w:space="0" w:color="auto"/>
      </w:divBdr>
    </w:div>
    <w:div w:id="1679312212">
      <w:bodyDiv w:val="1"/>
      <w:marLeft w:val="0"/>
      <w:marRight w:val="0"/>
      <w:marTop w:val="0"/>
      <w:marBottom w:val="0"/>
      <w:divBdr>
        <w:top w:val="none" w:sz="0" w:space="0" w:color="auto"/>
        <w:left w:val="none" w:sz="0" w:space="0" w:color="auto"/>
        <w:bottom w:val="none" w:sz="0" w:space="0" w:color="auto"/>
        <w:right w:val="none" w:sz="0" w:space="0" w:color="auto"/>
      </w:divBdr>
    </w:div>
    <w:div w:id="1686205736">
      <w:bodyDiv w:val="1"/>
      <w:marLeft w:val="0"/>
      <w:marRight w:val="0"/>
      <w:marTop w:val="0"/>
      <w:marBottom w:val="0"/>
      <w:divBdr>
        <w:top w:val="none" w:sz="0" w:space="0" w:color="auto"/>
        <w:left w:val="none" w:sz="0" w:space="0" w:color="auto"/>
        <w:bottom w:val="none" w:sz="0" w:space="0" w:color="auto"/>
        <w:right w:val="none" w:sz="0" w:space="0" w:color="auto"/>
      </w:divBdr>
    </w:div>
    <w:div w:id="1745642825">
      <w:bodyDiv w:val="1"/>
      <w:marLeft w:val="0"/>
      <w:marRight w:val="0"/>
      <w:marTop w:val="0"/>
      <w:marBottom w:val="0"/>
      <w:divBdr>
        <w:top w:val="none" w:sz="0" w:space="0" w:color="auto"/>
        <w:left w:val="none" w:sz="0" w:space="0" w:color="auto"/>
        <w:bottom w:val="none" w:sz="0" w:space="0" w:color="auto"/>
        <w:right w:val="none" w:sz="0" w:space="0" w:color="auto"/>
      </w:divBdr>
    </w:div>
    <w:div w:id="1766152124">
      <w:bodyDiv w:val="1"/>
      <w:marLeft w:val="0"/>
      <w:marRight w:val="0"/>
      <w:marTop w:val="0"/>
      <w:marBottom w:val="0"/>
      <w:divBdr>
        <w:top w:val="none" w:sz="0" w:space="0" w:color="auto"/>
        <w:left w:val="none" w:sz="0" w:space="0" w:color="auto"/>
        <w:bottom w:val="none" w:sz="0" w:space="0" w:color="auto"/>
        <w:right w:val="none" w:sz="0" w:space="0" w:color="auto"/>
      </w:divBdr>
    </w:div>
    <w:div w:id="1924601595">
      <w:bodyDiv w:val="1"/>
      <w:marLeft w:val="0"/>
      <w:marRight w:val="0"/>
      <w:marTop w:val="0"/>
      <w:marBottom w:val="0"/>
      <w:divBdr>
        <w:top w:val="none" w:sz="0" w:space="0" w:color="auto"/>
        <w:left w:val="none" w:sz="0" w:space="0" w:color="auto"/>
        <w:bottom w:val="none" w:sz="0" w:space="0" w:color="auto"/>
        <w:right w:val="none" w:sz="0" w:space="0" w:color="auto"/>
      </w:divBdr>
    </w:div>
    <w:div w:id="1945649079">
      <w:bodyDiv w:val="1"/>
      <w:marLeft w:val="0"/>
      <w:marRight w:val="0"/>
      <w:marTop w:val="0"/>
      <w:marBottom w:val="0"/>
      <w:divBdr>
        <w:top w:val="none" w:sz="0" w:space="0" w:color="auto"/>
        <w:left w:val="none" w:sz="0" w:space="0" w:color="auto"/>
        <w:bottom w:val="none" w:sz="0" w:space="0" w:color="auto"/>
        <w:right w:val="none" w:sz="0" w:space="0" w:color="auto"/>
      </w:divBdr>
    </w:div>
    <w:div w:id="1981113560">
      <w:bodyDiv w:val="1"/>
      <w:marLeft w:val="0"/>
      <w:marRight w:val="0"/>
      <w:marTop w:val="0"/>
      <w:marBottom w:val="0"/>
      <w:divBdr>
        <w:top w:val="none" w:sz="0" w:space="0" w:color="auto"/>
        <w:left w:val="none" w:sz="0" w:space="0" w:color="auto"/>
        <w:bottom w:val="none" w:sz="0" w:space="0" w:color="auto"/>
        <w:right w:val="none" w:sz="0" w:space="0" w:color="auto"/>
      </w:divBdr>
    </w:div>
    <w:div w:id="2046445747">
      <w:bodyDiv w:val="1"/>
      <w:marLeft w:val="0"/>
      <w:marRight w:val="0"/>
      <w:marTop w:val="0"/>
      <w:marBottom w:val="0"/>
      <w:divBdr>
        <w:top w:val="none" w:sz="0" w:space="0" w:color="auto"/>
        <w:left w:val="none" w:sz="0" w:space="0" w:color="auto"/>
        <w:bottom w:val="none" w:sz="0" w:space="0" w:color="auto"/>
        <w:right w:val="none" w:sz="0" w:space="0" w:color="auto"/>
      </w:divBdr>
    </w:div>
    <w:div w:id="2133396079">
      <w:bodyDiv w:val="1"/>
      <w:marLeft w:val="0"/>
      <w:marRight w:val="0"/>
      <w:marTop w:val="0"/>
      <w:marBottom w:val="0"/>
      <w:divBdr>
        <w:top w:val="none" w:sz="0" w:space="0" w:color="auto"/>
        <w:left w:val="none" w:sz="0" w:space="0" w:color="auto"/>
        <w:bottom w:val="none" w:sz="0" w:space="0" w:color="auto"/>
        <w:right w:val="none" w:sz="0" w:space="0" w:color="auto"/>
      </w:divBdr>
    </w:div>
    <w:div w:id="21362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ovana.djeric\Dropbox\Makro%20sektor\6.%20Fiskalna%202024-2026%20-%20revidirana\Makro%20radni%20fajlovi\GRAFIKONI_MAKRO_sep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ovana.djeric\Dropbox\Makro%20sektor\6.%20Fiskalna%202024-2026%20-%20revidirana\Makro%20radni%20fajlovi\GRAFIKONI_MAKRO_sep2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ovana.djeric\Dropbox\Makro%20sektor\6.%20Fiskalna%202024-2026%20-%20revidirana\Makro%20radni%20fajlovi\GRAFIKONI_MAKRO_sep2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vladimir.malbasic\Dropbox\Makro%20sektor\2.%20F%20%20I%20%20S%20%20K%20%20A%20%20L\Budzeti%20obrazlozenja%20i%20excel%20fajlovi\3.%20budzet%202024\Budzet%202024%20prihodi%20tabele.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ladimir.malbasic\Dropbox\Makro%20sektor\2.%20F%20%20I%20%20S%20%20K%20%20A%20%20L\Budzeti%20obrazlozenja%20i%20excel%20fajlovi\3.%20budzet%202024\Budzet%202024%20prihodi%20tabel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7.0236607987885669E-2"/>
          <c:w val="0.90740810185185183"/>
          <c:h val="0.62091256084322588"/>
        </c:manualLayout>
      </c:layout>
      <c:barChart>
        <c:barDir val="col"/>
        <c:grouping val="stacked"/>
        <c:varyColors val="0"/>
        <c:ser>
          <c:idx val="0"/>
          <c:order val="0"/>
          <c:tx>
            <c:strRef>
              <c:f>BDPQ_doprinosi!$R$34</c:f>
              <c:strCache>
                <c:ptCount val="1"/>
                <c:pt idx="0">
                  <c:v>Пољопривреда</c:v>
                </c:pt>
              </c:strCache>
            </c:strRef>
          </c:tx>
          <c:spPr>
            <a:solidFill>
              <a:srgbClr val="10103C"/>
            </a:solidFill>
            <a:ln>
              <a:noFill/>
            </a:ln>
            <a:effectLst/>
          </c:spPr>
          <c:invertIfNegative val="0"/>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BDPQ_doprinosi!$BC$34:$BL$34</c:f>
              <c:numCache>
                <c:formatCode>0.0</c:formatCode>
                <c:ptCount val="10"/>
                <c:pt idx="0">
                  <c:v>-0.33796361791823409</c:v>
                </c:pt>
                <c:pt idx="1">
                  <c:v>-0.33263579462298948</c:v>
                </c:pt>
                <c:pt idx="2">
                  <c:v>-0.38875138265755815</c:v>
                </c:pt>
                <c:pt idx="3">
                  <c:v>-0.37559192336871122</c:v>
                </c:pt>
                <c:pt idx="4">
                  <c:v>-0.55977098102281819</c:v>
                </c:pt>
                <c:pt idx="5">
                  <c:v>-0.56078698537041638</c:v>
                </c:pt>
                <c:pt idx="6">
                  <c:v>-0.49780168947705417</c:v>
                </c:pt>
                <c:pt idx="7">
                  <c:v>-0.47570611423114345</c:v>
                </c:pt>
                <c:pt idx="8">
                  <c:v>0.38216404780832103</c:v>
                </c:pt>
                <c:pt idx="9">
                  <c:v>0.40776266799019101</c:v>
                </c:pt>
              </c:numCache>
            </c:numRef>
          </c:val>
          <c:extLst>
            <c:ext xmlns:c16="http://schemas.microsoft.com/office/drawing/2014/chart" uri="{C3380CC4-5D6E-409C-BE32-E72D297353CC}">
              <c16:uniqueId val="{00000000-054C-4F97-A284-99B981A49978}"/>
            </c:ext>
          </c:extLst>
        </c:ser>
        <c:ser>
          <c:idx val="1"/>
          <c:order val="1"/>
          <c:tx>
            <c:strRef>
              <c:f>BDPQ_doprinosi!$R$35</c:f>
              <c:strCache>
                <c:ptCount val="1"/>
                <c:pt idx="0">
                  <c:v>Индустрија</c:v>
                </c:pt>
              </c:strCache>
            </c:strRef>
          </c:tx>
          <c:spPr>
            <a:solidFill>
              <a:srgbClr val="29489A"/>
            </a:solidFill>
            <a:ln>
              <a:noFill/>
            </a:ln>
            <a:effectLst/>
          </c:spPr>
          <c:invertIfNegative val="0"/>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BDPQ_doprinosi!$BC$35:$BL$35</c:f>
              <c:numCache>
                <c:formatCode>0.0</c:formatCode>
                <c:ptCount val="10"/>
                <c:pt idx="0">
                  <c:v>0.86623784457617647</c:v>
                </c:pt>
                <c:pt idx="1">
                  <c:v>3.0116035665737875</c:v>
                </c:pt>
                <c:pt idx="2">
                  <c:v>0.44229871835361173</c:v>
                </c:pt>
                <c:pt idx="3">
                  <c:v>0.76353319208566306</c:v>
                </c:pt>
                <c:pt idx="4">
                  <c:v>0.37098868777865035</c:v>
                </c:pt>
                <c:pt idx="5">
                  <c:v>0.86061654122600051</c:v>
                </c:pt>
                <c:pt idx="6">
                  <c:v>-4.2501023124613083E-2</c:v>
                </c:pt>
                <c:pt idx="7">
                  <c:v>0.24487781169445708</c:v>
                </c:pt>
                <c:pt idx="8">
                  <c:v>0.37749081381914312</c:v>
                </c:pt>
                <c:pt idx="9">
                  <c:v>0.12246587310319004</c:v>
                </c:pt>
              </c:numCache>
            </c:numRef>
          </c:val>
          <c:extLst>
            <c:ext xmlns:c16="http://schemas.microsoft.com/office/drawing/2014/chart" uri="{C3380CC4-5D6E-409C-BE32-E72D297353CC}">
              <c16:uniqueId val="{00000001-054C-4F97-A284-99B981A49978}"/>
            </c:ext>
          </c:extLst>
        </c:ser>
        <c:ser>
          <c:idx val="2"/>
          <c:order val="2"/>
          <c:tx>
            <c:strRef>
              <c:f>BDPQ_doprinosi!$R$36</c:f>
              <c:strCache>
                <c:ptCount val="1"/>
                <c:pt idx="0">
                  <c:v>Грађевинарство</c:v>
                </c:pt>
              </c:strCache>
            </c:strRef>
          </c:tx>
          <c:spPr>
            <a:solidFill>
              <a:srgbClr val="2183C4"/>
            </a:solidFill>
            <a:ln>
              <a:noFill/>
            </a:ln>
            <a:effectLst/>
          </c:spPr>
          <c:invertIfNegative val="0"/>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BDPQ_doprinosi!$BC$36:$BL$36</c:f>
              <c:numCache>
                <c:formatCode>0.0</c:formatCode>
                <c:ptCount val="10"/>
                <c:pt idx="0">
                  <c:v>0.8782964750331147</c:v>
                </c:pt>
                <c:pt idx="1">
                  <c:v>0.97600347698533241</c:v>
                </c:pt>
                <c:pt idx="2">
                  <c:v>1.0663578838736805</c:v>
                </c:pt>
                <c:pt idx="3">
                  <c:v>0.91674545657571305</c:v>
                </c:pt>
                <c:pt idx="4">
                  <c:v>-0.29519482054377905</c:v>
                </c:pt>
                <c:pt idx="5">
                  <c:v>-0.38593965914292033</c:v>
                </c:pt>
                <c:pt idx="6">
                  <c:v>-0.74579620395638602</c:v>
                </c:pt>
                <c:pt idx="7">
                  <c:v>-0.87271907539098614</c:v>
                </c:pt>
                <c:pt idx="8">
                  <c:v>-9.936967895805135E-2</c:v>
                </c:pt>
                <c:pt idx="9">
                  <c:v>0.77969082229838793</c:v>
                </c:pt>
              </c:numCache>
            </c:numRef>
          </c:val>
          <c:extLst>
            <c:ext xmlns:c16="http://schemas.microsoft.com/office/drawing/2014/chart" uri="{C3380CC4-5D6E-409C-BE32-E72D297353CC}">
              <c16:uniqueId val="{00000002-054C-4F97-A284-99B981A49978}"/>
            </c:ext>
          </c:extLst>
        </c:ser>
        <c:ser>
          <c:idx val="3"/>
          <c:order val="3"/>
          <c:tx>
            <c:strRef>
              <c:f>BDPQ_doprinosi!$R$37</c:f>
              <c:strCache>
                <c:ptCount val="1"/>
                <c:pt idx="0">
                  <c:v>Услуге</c:v>
                </c:pt>
              </c:strCache>
            </c:strRef>
          </c:tx>
          <c:spPr>
            <a:solidFill>
              <a:srgbClr val="51BBE7"/>
            </a:solidFill>
            <a:ln>
              <a:noFill/>
            </a:ln>
            <a:effectLst/>
          </c:spPr>
          <c:invertIfNegative val="0"/>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BDPQ_doprinosi!$BC$37:$BL$37</c:f>
              <c:numCache>
                <c:formatCode>0.0</c:formatCode>
                <c:ptCount val="10"/>
                <c:pt idx="0">
                  <c:v>0.42551813302671754</c:v>
                </c:pt>
                <c:pt idx="1">
                  <c:v>7.2408138268489886</c:v>
                </c:pt>
                <c:pt idx="2">
                  <c:v>5.126963782756496</c:v>
                </c:pt>
                <c:pt idx="3">
                  <c:v>4.5994642271619499</c:v>
                </c:pt>
                <c:pt idx="4">
                  <c:v>3.1862360725194847</c:v>
                </c:pt>
                <c:pt idx="5">
                  <c:v>2.9906898524348353</c:v>
                </c:pt>
                <c:pt idx="6">
                  <c:v>1.8272465768092219</c:v>
                </c:pt>
                <c:pt idx="7">
                  <c:v>1.375898397499699</c:v>
                </c:pt>
                <c:pt idx="8">
                  <c:v>0.43692048475517142</c:v>
                </c:pt>
                <c:pt idx="9">
                  <c:v>0.57474824708056516</c:v>
                </c:pt>
              </c:numCache>
            </c:numRef>
          </c:val>
          <c:extLst>
            <c:ext xmlns:c16="http://schemas.microsoft.com/office/drawing/2014/chart" uri="{C3380CC4-5D6E-409C-BE32-E72D297353CC}">
              <c16:uniqueId val="{00000003-054C-4F97-A284-99B981A49978}"/>
            </c:ext>
          </c:extLst>
        </c:ser>
        <c:ser>
          <c:idx val="4"/>
          <c:order val="4"/>
          <c:tx>
            <c:strRef>
              <c:f>BDPQ_doprinosi!$R$38</c:f>
              <c:strCache>
                <c:ptCount val="1"/>
                <c:pt idx="0">
                  <c:v>Нето порези</c:v>
                </c:pt>
              </c:strCache>
            </c:strRef>
          </c:tx>
          <c:spPr>
            <a:solidFill>
              <a:srgbClr val="9ED1E6"/>
            </a:solidFill>
            <a:ln>
              <a:noFill/>
            </a:ln>
            <a:effectLst/>
          </c:spPr>
          <c:invertIfNegative val="0"/>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BDPQ_doprinosi!$BC$38:$BL$38</c:f>
              <c:numCache>
                <c:formatCode>0.0</c:formatCode>
                <c:ptCount val="10"/>
                <c:pt idx="0">
                  <c:v>-0.15865079095858167</c:v>
                </c:pt>
                <c:pt idx="1">
                  <c:v>2.8800300857009002</c:v>
                </c:pt>
                <c:pt idx="2">
                  <c:v>1.5441681120736972</c:v>
                </c:pt>
                <c:pt idx="3">
                  <c:v>1.3814077635507449</c:v>
                </c:pt>
                <c:pt idx="4">
                  <c:v>1.3431583037325701</c:v>
                </c:pt>
                <c:pt idx="5">
                  <c:v>0.93995629537012138</c:v>
                </c:pt>
                <c:pt idx="6">
                  <c:v>0.43862778692255533</c:v>
                </c:pt>
                <c:pt idx="7">
                  <c:v>0.18643976761282466</c:v>
                </c:pt>
                <c:pt idx="8">
                  <c:v>-0.22425232418732394</c:v>
                </c:pt>
                <c:pt idx="9">
                  <c:v>-0.2179762841949171</c:v>
                </c:pt>
              </c:numCache>
            </c:numRef>
          </c:val>
          <c:extLst>
            <c:ext xmlns:c16="http://schemas.microsoft.com/office/drawing/2014/chart" uri="{C3380CC4-5D6E-409C-BE32-E72D297353CC}">
              <c16:uniqueId val="{00000004-054C-4F97-A284-99B981A49978}"/>
            </c:ext>
          </c:extLst>
        </c:ser>
        <c:dLbls>
          <c:showLegendKey val="0"/>
          <c:showVal val="0"/>
          <c:showCatName val="0"/>
          <c:showSerName val="0"/>
          <c:showPercent val="0"/>
          <c:showBubbleSize val="0"/>
        </c:dLbls>
        <c:gapWidth val="60"/>
        <c:overlap val="100"/>
        <c:axId val="1768857792"/>
        <c:axId val="1768858336"/>
      </c:barChart>
      <c:lineChart>
        <c:grouping val="standard"/>
        <c:varyColors val="0"/>
        <c:ser>
          <c:idx val="5"/>
          <c:order val="5"/>
          <c:tx>
            <c:strRef>
              <c:f>BDPQ_doprinosi!$R$39</c:f>
              <c:strCache>
                <c:ptCount val="1"/>
                <c:pt idx="0">
                  <c:v>Реални раст БДП</c:v>
                </c:pt>
              </c:strCache>
            </c:strRef>
          </c:tx>
          <c:spPr>
            <a:ln w="28575" cap="rnd">
              <a:solidFill>
                <a:srgbClr val="FF0000"/>
              </a:solidFill>
              <a:round/>
            </a:ln>
            <a:effectLst/>
          </c:spPr>
          <c:marker>
            <c:symbol val="none"/>
          </c:marker>
          <c:dLbls>
            <c:dLbl>
              <c:idx val="0"/>
              <c:layout>
                <c:manualLayout>
                  <c:x val="-8.4733887430737995E-2"/>
                  <c:y val="-5.67912128958457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4C-4F97-A284-99B981A49978}"/>
                </c:ext>
              </c:extLst>
            </c:dLbl>
            <c:spPr>
              <a:noFill/>
              <a:ln>
                <a:noFill/>
              </a:ln>
              <a:effectLst/>
            </c:spPr>
            <c:txPr>
              <a:bodyPr rot="0" spcFirstLastPara="1" vertOverflow="ellipsis" vert="horz" wrap="square" anchor="ctr" anchorCtr="1"/>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BDPQ_doprinosi!$BC$32:$BL$33</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BDPQ_doprinosi!$BC$39:$BL$39</c:f>
              <c:numCache>
                <c:formatCode>0.0</c:formatCode>
                <c:ptCount val="10"/>
                <c:pt idx="0">
                  <c:v>1.6734380437592051</c:v>
                </c:pt>
                <c:pt idx="1">
                  <c:v>13.775815161486008</c:v>
                </c:pt>
                <c:pt idx="2">
                  <c:v>7.7910371143998844</c:v>
                </c:pt>
                <c:pt idx="3">
                  <c:v>7.2855587160053545</c:v>
                </c:pt>
                <c:pt idx="4">
                  <c:v>4.0454172624640989</c:v>
                </c:pt>
                <c:pt idx="5">
                  <c:v>3.8445360445176391</c:v>
                </c:pt>
                <c:pt idx="6">
                  <c:v>0.97977544717373632</c:v>
                </c:pt>
                <c:pt idx="7">
                  <c:v>0.4587907871848671</c:v>
                </c:pt>
                <c:pt idx="8">
                  <c:v>0.87295334323724205</c:v>
                </c:pt>
                <c:pt idx="9">
                  <c:v>1.6666913262773733</c:v>
                </c:pt>
              </c:numCache>
            </c:numRef>
          </c:val>
          <c:smooth val="0"/>
          <c:extLst>
            <c:ext xmlns:c16="http://schemas.microsoft.com/office/drawing/2014/chart" uri="{C3380CC4-5D6E-409C-BE32-E72D297353CC}">
              <c16:uniqueId val="{00000006-054C-4F97-A284-99B981A49978}"/>
            </c:ext>
          </c:extLst>
        </c:ser>
        <c:dLbls>
          <c:showLegendKey val="0"/>
          <c:showVal val="0"/>
          <c:showCatName val="0"/>
          <c:showSerName val="0"/>
          <c:showPercent val="0"/>
          <c:showBubbleSize val="0"/>
        </c:dLbls>
        <c:marker val="1"/>
        <c:smooth val="0"/>
        <c:axId val="1768857792"/>
        <c:axId val="1768858336"/>
      </c:lineChart>
      <c:catAx>
        <c:axId val="1768857792"/>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8336"/>
        <c:crosses val="autoZero"/>
        <c:auto val="1"/>
        <c:lblAlgn val="ctr"/>
        <c:lblOffset val="0"/>
        <c:noMultiLvlLbl val="0"/>
      </c:catAx>
      <c:valAx>
        <c:axId val="1768858336"/>
        <c:scaling>
          <c:orientation val="minMax"/>
          <c:min val="-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7792"/>
        <c:crosses val="autoZero"/>
        <c:crossBetween val="between"/>
        <c:majorUnit val="2"/>
      </c:valAx>
      <c:spPr>
        <a:noFill/>
        <a:ln>
          <a:noFill/>
        </a:ln>
        <a:effectLst/>
      </c:spPr>
    </c:plotArea>
    <c:legend>
      <c:legendPos val="b"/>
      <c:layout>
        <c:manualLayout>
          <c:xMode val="edge"/>
          <c:yMode val="edge"/>
          <c:x val="2.9349664625255175E-2"/>
          <c:y val="0.84945769449176611"/>
          <c:w val="0.93586103820355804"/>
          <c:h val="0.1475728752602688"/>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noFill/>
      <a:round/>
    </a:ln>
    <a:effectLst/>
  </c:spPr>
  <c:txPr>
    <a:bodyPr/>
    <a:lstStyle/>
    <a:p>
      <a:pPr>
        <a:defRPr sz="7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4.6197089947089945E-2"/>
          <c:w val="0.90740810185185183"/>
          <c:h val="0.63880572945331671"/>
        </c:manualLayout>
      </c:layout>
      <c:barChart>
        <c:barDir val="col"/>
        <c:grouping val="stacked"/>
        <c:varyColors val="0"/>
        <c:ser>
          <c:idx val="2"/>
          <c:order val="0"/>
          <c:tx>
            <c:strRef>
              <c:f>BDPQ_doprinosi!$R$8</c:f>
              <c:strCache>
                <c:ptCount val="1"/>
                <c:pt idx="0">
                  <c:v>Приватна потрошња</c:v>
                </c:pt>
              </c:strCache>
            </c:strRef>
          </c:tx>
          <c:spPr>
            <a:solidFill>
              <a:srgbClr val="10103C"/>
            </a:solidFill>
            <a:ln>
              <a:noFill/>
            </a:ln>
            <a:effectLst/>
          </c:spPr>
          <c:invertIfNegative val="0"/>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BDPQ_doprinosi!$BC$8:$BL$8</c:f>
              <c:numCache>
                <c:formatCode>0.0</c:formatCode>
                <c:ptCount val="10"/>
                <c:pt idx="0">
                  <c:v>-1.3183316927795941</c:v>
                </c:pt>
                <c:pt idx="1">
                  <c:v>11.750845098673363</c:v>
                </c:pt>
                <c:pt idx="2">
                  <c:v>5.6054290745929052</c:v>
                </c:pt>
                <c:pt idx="3">
                  <c:v>4.9492220628725203</c:v>
                </c:pt>
                <c:pt idx="4">
                  <c:v>4.2877047664472467</c:v>
                </c:pt>
                <c:pt idx="5">
                  <c:v>2.613894246615871</c:v>
                </c:pt>
                <c:pt idx="6">
                  <c:v>2.0228413113082162</c:v>
                </c:pt>
                <c:pt idx="7">
                  <c:v>0.98597905555296272</c:v>
                </c:pt>
                <c:pt idx="8">
                  <c:v>-0.18123377004112093</c:v>
                </c:pt>
                <c:pt idx="9">
                  <c:v>-0.30111112886614827</c:v>
                </c:pt>
              </c:numCache>
            </c:numRef>
          </c:val>
          <c:extLst>
            <c:ext xmlns:c16="http://schemas.microsoft.com/office/drawing/2014/chart" uri="{C3380CC4-5D6E-409C-BE32-E72D297353CC}">
              <c16:uniqueId val="{00000000-9E2B-485F-B8DB-4A60E54163BF}"/>
            </c:ext>
          </c:extLst>
        </c:ser>
        <c:ser>
          <c:idx val="3"/>
          <c:order val="1"/>
          <c:tx>
            <c:strRef>
              <c:f>BDPQ_doprinosi!$R$9</c:f>
              <c:strCache>
                <c:ptCount val="1"/>
                <c:pt idx="0">
                  <c:v>Државна потрошња</c:v>
                </c:pt>
              </c:strCache>
            </c:strRef>
          </c:tx>
          <c:spPr>
            <a:solidFill>
              <a:srgbClr val="29489A"/>
            </a:solidFill>
            <a:ln>
              <a:noFill/>
            </a:ln>
            <a:effectLst/>
          </c:spPr>
          <c:invertIfNegative val="0"/>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BDPQ_doprinosi!$BC$9:$BL$9</c:f>
              <c:numCache>
                <c:formatCode>0.0</c:formatCode>
                <c:ptCount val="10"/>
                <c:pt idx="0">
                  <c:v>0.29058963337119836</c:v>
                </c:pt>
                <c:pt idx="1">
                  <c:v>-0.25566274355820112</c:v>
                </c:pt>
                <c:pt idx="2">
                  <c:v>1.4906362796956565</c:v>
                </c:pt>
                <c:pt idx="3">
                  <c:v>1.2334457761395941</c:v>
                </c:pt>
                <c:pt idx="4">
                  <c:v>0.46339451975238821</c:v>
                </c:pt>
                <c:pt idx="5">
                  <c:v>0.81327649122968182</c:v>
                </c:pt>
                <c:pt idx="6">
                  <c:v>-0.61738857568075622</c:v>
                </c:pt>
                <c:pt idx="7">
                  <c:v>-0.41158470304850697</c:v>
                </c:pt>
                <c:pt idx="8">
                  <c:v>-0.82316206341009435</c:v>
                </c:pt>
                <c:pt idx="9">
                  <c:v>-0.18976939183177061</c:v>
                </c:pt>
              </c:numCache>
            </c:numRef>
          </c:val>
          <c:extLst>
            <c:ext xmlns:c16="http://schemas.microsoft.com/office/drawing/2014/chart" uri="{C3380CC4-5D6E-409C-BE32-E72D297353CC}">
              <c16:uniqueId val="{00000001-9E2B-485F-B8DB-4A60E54163BF}"/>
            </c:ext>
          </c:extLst>
        </c:ser>
        <c:ser>
          <c:idx val="1"/>
          <c:order val="2"/>
          <c:tx>
            <c:strRef>
              <c:f>BDPQ_doprinosi!$R$10</c:f>
              <c:strCache>
                <c:ptCount val="1"/>
                <c:pt idx="0">
                  <c:v>Инвестиције</c:v>
                </c:pt>
              </c:strCache>
            </c:strRef>
          </c:tx>
          <c:spPr>
            <a:solidFill>
              <a:srgbClr val="2183C4"/>
            </a:solidFill>
            <a:ln>
              <a:noFill/>
            </a:ln>
            <a:effectLst/>
          </c:spPr>
          <c:invertIfNegative val="0"/>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BDPQ_doprinosi!$BC$10:$BL$10</c:f>
              <c:numCache>
                <c:formatCode>0.0</c:formatCode>
                <c:ptCount val="10"/>
                <c:pt idx="0">
                  <c:v>2.3335824521108357</c:v>
                </c:pt>
                <c:pt idx="1">
                  <c:v>4.9526564595132641</c:v>
                </c:pt>
                <c:pt idx="2">
                  <c:v>3.3722145009004758</c:v>
                </c:pt>
                <c:pt idx="3">
                  <c:v>3.0654950208302254</c:v>
                </c:pt>
                <c:pt idx="4">
                  <c:v>0.24667584165285142</c:v>
                </c:pt>
                <c:pt idx="5">
                  <c:v>0.45844213088132291</c:v>
                </c:pt>
                <c:pt idx="6">
                  <c:v>-0.44299071903216009</c:v>
                </c:pt>
                <c:pt idx="7">
                  <c:v>-0.70319771848456125</c:v>
                </c:pt>
                <c:pt idx="8">
                  <c:v>0.44631455364659633</c:v>
                </c:pt>
                <c:pt idx="9">
                  <c:v>0.81638173848845152</c:v>
                </c:pt>
              </c:numCache>
            </c:numRef>
          </c:val>
          <c:extLst>
            <c:ext xmlns:c16="http://schemas.microsoft.com/office/drawing/2014/chart" uri="{C3380CC4-5D6E-409C-BE32-E72D297353CC}">
              <c16:uniqueId val="{00000002-9E2B-485F-B8DB-4A60E54163BF}"/>
            </c:ext>
          </c:extLst>
        </c:ser>
        <c:ser>
          <c:idx val="0"/>
          <c:order val="3"/>
          <c:tx>
            <c:strRef>
              <c:f>BDPQ_doprinosi!$R$11</c:f>
              <c:strCache>
                <c:ptCount val="1"/>
                <c:pt idx="0">
                  <c:v>Нето извоз</c:v>
                </c:pt>
              </c:strCache>
            </c:strRef>
          </c:tx>
          <c:spPr>
            <a:solidFill>
              <a:srgbClr val="51BBE7"/>
            </a:solidFill>
            <a:ln>
              <a:noFill/>
            </a:ln>
            <a:effectLst/>
          </c:spPr>
          <c:invertIfNegative val="0"/>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BDPQ_doprinosi!$BC$11:$BL$11</c:f>
              <c:numCache>
                <c:formatCode>0.0</c:formatCode>
                <c:ptCount val="10"/>
                <c:pt idx="0">
                  <c:v>5.1782091602850953</c:v>
                </c:pt>
                <c:pt idx="1">
                  <c:v>-5.4786673885216821</c:v>
                </c:pt>
                <c:pt idx="2">
                  <c:v>-1.1699814178736592</c:v>
                </c:pt>
                <c:pt idx="3">
                  <c:v>-1.0159271165917758</c:v>
                </c:pt>
                <c:pt idx="4">
                  <c:v>-9.1056944137168614</c:v>
                </c:pt>
                <c:pt idx="5">
                  <c:v>-2.9067182320581235</c:v>
                </c:pt>
                <c:pt idx="6">
                  <c:v>2.2659561897368468</c:v>
                </c:pt>
                <c:pt idx="7">
                  <c:v>2.864788068208509</c:v>
                </c:pt>
                <c:pt idx="8">
                  <c:v>6.3777759050945662</c:v>
                </c:pt>
                <c:pt idx="9">
                  <c:v>5.7429497318787934</c:v>
                </c:pt>
              </c:numCache>
            </c:numRef>
          </c:val>
          <c:extLst>
            <c:ext xmlns:c16="http://schemas.microsoft.com/office/drawing/2014/chart" uri="{C3380CC4-5D6E-409C-BE32-E72D297353CC}">
              <c16:uniqueId val="{00000003-9E2B-485F-B8DB-4A60E54163BF}"/>
            </c:ext>
          </c:extLst>
        </c:ser>
        <c:ser>
          <c:idx val="4"/>
          <c:order val="4"/>
          <c:tx>
            <c:strRef>
              <c:f>BDPQ_doprinosi!$R$12</c:f>
              <c:strCache>
                <c:ptCount val="1"/>
                <c:pt idx="0">
                  <c:v>Промена у залихама</c:v>
                </c:pt>
              </c:strCache>
            </c:strRef>
          </c:tx>
          <c:spPr>
            <a:solidFill>
              <a:srgbClr val="9ED1E6"/>
            </a:solidFill>
            <a:ln>
              <a:noFill/>
            </a:ln>
            <a:effectLst/>
          </c:spPr>
          <c:invertIfNegative val="0"/>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BDPQ_doprinosi!$BC$12:$BL$12</c:f>
              <c:numCache>
                <c:formatCode>0.0</c:formatCode>
                <c:ptCount val="10"/>
                <c:pt idx="0">
                  <c:v>-4.8106115092283162</c:v>
                </c:pt>
                <c:pt idx="1">
                  <c:v>2.8066437353792573</c:v>
                </c:pt>
                <c:pt idx="2">
                  <c:v>-1.5072613229155074</c:v>
                </c:pt>
                <c:pt idx="3">
                  <c:v>-0.94667702724521341</c:v>
                </c:pt>
                <c:pt idx="4">
                  <c:v>8.1533365483284701</c:v>
                </c:pt>
                <c:pt idx="5">
                  <c:v>2.8656414078488908</c:v>
                </c:pt>
                <c:pt idx="6">
                  <c:v>-2.2486427591584137</c:v>
                </c:pt>
                <c:pt idx="7">
                  <c:v>-2.2771939150435365</c:v>
                </c:pt>
                <c:pt idx="8">
                  <c:v>-4.9467412820527032</c:v>
                </c:pt>
                <c:pt idx="9">
                  <c:v>-4.4017596233919498</c:v>
                </c:pt>
              </c:numCache>
            </c:numRef>
          </c:val>
          <c:extLst>
            <c:ext xmlns:c16="http://schemas.microsoft.com/office/drawing/2014/chart" uri="{C3380CC4-5D6E-409C-BE32-E72D297353CC}">
              <c16:uniqueId val="{00000004-9E2B-485F-B8DB-4A60E54163BF}"/>
            </c:ext>
          </c:extLst>
        </c:ser>
        <c:dLbls>
          <c:showLegendKey val="0"/>
          <c:showVal val="0"/>
          <c:showCatName val="0"/>
          <c:showSerName val="0"/>
          <c:showPercent val="0"/>
          <c:showBubbleSize val="0"/>
        </c:dLbls>
        <c:gapWidth val="60"/>
        <c:overlap val="100"/>
        <c:axId val="1768857248"/>
        <c:axId val="1768855072"/>
      </c:barChart>
      <c:lineChart>
        <c:grouping val="standard"/>
        <c:varyColors val="0"/>
        <c:ser>
          <c:idx val="5"/>
          <c:order val="5"/>
          <c:tx>
            <c:strRef>
              <c:f>BDPQ_doprinosi!$R$13</c:f>
              <c:strCache>
                <c:ptCount val="1"/>
                <c:pt idx="0">
                  <c:v>Реални раст БДП</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BDPQ_doprinosi!$BC$5:$BL$6</c:f>
              <c:multiLvlStrCache>
                <c:ptCount val="10"/>
                <c:lvl>
                  <c:pt idx="0">
                    <c:v>Q1</c:v>
                  </c:pt>
                  <c:pt idx="1">
                    <c:v>Q2</c:v>
                  </c:pt>
                  <c:pt idx="2">
                    <c:v>Q3</c:v>
                  </c:pt>
                  <c:pt idx="3">
                    <c:v>Q4</c:v>
                  </c:pt>
                  <c:pt idx="4">
                    <c:v>Q1</c:v>
                  </c:pt>
                  <c:pt idx="5">
                    <c:v>Q2</c:v>
                  </c:pt>
                  <c:pt idx="6">
                    <c:v>Q3</c:v>
                  </c:pt>
                  <c:pt idx="7">
                    <c:v>Q4</c:v>
                  </c:pt>
                  <c:pt idx="8">
                    <c:v>Q1</c:v>
                  </c:pt>
                  <c:pt idx="9">
                    <c:v>Q2</c:v>
                  </c:pt>
                </c:lvl>
                <c:lvl>
                  <c:pt idx="0">
                    <c:v>2021</c:v>
                  </c:pt>
                  <c:pt idx="4">
                    <c:v>2022</c:v>
                  </c:pt>
                  <c:pt idx="8">
                    <c:v>2023</c:v>
                  </c:pt>
                </c:lvl>
              </c:multiLvlStrCache>
            </c:multiLvlStrRef>
          </c:cat>
          <c:val>
            <c:numRef>
              <c:f>BDPQ_doprinosi!$BC$13:$BL$13</c:f>
              <c:numCache>
                <c:formatCode>0.0</c:formatCode>
                <c:ptCount val="10"/>
                <c:pt idx="0">
                  <c:v>1.6734380437592189</c:v>
                </c:pt>
                <c:pt idx="1">
                  <c:v>13.775815161486001</c:v>
                </c:pt>
                <c:pt idx="2">
                  <c:v>7.7910371143998711</c:v>
                </c:pt>
                <c:pt idx="3">
                  <c:v>7.285558716005351</c:v>
                </c:pt>
                <c:pt idx="4">
                  <c:v>4.0454172624640954</c:v>
                </c:pt>
                <c:pt idx="5">
                  <c:v>3.8445360445176435</c:v>
                </c:pt>
                <c:pt idx="6">
                  <c:v>0.97977544717373333</c:v>
                </c:pt>
                <c:pt idx="7">
                  <c:v>0.45879078718486666</c:v>
                </c:pt>
                <c:pt idx="8">
                  <c:v>0.87295334323724394</c:v>
                </c:pt>
                <c:pt idx="9">
                  <c:v>1.6666913262773764</c:v>
                </c:pt>
              </c:numCache>
            </c:numRef>
          </c:val>
          <c:smooth val="0"/>
          <c:extLst>
            <c:ext xmlns:c16="http://schemas.microsoft.com/office/drawing/2014/chart" uri="{C3380CC4-5D6E-409C-BE32-E72D297353CC}">
              <c16:uniqueId val="{00000005-9E2B-485F-B8DB-4A60E54163BF}"/>
            </c:ext>
          </c:extLst>
        </c:ser>
        <c:dLbls>
          <c:showLegendKey val="0"/>
          <c:showVal val="0"/>
          <c:showCatName val="0"/>
          <c:showSerName val="0"/>
          <c:showPercent val="0"/>
          <c:showBubbleSize val="0"/>
        </c:dLbls>
        <c:marker val="1"/>
        <c:smooth val="0"/>
        <c:axId val="1768857248"/>
        <c:axId val="1768855072"/>
      </c:lineChart>
      <c:catAx>
        <c:axId val="1768857248"/>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5072"/>
        <c:crosses val="autoZero"/>
        <c:auto val="1"/>
        <c:lblAlgn val="ctr"/>
        <c:lblOffset val="0"/>
        <c:noMultiLvlLbl val="0"/>
      </c:catAx>
      <c:valAx>
        <c:axId val="1768855072"/>
        <c:scaling>
          <c:orientation val="minMax"/>
          <c:max val="22"/>
          <c:min val="-1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7248"/>
        <c:crosses val="autoZero"/>
        <c:crossBetween val="between"/>
        <c:majorUnit val="4"/>
      </c:valAx>
      <c:spPr>
        <a:noFill/>
        <a:ln>
          <a:noFill/>
        </a:ln>
        <a:effectLst/>
      </c:spPr>
    </c:plotArea>
    <c:legend>
      <c:legendPos val="b"/>
      <c:layout>
        <c:manualLayout>
          <c:xMode val="edge"/>
          <c:yMode val="edge"/>
          <c:x val="0"/>
          <c:y val="0.83244109195402283"/>
          <c:w val="1"/>
          <c:h val="0.16755890804597701"/>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noFill/>
      <a:round/>
    </a:ln>
    <a:effectLst/>
  </c:spPr>
  <c:txPr>
    <a:bodyPr/>
    <a:lstStyle/>
    <a:p>
      <a:pPr>
        <a:defRPr sz="7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372776319626709E-2"/>
          <c:y val="4.6196881091617931E-2"/>
          <c:w val="0.90740810185185183"/>
          <c:h val="0.69442489430984933"/>
        </c:manualLayout>
      </c:layout>
      <c:barChart>
        <c:barDir val="col"/>
        <c:grouping val="stacked"/>
        <c:varyColors val="0"/>
        <c:ser>
          <c:idx val="0"/>
          <c:order val="1"/>
          <c:tx>
            <c:strRef>
              <c:f>IPAS_doprinosi!$D$11</c:f>
              <c:strCache>
                <c:ptCount val="1"/>
                <c:pt idx="0">
                  <c:v>Пољопривреда</c:v>
                </c:pt>
              </c:strCache>
            </c:strRef>
          </c:tx>
          <c:spPr>
            <a:solidFill>
              <a:srgbClr val="10103C"/>
            </a:solidFill>
            <a:ln>
              <a:noFill/>
            </a:ln>
            <a:effectLst/>
          </c:spPr>
          <c:invertIfNegative val="0"/>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IPAS_doprinosi!$D$48:$D$66</c:f>
              <c:numCache>
                <c:formatCode>0.0</c:formatCode>
                <c:ptCount val="19"/>
                <c:pt idx="0">
                  <c:v>-0.55719304887614407</c:v>
                </c:pt>
                <c:pt idx="1">
                  <c:v>-0.54898394684249563</c:v>
                </c:pt>
                <c:pt idx="2">
                  <c:v>-0.57220053635734902</c:v>
                </c:pt>
                <c:pt idx="3">
                  <c:v>-0.53718021191702836</c:v>
                </c:pt>
                <c:pt idx="4">
                  <c:v>-0.57747167219192896</c:v>
                </c:pt>
                <c:pt idx="5">
                  <c:v>-0.56652350567174092</c:v>
                </c:pt>
                <c:pt idx="6">
                  <c:v>-0.54359413986137906</c:v>
                </c:pt>
                <c:pt idx="7">
                  <c:v>-0.47802090539717002</c:v>
                </c:pt>
                <c:pt idx="8">
                  <c:v>-0.4726258547636028</c:v>
                </c:pt>
                <c:pt idx="9">
                  <c:v>-0.48362677613087018</c:v>
                </c:pt>
                <c:pt idx="10">
                  <c:v>-0.46197017652696631</c:v>
                </c:pt>
                <c:pt idx="11">
                  <c:v>-0.48182901753931073</c:v>
                </c:pt>
                <c:pt idx="12">
                  <c:v>0.12461867868204272</c:v>
                </c:pt>
                <c:pt idx="13">
                  <c:v>0.12646648796361101</c:v>
                </c:pt>
                <c:pt idx="14">
                  <c:v>5.5303910763253264E-2</c:v>
                </c:pt>
                <c:pt idx="15">
                  <c:v>0.47982473914242491</c:v>
                </c:pt>
                <c:pt idx="16">
                  <c:v>0.44694815294244528</c:v>
                </c:pt>
                <c:pt idx="17">
                  <c:v>0.36341020089838094</c:v>
                </c:pt>
                <c:pt idx="18">
                  <c:v>0.91533293224633006</c:v>
                </c:pt>
              </c:numCache>
            </c:numRef>
          </c:val>
          <c:extLst>
            <c:ext xmlns:c16="http://schemas.microsoft.com/office/drawing/2014/chart" uri="{C3380CC4-5D6E-409C-BE32-E72D297353CC}">
              <c16:uniqueId val="{00000000-39CB-4BC6-A775-043A4D6451FD}"/>
            </c:ext>
          </c:extLst>
        </c:ser>
        <c:ser>
          <c:idx val="1"/>
          <c:order val="2"/>
          <c:tx>
            <c:strRef>
              <c:f>IPAS_doprinosi!$E$11</c:f>
              <c:strCache>
                <c:ptCount val="1"/>
                <c:pt idx="0">
                  <c:v>Индустрија</c:v>
                </c:pt>
              </c:strCache>
            </c:strRef>
          </c:tx>
          <c:spPr>
            <a:solidFill>
              <a:srgbClr val="2183C4"/>
            </a:solidFill>
            <a:ln>
              <a:noFill/>
            </a:ln>
            <a:effectLst/>
          </c:spPr>
          <c:invertIfNegative val="0"/>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IPAS_doprinosi!$E$48:$E$66</c:f>
              <c:numCache>
                <c:formatCode>0.0</c:formatCode>
                <c:ptCount val="19"/>
                <c:pt idx="0">
                  <c:v>9.0888440464789888E-2</c:v>
                </c:pt>
                <c:pt idx="1">
                  <c:v>0.2189163970349102</c:v>
                </c:pt>
                <c:pt idx="2">
                  <c:v>0.77057203270607011</c:v>
                </c:pt>
                <c:pt idx="3">
                  <c:v>0.351913780400674</c:v>
                </c:pt>
                <c:pt idx="4">
                  <c:v>1.2549232114167945</c:v>
                </c:pt>
                <c:pt idx="5">
                  <c:v>0.95082802030864011</c:v>
                </c:pt>
                <c:pt idx="6">
                  <c:v>-6.2148841800721243E-3</c:v>
                </c:pt>
                <c:pt idx="7">
                  <c:v>-0.12567476448851114</c:v>
                </c:pt>
                <c:pt idx="8">
                  <c:v>3.4869181326025621E-3</c:v>
                </c:pt>
                <c:pt idx="9">
                  <c:v>0.21684592235802283</c:v>
                </c:pt>
                <c:pt idx="10">
                  <c:v>0.18056503197678106</c:v>
                </c:pt>
                <c:pt idx="11">
                  <c:v>0.3379040735624162</c:v>
                </c:pt>
                <c:pt idx="12">
                  <c:v>0.67833153758351517</c:v>
                </c:pt>
                <c:pt idx="13">
                  <c:v>0.21095392212400893</c:v>
                </c:pt>
                <c:pt idx="14">
                  <c:v>0.16600151496809692</c:v>
                </c:pt>
                <c:pt idx="15">
                  <c:v>-2.522727414751172E-3</c:v>
                </c:pt>
                <c:pt idx="16">
                  <c:v>0.22488259533729288</c:v>
                </c:pt>
                <c:pt idx="17">
                  <c:v>0.10698100237478406</c:v>
                </c:pt>
                <c:pt idx="18">
                  <c:v>0.46777614567089876</c:v>
                </c:pt>
              </c:numCache>
            </c:numRef>
          </c:val>
          <c:extLst>
            <c:ext xmlns:c16="http://schemas.microsoft.com/office/drawing/2014/chart" uri="{C3380CC4-5D6E-409C-BE32-E72D297353CC}">
              <c16:uniqueId val="{00000001-39CB-4BC6-A775-043A4D6451FD}"/>
            </c:ext>
          </c:extLst>
        </c:ser>
        <c:ser>
          <c:idx val="2"/>
          <c:order val="3"/>
          <c:tx>
            <c:strRef>
              <c:f>IPAS_doprinosi!$F$11</c:f>
              <c:strCache>
                <c:ptCount val="1"/>
                <c:pt idx="0">
                  <c:v>Грађевинарство</c:v>
                </c:pt>
              </c:strCache>
            </c:strRef>
          </c:tx>
          <c:spPr>
            <a:solidFill>
              <a:srgbClr val="51BBE7"/>
            </a:solidFill>
            <a:ln>
              <a:noFill/>
            </a:ln>
            <a:effectLst/>
          </c:spPr>
          <c:invertIfNegative val="0"/>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IPAS_doprinosi!$F$48:$F$66</c:f>
              <c:numCache>
                <c:formatCode>0.0</c:formatCode>
                <c:ptCount val="19"/>
                <c:pt idx="0">
                  <c:v>-0.25621757074265633</c:v>
                </c:pt>
                <c:pt idx="1">
                  <c:v>-0.27232708489447482</c:v>
                </c:pt>
                <c:pt idx="2">
                  <c:v>-0.35238938885444354</c:v>
                </c:pt>
                <c:pt idx="3">
                  <c:v>-0.42067266004649401</c:v>
                </c:pt>
                <c:pt idx="4">
                  <c:v>-0.22647189881384205</c:v>
                </c:pt>
                <c:pt idx="5">
                  <c:v>-0.50713012215375408</c:v>
                </c:pt>
                <c:pt idx="6">
                  <c:v>-0.87195429237222566</c:v>
                </c:pt>
                <c:pt idx="7">
                  <c:v>-0.60820177779877105</c:v>
                </c:pt>
                <c:pt idx="8">
                  <c:v>-0.75761242578754007</c:v>
                </c:pt>
                <c:pt idx="9">
                  <c:v>-0.77332794977776365</c:v>
                </c:pt>
                <c:pt idx="10">
                  <c:v>-1.0693244432566669</c:v>
                </c:pt>
                <c:pt idx="11">
                  <c:v>-0.77126437461411934</c:v>
                </c:pt>
                <c:pt idx="12">
                  <c:v>5.9495259583680259E-2</c:v>
                </c:pt>
                <c:pt idx="13">
                  <c:v>-0.11605512528376917</c:v>
                </c:pt>
                <c:pt idx="14">
                  <c:v>-0.24161795347662118</c:v>
                </c:pt>
                <c:pt idx="15">
                  <c:v>0.33182800988830136</c:v>
                </c:pt>
                <c:pt idx="16">
                  <c:v>0.98662370577488867</c:v>
                </c:pt>
                <c:pt idx="17">
                  <c:v>0.9685718173693566</c:v>
                </c:pt>
                <c:pt idx="18">
                  <c:v>0.23839049361052889</c:v>
                </c:pt>
              </c:numCache>
            </c:numRef>
          </c:val>
          <c:extLst>
            <c:ext xmlns:c16="http://schemas.microsoft.com/office/drawing/2014/chart" uri="{C3380CC4-5D6E-409C-BE32-E72D297353CC}">
              <c16:uniqueId val="{00000002-39CB-4BC6-A775-043A4D6451FD}"/>
            </c:ext>
          </c:extLst>
        </c:ser>
        <c:ser>
          <c:idx val="3"/>
          <c:order val="4"/>
          <c:tx>
            <c:strRef>
              <c:f>IPAS_doprinosi!$G$11</c:f>
              <c:strCache>
                <c:ptCount val="1"/>
                <c:pt idx="0">
                  <c:v>Услуге</c:v>
                </c:pt>
              </c:strCache>
            </c:strRef>
          </c:tx>
          <c:spPr>
            <a:solidFill>
              <a:srgbClr val="90CAE2"/>
            </a:solidFill>
            <a:ln>
              <a:noFill/>
            </a:ln>
            <a:effectLst/>
          </c:spPr>
          <c:invertIfNegative val="0"/>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IPAS_doprinosi!$G$48:$G$66</c:f>
              <c:numCache>
                <c:formatCode>0.0</c:formatCode>
                <c:ptCount val="19"/>
                <c:pt idx="0">
                  <c:v>3.8893545066171602</c:v>
                </c:pt>
                <c:pt idx="1">
                  <c:v>2.9927870747180396</c:v>
                </c:pt>
                <c:pt idx="2">
                  <c:v>2.719437448004022</c:v>
                </c:pt>
                <c:pt idx="3">
                  <c:v>3.6884996882608752</c:v>
                </c:pt>
                <c:pt idx="4">
                  <c:v>2.9825599704162986</c:v>
                </c:pt>
                <c:pt idx="5">
                  <c:v>2.355068558218568</c:v>
                </c:pt>
                <c:pt idx="6">
                  <c:v>1.8555042839909017</c:v>
                </c:pt>
                <c:pt idx="7">
                  <c:v>2.1053056395102465</c:v>
                </c:pt>
                <c:pt idx="8">
                  <c:v>1.5281625679188129</c:v>
                </c:pt>
                <c:pt idx="9">
                  <c:v>1.5992734375319497</c:v>
                </c:pt>
                <c:pt idx="10">
                  <c:v>1.3415631391043725</c:v>
                </c:pt>
                <c:pt idx="11">
                  <c:v>1.1900000434669296</c:v>
                </c:pt>
                <c:pt idx="12">
                  <c:v>0.84216038218419997</c:v>
                </c:pt>
                <c:pt idx="13">
                  <c:v>0.62673396617294863</c:v>
                </c:pt>
                <c:pt idx="14">
                  <c:v>0.22874657007883714</c:v>
                </c:pt>
                <c:pt idx="15">
                  <c:v>0.11327412091763117</c:v>
                </c:pt>
                <c:pt idx="16">
                  <c:v>0.59401201035507811</c:v>
                </c:pt>
                <c:pt idx="17">
                  <c:v>0.89563672111432435</c:v>
                </c:pt>
                <c:pt idx="18">
                  <c:v>0.88495307944420798</c:v>
                </c:pt>
              </c:numCache>
            </c:numRef>
          </c:val>
          <c:extLst>
            <c:ext xmlns:c16="http://schemas.microsoft.com/office/drawing/2014/chart" uri="{C3380CC4-5D6E-409C-BE32-E72D297353CC}">
              <c16:uniqueId val="{00000003-39CB-4BC6-A775-043A4D6451FD}"/>
            </c:ext>
          </c:extLst>
        </c:ser>
        <c:ser>
          <c:idx val="4"/>
          <c:order val="5"/>
          <c:tx>
            <c:strRef>
              <c:f>IPAS_doprinosi!$H$11</c:f>
              <c:strCache>
                <c:ptCount val="1"/>
                <c:pt idx="0">
                  <c:v>Нето порези</c:v>
                </c:pt>
              </c:strCache>
            </c:strRef>
          </c:tx>
          <c:spPr>
            <a:solidFill>
              <a:srgbClr val="C9E4EB"/>
            </a:solidFill>
            <a:ln>
              <a:noFill/>
            </a:ln>
            <a:effectLst/>
          </c:spPr>
          <c:invertIfNegative val="0"/>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IPAS_doprinosi!$H$48:$H$66</c:f>
              <c:numCache>
                <c:formatCode>0.0</c:formatCode>
                <c:ptCount val="19"/>
                <c:pt idx="0">
                  <c:v>0.63064678649819794</c:v>
                </c:pt>
                <c:pt idx="1">
                  <c:v>1.4777836198349843</c:v>
                </c:pt>
                <c:pt idx="2">
                  <c:v>1.8734443694022096</c:v>
                </c:pt>
                <c:pt idx="3">
                  <c:v>0.91858392345263074</c:v>
                </c:pt>
                <c:pt idx="4">
                  <c:v>0.95398218526242495</c:v>
                </c:pt>
                <c:pt idx="5">
                  <c:v>0.9461872130988338</c:v>
                </c:pt>
                <c:pt idx="6">
                  <c:v>0.43512439717222046</c:v>
                </c:pt>
                <c:pt idx="7">
                  <c:v>0.49692920542916658</c:v>
                </c:pt>
                <c:pt idx="8">
                  <c:v>0.38507997788721465</c:v>
                </c:pt>
                <c:pt idx="9">
                  <c:v>0.15052706612769312</c:v>
                </c:pt>
                <c:pt idx="10">
                  <c:v>0.20659118435249241</c:v>
                </c:pt>
                <c:pt idx="11">
                  <c:v>0.20146666144582587</c:v>
                </c:pt>
                <c:pt idx="12">
                  <c:v>0.11647192024191774</c:v>
                </c:pt>
                <c:pt idx="13">
                  <c:v>1.1568664672203683E-2</c:v>
                </c:pt>
                <c:pt idx="14">
                  <c:v>-0.74854508414118415</c:v>
                </c:pt>
                <c:pt idx="15">
                  <c:v>-8.2223893455612984E-2</c:v>
                </c:pt>
                <c:pt idx="16">
                  <c:v>-0.2269172361830884</c:v>
                </c:pt>
                <c:pt idx="17">
                  <c:v>-0.24713416081103973</c:v>
                </c:pt>
                <c:pt idx="18">
                  <c:v>-5.1114001462427248E-2</c:v>
                </c:pt>
              </c:numCache>
            </c:numRef>
          </c:val>
          <c:extLst>
            <c:ext xmlns:c16="http://schemas.microsoft.com/office/drawing/2014/chart" uri="{C3380CC4-5D6E-409C-BE32-E72D297353CC}">
              <c16:uniqueId val="{00000004-39CB-4BC6-A775-043A4D6451FD}"/>
            </c:ext>
          </c:extLst>
        </c:ser>
        <c:dLbls>
          <c:showLegendKey val="0"/>
          <c:showVal val="0"/>
          <c:showCatName val="0"/>
          <c:showSerName val="0"/>
          <c:showPercent val="0"/>
          <c:showBubbleSize val="0"/>
        </c:dLbls>
        <c:gapWidth val="60"/>
        <c:overlap val="100"/>
        <c:axId val="1961434128"/>
        <c:axId val="1961419984"/>
      </c:barChart>
      <c:lineChart>
        <c:grouping val="standard"/>
        <c:varyColors val="0"/>
        <c:ser>
          <c:idx val="5"/>
          <c:order val="0"/>
          <c:tx>
            <c:strRef>
              <c:f>IPAS_doprinosi!$C$11</c:f>
              <c:strCache>
                <c:ptCount val="1"/>
                <c:pt idx="0">
                  <c:v>БДП</c:v>
                </c:pt>
              </c:strCache>
            </c:strRef>
          </c:tx>
          <c:spPr>
            <a:ln w="2222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IPAS_doprinosi!$A$48:$B$66</c:f>
              <c:multiLvlStrCache>
                <c:ptCount val="19"/>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lvl>
                <c:lvl>
                  <c:pt idx="0">
                    <c:v>2022</c:v>
                  </c:pt>
                  <c:pt idx="12">
                    <c:v>2023</c:v>
                  </c:pt>
                </c:lvl>
              </c:multiLvlStrCache>
            </c:multiLvlStrRef>
          </c:cat>
          <c:val>
            <c:numRef>
              <c:f>IPAS_doprinosi!$C$48:$C$66</c:f>
              <c:numCache>
                <c:formatCode>0.0</c:formatCode>
                <c:ptCount val="19"/>
                <c:pt idx="0">
                  <c:v>3.7974793121923214</c:v>
                </c:pt>
                <c:pt idx="1">
                  <c:v>3.8681762852531074</c:v>
                </c:pt>
                <c:pt idx="2">
                  <c:v>4.4388640738392038</c:v>
                </c:pt>
                <c:pt idx="3">
                  <c:v>4.0011447394283177</c:v>
                </c:pt>
                <c:pt idx="4">
                  <c:v>4.387522224669298</c:v>
                </c:pt>
                <c:pt idx="5">
                  <c:v>3.1784303880079854</c:v>
                </c:pt>
                <c:pt idx="6">
                  <c:v>0.86886547752585797</c:v>
                </c:pt>
                <c:pt idx="7">
                  <c:v>1.3903373550984044</c:v>
                </c:pt>
                <c:pt idx="8">
                  <c:v>0.68649104617191159</c:v>
                </c:pt>
                <c:pt idx="9">
                  <c:v>0.70969163380462319</c:v>
                </c:pt>
                <c:pt idx="10">
                  <c:v>0.19742468226010959</c:v>
                </c:pt>
                <c:pt idx="11">
                  <c:v>0.47627737428194772</c:v>
                </c:pt>
                <c:pt idx="12">
                  <c:v>1.8210777782753558</c:v>
                </c:pt>
                <c:pt idx="13">
                  <c:v>0.85966791564900302</c:v>
                </c:pt>
                <c:pt idx="14">
                  <c:v>-0.54011104180761804</c:v>
                </c:pt>
                <c:pt idx="15">
                  <c:v>0.84018024907799327</c:v>
                </c:pt>
                <c:pt idx="16">
                  <c:v>2.0255492282266165</c:v>
                </c:pt>
                <c:pt idx="17">
                  <c:v>2.0874655809458065</c:v>
                </c:pt>
                <c:pt idx="18">
                  <c:v>2.4553386495095406</c:v>
                </c:pt>
              </c:numCache>
            </c:numRef>
          </c:val>
          <c:smooth val="0"/>
          <c:extLst>
            <c:ext xmlns:c16="http://schemas.microsoft.com/office/drawing/2014/chart" uri="{C3380CC4-5D6E-409C-BE32-E72D297353CC}">
              <c16:uniqueId val="{00000005-39CB-4BC6-A775-043A4D6451FD}"/>
            </c:ext>
          </c:extLst>
        </c:ser>
        <c:dLbls>
          <c:showLegendKey val="0"/>
          <c:showVal val="0"/>
          <c:showCatName val="0"/>
          <c:showSerName val="0"/>
          <c:showPercent val="0"/>
          <c:showBubbleSize val="0"/>
        </c:dLbls>
        <c:marker val="1"/>
        <c:smooth val="0"/>
        <c:axId val="1961434128"/>
        <c:axId val="1961419984"/>
      </c:lineChart>
      <c:catAx>
        <c:axId val="1961434128"/>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419984"/>
        <c:crosses val="autoZero"/>
        <c:auto val="1"/>
        <c:lblAlgn val="ctr"/>
        <c:lblOffset val="0"/>
        <c:noMultiLvlLbl val="0"/>
      </c:catAx>
      <c:valAx>
        <c:axId val="19614199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434128"/>
        <c:crosses val="autoZero"/>
        <c:crossBetween val="between"/>
        <c:majorUnit val="2"/>
        <c:minorUnit val="0.4"/>
      </c:valAx>
      <c:spPr>
        <a:noFill/>
        <a:ln>
          <a:noFill/>
        </a:ln>
        <a:effectLst/>
      </c:spPr>
    </c:plotArea>
    <c:legend>
      <c:legendPos val="b"/>
      <c:layout>
        <c:manualLayout>
          <c:xMode val="edge"/>
          <c:yMode val="edge"/>
          <c:x val="7.4441623474628835E-2"/>
          <c:y val="0.85597395370257834"/>
          <c:w val="0.88171770195392241"/>
          <c:h val="0.12217104686989963"/>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7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200" b="1">
                <a:solidFill>
                  <a:sysClr val="windowText" lastClr="000000"/>
                </a:solidFill>
              </a:rPr>
              <a:t>Приходи </a:t>
            </a:r>
            <a:r>
              <a:rPr lang="sr-Cyrl-RS" sz="1200" b="1">
                <a:solidFill>
                  <a:sysClr val="windowText" lastClr="000000"/>
                </a:solidFill>
              </a:rPr>
              <a:t>ребаланс</a:t>
            </a:r>
            <a:r>
              <a:rPr lang="en-US" sz="1200" b="1">
                <a:solidFill>
                  <a:sysClr val="windowText" lastClr="000000"/>
                </a:solidFill>
              </a:rPr>
              <a:t> </a:t>
            </a:r>
            <a:r>
              <a:rPr lang="sr-Cyrl-RS" sz="1200" b="1">
                <a:solidFill>
                  <a:sysClr val="windowText" lastClr="000000"/>
                </a:solidFill>
              </a:rPr>
              <a:t>и буџет </a:t>
            </a:r>
            <a:r>
              <a:rPr lang="en-US" sz="1200" b="1">
                <a:solidFill>
                  <a:sysClr val="windowText" lastClr="000000"/>
                </a:solidFill>
              </a:rPr>
              <a:t>20</a:t>
            </a:r>
            <a:r>
              <a:rPr lang="sr-Cyrl-RS" sz="1200" b="1">
                <a:solidFill>
                  <a:sysClr val="windowText" lastClr="000000"/>
                </a:solidFill>
              </a:rPr>
              <a:t>24</a:t>
            </a:r>
            <a:r>
              <a:rPr lang="en-US" sz="1200" b="1">
                <a:solidFill>
                  <a:sysClr val="windowText" lastClr="000000"/>
                </a:solidFill>
              </a:rPr>
              <a:t>. </a:t>
            </a:r>
            <a:r>
              <a:rPr lang="sr-Cyrl-RS" sz="1200" b="1">
                <a:solidFill>
                  <a:sysClr val="windowText" lastClr="000000"/>
                </a:solidFill>
              </a:rPr>
              <a:t>године</a:t>
            </a:r>
          </a:p>
        </c:rich>
      </c:tx>
      <c:layout>
        <c:manualLayout>
          <c:xMode val="edge"/>
          <c:yMode val="edge"/>
          <c:x val="0.2885903201659219"/>
          <c:y val="1.7003346019506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624341663311179"/>
          <c:y val="9.8619514239313658E-2"/>
          <c:w val="0.86570102251172576"/>
          <c:h val="0.66855917237796736"/>
        </c:manualLayout>
      </c:layout>
      <c:barChart>
        <c:barDir val="col"/>
        <c:grouping val="clustered"/>
        <c:varyColors val="0"/>
        <c:ser>
          <c:idx val="0"/>
          <c:order val="0"/>
          <c:tx>
            <c:strRef>
              <c:f>'табела поређења'!$B$4</c:f>
              <c:strCache>
                <c:ptCount val="1"/>
                <c:pt idx="0">
                  <c:v>Ребаланс 2023</c:v>
                </c:pt>
              </c:strCache>
            </c:strRef>
          </c:tx>
          <c:spPr>
            <a:solidFill>
              <a:schemeClr val="accent1">
                <a:lumMod val="40000"/>
                <a:lumOff val="60000"/>
              </a:schemeClr>
            </a:solidFill>
            <a:ln>
              <a:noFill/>
            </a:ln>
            <a:effectLst/>
          </c:spPr>
          <c:invertIfNegative val="0"/>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поређења'!$B$7:$B$10,'табела поређења'!$B$14:$B$17)</c:f>
              <c:numCache>
                <c:formatCode>#,##0.0</c:formatCode>
                <c:ptCount val="8"/>
                <c:pt idx="0">
                  <c:v>111.5</c:v>
                </c:pt>
                <c:pt idx="1">
                  <c:v>238</c:v>
                </c:pt>
                <c:pt idx="2">
                  <c:v>823.7</c:v>
                </c:pt>
                <c:pt idx="3">
                  <c:v>362</c:v>
                </c:pt>
                <c:pt idx="4">
                  <c:v>83</c:v>
                </c:pt>
                <c:pt idx="5">
                  <c:v>14.3</c:v>
                </c:pt>
                <c:pt idx="6">
                  <c:v>224.864249</c:v>
                </c:pt>
                <c:pt idx="7">
                  <c:v>46.600814</c:v>
                </c:pt>
              </c:numCache>
            </c:numRef>
          </c:val>
          <c:extLst>
            <c:ext xmlns:c16="http://schemas.microsoft.com/office/drawing/2014/chart" uri="{C3380CC4-5D6E-409C-BE32-E72D297353CC}">
              <c16:uniqueId val="{00000000-6B22-4ABE-A62B-BAEC0451BC0D}"/>
            </c:ext>
          </c:extLst>
        </c:ser>
        <c:ser>
          <c:idx val="1"/>
          <c:order val="1"/>
          <c:tx>
            <c:strRef>
              <c:f>'табела поређења'!$C$4</c:f>
              <c:strCache>
                <c:ptCount val="1"/>
                <c:pt idx="0">
                  <c:v>Буџет 2024</c:v>
                </c:pt>
              </c:strCache>
            </c:strRef>
          </c:tx>
          <c:spPr>
            <a:solidFill>
              <a:schemeClr val="accent2"/>
            </a:solidFill>
            <a:ln>
              <a:noFill/>
            </a:ln>
            <a:effectLst/>
          </c:spPr>
          <c:invertIfNegative val="0"/>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поређења'!$C$7:$C$10,'табела поређења'!$C$14:$C$17)</c:f>
              <c:numCache>
                <c:formatCode>#,##0.0</c:formatCode>
                <c:ptCount val="8"/>
                <c:pt idx="0">
                  <c:v>122.8</c:v>
                </c:pt>
                <c:pt idx="1">
                  <c:v>230</c:v>
                </c:pt>
                <c:pt idx="2">
                  <c:v>908</c:v>
                </c:pt>
                <c:pt idx="3">
                  <c:v>395</c:v>
                </c:pt>
                <c:pt idx="4">
                  <c:v>88</c:v>
                </c:pt>
                <c:pt idx="5">
                  <c:v>14.8</c:v>
                </c:pt>
                <c:pt idx="6">
                  <c:v>246.64675</c:v>
                </c:pt>
                <c:pt idx="7">
                  <c:v>35.627049706000001</c:v>
                </c:pt>
              </c:numCache>
            </c:numRef>
          </c:val>
          <c:extLst>
            <c:ext xmlns:c16="http://schemas.microsoft.com/office/drawing/2014/chart" uri="{C3380CC4-5D6E-409C-BE32-E72D297353CC}">
              <c16:uniqueId val="{00000001-6B22-4ABE-A62B-BAEC0451BC0D}"/>
            </c:ext>
          </c:extLst>
        </c:ser>
        <c:dLbls>
          <c:showLegendKey val="0"/>
          <c:showVal val="0"/>
          <c:showCatName val="0"/>
          <c:showSerName val="0"/>
          <c:showPercent val="0"/>
          <c:showBubbleSize val="0"/>
        </c:dLbls>
        <c:gapWidth val="50"/>
        <c:overlap val="1"/>
        <c:axId val="540867352"/>
        <c:axId val="540867744"/>
      </c:barChart>
      <c:lineChart>
        <c:grouping val="standard"/>
        <c:varyColors val="0"/>
        <c:ser>
          <c:idx val="2"/>
          <c:order val="2"/>
          <c:tx>
            <c:strRef>
              <c:f>'табела поређења'!$D$4</c:f>
              <c:strCache>
                <c:ptCount val="1"/>
                <c:pt idx="0">
                  <c:v>Индекс 2024/2023</c:v>
                </c:pt>
              </c:strCache>
            </c:strRef>
          </c:tx>
          <c:spPr>
            <a:ln w="28575" cap="rnd">
              <a:solidFill>
                <a:schemeClr val="accent3"/>
              </a:solidFill>
              <a:round/>
            </a:ln>
            <a:effectLst/>
          </c:spPr>
          <c:marker>
            <c:symbol val="none"/>
          </c:marker>
          <c:dLbls>
            <c:dLbl>
              <c:idx val="0"/>
              <c:layout>
                <c:manualLayout>
                  <c:x val="-4.4871794871794872E-2"/>
                  <c:y val="-2.0460358056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22-4ABE-A62B-BAEC0451BC0D}"/>
                </c:ext>
              </c:extLst>
            </c:dLbl>
            <c:dLbl>
              <c:idx val="1"/>
              <c:layout>
                <c:manualLayout>
                  <c:x val="-3.4188034188034191E-2"/>
                  <c:y val="2.0460358056265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22-4ABE-A62B-BAEC0451BC0D}"/>
                </c:ext>
              </c:extLst>
            </c:dLbl>
            <c:dLbl>
              <c:idx val="2"/>
              <c:layout>
                <c:manualLayout>
                  <c:x val="-2.3504273504273504E-2"/>
                  <c:y val="-3.4100596760443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22-4ABE-A62B-BAEC0451BC0D}"/>
                </c:ext>
              </c:extLst>
            </c:dLbl>
            <c:dLbl>
              <c:idx val="3"/>
              <c:layout>
                <c:manualLayout>
                  <c:x val="-7.8346673280123027E-17"/>
                  <c:y val="-2.0460358056265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22-4ABE-A62B-BAEC0451BC0D}"/>
                </c:ext>
              </c:extLst>
            </c:dLbl>
            <c:dLbl>
              <c:idx val="4"/>
              <c:layout>
                <c:manualLayout>
                  <c:x val="-4.2735042735042739E-3"/>
                  <c:y val="-2.7280477408354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22-4ABE-A62B-BAEC0451BC0D}"/>
                </c:ext>
              </c:extLst>
            </c:dLbl>
            <c:dLbl>
              <c:idx val="5"/>
              <c:layout>
                <c:manualLayout>
                  <c:x val="-6.41025641025641E-3"/>
                  <c:y val="-3.7510656436487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22-4ABE-A62B-BAEC0451BC0D}"/>
                </c:ext>
              </c:extLst>
            </c:dLbl>
            <c:dLbl>
              <c:idx val="7"/>
              <c:layout>
                <c:manualLayout>
                  <c:x val="-2.564102564102564E-2"/>
                  <c:y val="4.0920716112531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22-4ABE-A62B-BAEC0451BC0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поређења'!$D$7:$D$10,'табела поређења'!$D$14:$D$17)</c:f>
              <c:numCache>
                <c:formatCode>0.0</c:formatCode>
                <c:ptCount val="8"/>
                <c:pt idx="0">
                  <c:v>110.13452914798205</c:v>
                </c:pt>
                <c:pt idx="1">
                  <c:v>96.638655462184872</c:v>
                </c:pt>
                <c:pt idx="2">
                  <c:v>110.23430860750271</c:v>
                </c:pt>
                <c:pt idx="3">
                  <c:v>109.11602209944751</c:v>
                </c:pt>
                <c:pt idx="4">
                  <c:v>106.02409638554218</c:v>
                </c:pt>
                <c:pt idx="5">
                  <c:v>103.49650349650349</c:v>
                </c:pt>
                <c:pt idx="6">
                  <c:v>109.68695606209948</c:v>
                </c:pt>
                <c:pt idx="7">
                  <c:v>76.451560923377869</c:v>
                </c:pt>
              </c:numCache>
            </c:numRef>
          </c:val>
          <c:smooth val="0"/>
          <c:extLst>
            <c:ext xmlns:c16="http://schemas.microsoft.com/office/drawing/2014/chart" uri="{C3380CC4-5D6E-409C-BE32-E72D297353CC}">
              <c16:uniqueId val="{00000009-6B22-4ABE-A62B-BAEC0451BC0D}"/>
            </c:ext>
          </c:extLst>
        </c:ser>
        <c:dLbls>
          <c:showLegendKey val="0"/>
          <c:showVal val="0"/>
          <c:showCatName val="0"/>
          <c:showSerName val="0"/>
          <c:showPercent val="0"/>
          <c:showBubbleSize val="0"/>
        </c:dLbls>
        <c:marker val="1"/>
        <c:smooth val="0"/>
        <c:axId val="540864216"/>
        <c:axId val="540863824"/>
      </c:lineChart>
      <c:catAx>
        <c:axId val="54086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0867744"/>
        <c:crosses val="autoZero"/>
        <c:auto val="1"/>
        <c:lblAlgn val="ctr"/>
        <c:lblOffset val="100"/>
        <c:noMultiLvlLbl val="0"/>
      </c:catAx>
      <c:valAx>
        <c:axId val="54086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0867352"/>
        <c:crosses val="autoZero"/>
        <c:crossBetween val="between"/>
      </c:valAx>
      <c:valAx>
        <c:axId val="5408638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0864216"/>
        <c:crosses val="max"/>
        <c:crossBetween val="between"/>
      </c:valAx>
      <c:catAx>
        <c:axId val="540864216"/>
        <c:scaling>
          <c:orientation val="minMax"/>
        </c:scaling>
        <c:delete val="1"/>
        <c:axPos val="b"/>
        <c:numFmt formatCode="General" sourceLinked="1"/>
        <c:majorTickMark val="out"/>
        <c:minorTickMark val="none"/>
        <c:tickLblPos val="nextTo"/>
        <c:crossAx val="540863824"/>
        <c:crosses val="autoZero"/>
        <c:auto val="1"/>
        <c:lblAlgn val="ctr"/>
        <c:lblOffset val="100"/>
        <c:noMultiLvlLbl val="0"/>
      </c:catAx>
      <c:spPr>
        <a:noFill/>
        <a:ln>
          <a:noFill/>
        </a:ln>
        <a:effectLst/>
      </c:spPr>
    </c:plotArea>
    <c:legend>
      <c:legendPos val="b"/>
      <c:layout>
        <c:manualLayout>
          <c:xMode val="edge"/>
          <c:yMode val="edge"/>
          <c:x val="0.19385254727774412"/>
          <c:y val="0.94248813527465081"/>
          <c:w val="0.61229490544451171"/>
          <c:h val="5.410180504930489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r>
              <a:rPr lang="sr-Cyrl-RS" b="1">
                <a:latin typeface="Times New Roman" panose="02020603050405020304" pitchFamily="18" charset="0"/>
                <a:cs typeface="Times New Roman" panose="02020603050405020304" pitchFamily="18" charset="0"/>
              </a:rPr>
              <a:t>Структура прихода у 2024</a:t>
            </a:r>
            <a:r>
              <a:rPr lang="en-US" b="1">
                <a:latin typeface="Times New Roman" panose="02020603050405020304" pitchFamily="18" charset="0"/>
                <a:cs typeface="Times New Roman" panose="02020603050405020304" pitchFamily="18" charset="0"/>
              </a:rPr>
              <a:t>.</a:t>
            </a:r>
            <a:r>
              <a:rPr lang="en-US" b="1" baseline="0">
                <a:latin typeface="Times New Roman" panose="02020603050405020304" pitchFamily="18" charset="0"/>
                <a:cs typeface="Times New Roman" panose="02020603050405020304" pitchFamily="18" charset="0"/>
              </a:rPr>
              <a:t> </a:t>
            </a:r>
            <a:r>
              <a:rPr lang="sr-Cyrl-RS" b="1" baseline="0">
                <a:latin typeface="Times New Roman" panose="02020603050405020304" pitchFamily="18" charset="0"/>
                <a:cs typeface="Times New Roman" panose="02020603050405020304" pitchFamily="18" charset="0"/>
              </a:rPr>
              <a:t>години</a:t>
            </a:r>
            <a:r>
              <a:rPr lang="sr-Cyrl-RS" b="1">
                <a:latin typeface="Times New Roman" panose="02020603050405020304" pitchFamily="18" charset="0"/>
                <a:cs typeface="Times New Roman" panose="02020603050405020304" pitchFamily="18" charset="0"/>
              </a:rPr>
              <a:t>, у %</a:t>
            </a:r>
          </a:p>
        </c:rich>
      </c:tx>
      <c:layout>
        <c:manualLayout>
          <c:xMode val="edge"/>
          <c:yMode val="edge"/>
          <c:x val="0.28110269870112392"/>
          <c:y val="1.248864395212481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en-US"/>
        </a:p>
      </c:txPr>
    </c:title>
    <c:autoTitleDeleted val="0"/>
    <c:plotArea>
      <c:layout>
        <c:manualLayout>
          <c:layoutTarget val="inner"/>
          <c:xMode val="edge"/>
          <c:yMode val="edge"/>
          <c:x val="0.24889878864151879"/>
          <c:y val="0.14066780312254784"/>
          <c:w val="0.46554284674811686"/>
          <c:h val="0.84829585734772839"/>
        </c:manualLayout>
      </c:layout>
      <c:pieChart>
        <c:varyColors val="1"/>
        <c:ser>
          <c:idx val="0"/>
          <c:order val="0"/>
          <c:tx>
            <c:strRef>
              <c:f>'табела поређења'!$F$4</c:f>
              <c:strCache>
                <c:ptCount val="1"/>
                <c:pt idx="0">
                  <c:v>Структура прихода  2024, у %</c:v>
                </c:pt>
              </c:strCache>
            </c:strRef>
          </c:tx>
          <c:explosion val="3"/>
          <c:dPt>
            <c:idx val="0"/>
            <c:bubble3D val="0"/>
            <c:spPr>
              <a:solidFill>
                <a:schemeClr val="accent1">
                  <a:shade val="45000"/>
                </a:schemeClr>
              </a:solidFill>
              <a:ln>
                <a:noFill/>
              </a:ln>
              <a:effectLst/>
            </c:spPr>
            <c:extLst>
              <c:ext xmlns:c16="http://schemas.microsoft.com/office/drawing/2014/chart" uri="{C3380CC4-5D6E-409C-BE32-E72D297353CC}">
                <c16:uniqueId val="{00000001-C995-4BBA-A431-C2206DA4E08E}"/>
              </c:ext>
            </c:extLst>
          </c:dPt>
          <c:dPt>
            <c:idx val="1"/>
            <c:bubble3D val="0"/>
            <c:spPr>
              <a:solidFill>
                <a:schemeClr val="accent1">
                  <a:shade val="61000"/>
                </a:schemeClr>
              </a:solidFill>
              <a:ln>
                <a:noFill/>
              </a:ln>
              <a:effectLst/>
            </c:spPr>
            <c:extLst>
              <c:ext xmlns:c16="http://schemas.microsoft.com/office/drawing/2014/chart" uri="{C3380CC4-5D6E-409C-BE32-E72D297353CC}">
                <c16:uniqueId val="{00000003-C995-4BBA-A431-C2206DA4E08E}"/>
              </c:ext>
            </c:extLst>
          </c:dPt>
          <c:dPt>
            <c:idx val="2"/>
            <c:bubble3D val="0"/>
            <c:spPr>
              <a:solidFill>
                <a:schemeClr val="accent1">
                  <a:shade val="76000"/>
                </a:schemeClr>
              </a:solidFill>
              <a:ln>
                <a:noFill/>
              </a:ln>
              <a:effectLst/>
            </c:spPr>
            <c:extLst>
              <c:ext xmlns:c16="http://schemas.microsoft.com/office/drawing/2014/chart" uri="{C3380CC4-5D6E-409C-BE32-E72D297353CC}">
                <c16:uniqueId val="{00000005-C995-4BBA-A431-C2206DA4E08E}"/>
              </c:ext>
            </c:extLst>
          </c:dPt>
          <c:dPt>
            <c:idx val="3"/>
            <c:bubble3D val="0"/>
            <c:spPr>
              <a:solidFill>
                <a:schemeClr val="accent1">
                  <a:shade val="92000"/>
                </a:schemeClr>
              </a:solidFill>
              <a:ln>
                <a:noFill/>
              </a:ln>
              <a:effectLst/>
            </c:spPr>
            <c:extLst>
              <c:ext xmlns:c16="http://schemas.microsoft.com/office/drawing/2014/chart" uri="{C3380CC4-5D6E-409C-BE32-E72D297353CC}">
                <c16:uniqueId val="{00000007-C995-4BBA-A431-C2206DA4E08E}"/>
              </c:ext>
            </c:extLst>
          </c:dPt>
          <c:dPt>
            <c:idx val="4"/>
            <c:bubble3D val="0"/>
            <c:spPr>
              <a:solidFill>
                <a:schemeClr val="accent1">
                  <a:tint val="93000"/>
                </a:schemeClr>
              </a:solidFill>
              <a:ln>
                <a:noFill/>
              </a:ln>
              <a:effectLst/>
            </c:spPr>
            <c:extLst>
              <c:ext xmlns:c16="http://schemas.microsoft.com/office/drawing/2014/chart" uri="{C3380CC4-5D6E-409C-BE32-E72D297353CC}">
                <c16:uniqueId val="{00000009-C995-4BBA-A431-C2206DA4E08E}"/>
              </c:ext>
            </c:extLst>
          </c:dPt>
          <c:dPt>
            <c:idx val="5"/>
            <c:bubble3D val="0"/>
            <c:spPr>
              <a:solidFill>
                <a:schemeClr val="accent1">
                  <a:tint val="77000"/>
                </a:schemeClr>
              </a:solidFill>
              <a:ln>
                <a:noFill/>
              </a:ln>
              <a:effectLst/>
            </c:spPr>
            <c:extLst>
              <c:ext xmlns:c16="http://schemas.microsoft.com/office/drawing/2014/chart" uri="{C3380CC4-5D6E-409C-BE32-E72D297353CC}">
                <c16:uniqueId val="{0000000B-C995-4BBA-A431-C2206DA4E08E}"/>
              </c:ext>
            </c:extLst>
          </c:dPt>
          <c:dPt>
            <c:idx val="6"/>
            <c:bubble3D val="0"/>
            <c:spPr>
              <a:solidFill>
                <a:schemeClr val="accent1">
                  <a:tint val="62000"/>
                </a:schemeClr>
              </a:solidFill>
              <a:ln>
                <a:noFill/>
              </a:ln>
              <a:effectLst/>
            </c:spPr>
            <c:extLst>
              <c:ext xmlns:c16="http://schemas.microsoft.com/office/drawing/2014/chart" uri="{C3380CC4-5D6E-409C-BE32-E72D297353CC}">
                <c16:uniqueId val="{0000000D-C995-4BBA-A431-C2206DA4E08E}"/>
              </c:ext>
            </c:extLst>
          </c:dPt>
          <c:dPt>
            <c:idx val="7"/>
            <c:bubble3D val="0"/>
            <c:spPr>
              <a:solidFill>
                <a:schemeClr val="accent1">
                  <a:tint val="46000"/>
                </a:schemeClr>
              </a:solidFill>
              <a:ln>
                <a:noFill/>
              </a:ln>
              <a:effectLst/>
            </c:spPr>
            <c:extLst>
              <c:ext xmlns:c16="http://schemas.microsoft.com/office/drawing/2014/chart" uri="{C3380CC4-5D6E-409C-BE32-E72D297353CC}">
                <c16:uniqueId val="{0000000F-C995-4BBA-A431-C2206DA4E08E}"/>
              </c:ext>
            </c:extLst>
          </c:dPt>
          <c:dPt>
            <c:idx val="8"/>
            <c:bubble3D val="0"/>
            <c:spPr>
              <a:solidFill>
                <a:schemeClr val="accent1">
                  <a:tint val="65000"/>
                </a:schemeClr>
              </a:solidFill>
              <a:ln>
                <a:noFill/>
              </a:ln>
              <a:effectLst/>
            </c:spPr>
            <c:extLst>
              <c:ext xmlns:c16="http://schemas.microsoft.com/office/drawing/2014/chart" uri="{C3380CC4-5D6E-409C-BE32-E72D297353CC}">
                <c16:uniqueId val="{00000011-C995-4BBA-A431-C2206DA4E08E}"/>
              </c:ext>
            </c:extLst>
          </c:dPt>
          <c:dPt>
            <c:idx val="9"/>
            <c:bubble3D val="0"/>
            <c:spPr>
              <a:solidFill>
                <a:schemeClr val="accent1">
                  <a:tint val="54000"/>
                </a:schemeClr>
              </a:solidFill>
              <a:ln>
                <a:noFill/>
              </a:ln>
              <a:effectLst/>
            </c:spPr>
            <c:extLst>
              <c:ext xmlns:c16="http://schemas.microsoft.com/office/drawing/2014/chart" uri="{C3380CC4-5D6E-409C-BE32-E72D297353CC}">
                <c16:uniqueId val="{00000013-C995-4BBA-A431-C2206DA4E08E}"/>
              </c:ext>
            </c:extLst>
          </c:dPt>
          <c:dPt>
            <c:idx val="10"/>
            <c:bubble3D val="0"/>
            <c:spPr>
              <a:solidFill>
                <a:schemeClr val="accent1">
                  <a:tint val="42000"/>
                </a:schemeClr>
              </a:solidFill>
              <a:ln>
                <a:noFill/>
              </a:ln>
              <a:effectLst/>
            </c:spPr>
            <c:extLst>
              <c:ext xmlns:c16="http://schemas.microsoft.com/office/drawing/2014/chart" uri="{C3380CC4-5D6E-409C-BE32-E72D297353CC}">
                <c16:uniqueId val="{00000015-C995-4BBA-A431-C2206DA4E08E}"/>
              </c:ext>
            </c:extLst>
          </c:dPt>
          <c:dLbls>
            <c:dLbl>
              <c:idx val="0"/>
              <c:layout>
                <c:manualLayout>
                  <c:x val="4.9478430580792787E-3"/>
                  <c:y val="3.304943825171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995-4BBA-A431-C2206DA4E08E}"/>
                </c:ext>
              </c:extLst>
            </c:dLbl>
            <c:dLbl>
              <c:idx val="2"/>
              <c:layout>
                <c:manualLayout>
                  <c:x val="0.11416691163400661"/>
                  <c:y val="-0.212363236277330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995-4BBA-A431-C2206DA4E08E}"/>
                </c:ext>
              </c:extLst>
            </c:dLbl>
            <c:dLbl>
              <c:idx val="3"/>
              <c:layout>
                <c:manualLayout>
                  <c:x val="6.5590903396856221E-2"/>
                  <c:y val="0.144010719143993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995-4BBA-A431-C2206DA4E08E}"/>
                </c:ext>
              </c:extLst>
            </c:dLbl>
            <c:dLbl>
              <c:idx val="4"/>
              <c:layout>
                <c:manualLayout>
                  <c:x val="-1.9438892253852962E-2"/>
                  <c:y val="0.105575214095442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995-4BBA-A431-C2206DA4E08E}"/>
                </c:ext>
              </c:extLst>
            </c:dLbl>
            <c:dLbl>
              <c:idx val="5"/>
              <c:layout>
                <c:manualLayout>
                  <c:x val="1.3114610673665714E-2"/>
                  <c:y val="3.387397171812051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C995-4BBA-A431-C2206DA4E08E}"/>
                </c:ext>
              </c:extLst>
            </c:dLbl>
            <c:dLbl>
              <c:idx val="7"/>
              <c:layout>
                <c:manualLayout>
                  <c:x val="-2.9494484251854126E-2"/>
                  <c:y val="2.6264081472029779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C995-4BBA-A431-C2206DA4E08E}"/>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itchFamily="18" charset="0"/>
                    <a:ea typeface="Calibri"/>
                    <a:cs typeface="Times New Roman" pitchFamily="18" charset="0"/>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поређења'!$F$7:$F$10,'табела поређења'!$F$14:$F$17)</c:f>
              <c:numCache>
                <c:formatCode>0.0</c:formatCode>
                <c:ptCount val="8"/>
                <c:pt idx="0">
                  <c:v>6.0170305492524845</c:v>
                </c:pt>
                <c:pt idx="1">
                  <c:v>11.26968262482143</c:v>
                </c:pt>
                <c:pt idx="2">
                  <c:v>44.490747057990689</c:v>
                </c:pt>
                <c:pt idx="3">
                  <c:v>19.354454942628109</c:v>
                </c:pt>
                <c:pt idx="4">
                  <c:v>4.3118785694968942</c:v>
                </c:pt>
                <c:pt idx="5">
                  <c:v>0.72517957759720508</c:v>
                </c:pt>
                <c:pt idx="6">
                  <c:v>12.085350404102932</c:v>
                </c:pt>
                <c:pt idx="7">
                  <c:v>1.7456762741102507</c:v>
                </c:pt>
              </c:numCache>
            </c:numRef>
          </c:val>
          <c:extLst>
            <c:ext xmlns:c16="http://schemas.microsoft.com/office/drawing/2014/chart" uri="{C3380CC4-5D6E-409C-BE32-E72D297353CC}">
              <c16:uniqueId val="{00000016-C995-4BBA-A431-C2206DA4E08E}"/>
            </c:ext>
          </c:extLst>
        </c:ser>
        <c:dLbls>
          <c:showLegendKey val="0"/>
          <c:showVal val="0"/>
          <c:showCatName val="0"/>
          <c:showSerName val="0"/>
          <c:showPercent val="0"/>
          <c:showBubbleSize val="0"/>
          <c:showLeaderLines val="1"/>
        </c:dLbls>
        <c:firstSliceAng val="66"/>
      </c:pieChart>
      <c:spPr>
        <a:noFill/>
        <a:ln w="25400">
          <a:noFill/>
        </a:ln>
        <a:effectLst/>
      </c:spPr>
    </c:plotArea>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0.00523</cdr:x>
      <cdr:y>0.40727</cdr:y>
    </cdr:from>
    <cdr:to>
      <cdr:x>0.04808</cdr:x>
      <cdr:y>0.51502</cdr:y>
    </cdr:to>
    <cdr:pic>
      <cdr:nvPicPr>
        <cdr:cNvPr id="2" name="chart">
          <a:extLst xmlns:a="http://schemas.openxmlformats.org/drawingml/2006/main">
            <a:ext uri="{FF2B5EF4-FFF2-40B4-BE49-F238E27FC236}">
              <a16:creationId xmlns:a16="http://schemas.microsoft.com/office/drawing/2014/main" id="{686307BD-C9B0-72F2-BB14-0145FA0939C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68465" y="1615478"/>
          <a:ext cx="402370" cy="21337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EE13-6208-44FB-B30D-632D450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27</Pages>
  <Words>11102</Words>
  <Characters>63286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Savatovic</dc:creator>
  <cp:keywords/>
  <dc:description/>
  <cp:lastModifiedBy>Marija Filipović</cp:lastModifiedBy>
  <cp:revision>126</cp:revision>
  <cp:lastPrinted>2023-10-03T06:55:00Z</cp:lastPrinted>
  <dcterms:created xsi:type="dcterms:W3CDTF">2023-09-25T13:42:00Z</dcterms:created>
  <dcterms:modified xsi:type="dcterms:W3CDTF">2023-10-04T08:31:00Z</dcterms:modified>
</cp:coreProperties>
</file>