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A5" w:rsidRDefault="00342A31" w:rsidP="00342A31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9E04A5" w:rsidRDefault="00342A31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E04A5" w:rsidRDefault="00342A3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E04A5" w:rsidRDefault="00342A31">
      <w:pPr>
        <w:spacing w:after="225"/>
        <w:jc w:val="center"/>
      </w:pPr>
      <w:r>
        <w:rPr>
          <w:b/>
          <w:color w:val="000000"/>
        </w:rPr>
        <w:t>ОДЛУКУ</w:t>
      </w:r>
    </w:p>
    <w:p w:rsidR="009E04A5" w:rsidRDefault="00342A31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</w:t>
      </w:r>
      <w:r>
        <w:rPr>
          <w:color w:val="000000"/>
        </w:rPr>
        <w:t>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bookmarkStart w:id="1" w:name="table005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r>
              <w:rPr>
                <w:color w:val="000000"/>
              </w:rPr>
              <w:t xml:space="preserve">100.000.000 </w:t>
            </w:r>
            <w:proofErr w:type="spellStart"/>
            <w:r>
              <w:rPr>
                <w:color w:val="000000"/>
              </w:rPr>
              <w:t>евра</w:t>
            </w:r>
            <w:proofErr w:type="spellEnd"/>
          </w:p>
        </w:tc>
      </w:tr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r>
              <w:rPr>
                <w:color w:val="000000"/>
              </w:rPr>
              <w:t xml:space="preserve">1.000 </w:t>
            </w:r>
            <w:proofErr w:type="spellStart"/>
            <w:r>
              <w:rPr>
                <w:color w:val="000000"/>
              </w:rPr>
              <w:t>евра</w:t>
            </w:r>
            <w:proofErr w:type="spellEnd"/>
          </w:p>
        </w:tc>
      </w:tr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2025.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9E04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E04A5" w:rsidRDefault="00342A31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9E04A5" w:rsidRDefault="00342A31">
            <w:pPr>
              <w:spacing w:after="150"/>
            </w:pPr>
            <w:r>
              <w:rPr>
                <w:color w:val="000000"/>
              </w:rPr>
              <w:t xml:space="preserve">2,50%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</w:tbl>
    <w:bookmarkEnd w:id="1"/>
    <w:p w:rsidR="009E04A5" w:rsidRDefault="00342A31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</w:t>
      </w:r>
      <w:r>
        <w:rPr>
          <w:color w:val="000000"/>
        </w:rPr>
        <w:t>ар</w:t>
      </w:r>
      <w:proofErr w:type="spellEnd"/>
      <w:r>
        <w:rPr>
          <w:color w:val="000000"/>
        </w:rPr>
        <w:t>).</w:t>
      </w:r>
    </w:p>
    <w:p w:rsidR="009E04A5" w:rsidRDefault="00342A31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23.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proofErr w:type="spellStart"/>
      <w:r>
        <w:rPr>
          <w:color w:val="000000"/>
        </w:rPr>
        <w:lastRenderedPageBreak/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9E04A5" w:rsidRDefault="00342A31">
      <w:bookmarkStart w:id="2" w:name="_idContainer006"/>
      <w:r>
        <w:rPr>
          <w:noProof/>
        </w:rPr>
        <w:drawing>
          <wp:inline distT="0" distB="0" distL="0" distR="0">
            <wp:extent cx="3237255" cy="987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98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9E04A5" w:rsidRDefault="00342A31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9E04A5" w:rsidRDefault="00342A31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9E04A5" w:rsidRDefault="00342A31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9E04A5" w:rsidRDefault="00342A31">
      <w:bookmarkStart w:id="3" w:name="_idContainer007"/>
      <w:r>
        <w:rPr>
          <w:noProof/>
        </w:rPr>
        <w:drawing>
          <wp:inline distT="0" distB="0" distL="0" distR="0">
            <wp:extent cx="1121766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766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9E04A5" w:rsidRDefault="00342A31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9E04A5" w:rsidRDefault="00342A31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9E04A5" w:rsidRDefault="00342A31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9E04A5" w:rsidRDefault="00342A3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lastRenderedPageBreak/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</w:t>
      </w:r>
      <w:r>
        <w:rPr>
          <w:color w:val="000000"/>
        </w:rPr>
        <w:t xml:space="preserve">66/18, 78/18, 140/20 и 59/22)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9E04A5" w:rsidRDefault="00342A31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9E04A5" w:rsidRDefault="00342A3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424-10805/2022</w:t>
      </w:r>
    </w:p>
    <w:p w:rsidR="009E04A5" w:rsidRDefault="00342A3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9E04A5" w:rsidRDefault="00342A3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9E04A5" w:rsidRDefault="00342A3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9E04A5" w:rsidRDefault="00342A31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E04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A5"/>
    <w:rsid w:val="00342A31"/>
    <w:rsid w:val="009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19454-5EDA-4FFE-8D44-96FA126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2022-12-26T07:47:00Z</dcterms:created>
  <dcterms:modified xsi:type="dcterms:W3CDTF">2022-12-26T07:47:00Z</dcterms:modified>
</cp:coreProperties>
</file>