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57" w:rsidRDefault="00F84011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95а став 7. Закона о играма на срећу („Службени гласник РС”, бр. 18/20 и 94/24)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ПРАВИЛНИК 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техничком поступку и начину размене података у вези са самоискључењем играча из учешћа у посебним играма на срећу преко средстава електронске комуникације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прописује се технички поступак, начин</w:t>
      </w:r>
      <w:r>
        <w:rPr>
          <w:rFonts w:ascii="Verdana" w:eastAsia="Verdana" w:hAnsi="Verdana" w:cs="Verdana"/>
        </w:rPr>
        <w:t xml:space="preserve"> извештавањa и размена података у вези са самоискључењем играча из учешћа у посебним играма на срећу преко средстава електронске комуникације, код приређивача посебних игара на срећу преко средстава електронске комуникације (у даљем тексту: приређивач).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</w:rPr>
        <w:t>Чл</w:t>
      </w:r>
      <w:r>
        <w:rPr>
          <w:rFonts w:ascii="Verdana" w:eastAsia="Verdana" w:hAnsi="Verdana" w:cs="Verdana"/>
        </w:rPr>
        <w:t>ан 2.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Приређивач омогућава самоискључење играчу који има регистровани кориснички налог на основу захтева играча за самоискључење.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Играч може да поднесе захтев за своје искључење из учествовања у посебним играма на срећу преко средстава електронске комуника</w:t>
      </w:r>
      <w:r>
        <w:rPr>
          <w:rFonts w:ascii="Verdana" w:eastAsia="Verdana" w:hAnsi="Verdana" w:cs="Verdana"/>
        </w:rPr>
        <w:t>ције преко свог регистрoваног корисничког налога, на веб презентацији приређивача или личним подношењем писаног захтева за самоискључење у просторијама приређивача.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Захтев из става 2. овог члана мора да садржи следеће податке: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1) име и презиме играча;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2) ј</w:t>
      </w:r>
      <w:r>
        <w:rPr>
          <w:rFonts w:ascii="Verdana" w:eastAsia="Verdana" w:hAnsi="Verdana" w:cs="Verdana"/>
        </w:rPr>
        <w:t>единствени матични број играча;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3) број личне карте или број пасоша за страно лице;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4) регистровану адресу електронске поште играча (е-пошта);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5) период самоискључења;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6) датум подношења захтева;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7) сагласност играча;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8) потпис подносиоца захтева у случају</w:t>
      </w:r>
      <w:r>
        <w:rPr>
          <w:rFonts w:ascii="Verdana" w:eastAsia="Verdana" w:hAnsi="Verdana" w:cs="Verdana"/>
        </w:rPr>
        <w:t xml:space="preserve"> када се захтев подноси писаним путем.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Приређивач одмах по пријему захтева играча за самоискључење  онемогућава том играчу приступ корисничком налогу.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Приређивач одмах по пријему захтева играча за самоискључење  врши са Управом размену података из става 3.</w:t>
      </w:r>
      <w:r>
        <w:rPr>
          <w:rFonts w:ascii="Verdana" w:eastAsia="Verdana" w:hAnsi="Verdana" w:cs="Verdana"/>
        </w:rPr>
        <w:t xml:space="preserve"> овог члана електронским путем преко софтверског решења Управе. 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Након пријема података из става 5. овог члана, Управа размењује податке са свим приређивачима, који одмах по пријему тих података онемогућавају приступ корисничком налогу играчу који се самои</w:t>
      </w:r>
      <w:r>
        <w:rPr>
          <w:rFonts w:ascii="Verdana" w:eastAsia="Verdana" w:hAnsi="Verdana" w:cs="Verdana"/>
        </w:rPr>
        <w:t xml:space="preserve">скључио. 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Техничке карактеристике захтева из става 3. овог члана и начин размене података, ближе се уређују техничким упутством које објављује Управа. 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Приређивач пре регистрације новог корисничког налога играча врши проверу електронским путем, пре</w:t>
      </w:r>
      <w:r>
        <w:rPr>
          <w:rFonts w:ascii="Verdana" w:eastAsia="Verdana" w:hAnsi="Verdana" w:cs="Verdana"/>
        </w:rPr>
        <w:t>ко софтверског решења Управе, да ли се лице, подносилац захтева за регистрацију корисничког налога налази у евиденцији играча који су поднели захтев за самоискључење.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Уколико Управа обавести приређивача да се лице из става 1. овог члана налази у евиденцији</w:t>
      </w:r>
      <w:r>
        <w:rPr>
          <w:rFonts w:ascii="Verdana" w:eastAsia="Verdana" w:hAnsi="Verdana" w:cs="Verdana"/>
        </w:rPr>
        <w:t xml:space="preserve"> самоискључених играча, приређивач онемогућава том лицу регистрацију корисничког налога до истека периода самоискључења. 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Уколико Управа обавести приређивача да се лице из става 1. овог члана не налази у евиденцији самоискључених играча, приређивач може наставити са поступком регистрације корисничког налога.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Детаљи поступка провере статуса играча из става 1. овог члана, као и</w:t>
      </w:r>
      <w:r>
        <w:rPr>
          <w:rFonts w:ascii="Verdana" w:eastAsia="Verdana" w:hAnsi="Verdana" w:cs="Verdana"/>
        </w:rPr>
        <w:t xml:space="preserve"> исход провера из ст. 2. и 3. овог члана, ближе се уређују техничким упутством које објављује Управа.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Приређивач омогућава играчу опозив самоискључења уколико је играч поднео захтев за самоискључење на период дужи од 12 месеци, односно захтев за тр</w:t>
      </w:r>
      <w:r>
        <w:rPr>
          <w:rFonts w:ascii="Verdana" w:eastAsia="Verdana" w:hAnsi="Verdana" w:cs="Verdana"/>
        </w:rPr>
        <w:t>ајно самоискључење, након истека периода од 12 месеци од датума подношења захтева играча за самоискључење.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Играч може да поднесе захтев за oпозив самоискључења из става 1. овог члана искључиво након истека периода од 12 месеци од датума подношења захтева з</w:t>
      </w:r>
      <w:r>
        <w:rPr>
          <w:rFonts w:ascii="Verdana" w:eastAsia="Verdana" w:hAnsi="Verdana" w:cs="Verdana"/>
        </w:rPr>
        <w:t>а самоискључење, и то електронским путем преко своје регистроване адресе електронске поште (е-пошта) код приређивача или личним подношењем писаног захтева за опозив самоискључења у просторијама приређивача.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Захтев играча за опозив самоискључења из става 1.</w:t>
      </w:r>
      <w:r>
        <w:rPr>
          <w:rFonts w:ascii="Verdana" w:eastAsia="Verdana" w:hAnsi="Verdana" w:cs="Verdana"/>
        </w:rPr>
        <w:t xml:space="preserve"> овог члана мора да садржи следеће податке: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1) име и презиме играча;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2) јединствени матични број играча;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3) број личне карте или број пасоша за страно лице;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4) регистровану адресу електронске поште играча (е-пошта);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5) период самоискључења;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6) датум подношења захтева за самоискључење;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7) датум подношења захтева за опозив самоискључења;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8) потпис подносиоца захтева у случају када се захтев подноси писаним путем.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Приређивач одмах по пријему захтева играча за опозив самоискључења доставља Управи</w:t>
      </w:r>
      <w:r>
        <w:rPr>
          <w:rFonts w:ascii="Verdana" w:eastAsia="Verdana" w:hAnsi="Verdana" w:cs="Verdana"/>
        </w:rPr>
        <w:t xml:space="preserve"> податке из става 3. овог члана електронским путем, преко софтверског решења Управе. </w:t>
      </w:r>
    </w:p>
    <w:p w:rsidR="00360D57" w:rsidRDefault="00F84011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5.</w:t>
      </w:r>
    </w:p>
    <w:p w:rsidR="00360D57" w:rsidRDefault="00F84011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360D57" w:rsidRDefault="00F84011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001892537 2025 10520 027 000 012 001</w:t>
      </w:r>
    </w:p>
    <w:p w:rsidR="00360D57" w:rsidRDefault="00F84011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2. јун</w:t>
      </w:r>
      <w:r>
        <w:rPr>
          <w:rFonts w:ascii="Verdana" w:eastAsia="Verdana" w:hAnsi="Verdana" w:cs="Verdana"/>
        </w:rPr>
        <w:t>а 2025. године</w:t>
      </w:r>
    </w:p>
    <w:p w:rsidR="00360D57" w:rsidRDefault="00F8401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Министар, </w:t>
      </w:r>
    </w:p>
    <w:p w:rsidR="00360D57" w:rsidRDefault="00F84011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sectPr w:rsidR="00360D5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7"/>
    <w:rsid w:val="00360D57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3CF23-A622-43E0-AA18-D088342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2025-06-09T07:43:00Z</dcterms:created>
  <dcterms:modified xsi:type="dcterms:W3CDTF">2025-06-09T07:43:00Z</dcterms:modified>
</cp:coreProperties>
</file>