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D5" w:rsidRDefault="00A26745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19.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2.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изменама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допунама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буџетском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систему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>. 138/22, 92/23 и 94/24),</w:t>
      </w:r>
    </w:p>
    <w:p w:rsidR="00A227D5" w:rsidRDefault="00A267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A227D5" w:rsidRDefault="00A2674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ПРАВИЛНИК</w:t>
      </w:r>
    </w:p>
    <w:p w:rsidR="00A227D5" w:rsidRDefault="00A2674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о </w:t>
      </w:r>
      <w:proofErr w:type="spellStart"/>
      <w:r>
        <w:rPr>
          <w:rFonts w:ascii="Verdana" w:eastAsia="Verdana" w:hAnsi="Verdana" w:cs="Verdana"/>
          <w:b/>
        </w:rPr>
        <w:t>начину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роковима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извештавање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пословању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јавних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предузећа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друштава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капитала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која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обављају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делатност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општег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интереса</w:t>
      </w:r>
      <w:proofErr w:type="spellEnd"/>
    </w:p>
    <w:p w:rsidR="00A227D5" w:rsidRDefault="00A26745">
      <w:pPr>
        <w:spacing w:line="210" w:lineRule="atLeast"/>
        <w:jc w:val="center"/>
      </w:pPr>
      <w:r>
        <w:rPr>
          <w:rFonts w:ascii="Verdana" w:eastAsia="Verdana" w:hAnsi="Verdana" w:cs="Verdana"/>
        </w:rPr>
        <w:t>"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РС",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107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30. </w:t>
      </w:r>
      <w:proofErr w:type="spellStart"/>
      <w:r>
        <w:rPr>
          <w:rFonts w:ascii="Verdana" w:eastAsia="Verdana" w:hAnsi="Verdana" w:cs="Verdana"/>
        </w:rPr>
        <w:t>децембра</w:t>
      </w:r>
      <w:proofErr w:type="spellEnd"/>
      <w:r>
        <w:rPr>
          <w:rFonts w:ascii="Verdana" w:eastAsia="Verdana" w:hAnsi="Verdana" w:cs="Verdana"/>
        </w:rPr>
        <w:t xml:space="preserve">  2024, 93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24. </w:t>
      </w:r>
      <w:proofErr w:type="spellStart"/>
      <w:r>
        <w:rPr>
          <w:rFonts w:ascii="Verdana" w:eastAsia="Verdana" w:hAnsi="Verdana" w:cs="Verdana"/>
        </w:rPr>
        <w:t>октобра</w:t>
      </w:r>
      <w:proofErr w:type="spellEnd"/>
      <w:r>
        <w:rPr>
          <w:rFonts w:ascii="Verdana" w:eastAsia="Verdana" w:hAnsi="Verdana" w:cs="Verdana"/>
        </w:rPr>
        <w:t xml:space="preserve"> 2025.</w:t>
      </w:r>
    </w:p>
    <w:p w:rsidR="00A227D5" w:rsidRDefault="00A267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1.</w:t>
      </w:r>
    </w:p>
    <w:p w:rsidR="00A227D5" w:rsidRDefault="00A267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садржина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образаца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достављања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рокови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којима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предузећа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друштва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капитала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</w:t>
      </w:r>
      <w:r>
        <w:rPr>
          <w:rFonts w:ascii="Verdana" w:eastAsia="Verdana" w:hAnsi="Verdana" w:cs="Verdana"/>
        </w:rPr>
        <w:t>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обављају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делатност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општег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интереса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укључена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обухват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Министарству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– </w:t>
      </w:r>
      <w:proofErr w:type="spellStart"/>
      <w:r>
        <w:rPr>
          <w:rFonts w:ascii="Verdana" w:eastAsia="Verdana" w:hAnsi="Verdana" w:cs="Verdana"/>
        </w:rPr>
        <w:t>Управи</w:t>
      </w:r>
      <w:proofErr w:type="spellEnd"/>
      <w:r>
        <w:rPr>
          <w:rFonts w:ascii="Verdana" w:eastAsia="Verdana" w:hAnsi="Verdana" w:cs="Verdana"/>
        </w:rPr>
        <w:t xml:space="preserve"> за трезор </w:t>
      </w:r>
      <w:proofErr w:type="spellStart"/>
      <w:r>
        <w:rPr>
          <w:rFonts w:ascii="Verdana" w:eastAsia="Verdana" w:hAnsi="Verdana" w:cs="Verdana"/>
        </w:rPr>
        <w:t>достављају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месечне</w:t>
      </w:r>
      <w:proofErr w:type="spellEnd"/>
      <w:r>
        <w:rPr>
          <w:rFonts w:ascii="Verdana" w:eastAsia="Verdana" w:hAnsi="Verdana" w:cs="Verdana"/>
          <w:b/>
        </w:rPr>
        <w:t xml:space="preserve"> и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тромесечне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извештаје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пословању</w:t>
      </w:r>
      <w:proofErr w:type="spellEnd"/>
      <w:r>
        <w:rPr>
          <w:rFonts w:ascii="Verdana" w:eastAsia="Verdana" w:hAnsi="Verdana" w:cs="Verdana"/>
        </w:rPr>
        <w:t>.</w:t>
      </w:r>
    </w:p>
    <w:p w:rsidR="00A227D5" w:rsidRDefault="00A267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ентитетима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смислу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18.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1. и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19. </w:t>
      </w:r>
      <w:proofErr w:type="spellStart"/>
      <w:r>
        <w:rPr>
          <w:rFonts w:ascii="Verdana" w:eastAsia="Verdana" w:hAnsi="Verdana" w:cs="Verdana"/>
        </w:rPr>
        <w:t>ст</w:t>
      </w:r>
      <w:r>
        <w:rPr>
          <w:rFonts w:ascii="Verdana" w:eastAsia="Verdana" w:hAnsi="Verdana" w:cs="Verdana"/>
        </w:rPr>
        <w:t>ав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тачка</w:t>
      </w:r>
      <w:proofErr w:type="spellEnd"/>
      <w:r>
        <w:rPr>
          <w:rFonts w:ascii="Verdana" w:eastAsia="Verdana" w:hAnsi="Verdana" w:cs="Verdana"/>
        </w:rPr>
        <w:t xml:space="preserve"> 4)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изменама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допунама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буџетском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систему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138/22, 92/23 и 94/24)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ентитети</w:t>
      </w:r>
      <w:proofErr w:type="spellEnd"/>
      <w:r>
        <w:rPr>
          <w:rFonts w:ascii="Verdana" w:eastAsia="Verdana" w:hAnsi="Verdana" w:cs="Verdana"/>
        </w:rPr>
        <w:t xml:space="preserve">), </w:t>
      </w:r>
      <w:proofErr w:type="spellStart"/>
      <w:r>
        <w:rPr>
          <w:rFonts w:ascii="Verdana" w:eastAsia="Verdana" w:hAnsi="Verdana" w:cs="Verdana"/>
        </w:rPr>
        <w:t>сматрају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>: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јавно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предузеће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оснивач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аутономна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покрајина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локалне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самоуправе</w:t>
      </w:r>
      <w:proofErr w:type="spellEnd"/>
      <w:r>
        <w:rPr>
          <w:rFonts w:ascii="Verdana" w:eastAsia="Verdana" w:hAnsi="Verdana" w:cs="Verdana"/>
        </w:rPr>
        <w:t>;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друштво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ограниченом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одговорношћу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акционарско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друштво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друштво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капитала</w:t>
      </w:r>
      <w:proofErr w:type="spellEnd"/>
      <w:r>
        <w:rPr>
          <w:rFonts w:ascii="Verdana" w:eastAsia="Verdana" w:hAnsi="Verdana" w:cs="Verdana"/>
        </w:rPr>
        <w:t xml:space="preserve">), </w:t>
      </w:r>
      <w:proofErr w:type="spellStart"/>
      <w:r>
        <w:rPr>
          <w:rFonts w:ascii="Verdana" w:eastAsia="Verdana" w:hAnsi="Verdana" w:cs="Verdana"/>
        </w:rPr>
        <w:t>чији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власник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предузеће</w:t>
      </w:r>
      <w:proofErr w:type="spellEnd"/>
      <w:r>
        <w:rPr>
          <w:rFonts w:ascii="Verdana" w:eastAsia="Verdana" w:hAnsi="Verdana" w:cs="Verdana"/>
        </w:rPr>
        <w:t>;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друштво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капитала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власник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аутономна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покрајина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јединица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локалне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самоупр</w:t>
      </w:r>
      <w:r>
        <w:rPr>
          <w:rFonts w:ascii="Verdana" w:eastAsia="Verdana" w:hAnsi="Verdana" w:cs="Verdana"/>
        </w:rPr>
        <w:t>аве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зависно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друштво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једини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власник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друштво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капитала</w:t>
      </w:r>
      <w:proofErr w:type="spellEnd"/>
      <w:r>
        <w:rPr>
          <w:rFonts w:ascii="Verdana" w:eastAsia="Verdana" w:hAnsi="Verdana" w:cs="Verdana"/>
        </w:rPr>
        <w:t>.</w:t>
      </w:r>
    </w:p>
    <w:p w:rsidR="00A227D5" w:rsidRDefault="00A267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Одредбе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примењују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и на </w:t>
      </w:r>
      <w:proofErr w:type="spellStart"/>
      <w:r>
        <w:rPr>
          <w:rFonts w:ascii="Verdana" w:eastAsia="Verdana" w:hAnsi="Verdana" w:cs="Verdana"/>
        </w:rPr>
        <w:t>привредна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друштва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стратешког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значаја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Републику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Србију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којима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директно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индиректно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контролни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друштва</w:t>
      </w:r>
      <w:proofErr w:type="spellEnd"/>
      <w:r>
        <w:rPr>
          <w:rFonts w:ascii="Verdana" w:eastAsia="Verdana" w:hAnsi="Verdana" w:cs="Verdana"/>
        </w:rPr>
        <w:t>.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</w:rPr>
        <w:t>*</w:t>
      </w:r>
      <w:proofErr w:type="spellStart"/>
      <w:r>
        <w:rPr>
          <w:rFonts w:ascii="Verdana" w:eastAsia="Verdana" w:hAnsi="Verdana" w:cs="Verdana"/>
        </w:rPr>
        <w:t>Служ</w:t>
      </w:r>
      <w:r>
        <w:rPr>
          <w:rFonts w:ascii="Verdana" w:eastAsia="Verdana" w:hAnsi="Verdana" w:cs="Verdana"/>
        </w:rPr>
        <w:t>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 93/2025</w:t>
      </w:r>
    </w:p>
    <w:p w:rsidR="00A227D5" w:rsidRDefault="00A267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2.</w:t>
      </w:r>
    </w:p>
    <w:p w:rsidR="00A227D5" w:rsidRDefault="00A267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Ентитети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достављају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тромесечне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извештаје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пословању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обрасцима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>: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r>
        <w:rPr>
          <w:rFonts w:ascii="Verdana" w:eastAsia="Verdana" w:hAnsi="Verdana" w:cs="Verdana"/>
        </w:rPr>
        <w:t>Образац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Биланс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успеха</w:t>
      </w:r>
      <w:proofErr w:type="spellEnd"/>
      <w:r>
        <w:rPr>
          <w:rFonts w:ascii="Verdana" w:eastAsia="Verdana" w:hAnsi="Verdana" w:cs="Verdana"/>
        </w:rPr>
        <w:t>;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r>
        <w:rPr>
          <w:rFonts w:ascii="Verdana" w:eastAsia="Verdana" w:hAnsi="Verdana" w:cs="Verdana"/>
        </w:rPr>
        <w:t>Образац</w:t>
      </w:r>
      <w:proofErr w:type="spellEnd"/>
      <w:r>
        <w:rPr>
          <w:rFonts w:ascii="Verdana" w:eastAsia="Verdana" w:hAnsi="Verdana" w:cs="Verdana"/>
        </w:rPr>
        <w:t xml:space="preserve"> 2. </w:t>
      </w:r>
      <w:proofErr w:type="spellStart"/>
      <w:r>
        <w:rPr>
          <w:rFonts w:ascii="Verdana" w:eastAsia="Verdana" w:hAnsi="Verdana" w:cs="Verdana"/>
        </w:rPr>
        <w:t>Биланс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стања</w:t>
      </w:r>
      <w:proofErr w:type="spellEnd"/>
      <w:r>
        <w:rPr>
          <w:rFonts w:ascii="Verdana" w:eastAsia="Verdana" w:hAnsi="Verdana" w:cs="Verdana"/>
        </w:rPr>
        <w:t>;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r>
        <w:rPr>
          <w:rFonts w:ascii="Verdana" w:eastAsia="Verdana" w:hAnsi="Verdana" w:cs="Verdana"/>
        </w:rPr>
        <w:t>Образац</w:t>
      </w:r>
      <w:proofErr w:type="spellEnd"/>
      <w:r>
        <w:rPr>
          <w:rFonts w:ascii="Verdana" w:eastAsia="Verdana" w:hAnsi="Verdana" w:cs="Verdana"/>
        </w:rPr>
        <w:t xml:space="preserve"> 3. </w:t>
      </w:r>
      <w:proofErr w:type="spellStart"/>
      <w:r>
        <w:rPr>
          <w:rFonts w:ascii="Verdana" w:eastAsia="Verdana" w:hAnsi="Verdana" w:cs="Verdana"/>
        </w:rPr>
        <w:t>Извештај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токовима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готовине</w:t>
      </w:r>
      <w:proofErr w:type="spellEnd"/>
      <w:r>
        <w:rPr>
          <w:rFonts w:ascii="Verdana" w:eastAsia="Verdana" w:hAnsi="Verdana" w:cs="Verdana"/>
        </w:rPr>
        <w:t>;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r>
        <w:rPr>
          <w:rFonts w:ascii="Verdana" w:eastAsia="Verdana" w:hAnsi="Verdana" w:cs="Verdana"/>
        </w:rPr>
        <w:t>Образац</w:t>
      </w:r>
      <w:proofErr w:type="spellEnd"/>
      <w:r>
        <w:rPr>
          <w:rFonts w:ascii="Verdana" w:eastAsia="Verdana" w:hAnsi="Verdana" w:cs="Verdana"/>
        </w:rPr>
        <w:t xml:space="preserve"> 4. </w:t>
      </w:r>
      <w:proofErr w:type="spellStart"/>
      <w:r>
        <w:rPr>
          <w:rFonts w:ascii="Verdana" w:eastAsia="Verdana" w:hAnsi="Verdana" w:cs="Verdana"/>
        </w:rPr>
        <w:t>Трошкови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запослених</w:t>
      </w:r>
      <w:proofErr w:type="spellEnd"/>
      <w:r>
        <w:rPr>
          <w:rFonts w:ascii="Verdana" w:eastAsia="Verdana" w:hAnsi="Verdana" w:cs="Verdana"/>
        </w:rPr>
        <w:t>;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r>
        <w:rPr>
          <w:rFonts w:ascii="Verdana" w:eastAsia="Verdana" w:hAnsi="Verdana" w:cs="Verdana"/>
        </w:rPr>
        <w:t>Образ</w:t>
      </w:r>
      <w:r>
        <w:rPr>
          <w:rFonts w:ascii="Verdana" w:eastAsia="Verdana" w:hAnsi="Verdana" w:cs="Verdana"/>
        </w:rPr>
        <w:t>ац</w:t>
      </w:r>
      <w:proofErr w:type="spellEnd"/>
      <w:r>
        <w:rPr>
          <w:rFonts w:ascii="Verdana" w:eastAsia="Verdana" w:hAnsi="Verdana" w:cs="Verdana"/>
        </w:rPr>
        <w:t xml:space="preserve"> 5. </w:t>
      </w:r>
      <w:proofErr w:type="spellStart"/>
      <w:r>
        <w:rPr>
          <w:rFonts w:ascii="Verdana" w:eastAsia="Verdana" w:hAnsi="Verdana" w:cs="Verdana"/>
        </w:rPr>
        <w:t>Динамика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запослених</w:t>
      </w:r>
      <w:proofErr w:type="spellEnd"/>
      <w:r>
        <w:rPr>
          <w:rFonts w:ascii="Verdana" w:eastAsia="Verdana" w:hAnsi="Verdana" w:cs="Verdana"/>
        </w:rPr>
        <w:t>;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  <w:i/>
        </w:rPr>
        <w:t xml:space="preserve">6) </w:t>
      </w:r>
      <w:proofErr w:type="spellStart"/>
      <w:r>
        <w:rPr>
          <w:rFonts w:ascii="Verdana" w:eastAsia="Verdana" w:hAnsi="Verdana" w:cs="Verdana"/>
          <w:i/>
        </w:rPr>
        <w:t>брисана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је</w:t>
      </w:r>
      <w:proofErr w:type="spellEnd"/>
      <w:r>
        <w:rPr>
          <w:rFonts w:ascii="Verdana" w:eastAsia="Verdana" w:hAnsi="Verdana" w:cs="Verdana"/>
          <w:i/>
        </w:rPr>
        <w:t xml:space="preserve"> (</w:t>
      </w:r>
      <w:proofErr w:type="spellStart"/>
      <w:r>
        <w:rPr>
          <w:rFonts w:ascii="Verdana" w:eastAsia="Verdana" w:hAnsi="Verdana" w:cs="Verdana"/>
          <w:i/>
        </w:rPr>
        <w:t>види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члан</w:t>
      </w:r>
      <w:proofErr w:type="spellEnd"/>
      <w:r>
        <w:rPr>
          <w:rFonts w:ascii="Verdana" w:eastAsia="Verdana" w:hAnsi="Verdana" w:cs="Verdana"/>
          <w:i/>
        </w:rPr>
        <w:t xml:space="preserve"> 2.  </w:t>
      </w:r>
      <w:proofErr w:type="spellStart"/>
      <w:r>
        <w:rPr>
          <w:rFonts w:ascii="Verdana" w:eastAsia="Verdana" w:hAnsi="Verdana" w:cs="Verdana"/>
          <w:i/>
        </w:rPr>
        <w:t>Правилника</w:t>
      </w:r>
      <w:proofErr w:type="spellEnd"/>
      <w:r>
        <w:rPr>
          <w:rFonts w:ascii="Verdana" w:eastAsia="Verdana" w:hAnsi="Verdana" w:cs="Verdana"/>
          <w:i/>
        </w:rPr>
        <w:t xml:space="preserve"> – 93/2025-56)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proofErr w:type="spellStart"/>
      <w:r>
        <w:rPr>
          <w:rFonts w:ascii="Verdana" w:eastAsia="Verdana" w:hAnsi="Verdana" w:cs="Verdana"/>
        </w:rPr>
        <w:t>Образац</w:t>
      </w:r>
      <w:proofErr w:type="spellEnd"/>
      <w:r>
        <w:rPr>
          <w:rFonts w:ascii="Verdana" w:eastAsia="Verdana" w:hAnsi="Verdana" w:cs="Verdana"/>
        </w:rPr>
        <w:t xml:space="preserve"> 7. </w:t>
      </w:r>
      <w:proofErr w:type="spellStart"/>
      <w:r>
        <w:rPr>
          <w:rFonts w:ascii="Verdana" w:eastAsia="Verdana" w:hAnsi="Verdana" w:cs="Verdana"/>
        </w:rPr>
        <w:t>Приходи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буџета</w:t>
      </w:r>
      <w:proofErr w:type="spellEnd"/>
      <w:r>
        <w:rPr>
          <w:rFonts w:ascii="Verdana" w:eastAsia="Verdana" w:hAnsi="Verdana" w:cs="Verdana"/>
        </w:rPr>
        <w:t>;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</w:rPr>
        <w:t xml:space="preserve">8) </w:t>
      </w:r>
      <w:proofErr w:type="spellStart"/>
      <w:r>
        <w:rPr>
          <w:rFonts w:ascii="Verdana" w:eastAsia="Verdana" w:hAnsi="Verdana" w:cs="Verdana"/>
        </w:rPr>
        <w:t>Образац</w:t>
      </w:r>
      <w:proofErr w:type="spellEnd"/>
      <w:r>
        <w:rPr>
          <w:rFonts w:ascii="Verdana" w:eastAsia="Verdana" w:hAnsi="Verdana" w:cs="Verdana"/>
        </w:rPr>
        <w:t xml:space="preserve"> 8. </w:t>
      </w:r>
      <w:proofErr w:type="spellStart"/>
      <w:r>
        <w:rPr>
          <w:rFonts w:ascii="Verdana" w:eastAsia="Verdana" w:hAnsi="Verdana" w:cs="Verdana"/>
        </w:rPr>
        <w:t>Средства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посебне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намене</w:t>
      </w:r>
      <w:proofErr w:type="spellEnd"/>
      <w:r>
        <w:rPr>
          <w:rFonts w:ascii="Verdana" w:eastAsia="Verdana" w:hAnsi="Verdana" w:cs="Verdana"/>
        </w:rPr>
        <w:t>;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9) </w:t>
      </w:r>
      <w:proofErr w:type="spellStart"/>
      <w:r>
        <w:rPr>
          <w:rFonts w:ascii="Verdana" w:eastAsia="Verdana" w:hAnsi="Verdana" w:cs="Verdana"/>
        </w:rPr>
        <w:t>Образац</w:t>
      </w:r>
      <w:proofErr w:type="spellEnd"/>
      <w:r>
        <w:rPr>
          <w:rFonts w:ascii="Verdana" w:eastAsia="Verdana" w:hAnsi="Verdana" w:cs="Verdana"/>
        </w:rPr>
        <w:t xml:space="preserve"> 9. </w:t>
      </w:r>
      <w:proofErr w:type="spellStart"/>
      <w:r>
        <w:rPr>
          <w:rFonts w:ascii="Verdana" w:eastAsia="Verdana" w:hAnsi="Verdana" w:cs="Verdana"/>
        </w:rPr>
        <w:t>Извештај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инвестицијама</w:t>
      </w:r>
      <w:proofErr w:type="spellEnd"/>
      <w:r>
        <w:rPr>
          <w:rFonts w:ascii="Verdana" w:eastAsia="Verdana" w:hAnsi="Verdana" w:cs="Verdana"/>
        </w:rPr>
        <w:t>.</w:t>
      </w:r>
    </w:p>
    <w:p w:rsidR="00A227D5" w:rsidRDefault="00A267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Обрасци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одштампани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чине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његов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део</w:t>
      </w:r>
      <w:proofErr w:type="spellEnd"/>
      <w:r>
        <w:rPr>
          <w:rFonts w:ascii="Verdana" w:eastAsia="Verdana" w:hAnsi="Verdana" w:cs="Verdana"/>
        </w:rPr>
        <w:t>.</w:t>
      </w:r>
    </w:p>
    <w:p w:rsidR="00A227D5" w:rsidRDefault="00A267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Ентитети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извештаје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пословању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достављају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року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15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истека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тромесечја</w:t>
      </w:r>
      <w:proofErr w:type="spellEnd"/>
      <w:r>
        <w:rPr>
          <w:rFonts w:ascii="Verdana" w:eastAsia="Verdana" w:hAnsi="Verdana" w:cs="Verdana"/>
        </w:rPr>
        <w:t>.</w:t>
      </w:r>
    </w:p>
    <w:p w:rsidR="00A227D5" w:rsidRDefault="00A267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  <w:b/>
        </w:rPr>
        <w:t>Члан</w:t>
      </w:r>
      <w:proofErr w:type="spellEnd"/>
      <w:r>
        <w:rPr>
          <w:rFonts w:ascii="Verdana" w:eastAsia="Verdana" w:hAnsi="Verdana" w:cs="Verdana"/>
          <w:b/>
        </w:rPr>
        <w:t xml:space="preserve"> 2а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227D5" w:rsidRDefault="00A26745">
      <w:pPr>
        <w:spacing w:line="210" w:lineRule="atLeast"/>
      </w:pPr>
      <w:proofErr w:type="spellStart"/>
      <w:r>
        <w:rPr>
          <w:rFonts w:ascii="Verdana" w:eastAsia="Verdana" w:hAnsi="Verdana" w:cs="Verdana"/>
          <w:b/>
        </w:rPr>
        <w:t>Месечне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извештаје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пословању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ентитети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достављају</w:t>
      </w:r>
      <w:proofErr w:type="spellEnd"/>
      <w:r>
        <w:rPr>
          <w:rFonts w:ascii="Verdana" w:eastAsia="Verdana" w:hAnsi="Verdana" w:cs="Verdana"/>
          <w:b/>
        </w:rPr>
        <w:t xml:space="preserve"> на  </w:t>
      </w:r>
      <w:proofErr w:type="spellStart"/>
      <w:r>
        <w:rPr>
          <w:rFonts w:ascii="Verdana" w:eastAsia="Verdana" w:hAnsi="Verdana" w:cs="Verdana"/>
          <w:b/>
        </w:rPr>
        <w:t>обрасцима</w:t>
      </w:r>
      <w:proofErr w:type="spellEnd"/>
      <w:r>
        <w:rPr>
          <w:rFonts w:ascii="Verdana" w:eastAsia="Verdana" w:hAnsi="Verdana" w:cs="Verdana"/>
          <w:b/>
        </w:rPr>
        <w:t xml:space="preserve">, и </w:t>
      </w:r>
      <w:proofErr w:type="spellStart"/>
      <w:r>
        <w:rPr>
          <w:rFonts w:ascii="Verdana" w:eastAsia="Verdana" w:hAnsi="Verdana" w:cs="Verdana"/>
          <w:b/>
        </w:rPr>
        <w:t>то</w:t>
      </w:r>
      <w:proofErr w:type="spellEnd"/>
      <w:r>
        <w:rPr>
          <w:rFonts w:ascii="Verdana" w:eastAsia="Verdana" w:hAnsi="Verdana" w:cs="Verdana"/>
          <w:b/>
        </w:rPr>
        <w:t>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  <w:b/>
        </w:rPr>
        <w:t xml:space="preserve">1) </w:t>
      </w:r>
      <w:proofErr w:type="spellStart"/>
      <w:r>
        <w:rPr>
          <w:rFonts w:ascii="Verdana" w:eastAsia="Verdana" w:hAnsi="Verdana" w:cs="Verdana"/>
          <w:b/>
        </w:rPr>
        <w:t>Образац</w:t>
      </w:r>
      <w:proofErr w:type="spellEnd"/>
      <w:r>
        <w:rPr>
          <w:rFonts w:ascii="Verdana" w:eastAsia="Verdana" w:hAnsi="Verdana" w:cs="Verdana"/>
          <w:b/>
        </w:rPr>
        <w:t xml:space="preserve"> 10. </w:t>
      </w:r>
      <w:proofErr w:type="spellStart"/>
      <w:r>
        <w:rPr>
          <w:rFonts w:ascii="Verdana" w:eastAsia="Verdana" w:hAnsi="Verdana" w:cs="Verdana"/>
          <w:b/>
        </w:rPr>
        <w:t>Месечни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извештај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токовима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готовине</w:t>
      </w:r>
      <w:proofErr w:type="spellEnd"/>
      <w:r>
        <w:rPr>
          <w:rFonts w:ascii="Verdana" w:eastAsia="Verdana" w:hAnsi="Verdana" w:cs="Verdana"/>
          <w:b/>
        </w:rPr>
        <w:t>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  <w:b/>
        </w:rPr>
        <w:t xml:space="preserve">2 ) </w:t>
      </w:r>
      <w:proofErr w:type="spellStart"/>
      <w:r>
        <w:rPr>
          <w:rFonts w:ascii="Verdana" w:eastAsia="Verdana" w:hAnsi="Verdana" w:cs="Verdana"/>
          <w:b/>
        </w:rPr>
        <w:t>Образац</w:t>
      </w:r>
      <w:proofErr w:type="spellEnd"/>
      <w:r>
        <w:rPr>
          <w:rFonts w:ascii="Verdana" w:eastAsia="Verdana" w:hAnsi="Verdana" w:cs="Verdana"/>
          <w:b/>
        </w:rPr>
        <w:t xml:space="preserve"> 11. </w:t>
      </w:r>
      <w:proofErr w:type="spellStart"/>
      <w:r>
        <w:rPr>
          <w:rFonts w:ascii="Verdana" w:eastAsia="Verdana" w:hAnsi="Verdana" w:cs="Verdana"/>
          <w:b/>
        </w:rPr>
        <w:t>Преглед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примљених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средстава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буџета</w:t>
      </w:r>
      <w:proofErr w:type="spellEnd"/>
      <w:r>
        <w:rPr>
          <w:rFonts w:ascii="Verdana" w:eastAsia="Verdana" w:hAnsi="Verdana" w:cs="Verdana"/>
          <w:b/>
        </w:rPr>
        <w:t xml:space="preserve">  – </w:t>
      </w:r>
      <w:proofErr w:type="spellStart"/>
      <w:r>
        <w:rPr>
          <w:rFonts w:ascii="Verdana" w:eastAsia="Verdana" w:hAnsi="Verdana" w:cs="Verdana"/>
          <w:b/>
        </w:rPr>
        <w:t>субвенције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  <w:b/>
        </w:rPr>
        <w:t>гаранције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или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друга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средства</w:t>
      </w:r>
      <w:proofErr w:type="spellEnd"/>
      <w:r>
        <w:rPr>
          <w:rFonts w:ascii="Verdana" w:eastAsia="Verdana" w:hAnsi="Verdana" w:cs="Verdana"/>
          <w:b/>
        </w:rPr>
        <w:t>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  <w:b/>
        </w:rPr>
        <w:t xml:space="preserve">3) </w:t>
      </w:r>
      <w:proofErr w:type="spellStart"/>
      <w:r>
        <w:rPr>
          <w:rFonts w:ascii="Verdana" w:eastAsia="Verdana" w:hAnsi="Verdana" w:cs="Verdana"/>
          <w:b/>
        </w:rPr>
        <w:t>Образац</w:t>
      </w:r>
      <w:proofErr w:type="spellEnd"/>
      <w:r>
        <w:rPr>
          <w:rFonts w:ascii="Verdana" w:eastAsia="Verdana" w:hAnsi="Verdana" w:cs="Verdana"/>
          <w:b/>
        </w:rPr>
        <w:t xml:space="preserve"> 12. </w:t>
      </w:r>
      <w:proofErr w:type="spellStart"/>
      <w:r>
        <w:rPr>
          <w:rFonts w:ascii="Verdana" w:eastAsia="Verdana" w:hAnsi="Verdana" w:cs="Verdana"/>
          <w:b/>
        </w:rPr>
        <w:t>Преглед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испл</w:t>
      </w:r>
      <w:r>
        <w:rPr>
          <w:rFonts w:ascii="Verdana" w:eastAsia="Verdana" w:hAnsi="Verdana" w:cs="Verdana"/>
          <w:b/>
        </w:rPr>
        <w:t>ата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зарада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  <w:b/>
        </w:rPr>
        <w:t>накнада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зарада</w:t>
      </w:r>
      <w:proofErr w:type="spellEnd"/>
      <w:r>
        <w:rPr>
          <w:rFonts w:ascii="Verdana" w:eastAsia="Verdana" w:hAnsi="Verdana" w:cs="Verdana"/>
          <w:b/>
        </w:rPr>
        <w:t xml:space="preserve">,  </w:t>
      </w:r>
      <w:proofErr w:type="spellStart"/>
      <w:r>
        <w:rPr>
          <w:rFonts w:ascii="Verdana" w:eastAsia="Verdana" w:hAnsi="Verdana" w:cs="Verdana"/>
          <w:b/>
        </w:rPr>
        <w:t>осталих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личних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расхода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  <w:b/>
        </w:rPr>
        <w:t>капиталних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издатака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финансијске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имовине</w:t>
      </w:r>
      <w:proofErr w:type="spellEnd"/>
      <w:r>
        <w:rPr>
          <w:rFonts w:ascii="Verdana" w:eastAsia="Verdana" w:hAnsi="Verdana" w:cs="Verdana"/>
          <w:b/>
        </w:rPr>
        <w:t>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  <w:b/>
        </w:rPr>
        <w:t xml:space="preserve">4) </w:t>
      </w:r>
      <w:proofErr w:type="spellStart"/>
      <w:r>
        <w:rPr>
          <w:rFonts w:ascii="Verdana" w:eastAsia="Verdana" w:hAnsi="Verdana" w:cs="Verdana"/>
          <w:b/>
        </w:rPr>
        <w:t>Образац</w:t>
      </w:r>
      <w:proofErr w:type="spellEnd"/>
      <w:r>
        <w:rPr>
          <w:rFonts w:ascii="Verdana" w:eastAsia="Verdana" w:hAnsi="Verdana" w:cs="Verdana"/>
          <w:b/>
        </w:rPr>
        <w:t xml:space="preserve"> 13. </w:t>
      </w:r>
      <w:proofErr w:type="spellStart"/>
      <w:r>
        <w:rPr>
          <w:rFonts w:ascii="Verdana" w:eastAsia="Verdana" w:hAnsi="Verdana" w:cs="Verdana"/>
          <w:b/>
        </w:rPr>
        <w:t>Преглед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уплата</w:t>
      </w:r>
      <w:proofErr w:type="spellEnd"/>
      <w:r>
        <w:rPr>
          <w:rFonts w:ascii="Verdana" w:eastAsia="Verdana" w:hAnsi="Verdana" w:cs="Verdana"/>
          <w:b/>
        </w:rPr>
        <w:t xml:space="preserve"> у буџет.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227D5" w:rsidRDefault="00A26745">
      <w:pPr>
        <w:spacing w:line="210" w:lineRule="atLeast"/>
      </w:pPr>
      <w:proofErr w:type="spellStart"/>
      <w:r>
        <w:rPr>
          <w:rFonts w:ascii="Verdana" w:eastAsia="Verdana" w:hAnsi="Verdana" w:cs="Verdana"/>
          <w:b/>
        </w:rPr>
        <w:t>Ентитети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извештаје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пословању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става</w:t>
      </w:r>
      <w:proofErr w:type="spellEnd"/>
      <w:r>
        <w:rPr>
          <w:rFonts w:ascii="Verdana" w:eastAsia="Verdana" w:hAnsi="Verdana" w:cs="Verdana"/>
          <w:b/>
        </w:rPr>
        <w:t xml:space="preserve"> 1. </w:t>
      </w:r>
      <w:proofErr w:type="spellStart"/>
      <w:r>
        <w:rPr>
          <w:rFonts w:ascii="Verdana" w:eastAsia="Verdana" w:hAnsi="Verdana" w:cs="Verdana"/>
          <w:b/>
        </w:rPr>
        <w:t>овог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 </w:t>
      </w:r>
      <w:proofErr w:type="spellStart"/>
      <w:r>
        <w:rPr>
          <w:rFonts w:ascii="Verdana" w:eastAsia="Verdana" w:hAnsi="Verdana" w:cs="Verdana"/>
          <w:b/>
        </w:rPr>
        <w:t>достављају</w:t>
      </w:r>
      <w:proofErr w:type="spellEnd"/>
      <w:r>
        <w:rPr>
          <w:rFonts w:ascii="Verdana" w:eastAsia="Verdana" w:hAnsi="Verdana" w:cs="Verdana"/>
          <w:b/>
        </w:rPr>
        <w:t xml:space="preserve"> у </w:t>
      </w:r>
      <w:proofErr w:type="spellStart"/>
      <w:r>
        <w:rPr>
          <w:rFonts w:ascii="Verdana" w:eastAsia="Verdana" w:hAnsi="Verdana" w:cs="Verdana"/>
          <w:b/>
        </w:rPr>
        <w:t>року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</w:t>
      </w:r>
      <w:proofErr w:type="spellEnd"/>
      <w:r>
        <w:rPr>
          <w:rFonts w:ascii="Verdana" w:eastAsia="Verdana" w:hAnsi="Verdana" w:cs="Verdana"/>
          <w:b/>
        </w:rPr>
        <w:t xml:space="preserve"> 15 </w:t>
      </w:r>
      <w:proofErr w:type="spellStart"/>
      <w:r>
        <w:rPr>
          <w:rFonts w:ascii="Verdana" w:eastAsia="Verdana" w:hAnsi="Verdana" w:cs="Verdana"/>
          <w:b/>
        </w:rPr>
        <w:t>дана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дана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истека</w:t>
      </w:r>
      <w:proofErr w:type="spellEnd"/>
      <w:r>
        <w:rPr>
          <w:rFonts w:ascii="Verdana" w:eastAsia="Verdana" w:hAnsi="Verdana" w:cs="Verdana"/>
          <w:b/>
        </w:rPr>
        <w:t xml:space="preserve"> месеца.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227D5" w:rsidRDefault="00A26745">
      <w:pPr>
        <w:spacing w:line="210" w:lineRule="atLeast"/>
      </w:pPr>
      <w:proofErr w:type="spellStart"/>
      <w:r>
        <w:rPr>
          <w:rFonts w:ascii="Verdana" w:eastAsia="Verdana" w:hAnsi="Verdana" w:cs="Verdana"/>
          <w:b/>
        </w:rPr>
        <w:t>Обрасци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става</w:t>
      </w:r>
      <w:proofErr w:type="spellEnd"/>
      <w:r>
        <w:rPr>
          <w:rFonts w:ascii="Verdana" w:eastAsia="Verdana" w:hAnsi="Verdana" w:cs="Verdana"/>
          <w:b/>
        </w:rPr>
        <w:t xml:space="preserve"> 1. </w:t>
      </w:r>
      <w:proofErr w:type="spellStart"/>
      <w:r>
        <w:rPr>
          <w:rFonts w:ascii="Verdana" w:eastAsia="Verdana" w:hAnsi="Verdana" w:cs="Verdana"/>
          <w:b/>
        </w:rPr>
        <w:t>овог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одштампани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уз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овај</w:t>
      </w:r>
      <w:proofErr w:type="spellEnd"/>
      <w:r>
        <w:rPr>
          <w:rFonts w:ascii="Verdana" w:eastAsia="Verdana" w:hAnsi="Verdana" w:cs="Verdana"/>
          <w:b/>
        </w:rPr>
        <w:t xml:space="preserve">  </w:t>
      </w:r>
      <w:proofErr w:type="spellStart"/>
      <w:r>
        <w:rPr>
          <w:rFonts w:ascii="Verdana" w:eastAsia="Verdana" w:hAnsi="Verdana" w:cs="Verdana"/>
          <w:b/>
        </w:rPr>
        <w:t>правилник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чине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његов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саставни</w:t>
      </w:r>
      <w:proofErr w:type="spellEnd"/>
      <w:r>
        <w:rPr>
          <w:rFonts w:ascii="Verdana" w:eastAsia="Verdana" w:hAnsi="Verdana" w:cs="Verdana"/>
          <w:b/>
        </w:rPr>
        <w:t xml:space="preserve"> део.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</w:rPr>
        <w:t>*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 93/2025</w:t>
      </w:r>
    </w:p>
    <w:p w:rsidR="00A227D5" w:rsidRDefault="00A267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3.</w:t>
      </w:r>
    </w:p>
    <w:p w:rsidR="00A227D5" w:rsidRDefault="00A267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Достављање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извештаја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 </w:t>
      </w:r>
      <w:proofErr w:type="spellStart"/>
      <w:r>
        <w:rPr>
          <w:rFonts w:ascii="Verdana" w:eastAsia="Verdana" w:hAnsi="Verdana" w:cs="Verdana"/>
          <w:b/>
        </w:rPr>
        <w:t>чл</w:t>
      </w:r>
      <w:proofErr w:type="spellEnd"/>
      <w:r>
        <w:rPr>
          <w:rFonts w:ascii="Verdana" w:eastAsia="Verdana" w:hAnsi="Verdana" w:cs="Verdana"/>
          <w:b/>
        </w:rPr>
        <w:t xml:space="preserve">. 2. и 2a </w:t>
      </w:r>
      <w:proofErr w:type="spellStart"/>
      <w:r>
        <w:rPr>
          <w:rFonts w:ascii="Verdana" w:eastAsia="Verdana" w:hAnsi="Verdana" w:cs="Verdana"/>
          <w:b/>
        </w:rPr>
        <w:t>овог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правилника</w:t>
      </w:r>
      <w:proofErr w:type="spellEnd"/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путем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Информационог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система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подношење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финансијск</w:t>
      </w:r>
      <w:r>
        <w:rPr>
          <w:rFonts w:ascii="Verdana" w:eastAsia="Verdana" w:hAnsi="Verdana" w:cs="Verdana"/>
        </w:rPr>
        <w:t>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извештаја</w:t>
      </w:r>
      <w:proofErr w:type="spellEnd"/>
      <w:r>
        <w:rPr>
          <w:rFonts w:ascii="Verdana" w:eastAsia="Verdana" w:hAnsi="Verdana" w:cs="Verdana"/>
        </w:rPr>
        <w:t xml:space="preserve"> (ИСПФИ),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води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Министарство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– Управа за трезор.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</w:rPr>
        <w:t>*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 93/2025</w:t>
      </w:r>
    </w:p>
    <w:p w:rsidR="00A227D5" w:rsidRDefault="00A267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4.</w:t>
      </w:r>
    </w:p>
    <w:p w:rsidR="00A227D5" w:rsidRDefault="00A267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осмог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”, а </w:t>
      </w:r>
      <w:proofErr w:type="spellStart"/>
      <w:r>
        <w:rPr>
          <w:rFonts w:ascii="Verdana" w:eastAsia="Verdana" w:hAnsi="Verdana" w:cs="Verdana"/>
        </w:rPr>
        <w:t>примењује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припреме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састављ</w:t>
      </w:r>
      <w:r>
        <w:rPr>
          <w:rFonts w:ascii="Verdana" w:eastAsia="Verdana" w:hAnsi="Verdana" w:cs="Verdana"/>
        </w:rPr>
        <w:t>ања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подношења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тромесечних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извештаја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пословању</w:t>
      </w:r>
      <w:proofErr w:type="spellEnd"/>
      <w:r>
        <w:rPr>
          <w:rFonts w:ascii="Verdana" w:eastAsia="Verdana" w:hAnsi="Verdana" w:cs="Verdana"/>
        </w:rPr>
        <w:t xml:space="preserve"> за 2025. </w:t>
      </w:r>
      <w:proofErr w:type="spellStart"/>
      <w:r>
        <w:rPr>
          <w:rFonts w:ascii="Verdana" w:eastAsia="Verdana" w:hAnsi="Verdana" w:cs="Verdana"/>
        </w:rPr>
        <w:t>годину</w:t>
      </w:r>
      <w:proofErr w:type="spellEnd"/>
      <w:r>
        <w:rPr>
          <w:rFonts w:ascii="Verdana" w:eastAsia="Verdana" w:hAnsi="Verdana" w:cs="Verdana"/>
        </w:rPr>
        <w:t>.</w:t>
      </w:r>
    </w:p>
    <w:p w:rsidR="00A227D5" w:rsidRDefault="00A26745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003556385 2024 10523 003 000 012 001</w:t>
      </w:r>
    </w:p>
    <w:p w:rsidR="00A227D5" w:rsidRDefault="00A26745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25. </w:t>
      </w:r>
      <w:proofErr w:type="spellStart"/>
      <w:r>
        <w:rPr>
          <w:rFonts w:ascii="Verdana" w:eastAsia="Verdana" w:hAnsi="Verdana" w:cs="Verdana"/>
        </w:rPr>
        <w:t>децембра</w:t>
      </w:r>
      <w:proofErr w:type="spellEnd"/>
      <w:r>
        <w:rPr>
          <w:rFonts w:ascii="Verdana" w:eastAsia="Verdana" w:hAnsi="Verdana" w:cs="Verdana"/>
        </w:rPr>
        <w:t xml:space="preserve"> 2024.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</w:p>
    <w:p w:rsidR="00A227D5" w:rsidRDefault="00A26745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>,</w:t>
      </w:r>
    </w:p>
    <w:p w:rsidR="00A227D5" w:rsidRDefault="00A26745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p w:rsidR="00A227D5" w:rsidRDefault="00A2674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ОДРЕДБЕ КОЈЕ НИСУ УНЕТЕ У "ПРЕЧИШЋЕН ТЕКСТ"  ПРАВИЛНИКА</w:t>
      </w:r>
    </w:p>
    <w:p w:rsidR="00A227D5" w:rsidRDefault="00A267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  <w:i/>
        </w:rPr>
        <w:t>Правилник</w:t>
      </w:r>
      <w:proofErr w:type="spellEnd"/>
      <w:r>
        <w:rPr>
          <w:rFonts w:ascii="Verdana" w:eastAsia="Verdana" w:hAnsi="Verdana" w:cs="Verdana"/>
          <w:i/>
        </w:rPr>
        <w:t xml:space="preserve"> о </w:t>
      </w:r>
      <w:proofErr w:type="spellStart"/>
      <w:r>
        <w:rPr>
          <w:rFonts w:ascii="Verdana" w:eastAsia="Verdana" w:hAnsi="Verdana" w:cs="Verdana"/>
          <w:i/>
        </w:rPr>
        <w:t>изменама</w:t>
      </w:r>
      <w:proofErr w:type="spellEnd"/>
      <w:r>
        <w:rPr>
          <w:rFonts w:ascii="Verdana" w:eastAsia="Verdana" w:hAnsi="Verdana" w:cs="Verdana"/>
          <w:i/>
        </w:rPr>
        <w:t xml:space="preserve"> и </w:t>
      </w:r>
      <w:proofErr w:type="spellStart"/>
      <w:r>
        <w:rPr>
          <w:rFonts w:ascii="Verdana" w:eastAsia="Verdana" w:hAnsi="Verdana" w:cs="Verdana"/>
          <w:i/>
        </w:rPr>
        <w:t>до</w:t>
      </w:r>
      <w:r>
        <w:rPr>
          <w:rFonts w:ascii="Verdana" w:eastAsia="Verdana" w:hAnsi="Verdana" w:cs="Verdana"/>
          <w:i/>
        </w:rPr>
        <w:t>пунама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Правилника</w:t>
      </w:r>
      <w:proofErr w:type="spellEnd"/>
      <w:r>
        <w:rPr>
          <w:rFonts w:ascii="Verdana" w:eastAsia="Verdana" w:hAnsi="Verdana" w:cs="Verdana"/>
          <w:i/>
        </w:rPr>
        <w:t xml:space="preserve"> о </w:t>
      </w:r>
      <w:proofErr w:type="spellStart"/>
      <w:r>
        <w:rPr>
          <w:rFonts w:ascii="Verdana" w:eastAsia="Verdana" w:hAnsi="Verdana" w:cs="Verdana"/>
          <w:i/>
        </w:rPr>
        <w:t>начину</w:t>
      </w:r>
      <w:proofErr w:type="spellEnd"/>
      <w:r>
        <w:rPr>
          <w:rFonts w:ascii="Verdana" w:eastAsia="Verdana" w:hAnsi="Verdana" w:cs="Verdana"/>
          <w:i/>
        </w:rPr>
        <w:t xml:space="preserve"> и  </w:t>
      </w:r>
      <w:proofErr w:type="spellStart"/>
      <w:r>
        <w:rPr>
          <w:rFonts w:ascii="Verdana" w:eastAsia="Verdana" w:hAnsi="Verdana" w:cs="Verdana"/>
          <w:i/>
        </w:rPr>
        <w:t>роковима</w:t>
      </w:r>
      <w:proofErr w:type="spellEnd"/>
      <w:r>
        <w:rPr>
          <w:rFonts w:ascii="Verdana" w:eastAsia="Verdana" w:hAnsi="Verdana" w:cs="Verdana"/>
          <w:i/>
        </w:rPr>
        <w:t xml:space="preserve"> за </w:t>
      </w:r>
      <w:proofErr w:type="spellStart"/>
      <w:r>
        <w:rPr>
          <w:rFonts w:ascii="Verdana" w:eastAsia="Verdana" w:hAnsi="Verdana" w:cs="Verdana"/>
          <w:i/>
        </w:rPr>
        <w:t>извештавање</w:t>
      </w:r>
      <w:proofErr w:type="spellEnd"/>
      <w:r>
        <w:rPr>
          <w:rFonts w:ascii="Verdana" w:eastAsia="Verdana" w:hAnsi="Verdana" w:cs="Verdana"/>
          <w:i/>
        </w:rPr>
        <w:t xml:space="preserve"> о </w:t>
      </w:r>
      <w:proofErr w:type="spellStart"/>
      <w:r>
        <w:rPr>
          <w:rFonts w:ascii="Verdana" w:eastAsia="Verdana" w:hAnsi="Verdana" w:cs="Verdana"/>
          <w:i/>
        </w:rPr>
        <w:t>пословању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јавних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предузећа</w:t>
      </w:r>
      <w:proofErr w:type="spellEnd"/>
      <w:r>
        <w:rPr>
          <w:rFonts w:ascii="Verdana" w:eastAsia="Verdana" w:hAnsi="Verdana" w:cs="Verdana"/>
          <w:i/>
        </w:rPr>
        <w:t xml:space="preserve"> и </w:t>
      </w:r>
      <w:proofErr w:type="spellStart"/>
      <w:r>
        <w:rPr>
          <w:rFonts w:ascii="Verdana" w:eastAsia="Verdana" w:hAnsi="Verdana" w:cs="Verdana"/>
          <w:i/>
        </w:rPr>
        <w:t>друштава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капитала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која</w:t>
      </w:r>
      <w:proofErr w:type="spellEnd"/>
      <w:r>
        <w:rPr>
          <w:rFonts w:ascii="Verdana" w:eastAsia="Verdana" w:hAnsi="Verdana" w:cs="Verdana"/>
          <w:i/>
        </w:rPr>
        <w:t xml:space="preserve">  </w:t>
      </w:r>
      <w:proofErr w:type="spellStart"/>
      <w:r>
        <w:rPr>
          <w:rFonts w:ascii="Verdana" w:eastAsia="Verdana" w:hAnsi="Verdana" w:cs="Verdana"/>
          <w:i/>
        </w:rPr>
        <w:t>обављају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делатност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од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општег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интереса</w:t>
      </w:r>
      <w:proofErr w:type="spellEnd"/>
      <w:r>
        <w:rPr>
          <w:rFonts w:ascii="Verdana" w:eastAsia="Verdana" w:hAnsi="Verdana" w:cs="Verdana"/>
          <w:i/>
        </w:rPr>
        <w:t>: „</w:t>
      </w:r>
      <w:proofErr w:type="spellStart"/>
      <w:r>
        <w:rPr>
          <w:rFonts w:ascii="Verdana" w:eastAsia="Verdana" w:hAnsi="Verdana" w:cs="Verdana"/>
          <w:i/>
        </w:rPr>
        <w:t>Службени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гласник</w:t>
      </w:r>
      <w:proofErr w:type="spellEnd"/>
      <w:r>
        <w:rPr>
          <w:rFonts w:ascii="Verdana" w:eastAsia="Verdana" w:hAnsi="Verdana" w:cs="Verdana"/>
          <w:i/>
        </w:rPr>
        <w:t xml:space="preserve"> РС”, </w:t>
      </w:r>
      <w:proofErr w:type="spellStart"/>
      <w:r>
        <w:rPr>
          <w:rFonts w:ascii="Verdana" w:eastAsia="Verdana" w:hAnsi="Verdana" w:cs="Verdana"/>
          <w:i/>
        </w:rPr>
        <w:t>број</w:t>
      </w:r>
      <w:proofErr w:type="spellEnd"/>
      <w:r>
        <w:rPr>
          <w:rFonts w:ascii="Verdana" w:eastAsia="Verdana" w:hAnsi="Verdana" w:cs="Verdana"/>
          <w:i/>
        </w:rPr>
        <w:t xml:space="preserve"> 93/2025-25</w:t>
      </w:r>
    </w:p>
    <w:p w:rsidR="00A227D5" w:rsidRDefault="00A267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  <w:b/>
        </w:rPr>
        <w:lastRenderedPageBreak/>
        <w:t>Члан</w:t>
      </w:r>
      <w:proofErr w:type="spellEnd"/>
      <w:r>
        <w:rPr>
          <w:rFonts w:ascii="Verdana" w:eastAsia="Verdana" w:hAnsi="Verdana" w:cs="Verdana"/>
          <w:b/>
        </w:rPr>
        <w:t xml:space="preserve"> 6.</w:t>
      </w:r>
    </w:p>
    <w:p w:rsidR="00A227D5" w:rsidRDefault="00A26745">
      <w:pPr>
        <w:spacing w:line="210" w:lineRule="atLeast"/>
      </w:pPr>
      <w:proofErr w:type="spellStart"/>
      <w:r>
        <w:rPr>
          <w:rFonts w:ascii="Verdana" w:eastAsia="Verdana" w:hAnsi="Verdana" w:cs="Verdana"/>
          <w:b/>
        </w:rPr>
        <w:t>Овај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правилник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ступа</w:t>
      </w:r>
      <w:proofErr w:type="spellEnd"/>
      <w:r>
        <w:rPr>
          <w:rFonts w:ascii="Verdana" w:eastAsia="Verdana" w:hAnsi="Verdana" w:cs="Verdana"/>
          <w:b/>
        </w:rPr>
        <w:t xml:space="preserve"> на </w:t>
      </w:r>
      <w:proofErr w:type="spellStart"/>
      <w:r>
        <w:rPr>
          <w:rFonts w:ascii="Verdana" w:eastAsia="Verdana" w:hAnsi="Verdana" w:cs="Verdana"/>
          <w:b/>
        </w:rPr>
        <w:t>снагу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осмог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дана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</w:t>
      </w:r>
      <w:proofErr w:type="spellEnd"/>
      <w:r>
        <w:rPr>
          <w:rFonts w:ascii="Verdana" w:eastAsia="Verdana" w:hAnsi="Verdana" w:cs="Verdana"/>
          <w:b/>
        </w:rPr>
        <w:t xml:space="preserve">  </w:t>
      </w:r>
      <w:proofErr w:type="spellStart"/>
      <w:r>
        <w:rPr>
          <w:rFonts w:ascii="Verdana" w:eastAsia="Verdana" w:hAnsi="Verdana" w:cs="Verdana"/>
          <w:b/>
        </w:rPr>
        <w:t>дана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објављивања</w:t>
      </w:r>
      <w:proofErr w:type="spellEnd"/>
      <w:r>
        <w:rPr>
          <w:rFonts w:ascii="Verdana" w:eastAsia="Verdana" w:hAnsi="Verdana" w:cs="Verdana"/>
          <w:b/>
        </w:rPr>
        <w:t xml:space="preserve"> у „</w:t>
      </w:r>
      <w:proofErr w:type="spellStart"/>
      <w:r>
        <w:rPr>
          <w:rFonts w:ascii="Verdana" w:eastAsia="Verdana" w:hAnsi="Verdana" w:cs="Verdana"/>
          <w:b/>
        </w:rPr>
        <w:t>Службеном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гласнику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Републике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Србијеˮ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  <w:b/>
        </w:rPr>
        <w:t>изузев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</w:t>
      </w:r>
      <w:proofErr w:type="spellEnd"/>
      <w:r>
        <w:rPr>
          <w:rFonts w:ascii="Verdana" w:eastAsia="Verdana" w:hAnsi="Verdana" w:cs="Verdana"/>
          <w:b/>
        </w:rPr>
        <w:t xml:space="preserve">. 1, 3. и 4.  </w:t>
      </w:r>
      <w:proofErr w:type="spellStart"/>
      <w:r>
        <w:rPr>
          <w:rFonts w:ascii="Verdana" w:eastAsia="Verdana" w:hAnsi="Verdana" w:cs="Verdana"/>
          <w:b/>
        </w:rPr>
        <w:t>овог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правилника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који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примењују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почев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</w:t>
      </w:r>
      <w:proofErr w:type="spellEnd"/>
      <w:r>
        <w:rPr>
          <w:rFonts w:ascii="Verdana" w:eastAsia="Verdana" w:hAnsi="Verdana" w:cs="Verdana"/>
          <w:b/>
        </w:rPr>
        <w:t xml:space="preserve"> 1. </w:t>
      </w:r>
      <w:proofErr w:type="spellStart"/>
      <w:r>
        <w:rPr>
          <w:rFonts w:ascii="Verdana" w:eastAsia="Verdana" w:hAnsi="Verdana" w:cs="Verdana"/>
          <w:b/>
        </w:rPr>
        <w:t>јануара</w:t>
      </w:r>
      <w:proofErr w:type="spellEnd"/>
      <w:r>
        <w:rPr>
          <w:rFonts w:ascii="Verdana" w:eastAsia="Verdana" w:hAnsi="Verdana" w:cs="Verdana"/>
          <w:b/>
        </w:rPr>
        <w:t xml:space="preserve"> 2026. </w:t>
      </w:r>
      <w:proofErr w:type="spellStart"/>
      <w:r>
        <w:rPr>
          <w:rFonts w:ascii="Verdana" w:eastAsia="Verdana" w:hAnsi="Verdana" w:cs="Verdana"/>
          <w:b/>
        </w:rPr>
        <w:t>године</w:t>
      </w:r>
      <w:proofErr w:type="spellEnd"/>
      <w:r>
        <w:rPr>
          <w:rFonts w:ascii="Verdana" w:eastAsia="Verdana" w:hAnsi="Verdana" w:cs="Verdana"/>
          <w:b/>
        </w:rPr>
        <w:t>.</w:t>
      </w:r>
    </w:p>
    <w:p w:rsidR="00A227D5" w:rsidRDefault="00A26745">
      <w:pPr>
        <w:spacing w:line="210" w:lineRule="atLeast"/>
      </w:pPr>
      <w:r>
        <w:rPr>
          <w:rFonts w:ascii="Verdana" w:eastAsia="Verdana" w:hAnsi="Verdana" w:cs="Verdana"/>
          <w:i/>
        </w:rPr>
        <w:t xml:space="preserve">НАПОМЕНА ИЗДАВАЧА: </w:t>
      </w:r>
      <w:proofErr w:type="spellStart"/>
      <w:r>
        <w:rPr>
          <w:rFonts w:ascii="Verdana" w:eastAsia="Verdana" w:hAnsi="Verdana" w:cs="Verdana"/>
          <w:i/>
        </w:rPr>
        <w:t>Правилником</w:t>
      </w:r>
      <w:proofErr w:type="spellEnd"/>
      <w:r>
        <w:rPr>
          <w:rFonts w:ascii="Verdana" w:eastAsia="Verdana" w:hAnsi="Verdana" w:cs="Verdana"/>
          <w:i/>
        </w:rPr>
        <w:t xml:space="preserve"> о </w:t>
      </w:r>
      <w:proofErr w:type="spellStart"/>
      <w:r>
        <w:rPr>
          <w:rFonts w:ascii="Verdana" w:eastAsia="Verdana" w:hAnsi="Verdana" w:cs="Verdana"/>
          <w:i/>
        </w:rPr>
        <w:t>изменама</w:t>
      </w:r>
      <w:proofErr w:type="spellEnd"/>
      <w:r>
        <w:rPr>
          <w:rFonts w:ascii="Verdana" w:eastAsia="Verdana" w:hAnsi="Verdana" w:cs="Verdana"/>
          <w:i/>
        </w:rPr>
        <w:t xml:space="preserve"> и </w:t>
      </w:r>
      <w:proofErr w:type="spellStart"/>
      <w:r>
        <w:rPr>
          <w:rFonts w:ascii="Verdana" w:eastAsia="Verdana" w:hAnsi="Verdana" w:cs="Verdana"/>
          <w:i/>
        </w:rPr>
        <w:t>допунама</w:t>
      </w:r>
      <w:proofErr w:type="spellEnd"/>
      <w:r>
        <w:rPr>
          <w:rFonts w:ascii="Verdana" w:eastAsia="Verdana" w:hAnsi="Verdana" w:cs="Verdana"/>
          <w:i/>
        </w:rPr>
        <w:t xml:space="preserve">  </w:t>
      </w:r>
      <w:proofErr w:type="spellStart"/>
      <w:r>
        <w:rPr>
          <w:rFonts w:ascii="Verdana" w:eastAsia="Verdana" w:hAnsi="Verdana" w:cs="Verdana"/>
          <w:i/>
        </w:rPr>
        <w:t>Правилника</w:t>
      </w:r>
      <w:proofErr w:type="spellEnd"/>
      <w:r>
        <w:rPr>
          <w:rFonts w:ascii="Verdana" w:eastAsia="Verdana" w:hAnsi="Verdana" w:cs="Verdana"/>
          <w:i/>
        </w:rPr>
        <w:t xml:space="preserve"> о </w:t>
      </w:r>
      <w:proofErr w:type="spellStart"/>
      <w:r>
        <w:rPr>
          <w:rFonts w:ascii="Verdana" w:eastAsia="Verdana" w:hAnsi="Verdana" w:cs="Verdana"/>
          <w:i/>
        </w:rPr>
        <w:t>начину</w:t>
      </w:r>
      <w:proofErr w:type="spellEnd"/>
      <w:r>
        <w:rPr>
          <w:rFonts w:ascii="Verdana" w:eastAsia="Verdana" w:hAnsi="Verdana" w:cs="Verdana"/>
          <w:i/>
        </w:rPr>
        <w:t xml:space="preserve"> и </w:t>
      </w:r>
      <w:proofErr w:type="spellStart"/>
      <w:r>
        <w:rPr>
          <w:rFonts w:ascii="Verdana" w:eastAsia="Verdana" w:hAnsi="Verdana" w:cs="Verdana"/>
          <w:i/>
        </w:rPr>
        <w:t>роковима</w:t>
      </w:r>
      <w:proofErr w:type="spellEnd"/>
      <w:r>
        <w:rPr>
          <w:rFonts w:ascii="Verdana" w:eastAsia="Verdana" w:hAnsi="Verdana" w:cs="Verdana"/>
          <w:i/>
        </w:rPr>
        <w:t xml:space="preserve"> за </w:t>
      </w:r>
      <w:proofErr w:type="spellStart"/>
      <w:r>
        <w:rPr>
          <w:rFonts w:ascii="Verdana" w:eastAsia="Verdana" w:hAnsi="Verdana" w:cs="Verdana"/>
          <w:i/>
        </w:rPr>
        <w:t>извештавање</w:t>
      </w:r>
      <w:proofErr w:type="spellEnd"/>
      <w:r>
        <w:rPr>
          <w:rFonts w:ascii="Verdana" w:eastAsia="Verdana" w:hAnsi="Verdana" w:cs="Verdana"/>
          <w:i/>
        </w:rPr>
        <w:t xml:space="preserve"> о </w:t>
      </w:r>
      <w:proofErr w:type="spellStart"/>
      <w:r>
        <w:rPr>
          <w:rFonts w:ascii="Verdana" w:eastAsia="Verdana" w:hAnsi="Verdana" w:cs="Verdana"/>
          <w:i/>
        </w:rPr>
        <w:t>пословању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јавних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пред</w:t>
      </w:r>
      <w:r>
        <w:rPr>
          <w:rFonts w:ascii="Verdana" w:eastAsia="Verdana" w:hAnsi="Verdana" w:cs="Verdana"/>
          <w:i/>
        </w:rPr>
        <w:t>узећа</w:t>
      </w:r>
      <w:proofErr w:type="spellEnd"/>
      <w:r>
        <w:rPr>
          <w:rFonts w:ascii="Verdana" w:eastAsia="Verdana" w:hAnsi="Verdana" w:cs="Verdana"/>
          <w:i/>
        </w:rPr>
        <w:t xml:space="preserve"> и  </w:t>
      </w:r>
      <w:proofErr w:type="spellStart"/>
      <w:r>
        <w:rPr>
          <w:rFonts w:ascii="Verdana" w:eastAsia="Verdana" w:hAnsi="Verdana" w:cs="Verdana"/>
          <w:i/>
        </w:rPr>
        <w:t>друштава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капитала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која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обављају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делатност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од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општег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интереса</w:t>
      </w:r>
      <w:proofErr w:type="spellEnd"/>
      <w:r>
        <w:rPr>
          <w:rFonts w:ascii="Verdana" w:eastAsia="Verdana" w:hAnsi="Verdana" w:cs="Verdana"/>
          <w:i/>
        </w:rPr>
        <w:t xml:space="preserve"> („</w:t>
      </w:r>
      <w:proofErr w:type="spellStart"/>
      <w:r>
        <w:rPr>
          <w:rFonts w:ascii="Verdana" w:eastAsia="Verdana" w:hAnsi="Verdana" w:cs="Verdana"/>
          <w:i/>
        </w:rPr>
        <w:t>Службени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гласник</w:t>
      </w:r>
      <w:proofErr w:type="spellEnd"/>
      <w:r>
        <w:rPr>
          <w:rFonts w:ascii="Verdana" w:eastAsia="Verdana" w:hAnsi="Verdana" w:cs="Verdana"/>
          <w:i/>
        </w:rPr>
        <w:t xml:space="preserve">  РС”, </w:t>
      </w:r>
      <w:proofErr w:type="spellStart"/>
      <w:r>
        <w:rPr>
          <w:rFonts w:ascii="Verdana" w:eastAsia="Verdana" w:hAnsi="Verdana" w:cs="Verdana"/>
          <w:i/>
        </w:rPr>
        <w:t>број</w:t>
      </w:r>
      <w:proofErr w:type="spellEnd"/>
      <w:r>
        <w:rPr>
          <w:rFonts w:ascii="Verdana" w:eastAsia="Verdana" w:hAnsi="Verdana" w:cs="Verdana"/>
          <w:i/>
        </w:rPr>
        <w:t xml:space="preserve"> 93/2025) </w:t>
      </w:r>
      <w:proofErr w:type="spellStart"/>
      <w:r>
        <w:rPr>
          <w:rFonts w:ascii="Verdana" w:eastAsia="Verdana" w:hAnsi="Verdana" w:cs="Verdana"/>
          <w:i/>
        </w:rPr>
        <w:t>додати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су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обрасци</w:t>
      </w:r>
      <w:proofErr w:type="spellEnd"/>
      <w:r>
        <w:rPr>
          <w:rFonts w:ascii="Verdana" w:eastAsia="Verdana" w:hAnsi="Verdana" w:cs="Verdana"/>
          <w:i/>
        </w:rPr>
        <w:t xml:space="preserve"> 10, 11, 12. и 13. (</w:t>
      </w:r>
      <w:proofErr w:type="spellStart"/>
      <w:r>
        <w:rPr>
          <w:rFonts w:ascii="Verdana" w:eastAsia="Verdana" w:hAnsi="Verdana" w:cs="Verdana"/>
          <w:i/>
        </w:rPr>
        <w:t>види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члан</w:t>
      </w:r>
      <w:proofErr w:type="spellEnd"/>
      <w:r>
        <w:rPr>
          <w:rFonts w:ascii="Verdana" w:eastAsia="Verdana" w:hAnsi="Verdana" w:cs="Verdana"/>
          <w:i/>
        </w:rPr>
        <w:t xml:space="preserve"> 5. </w:t>
      </w:r>
      <w:proofErr w:type="spellStart"/>
      <w:r>
        <w:rPr>
          <w:rFonts w:ascii="Verdana" w:eastAsia="Verdana" w:hAnsi="Verdana" w:cs="Verdana"/>
          <w:i/>
        </w:rPr>
        <w:t>Правилника</w:t>
      </w:r>
      <w:proofErr w:type="spellEnd"/>
      <w:r>
        <w:rPr>
          <w:rFonts w:ascii="Verdana" w:eastAsia="Verdana" w:hAnsi="Verdana" w:cs="Verdana"/>
          <w:i/>
        </w:rPr>
        <w:t xml:space="preserve">  – 93/2025-25).</w:t>
      </w:r>
    </w:p>
    <w:p w:rsidR="00A227D5" w:rsidRDefault="00A26745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Прилози</w:t>
      </w:r>
      <w:proofErr w:type="spellEnd"/>
    </w:p>
    <w:p w:rsidR="00A227D5" w:rsidRDefault="00A26745">
      <w:pPr>
        <w:spacing w:line="210" w:lineRule="atLeast"/>
      </w:pPr>
      <w:hyperlink r:id="rId4" w:history="1">
        <w:proofErr w:type="spellStart"/>
        <w:r>
          <w:rPr>
            <w:rFonts w:ascii="Verdana" w:eastAsia="Verdana" w:hAnsi="Verdana" w:cs="Verdana"/>
            <w:color w:val="008000"/>
          </w:rPr>
          <w:t>Образац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1  – </w:t>
        </w:r>
        <w:proofErr w:type="spellStart"/>
        <w:r>
          <w:rPr>
            <w:rFonts w:ascii="Verdana" w:eastAsia="Verdana" w:hAnsi="Verdana" w:cs="Verdana"/>
            <w:color w:val="008000"/>
          </w:rPr>
          <w:t>Биланс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успеха</w:t>
        </w:r>
        <w:proofErr w:type="spellEnd"/>
      </w:hyperlink>
    </w:p>
    <w:p w:rsidR="00A227D5" w:rsidRDefault="00A26745">
      <w:pPr>
        <w:spacing w:line="210" w:lineRule="atLeast"/>
      </w:pPr>
      <w:hyperlink r:id="rId5" w:history="1">
        <w:proofErr w:type="spellStart"/>
        <w:r>
          <w:rPr>
            <w:rFonts w:ascii="Verdana" w:eastAsia="Verdana" w:hAnsi="Verdana" w:cs="Verdana"/>
            <w:color w:val="008000"/>
          </w:rPr>
          <w:t>Образац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2  – </w:t>
        </w:r>
        <w:proofErr w:type="spellStart"/>
        <w:r>
          <w:rPr>
            <w:rFonts w:ascii="Verdana" w:eastAsia="Verdana" w:hAnsi="Verdana" w:cs="Verdana"/>
            <w:color w:val="008000"/>
          </w:rPr>
          <w:t>Биланс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стања</w:t>
        </w:r>
        <w:proofErr w:type="spellEnd"/>
      </w:hyperlink>
    </w:p>
    <w:p w:rsidR="00A227D5" w:rsidRDefault="00A26745">
      <w:pPr>
        <w:spacing w:line="210" w:lineRule="atLeast"/>
      </w:pPr>
      <w:hyperlink r:id="rId6" w:history="1">
        <w:proofErr w:type="spellStart"/>
        <w:r>
          <w:rPr>
            <w:rFonts w:ascii="Verdana" w:eastAsia="Verdana" w:hAnsi="Verdana" w:cs="Verdana"/>
            <w:color w:val="008000"/>
          </w:rPr>
          <w:t>Образац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3  – </w:t>
        </w:r>
        <w:proofErr w:type="spellStart"/>
        <w:r>
          <w:rPr>
            <w:rFonts w:ascii="Verdana" w:eastAsia="Verdana" w:hAnsi="Verdana" w:cs="Verdana"/>
            <w:color w:val="008000"/>
          </w:rPr>
          <w:t>Извештај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о </w:t>
        </w:r>
        <w:proofErr w:type="spellStart"/>
        <w:r>
          <w:rPr>
            <w:rFonts w:ascii="Verdana" w:eastAsia="Verdana" w:hAnsi="Verdana" w:cs="Verdana"/>
            <w:color w:val="008000"/>
          </w:rPr>
          <w:t>токовима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готовине</w:t>
        </w:r>
        <w:proofErr w:type="spellEnd"/>
      </w:hyperlink>
    </w:p>
    <w:p w:rsidR="00A227D5" w:rsidRDefault="00A26745">
      <w:pPr>
        <w:spacing w:line="210" w:lineRule="atLeast"/>
      </w:pPr>
      <w:hyperlink r:id="rId7" w:history="1">
        <w:proofErr w:type="spellStart"/>
        <w:r>
          <w:rPr>
            <w:rFonts w:ascii="Verdana" w:eastAsia="Verdana" w:hAnsi="Verdana" w:cs="Verdana"/>
            <w:color w:val="008000"/>
          </w:rPr>
          <w:t>Образац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4  </w:t>
        </w:r>
        <w:r>
          <w:rPr>
            <w:rFonts w:ascii="Verdana" w:eastAsia="Verdana" w:hAnsi="Verdana" w:cs="Verdana"/>
            <w:color w:val="008000"/>
          </w:rPr>
          <w:t xml:space="preserve">– </w:t>
        </w:r>
        <w:proofErr w:type="spellStart"/>
        <w:r>
          <w:rPr>
            <w:rFonts w:ascii="Verdana" w:eastAsia="Verdana" w:hAnsi="Verdana" w:cs="Verdana"/>
            <w:color w:val="008000"/>
          </w:rPr>
          <w:t>Трошкови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запослених</w:t>
        </w:r>
        <w:proofErr w:type="spellEnd"/>
      </w:hyperlink>
    </w:p>
    <w:p w:rsidR="00A227D5" w:rsidRDefault="00A26745">
      <w:pPr>
        <w:spacing w:line="210" w:lineRule="atLeast"/>
      </w:pPr>
      <w:hyperlink r:id="rId8" w:history="1">
        <w:proofErr w:type="spellStart"/>
        <w:r>
          <w:rPr>
            <w:rFonts w:ascii="Verdana" w:eastAsia="Verdana" w:hAnsi="Verdana" w:cs="Verdana"/>
            <w:color w:val="008000"/>
          </w:rPr>
          <w:t>Образац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5  – </w:t>
        </w:r>
        <w:proofErr w:type="spellStart"/>
        <w:r>
          <w:rPr>
            <w:rFonts w:ascii="Verdana" w:eastAsia="Verdana" w:hAnsi="Verdana" w:cs="Verdana"/>
            <w:color w:val="008000"/>
          </w:rPr>
          <w:t>Динамика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запослених</w:t>
        </w:r>
        <w:proofErr w:type="spellEnd"/>
      </w:hyperlink>
    </w:p>
    <w:p w:rsidR="00A227D5" w:rsidRDefault="00A26745">
      <w:pPr>
        <w:spacing w:line="210" w:lineRule="atLeast"/>
      </w:pPr>
      <w:hyperlink r:id="rId9" w:history="1">
        <w:proofErr w:type="spellStart"/>
        <w:r>
          <w:rPr>
            <w:rFonts w:ascii="Verdana" w:eastAsia="Verdana" w:hAnsi="Verdana" w:cs="Verdana"/>
            <w:color w:val="008000"/>
          </w:rPr>
          <w:t>Образац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6  – </w:t>
        </w:r>
        <w:proofErr w:type="spellStart"/>
        <w:r>
          <w:rPr>
            <w:rFonts w:ascii="Verdana" w:eastAsia="Verdana" w:hAnsi="Verdana" w:cs="Verdana"/>
            <w:color w:val="008000"/>
          </w:rPr>
          <w:t>Кретање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цена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производа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и </w:t>
        </w:r>
        <w:proofErr w:type="spellStart"/>
        <w:r>
          <w:rPr>
            <w:rFonts w:ascii="Verdana" w:eastAsia="Verdana" w:hAnsi="Verdana" w:cs="Verdana"/>
            <w:color w:val="008000"/>
          </w:rPr>
          <w:t>услуга</w:t>
        </w:r>
        <w:proofErr w:type="spellEnd"/>
      </w:hyperlink>
    </w:p>
    <w:p w:rsidR="00A227D5" w:rsidRDefault="00A26745">
      <w:pPr>
        <w:spacing w:line="210" w:lineRule="atLeast"/>
      </w:pPr>
      <w:hyperlink r:id="rId10" w:history="1">
        <w:proofErr w:type="spellStart"/>
        <w:r>
          <w:rPr>
            <w:rFonts w:ascii="Verdana" w:eastAsia="Verdana" w:hAnsi="Verdana" w:cs="Verdana"/>
            <w:color w:val="008000"/>
          </w:rPr>
          <w:t>Образац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7  – </w:t>
        </w:r>
        <w:proofErr w:type="spellStart"/>
        <w:r>
          <w:rPr>
            <w:rFonts w:ascii="Verdana" w:eastAsia="Verdana" w:hAnsi="Verdana" w:cs="Verdana"/>
            <w:color w:val="008000"/>
          </w:rPr>
          <w:t>Приходи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из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буџета</w:t>
        </w:r>
        <w:proofErr w:type="spellEnd"/>
      </w:hyperlink>
    </w:p>
    <w:p w:rsidR="00A227D5" w:rsidRDefault="00A26745">
      <w:pPr>
        <w:spacing w:line="210" w:lineRule="atLeast"/>
      </w:pPr>
      <w:hyperlink r:id="rId11" w:history="1">
        <w:proofErr w:type="spellStart"/>
        <w:r>
          <w:rPr>
            <w:rFonts w:ascii="Verdana" w:eastAsia="Verdana" w:hAnsi="Verdana" w:cs="Verdana"/>
            <w:color w:val="008000"/>
          </w:rPr>
          <w:t>Образац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8  – </w:t>
        </w:r>
        <w:proofErr w:type="spellStart"/>
        <w:r>
          <w:rPr>
            <w:rFonts w:ascii="Verdana" w:eastAsia="Verdana" w:hAnsi="Verdana" w:cs="Verdana"/>
            <w:color w:val="008000"/>
          </w:rPr>
          <w:t>Средства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за </w:t>
        </w:r>
        <w:proofErr w:type="spellStart"/>
        <w:r>
          <w:rPr>
            <w:rFonts w:ascii="Verdana" w:eastAsia="Verdana" w:hAnsi="Verdana" w:cs="Verdana"/>
            <w:color w:val="008000"/>
          </w:rPr>
          <w:t>посебне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намене</w:t>
        </w:r>
        <w:proofErr w:type="spellEnd"/>
      </w:hyperlink>
    </w:p>
    <w:p w:rsidR="00A227D5" w:rsidRDefault="00A26745">
      <w:pPr>
        <w:spacing w:line="210" w:lineRule="atLeast"/>
      </w:pPr>
      <w:hyperlink r:id="rId12" w:history="1">
        <w:proofErr w:type="spellStart"/>
        <w:r>
          <w:rPr>
            <w:rFonts w:ascii="Verdana" w:eastAsia="Verdana" w:hAnsi="Verdana" w:cs="Verdana"/>
            <w:color w:val="008000"/>
          </w:rPr>
          <w:t>Образац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9  – </w:t>
        </w:r>
        <w:proofErr w:type="spellStart"/>
        <w:r>
          <w:rPr>
            <w:rFonts w:ascii="Verdana" w:eastAsia="Verdana" w:hAnsi="Verdana" w:cs="Verdana"/>
            <w:color w:val="008000"/>
          </w:rPr>
          <w:t>Извештај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о </w:t>
        </w:r>
        <w:proofErr w:type="spellStart"/>
        <w:r>
          <w:rPr>
            <w:rFonts w:ascii="Verdana" w:eastAsia="Verdana" w:hAnsi="Verdana" w:cs="Verdana"/>
            <w:color w:val="008000"/>
          </w:rPr>
          <w:t>инвестицијама</w:t>
        </w:r>
        <w:proofErr w:type="spellEnd"/>
      </w:hyperlink>
    </w:p>
    <w:p w:rsidR="00A227D5" w:rsidRDefault="00A26745">
      <w:pPr>
        <w:spacing w:line="210" w:lineRule="atLeast"/>
      </w:pPr>
      <w:hyperlink r:id="rId13" w:history="1">
        <w:proofErr w:type="spellStart"/>
        <w:r>
          <w:rPr>
            <w:rFonts w:ascii="Verdana" w:eastAsia="Verdana" w:hAnsi="Verdana" w:cs="Verdana"/>
            <w:color w:val="008000"/>
          </w:rPr>
          <w:t>Образац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 10 – </w:t>
        </w:r>
        <w:proofErr w:type="spellStart"/>
        <w:r>
          <w:rPr>
            <w:rFonts w:ascii="Verdana" w:eastAsia="Verdana" w:hAnsi="Verdana" w:cs="Verdana"/>
            <w:color w:val="008000"/>
          </w:rPr>
          <w:t>Месечни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извештај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о </w:t>
        </w:r>
        <w:proofErr w:type="spellStart"/>
        <w:r>
          <w:rPr>
            <w:rFonts w:ascii="Verdana" w:eastAsia="Verdana" w:hAnsi="Verdana" w:cs="Verdana"/>
            <w:color w:val="008000"/>
          </w:rPr>
          <w:t>токовима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готовине</w:t>
        </w:r>
        <w:proofErr w:type="spellEnd"/>
      </w:hyperlink>
    </w:p>
    <w:p w:rsidR="00A227D5" w:rsidRDefault="00A26745">
      <w:pPr>
        <w:spacing w:line="210" w:lineRule="atLeast"/>
      </w:pPr>
      <w:hyperlink r:id="rId14" w:history="1">
        <w:proofErr w:type="spellStart"/>
        <w:r>
          <w:rPr>
            <w:rFonts w:ascii="Verdana" w:eastAsia="Verdana" w:hAnsi="Verdana" w:cs="Verdana"/>
            <w:color w:val="008000"/>
          </w:rPr>
          <w:t>Образац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 11 – </w:t>
        </w:r>
        <w:proofErr w:type="spellStart"/>
        <w:r>
          <w:rPr>
            <w:rFonts w:ascii="Verdana" w:eastAsia="Verdana" w:hAnsi="Verdana" w:cs="Verdana"/>
            <w:color w:val="008000"/>
          </w:rPr>
          <w:t>Преглед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примљених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средстава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из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буџета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– </w:t>
        </w:r>
        <w:proofErr w:type="spellStart"/>
        <w:r>
          <w:rPr>
            <w:rFonts w:ascii="Verdana" w:eastAsia="Verdana" w:hAnsi="Verdana" w:cs="Verdana"/>
            <w:color w:val="008000"/>
          </w:rPr>
          <w:t>субвенције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, </w:t>
        </w:r>
        <w:proofErr w:type="spellStart"/>
        <w:r>
          <w:rPr>
            <w:rFonts w:ascii="Verdana" w:eastAsia="Verdana" w:hAnsi="Verdana" w:cs="Verdana"/>
            <w:color w:val="008000"/>
          </w:rPr>
          <w:t>г</w:t>
        </w:r>
        <w:r>
          <w:rPr>
            <w:rFonts w:ascii="Verdana" w:eastAsia="Verdana" w:hAnsi="Verdana" w:cs="Verdana"/>
            <w:color w:val="008000"/>
          </w:rPr>
          <w:t>аранције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или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друга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 </w:t>
        </w:r>
        <w:proofErr w:type="spellStart"/>
        <w:r>
          <w:rPr>
            <w:rFonts w:ascii="Verdana" w:eastAsia="Verdana" w:hAnsi="Verdana" w:cs="Verdana"/>
            <w:color w:val="008000"/>
          </w:rPr>
          <w:t>средства</w:t>
        </w:r>
        <w:proofErr w:type="spellEnd"/>
      </w:hyperlink>
    </w:p>
    <w:p w:rsidR="00A227D5" w:rsidRDefault="00A26745">
      <w:pPr>
        <w:spacing w:line="210" w:lineRule="atLeast"/>
      </w:pPr>
      <w:hyperlink r:id="rId15" w:history="1">
        <w:proofErr w:type="spellStart"/>
        <w:r>
          <w:rPr>
            <w:rFonts w:ascii="Verdana" w:eastAsia="Verdana" w:hAnsi="Verdana" w:cs="Verdana"/>
            <w:color w:val="008000"/>
          </w:rPr>
          <w:t>Образац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 12 – </w:t>
        </w:r>
        <w:proofErr w:type="spellStart"/>
        <w:r>
          <w:rPr>
            <w:rFonts w:ascii="Verdana" w:eastAsia="Verdana" w:hAnsi="Verdana" w:cs="Verdana"/>
            <w:color w:val="008000"/>
          </w:rPr>
          <w:t>Преглед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исплата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зарада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, </w:t>
        </w:r>
        <w:proofErr w:type="spellStart"/>
        <w:r>
          <w:rPr>
            <w:rFonts w:ascii="Verdana" w:eastAsia="Verdana" w:hAnsi="Verdana" w:cs="Verdana"/>
            <w:color w:val="008000"/>
          </w:rPr>
          <w:t>накнада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зарада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, </w:t>
        </w:r>
        <w:proofErr w:type="spellStart"/>
        <w:r>
          <w:rPr>
            <w:rFonts w:ascii="Verdana" w:eastAsia="Verdana" w:hAnsi="Verdana" w:cs="Verdana"/>
            <w:color w:val="008000"/>
          </w:rPr>
          <w:t>осталих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личних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расхода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, </w:t>
        </w:r>
        <w:proofErr w:type="spellStart"/>
        <w:r>
          <w:rPr>
            <w:rFonts w:ascii="Verdana" w:eastAsia="Verdana" w:hAnsi="Verdana" w:cs="Verdana"/>
            <w:color w:val="008000"/>
          </w:rPr>
          <w:t>капиталних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 </w:t>
        </w:r>
        <w:proofErr w:type="spellStart"/>
        <w:r>
          <w:rPr>
            <w:rFonts w:ascii="Verdana" w:eastAsia="Verdana" w:hAnsi="Verdana" w:cs="Verdana"/>
            <w:color w:val="008000"/>
          </w:rPr>
          <w:t>издатака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и </w:t>
        </w:r>
        <w:proofErr w:type="spellStart"/>
        <w:r>
          <w:rPr>
            <w:rFonts w:ascii="Verdana" w:eastAsia="Verdana" w:hAnsi="Verdana" w:cs="Verdana"/>
            <w:color w:val="008000"/>
          </w:rPr>
          <w:t>финансијске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имовине</w:t>
        </w:r>
        <w:proofErr w:type="spellEnd"/>
      </w:hyperlink>
    </w:p>
    <w:p w:rsidR="00A227D5" w:rsidRDefault="00A26745">
      <w:pPr>
        <w:spacing w:line="210" w:lineRule="atLeast"/>
      </w:pPr>
      <w:hyperlink r:id="rId16" w:history="1">
        <w:proofErr w:type="spellStart"/>
        <w:r>
          <w:rPr>
            <w:rFonts w:ascii="Verdana" w:eastAsia="Verdana" w:hAnsi="Verdana" w:cs="Verdana"/>
            <w:color w:val="008000"/>
          </w:rPr>
          <w:t>Образац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 13 – </w:t>
        </w:r>
        <w:proofErr w:type="spellStart"/>
        <w:r>
          <w:rPr>
            <w:rFonts w:ascii="Verdana" w:eastAsia="Verdana" w:hAnsi="Verdana" w:cs="Verdana"/>
            <w:color w:val="008000"/>
          </w:rPr>
          <w:t>Преглед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</w:t>
        </w:r>
        <w:proofErr w:type="spellStart"/>
        <w:r>
          <w:rPr>
            <w:rFonts w:ascii="Verdana" w:eastAsia="Verdana" w:hAnsi="Verdana" w:cs="Verdana"/>
            <w:color w:val="008000"/>
          </w:rPr>
          <w:t>уплата</w:t>
        </w:r>
        <w:proofErr w:type="spellEnd"/>
        <w:r>
          <w:rPr>
            <w:rFonts w:ascii="Verdana" w:eastAsia="Verdana" w:hAnsi="Verdana" w:cs="Verdana"/>
            <w:color w:val="008000"/>
          </w:rPr>
          <w:t xml:space="preserve"> у </w:t>
        </w:r>
        <w:proofErr w:type="spellStart"/>
        <w:r>
          <w:rPr>
            <w:rFonts w:ascii="Verdana" w:eastAsia="Verdana" w:hAnsi="Verdana" w:cs="Verdana"/>
            <w:color w:val="008000"/>
          </w:rPr>
          <w:t>буџет</w:t>
        </w:r>
        <w:proofErr w:type="spellEnd"/>
      </w:hyperlink>
    </w:p>
    <w:sectPr w:rsidR="00A227D5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D5"/>
    <w:rsid w:val="00A227D5"/>
    <w:rsid w:val="00A2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C782CD-A9E5-4ABC-B794-93893946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.pravno-informacioni-sistem.rs/api/Attachment/prilozi/439133/prilog5.html" TargetMode="External"/><Relationship Id="rId13" Type="http://schemas.openxmlformats.org/officeDocument/2006/relationships/hyperlink" Target="https://reg.pravno-informacioni-sistem.rs/api/Attachment/prilozi/439133/10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g.pravno-informacioni-sistem.rs/api/Attachment/prilozi/439133/prilog4.html" TargetMode="External"/><Relationship Id="rId12" Type="http://schemas.openxmlformats.org/officeDocument/2006/relationships/hyperlink" Target="https://reg.pravno-informacioni-sistem.rs/api/Attachment/prilozi/439133/prilog9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g.pravno-informacioni-sistem.rs/api/Attachment/prilozi/439133/13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reg.pravno-informacioni-sistem.rs/api/Attachment/prilozi/439133/prilog3.html" TargetMode="External"/><Relationship Id="rId11" Type="http://schemas.openxmlformats.org/officeDocument/2006/relationships/hyperlink" Target="https://reg.pravno-informacioni-sistem.rs/api/Attachment/prilozi/439133/prilog8.html" TargetMode="External"/><Relationship Id="rId5" Type="http://schemas.openxmlformats.org/officeDocument/2006/relationships/hyperlink" Target="https://reg.pravno-informacioni-sistem.rs/api/Attachment/prilozi/439133/prilog2.html" TargetMode="External"/><Relationship Id="rId15" Type="http://schemas.openxmlformats.org/officeDocument/2006/relationships/hyperlink" Target="https://reg.pravno-informacioni-sistem.rs/api/Attachment/prilozi/439133/12.html" TargetMode="External"/><Relationship Id="rId10" Type="http://schemas.openxmlformats.org/officeDocument/2006/relationships/hyperlink" Target="https://reg.pravno-informacioni-sistem.rs/api/Attachment/prilozi/439133/prilog7.html" TargetMode="External"/><Relationship Id="rId4" Type="http://schemas.openxmlformats.org/officeDocument/2006/relationships/hyperlink" Target="https://reg.pravno-informacioni-sistem.rs/api/Attachment/prilozi/439133/prilog1.html" TargetMode="External"/><Relationship Id="rId9" Type="http://schemas.openxmlformats.org/officeDocument/2006/relationships/hyperlink" Target="https://reg.pravno-informacioni-sistem.rs/api/Attachment/prilozi/439133/prilog6.html" TargetMode="External"/><Relationship Id="rId14" Type="http://schemas.openxmlformats.org/officeDocument/2006/relationships/hyperlink" Target="https://reg.pravno-informacioni-sistem.rs/api/Attachment/prilozi/439133/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2025-11-05T09:36:00Z</dcterms:created>
  <dcterms:modified xsi:type="dcterms:W3CDTF">2025-11-05T09:36:00Z</dcterms:modified>
</cp:coreProperties>
</file>