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DF869EC" w:rsidR="00B95A8A" w:rsidRPr="00515254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515254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37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8BCAF37" w:rsidR="00B95A8A" w:rsidRPr="009759A7" w:rsidRDefault="00E15968" w:rsidP="0051525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15254" w:rsidRPr="0051525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студијско-аналитичке послове, </w:t>
            </w:r>
            <w:r w:rsidR="00515254" w:rsidRPr="005152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Група за студијско-аналитичке послове </w:t>
            </w:r>
            <w:r w:rsidR="00515254" w:rsidRPr="0051525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 Одељење за сузбијање неправилности и превара у поступању са финансијским ср</w:t>
            </w:r>
            <w:r w:rsidR="0051525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едствима Европске уније (АФКОС) </w:t>
            </w:r>
            <w:r w:rsidR="00515254" w:rsidRPr="0051525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– </w:t>
            </w:r>
            <w:bookmarkStart w:id="0" w:name="_GoBack"/>
            <w:r w:rsidR="00515254" w:rsidRPr="005152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1D4B1F7" w:rsidR="00B95A8A" w:rsidRPr="009759A7" w:rsidRDefault="00904525" w:rsidP="0051525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15254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46A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46A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46A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46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46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46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46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46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46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46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46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46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46AD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46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46A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46A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46AD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46AD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B556" w14:textId="77777777" w:rsidR="00046ADA" w:rsidRDefault="00046ADA" w:rsidP="004F1DE5">
      <w:pPr>
        <w:spacing w:after="0" w:line="240" w:lineRule="auto"/>
      </w:pPr>
      <w:r>
        <w:separator/>
      </w:r>
    </w:p>
  </w:endnote>
  <w:endnote w:type="continuationSeparator" w:id="0">
    <w:p w14:paraId="4A45AFAE" w14:textId="77777777" w:rsidR="00046ADA" w:rsidRDefault="00046AD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17D1" w14:textId="77777777" w:rsidR="00046ADA" w:rsidRDefault="00046ADA" w:rsidP="004F1DE5">
      <w:pPr>
        <w:spacing w:after="0" w:line="240" w:lineRule="auto"/>
      </w:pPr>
      <w:r>
        <w:separator/>
      </w:r>
    </w:p>
  </w:footnote>
  <w:footnote w:type="continuationSeparator" w:id="0">
    <w:p w14:paraId="6E49AD49" w14:textId="77777777" w:rsidR="00046ADA" w:rsidRDefault="00046AD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ADA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5254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4672-7576-4810-B68F-6CAAA634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2021-12-07T14:20:00Z</dcterms:modified>
</cp:coreProperties>
</file>