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81" w:rsidRDefault="00A77357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186.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пореском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пореској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администрацији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80/2002, 84/2002 и 23/2003),</w:t>
      </w:r>
    </w:p>
    <w:p w:rsidR="00D70E81" w:rsidRDefault="00A77357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економије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D70E81" w:rsidRDefault="00A77357">
      <w:pPr>
        <w:spacing w:after="150"/>
      </w:pPr>
      <w:r>
        <w:rPr>
          <w:color w:val="000000"/>
        </w:rPr>
        <w:t> </w:t>
      </w:r>
    </w:p>
    <w:p w:rsidR="00D70E81" w:rsidRDefault="00A77357">
      <w:pPr>
        <w:spacing w:after="150"/>
      </w:pPr>
      <w:r>
        <w:rPr>
          <w:color w:val="000000"/>
        </w:rPr>
        <w:t> </w:t>
      </w:r>
    </w:p>
    <w:p w:rsidR="00D70E81" w:rsidRDefault="00A77357">
      <w:pPr>
        <w:spacing w:after="150"/>
        <w:jc w:val="center"/>
      </w:pPr>
      <w:r>
        <w:rPr>
          <w:b/>
          <w:color w:val="000000"/>
        </w:rPr>
        <w:t>ПРАВИЛНИК</w:t>
      </w:r>
    </w:p>
    <w:p w:rsidR="00D70E81" w:rsidRDefault="00A77357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облику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садржини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пријаве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евиденцију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укупне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имовине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земљи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иностранству</w:t>
      </w:r>
      <w:proofErr w:type="spellEnd"/>
    </w:p>
    <w:p w:rsidR="00D70E81" w:rsidRDefault="00A77357">
      <w:pPr>
        <w:spacing w:after="150"/>
        <w:jc w:val="center"/>
      </w:pPr>
      <w:r>
        <w:rPr>
          <w:color w:val="000000"/>
        </w:rPr>
        <w:t>“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53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20. </w:t>
      </w:r>
      <w:proofErr w:type="spellStart"/>
      <w:r>
        <w:rPr>
          <w:color w:val="000000"/>
        </w:rPr>
        <w:t>маја</w:t>
      </w:r>
      <w:proofErr w:type="spellEnd"/>
      <w:r>
        <w:rPr>
          <w:color w:val="000000"/>
        </w:rPr>
        <w:t xml:space="preserve"> 2003.</w:t>
      </w:r>
    </w:p>
    <w:p w:rsidR="00D70E81" w:rsidRDefault="00A77357">
      <w:pPr>
        <w:spacing w:after="150"/>
        <w:jc w:val="center"/>
      </w:pPr>
      <w:r>
        <w:rPr>
          <w:color w:val="000000"/>
        </w:rPr>
        <w:t> </w:t>
      </w:r>
    </w:p>
    <w:p w:rsidR="00D70E81" w:rsidRDefault="00A77357">
      <w:pPr>
        <w:spacing w:after="150"/>
        <w:jc w:val="center"/>
      </w:pPr>
      <w:r>
        <w:rPr>
          <w:color w:val="000000"/>
        </w:rPr>
        <w:t> </w:t>
      </w:r>
    </w:p>
    <w:p w:rsidR="00D70E81" w:rsidRDefault="00A77357">
      <w:pPr>
        <w:spacing w:after="15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D70E81" w:rsidRDefault="00A77357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укупн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пореског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физичког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предузетника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подносилац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земљи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иностранству</w:t>
      </w:r>
      <w:proofErr w:type="spellEnd"/>
      <w:r>
        <w:rPr>
          <w:color w:val="000000"/>
        </w:rPr>
        <w:t>.</w:t>
      </w:r>
    </w:p>
    <w:p w:rsidR="00D70E81" w:rsidRDefault="00A77357">
      <w:pPr>
        <w:spacing w:after="150"/>
      </w:pPr>
      <w:proofErr w:type="spellStart"/>
      <w:r>
        <w:rPr>
          <w:color w:val="000000"/>
        </w:rPr>
        <w:t>Имовина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земљи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имовина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Црној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Гори</w:t>
      </w:r>
      <w:proofErr w:type="spellEnd"/>
      <w:r>
        <w:rPr>
          <w:color w:val="000000"/>
        </w:rPr>
        <w:t>.</w:t>
      </w:r>
    </w:p>
    <w:p w:rsidR="00D70E81" w:rsidRDefault="00A77357">
      <w:pPr>
        <w:spacing w:after="150"/>
        <w:jc w:val="center"/>
      </w:pPr>
      <w:r>
        <w:rPr>
          <w:color w:val="000000"/>
        </w:rPr>
        <w:t> </w:t>
      </w:r>
    </w:p>
    <w:p w:rsidR="00D70E81" w:rsidRDefault="00A77357">
      <w:pPr>
        <w:spacing w:after="15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D70E81" w:rsidRDefault="00A77357">
      <w:pPr>
        <w:spacing w:after="150"/>
      </w:pPr>
      <w:proofErr w:type="spellStart"/>
      <w:r>
        <w:rPr>
          <w:color w:val="000000"/>
        </w:rPr>
        <w:t>Подносилац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укупне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земљи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иностранству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20.000.000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>.</w:t>
      </w:r>
    </w:p>
    <w:p w:rsidR="00D70E81" w:rsidRDefault="00A77357">
      <w:pPr>
        <w:spacing w:after="150"/>
      </w:pPr>
      <w:proofErr w:type="spellStart"/>
      <w:r>
        <w:rPr>
          <w:color w:val="000000"/>
        </w:rPr>
        <w:t>Подносилац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укупне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10.000.000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прелази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20.000.000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пореском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пореској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администрацији</w:t>
      </w:r>
      <w:proofErr w:type="spellEnd"/>
      <w:r>
        <w:rPr>
          <w:color w:val="000000"/>
        </w:rPr>
        <w:t xml:space="preserve"> – 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80/2002, 84/2002 и 23/2003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).</w:t>
      </w:r>
    </w:p>
    <w:p w:rsidR="00D70E81" w:rsidRDefault="00A77357">
      <w:pPr>
        <w:spacing w:after="150"/>
        <w:jc w:val="center"/>
      </w:pPr>
      <w:r>
        <w:rPr>
          <w:color w:val="000000"/>
        </w:rPr>
        <w:t> </w:t>
      </w:r>
    </w:p>
    <w:p w:rsidR="00D70E81" w:rsidRDefault="00A77357">
      <w:pPr>
        <w:spacing w:after="15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D70E81" w:rsidRDefault="00A77357">
      <w:pPr>
        <w:spacing w:after="150"/>
      </w:pPr>
      <w:proofErr w:type="spellStart"/>
      <w:r>
        <w:rPr>
          <w:color w:val="000000"/>
        </w:rPr>
        <w:t>Укупна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пријављује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2003. </w:t>
      </w:r>
      <w:proofErr w:type="spellStart"/>
      <w:r>
        <w:rPr>
          <w:color w:val="000000"/>
        </w:rPr>
        <w:t>г</w:t>
      </w:r>
      <w:r>
        <w:rPr>
          <w:color w:val="000000"/>
        </w:rPr>
        <w:t>одине</w:t>
      </w:r>
      <w:proofErr w:type="spellEnd"/>
      <w:r>
        <w:rPr>
          <w:color w:val="000000"/>
        </w:rPr>
        <w:t>.</w:t>
      </w:r>
    </w:p>
    <w:p w:rsidR="00D70E81" w:rsidRDefault="00A77357">
      <w:pPr>
        <w:spacing w:after="150"/>
      </w:pPr>
      <w:proofErr w:type="spellStart"/>
      <w:r>
        <w:rPr>
          <w:color w:val="000000"/>
        </w:rPr>
        <w:t>Појединачну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пријави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друкчије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прописано</w:t>
      </w:r>
      <w:proofErr w:type="spellEnd"/>
      <w:r>
        <w:rPr>
          <w:color w:val="000000"/>
        </w:rPr>
        <w:t>.</w:t>
      </w:r>
    </w:p>
    <w:p w:rsidR="00D70E81" w:rsidRDefault="00A77357">
      <w:pPr>
        <w:spacing w:after="150"/>
        <w:jc w:val="center"/>
      </w:pPr>
      <w:r>
        <w:rPr>
          <w:color w:val="000000"/>
        </w:rPr>
        <w:t> </w:t>
      </w:r>
    </w:p>
    <w:p w:rsidR="00D70E81" w:rsidRDefault="00A77357">
      <w:pPr>
        <w:spacing w:after="150"/>
        <w:jc w:val="center"/>
      </w:pPr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4.</w:t>
      </w:r>
    </w:p>
    <w:p w:rsidR="00D70E81" w:rsidRDefault="00A77357">
      <w:pPr>
        <w:spacing w:after="150"/>
      </w:pP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препорученом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економије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Пореска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Централа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>.</w:t>
      </w:r>
    </w:p>
    <w:p w:rsidR="00D70E81" w:rsidRDefault="00A77357">
      <w:pPr>
        <w:spacing w:after="150"/>
      </w:pP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2003.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D70E81" w:rsidRDefault="00A77357">
      <w:pPr>
        <w:spacing w:after="150"/>
        <w:jc w:val="center"/>
      </w:pPr>
      <w:r>
        <w:rPr>
          <w:color w:val="000000"/>
        </w:rPr>
        <w:t> </w:t>
      </w:r>
    </w:p>
    <w:p w:rsidR="00D70E81" w:rsidRDefault="00A77357">
      <w:pPr>
        <w:spacing w:after="15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D70E81" w:rsidRDefault="00A77357">
      <w:pPr>
        <w:spacing w:after="150"/>
      </w:pP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ПУИ – </w:t>
      </w: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укупне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прилозима</w:t>
      </w:r>
      <w:proofErr w:type="spellEnd"/>
      <w:r>
        <w:rPr>
          <w:color w:val="000000"/>
        </w:rPr>
        <w:t xml:space="preserve"> 1–14,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D70E81" w:rsidRDefault="00A77357">
      <w:pPr>
        <w:spacing w:after="150"/>
      </w:pP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расположива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земљи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иностранству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извод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катастра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поседовни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катастра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куповини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ванкњижно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власништво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грађевинска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дозвола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стамбеног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стамбено-пословног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изградњи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оставинско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куповини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пловног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ваздухоплова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пољопривредне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грађевинске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механизације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наводњавање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копија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дозволе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моторно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возило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копија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књижице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књиговодств</w:t>
      </w:r>
      <w:r>
        <w:rPr>
          <w:color w:val="000000"/>
        </w:rPr>
        <w:t>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удела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куповини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уметничког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.),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документација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исказана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>.</w:t>
      </w:r>
    </w:p>
    <w:p w:rsidR="00D70E81" w:rsidRDefault="00A77357">
      <w:pPr>
        <w:spacing w:after="150"/>
        <w:jc w:val="center"/>
      </w:pPr>
      <w:r>
        <w:rPr>
          <w:color w:val="000000"/>
        </w:rPr>
        <w:t> </w:t>
      </w:r>
    </w:p>
    <w:p w:rsidR="00D70E81" w:rsidRDefault="00A77357">
      <w:pPr>
        <w:spacing w:after="15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D70E81" w:rsidRDefault="00A77357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имовини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независно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укупне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>.</w:t>
      </w:r>
    </w:p>
    <w:p w:rsidR="00D70E81" w:rsidRDefault="00A77357">
      <w:pPr>
        <w:spacing w:after="150"/>
      </w:pP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подносиоцем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породице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брачни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родитељи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усвојеник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усвојилац</w:t>
      </w:r>
      <w:proofErr w:type="spellEnd"/>
      <w:r>
        <w:rPr>
          <w:color w:val="000000"/>
        </w:rPr>
        <w:t>.</w:t>
      </w:r>
    </w:p>
    <w:p w:rsidR="00D70E81" w:rsidRDefault="00A77357">
      <w:pPr>
        <w:spacing w:after="150"/>
      </w:pPr>
      <w:proofErr w:type="spellStart"/>
      <w:r>
        <w:rPr>
          <w:color w:val="000000"/>
        </w:rPr>
        <w:t>Имовину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подносилац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исказује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одговарајућим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прилозима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</w:t>
      </w:r>
      <w:r>
        <w:rPr>
          <w:color w:val="000000"/>
        </w:rPr>
        <w:t>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>.</w:t>
      </w:r>
    </w:p>
    <w:p w:rsidR="00D70E81" w:rsidRDefault="00A77357">
      <w:pPr>
        <w:spacing w:after="150"/>
        <w:jc w:val="center"/>
      </w:pPr>
      <w:r>
        <w:rPr>
          <w:color w:val="000000"/>
        </w:rPr>
        <w:t> </w:t>
      </w:r>
    </w:p>
    <w:p w:rsidR="00D70E81" w:rsidRDefault="00A77357">
      <w:pPr>
        <w:spacing w:after="15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D70E81" w:rsidRDefault="00A77357">
      <w:pPr>
        <w:spacing w:after="150"/>
      </w:pPr>
      <w:proofErr w:type="spellStart"/>
      <w:r>
        <w:rPr>
          <w:color w:val="000000"/>
        </w:rPr>
        <w:t>Подносилац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прилоге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зависности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поседује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одговарајући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пријаву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>:</w:t>
      </w:r>
    </w:p>
    <w:p w:rsidR="00D70E81" w:rsidRDefault="00A77357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акцијама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уделима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књиговодствена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евидентирана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извод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</w:t>
      </w:r>
      <w:r>
        <w:rPr>
          <w:color w:val="000000"/>
        </w:rPr>
        <w:t>;</w:t>
      </w:r>
    </w:p>
    <w:p w:rsidR="00D70E81" w:rsidRDefault="00A77357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готов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новац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номинални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>.</w:t>
      </w:r>
    </w:p>
    <w:p w:rsidR="00D70E81" w:rsidRDefault="00A77357">
      <w:pPr>
        <w:spacing w:after="150"/>
        <w:jc w:val="center"/>
      </w:pPr>
      <w:r>
        <w:rPr>
          <w:color w:val="000000"/>
        </w:rPr>
        <w:t> </w:t>
      </w:r>
    </w:p>
    <w:p w:rsidR="00D70E81" w:rsidRDefault="00A77357">
      <w:pPr>
        <w:spacing w:after="15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D70E81" w:rsidRDefault="00A77357">
      <w:pPr>
        <w:spacing w:after="150"/>
      </w:pPr>
      <w:proofErr w:type="spellStart"/>
      <w:r>
        <w:rPr>
          <w:color w:val="000000"/>
        </w:rPr>
        <w:t>Имовину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уноси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одговарајући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чине</w:t>
      </w:r>
      <w:proofErr w:type="spellEnd"/>
      <w:r>
        <w:rPr>
          <w:color w:val="000000"/>
        </w:rPr>
        <w:t>:</w:t>
      </w:r>
    </w:p>
    <w:p w:rsidR="00D70E81" w:rsidRDefault="00A77357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земљиште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пољопривредно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грађевинско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шуме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шумско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ливаде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пашњаци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вишегодишњи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засади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воћњаци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виногради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.), </w:t>
      </w:r>
      <w:proofErr w:type="spellStart"/>
      <w:r>
        <w:rPr>
          <w:color w:val="000000"/>
        </w:rPr>
        <w:t>зграде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пословне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стамбене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стамбено-пословне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одмор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рекреацију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економске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.), </w:t>
      </w:r>
      <w:proofErr w:type="spellStart"/>
      <w:r>
        <w:rPr>
          <w:color w:val="000000"/>
        </w:rPr>
        <w:t>посебни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зграде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станови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пословне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гараже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гаражна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спортск</w:t>
      </w:r>
      <w:r>
        <w:rPr>
          <w:color w:val="000000"/>
        </w:rPr>
        <w:t>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базени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објекти</w:t>
      </w:r>
      <w:proofErr w:type="spellEnd"/>
      <w:r>
        <w:rPr>
          <w:color w:val="000000"/>
        </w:rPr>
        <w:t>;</w:t>
      </w:r>
    </w:p>
    <w:p w:rsidR="00D70E81" w:rsidRDefault="00A77357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опрема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самосталне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својини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независно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сопствене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>;</w:t>
      </w:r>
    </w:p>
    <w:p w:rsidR="00D70E81" w:rsidRDefault="00A77357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уметнички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предмети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покре</w:t>
      </w:r>
      <w:r>
        <w:rPr>
          <w:color w:val="000000"/>
        </w:rPr>
        <w:t>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уметничко-историјска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архивска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филмска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старе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књиге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>;</w:t>
      </w:r>
    </w:p>
    <w:p w:rsidR="00D70E81" w:rsidRDefault="00A77357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D70E81" w:rsidRDefault="00A77357">
      <w:pPr>
        <w:spacing w:after="150"/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стварно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прав</w:t>
      </w:r>
      <w:r>
        <w:rPr>
          <w:color w:val="000000"/>
        </w:rPr>
        <w:t>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плодоуживања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употребе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тајм-шеринг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закупа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зељмишта</w:t>
      </w:r>
      <w:proofErr w:type="spellEnd"/>
      <w:r>
        <w:rPr>
          <w:color w:val="000000"/>
        </w:rPr>
        <w:t>);</w:t>
      </w:r>
    </w:p>
    <w:p w:rsidR="00D70E81" w:rsidRDefault="00A77357">
      <w:pPr>
        <w:spacing w:after="150"/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ауторско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писаном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драмском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драмско-музичком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музичком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филмском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ликовне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уметности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рачунарском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рограму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>;</w:t>
      </w:r>
    </w:p>
    <w:p w:rsidR="00D70E81" w:rsidRDefault="00A77357">
      <w:pPr>
        <w:spacing w:after="150"/>
      </w:pPr>
      <w:r>
        <w:rPr>
          <w:color w:val="000000"/>
        </w:rPr>
        <w:t xml:space="preserve">(3)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патент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жиг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модел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узорак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ознаку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географског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порекла</w:t>
      </w:r>
      <w:proofErr w:type="spellEnd"/>
      <w:r>
        <w:rPr>
          <w:color w:val="000000"/>
        </w:rPr>
        <w:t>;</w:t>
      </w:r>
    </w:p>
    <w:p w:rsidR="00D70E81" w:rsidRDefault="00A77357">
      <w:pPr>
        <w:spacing w:after="150"/>
      </w:pPr>
      <w:r>
        <w:rPr>
          <w:color w:val="000000"/>
        </w:rPr>
        <w:t xml:space="preserve">(4) </w:t>
      </w:r>
      <w:proofErr w:type="spellStart"/>
      <w:r>
        <w:rPr>
          <w:color w:val="000000"/>
        </w:rPr>
        <w:t>лиценца</w:t>
      </w:r>
      <w:proofErr w:type="spellEnd"/>
      <w:r>
        <w:rPr>
          <w:color w:val="000000"/>
        </w:rPr>
        <w:t>;</w:t>
      </w:r>
    </w:p>
    <w:p w:rsidR="00D70E81" w:rsidRDefault="00A77357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предмети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драгоцених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метала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драгог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ергеле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тркачки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коњи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нумизматичке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збирке</w:t>
      </w:r>
      <w:proofErr w:type="spellEnd"/>
      <w:r>
        <w:rPr>
          <w:color w:val="000000"/>
        </w:rPr>
        <w:t>.</w:t>
      </w:r>
    </w:p>
    <w:p w:rsidR="00D70E81" w:rsidRDefault="00A77357">
      <w:pPr>
        <w:spacing w:after="150"/>
        <w:jc w:val="center"/>
      </w:pPr>
      <w:r>
        <w:rPr>
          <w:color w:val="000000"/>
        </w:rPr>
        <w:t> </w:t>
      </w:r>
    </w:p>
    <w:p w:rsidR="00D70E81" w:rsidRDefault="00A77357">
      <w:pPr>
        <w:spacing w:after="15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:rsidR="00D70E81" w:rsidRDefault="00A77357">
      <w:pPr>
        <w:spacing w:after="150"/>
      </w:pPr>
      <w:proofErr w:type="spellStart"/>
      <w:r>
        <w:rPr>
          <w:color w:val="000000"/>
        </w:rPr>
        <w:lastRenderedPageBreak/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</w:t>
      </w:r>
      <w:r>
        <w:rPr>
          <w:color w:val="000000"/>
        </w:rPr>
        <w:t>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D70E81" w:rsidRDefault="00A77357">
      <w:pPr>
        <w:spacing w:after="150"/>
      </w:pPr>
      <w:r>
        <w:rPr>
          <w:color w:val="000000"/>
        </w:rPr>
        <w:t> </w:t>
      </w:r>
    </w:p>
    <w:p w:rsidR="00D70E81" w:rsidRDefault="00A77357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110-00-117/2003-01</w:t>
      </w:r>
    </w:p>
    <w:p w:rsidR="00D70E81" w:rsidRDefault="00A77357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19. </w:t>
      </w:r>
      <w:proofErr w:type="spellStart"/>
      <w:r>
        <w:rPr>
          <w:color w:val="000000"/>
        </w:rPr>
        <w:t>маја</w:t>
      </w:r>
      <w:proofErr w:type="spellEnd"/>
      <w:r>
        <w:rPr>
          <w:color w:val="000000"/>
        </w:rPr>
        <w:t xml:space="preserve"> 2003. </w:t>
      </w:r>
      <w:proofErr w:type="spellStart"/>
      <w:r>
        <w:rPr>
          <w:color w:val="000000"/>
        </w:rPr>
        <w:t>године</w:t>
      </w:r>
      <w:proofErr w:type="spellEnd"/>
    </w:p>
    <w:p w:rsidR="00D70E81" w:rsidRDefault="00A77357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D70E81" w:rsidRDefault="00A77357">
      <w:pPr>
        <w:spacing w:after="150"/>
        <w:jc w:val="right"/>
      </w:pPr>
      <w:proofErr w:type="spellStart"/>
      <w:r>
        <w:rPr>
          <w:b/>
          <w:color w:val="000000"/>
        </w:rPr>
        <w:t>Божидар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Ђелић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</w:p>
    <w:p w:rsidR="00D70E81" w:rsidRDefault="00A77357">
      <w:pPr>
        <w:spacing w:after="150"/>
        <w:jc w:val="right"/>
      </w:pPr>
      <w:r>
        <w:rPr>
          <w:color w:val="000000"/>
        </w:rPr>
        <w:t> </w:t>
      </w:r>
    </w:p>
    <w:p w:rsidR="00D70E81" w:rsidRDefault="00A77357">
      <w:pPr>
        <w:spacing w:after="150"/>
        <w:jc w:val="right"/>
      </w:pPr>
      <w:r>
        <w:rPr>
          <w:color w:val="000000"/>
        </w:rPr>
        <w:t> </w:t>
      </w:r>
    </w:p>
    <w:p w:rsidR="00D70E81" w:rsidRDefault="00A77357">
      <w:pPr>
        <w:spacing w:after="150"/>
        <w:jc w:val="center"/>
      </w:pPr>
      <w:bookmarkStart w:id="1" w:name="Picture_34"/>
      <w:r>
        <w:rPr>
          <w:noProof/>
        </w:rPr>
        <w:lastRenderedPageBreak/>
        <w:drawing>
          <wp:inline distT="0" distB="0" distL="0" distR="0">
            <wp:extent cx="5732145" cy="77830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78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D70E81" w:rsidRDefault="00A77357">
      <w:pPr>
        <w:spacing w:after="150"/>
        <w:jc w:val="center"/>
      </w:pPr>
      <w:bookmarkStart w:id="2" w:name="Picture_35"/>
      <w:r>
        <w:rPr>
          <w:noProof/>
        </w:rPr>
        <w:lastRenderedPageBreak/>
        <w:drawing>
          <wp:inline distT="0" distB="0" distL="0" distR="0">
            <wp:extent cx="5732145" cy="3729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7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D70E81" w:rsidRDefault="00A77357">
      <w:pPr>
        <w:spacing w:after="150"/>
        <w:jc w:val="center"/>
      </w:pPr>
      <w:bookmarkStart w:id="3" w:name="Picture_36"/>
      <w:r>
        <w:rPr>
          <w:noProof/>
        </w:rPr>
        <w:drawing>
          <wp:inline distT="0" distB="0" distL="0" distR="0">
            <wp:extent cx="5732145" cy="37898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78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:rsidR="00D70E81" w:rsidRDefault="00A77357">
      <w:pPr>
        <w:spacing w:after="150"/>
        <w:jc w:val="center"/>
      </w:pPr>
      <w:bookmarkStart w:id="4" w:name="Picture_37"/>
      <w:r>
        <w:rPr>
          <w:noProof/>
        </w:rPr>
        <w:lastRenderedPageBreak/>
        <w:drawing>
          <wp:inline distT="0" distB="0" distL="0" distR="0">
            <wp:extent cx="5732145" cy="41309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13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:rsidR="00D70E81" w:rsidRDefault="00A77357">
      <w:pPr>
        <w:spacing w:after="150"/>
        <w:jc w:val="center"/>
      </w:pPr>
      <w:bookmarkStart w:id="5" w:name="Picture_38"/>
      <w:r>
        <w:rPr>
          <w:noProof/>
        </w:rPr>
        <w:lastRenderedPageBreak/>
        <w:drawing>
          <wp:inline distT="0" distB="0" distL="0" distR="0">
            <wp:extent cx="5732145" cy="601127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01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 w:rsidR="00D70E81" w:rsidRDefault="00A77357">
      <w:pPr>
        <w:spacing w:after="150"/>
        <w:jc w:val="center"/>
      </w:pPr>
      <w:bookmarkStart w:id="6" w:name="Picture_39"/>
      <w:r>
        <w:rPr>
          <w:noProof/>
        </w:rPr>
        <w:lastRenderedPageBreak/>
        <w:drawing>
          <wp:inline distT="0" distB="0" distL="0" distR="0">
            <wp:extent cx="5732145" cy="41025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1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p w:rsidR="00D70E81" w:rsidRDefault="00A77357">
      <w:pPr>
        <w:spacing w:after="150"/>
        <w:jc w:val="center"/>
      </w:pPr>
      <w:bookmarkStart w:id="7" w:name="Picture_40"/>
      <w:r>
        <w:rPr>
          <w:noProof/>
        </w:rPr>
        <w:drawing>
          <wp:inline distT="0" distB="0" distL="0" distR="0">
            <wp:extent cx="5732145" cy="396039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96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"/>
    </w:p>
    <w:p w:rsidR="00D70E81" w:rsidRDefault="00A77357">
      <w:pPr>
        <w:spacing w:after="150"/>
        <w:jc w:val="center"/>
      </w:pPr>
      <w:bookmarkStart w:id="8" w:name="Picture_41"/>
      <w:r>
        <w:rPr>
          <w:noProof/>
        </w:rPr>
        <w:lastRenderedPageBreak/>
        <w:drawing>
          <wp:inline distT="0" distB="0" distL="0" distR="0">
            <wp:extent cx="5732145" cy="36193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1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"/>
    </w:p>
    <w:p w:rsidR="00D70E81" w:rsidRDefault="00A77357">
      <w:pPr>
        <w:spacing w:after="150"/>
        <w:jc w:val="center"/>
      </w:pPr>
      <w:bookmarkStart w:id="9" w:name="Picture_42"/>
      <w:r>
        <w:rPr>
          <w:noProof/>
        </w:rPr>
        <w:drawing>
          <wp:inline distT="0" distB="0" distL="0" distR="0">
            <wp:extent cx="5732145" cy="414988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14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"/>
    </w:p>
    <w:p w:rsidR="00D70E81" w:rsidRDefault="00A77357">
      <w:pPr>
        <w:spacing w:after="150"/>
        <w:jc w:val="center"/>
      </w:pPr>
      <w:bookmarkStart w:id="10" w:name="Picture_43"/>
      <w:r>
        <w:rPr>
          <w:noProof/>
        </w:rPr>
        <w:lastRenderedPageBreak/>
        <w:drawing>
          <wp:inline distT="0" distB="0" distL="0" distR="0">
            <wp:extent cx="5732145" cy="412828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12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"/>
    </w:p>
    <w:p w:rsidR="00D70E81" w:rsidRDefault="00A77357">
      <w:pPr>
        <w:spacing w:after="150"/>
        <w:jc w:val="center"/>
      </w:pPr>
      <w:bookmarkStart w:id="11" w:name="Picture_44"/>
      <w:r>
        <w:rPr>
          <w:noProof/>
        </w:rPr>
        <w:drawing>
          <wp:inline distT="0" distB="0" distL="0" distR="0">
            <wp:extent cx="5732145" cy="427305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7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1"/>
    </w:p>
    <w:p w:rsidR="00D70E81" w:rsidRDefault="00A77357">
      <w:pPr>
        <w:spacing w:after="150"/>
        <w:jc w:val="center"/>
      </w:pPr>
      <w:bookmarkStart w:id="12" w:name="Picture_45"/>
      <w:r>
        <w:rPr>
          <w:noProof/>
        </w:rPr>
        <w:lastRenderedPageBreak/>
        <w:drawing>
          <wp:inline distT="0" distB="0" distL="0" distR="0">
            <wp:extent cx="5732145" cy="795169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95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2"/>
    </w:p>
    <w:p w:rsidR="00D70E81" w:rsidRDefault="00A77357">
      <w:pPr>
        <w:spacing w:after="150"/>
        <w:jc w:val="center"/>
      </w:pPr>
      <w:bookmarkStart w:id="13" w:name="Picture_46"/>
      <w:r>
        <w:rPr>
          <w:noProof/>
        </w:rPr>
        <w:lastRenderedPageBreak/>
        <w:drawing>
          <wp:inline distT="0" distB="0" distL="0" distR="0">
            <wp:extent cx="5732145" cy="414988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14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3"/>
    </w:p>
    <w:p w:rsidR="00D70E81" w:rsidRDefault="00A77357">
      <w:pPr>
        <w:spacing w:after="150"/>
        <w:jc w:val="center"/>
      </w:pPr>
      <w:bookmarkStart w:id="14" w:name="Picture_47"/>
      <w:r>
        <w:rPr>
          <w:noProof/>
        </w:rPr>
        <w:drawing>
          <wp:inline distT="0" distB="0" distL="0" distR="0">
            <wp:extent cx="5732145" cy="405236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5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4"/>
    </w:p>
    <w:p w:rsidR="00D70E81" w:rsidRDefault="00A77357">
      <w:pPr>
        <w:spacing w:after="150"/>
        <w:jc w:val="center"/>
      </w:pPr>
      <w:bookmarkStart w:id="15" w:name="Picture_48"/>
      <w:r>
        <w:rPr>
          <w:noProof/>
        </w:rPr>
        <w:lastRenderedPageBreak/>
        <w:drawing>
          <wp:inline distT="0" distB="0" distL="0" distR="0">
            <wp:extent cx="5732145" cy="399541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9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5"/>
    </w:p>
    <w:p w:rsidR="00D70E81" w:rsidRDefault="00A77357">
      <w:pPr>
        <w:spacing w:after="150"/>
        <w:jc w:val="center"/>
      </w:pPr>
      <w:r>
        <w:rPr>
          <w:color w:val="000000"/>
        </w:rPr>
        <w:t> </w:t>
      </w:r>
    </w:p>
    <w:sectPr w:rsidR="00D70E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81"/>
    <w:rsid w:val="00A77357"/>
    <w:rsid w:val="00D7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EA2F"/>
  <w15:docId w15:val="{9B111BD2-9378-4A77-AF6B-ED31213A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Obrenovic</dc:creator>
  <cp:lastModifiedBy>Ana Obrenovic</cp:lastModifiedBy>
  <cp:revision>2</cp:revision>
  <dcterms:created xsi:type="dcterms:W3CDTF">2019-12-12T13:53:00Z</dcterms:created>
  <dcterms:modified xsi:type="dcterms:W3CDTF">2019-12-12T13:53:00Z</dcterms:modified>
</cp:coreProperties>
</file>