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A2" w:rsidRDefault="00822BA8" w:rsidP="00822BA8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0067A2" w:rsidRDefault="00822BA8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067A2" w:rsidRDefault="00822BA8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067A2" w:rsidRDefault="00822BA8">
      <w:pPr>
        <w:spacing w:after="225"/>
        <w:jc w:val="center"/>
      </w:pPr>
      <w:r>
        <w:rPr>
          <w:b/>
          <w:color w:val="000000"/>
        </w:rPr>
        <w:t>ОДЛУКУ</w:t>
      </w:r>
    </w:p>
    <w:p w:rsidR="000067A2" w:rsidRDefault="00822BA8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bookmarkStart w:id="1" w:name="table002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r>
              <w:rPr>
                <w:color w:val="000000"/>
              </w:rPr>
              <w:t xml:space="preserve">200.000.000 </w:t>
            </w:r>
            <w:proofErr w:type="spellStart"/>
            <w:r>
              <w:rPr>
                <w:color w:val="000000"/>
              </w:rPr>
              <w:t>евра</w:t>
            </w:r>
            <w:proofErr w:type="spellEnd"/>
          </w:p>
        </w:tc>
      </w:tr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r>
              <w:rPr>
                <w:color w:val="000000"/>
              </w:rPr>
              <w:t xml:space="preserve">1.000 </w:t>
            </w:r>
            <w:proofErr w:type="spellStart"/>
            <w:r>
              <w:rPr>
                <w:color w:val="000000"/>
              </w:rPr>
              <w:t>евра</w:t>
            </w:r>
            <w:proofErr w:type="spellEnd"/>
          </w:p>
        </w:tc>
      </w:tr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r>
              <w:rPr>
                <w:color w:val="000000"/>
              </w:rPr>
              <w:t xml:space="preserve">26.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r>
              <w:rPr>
                <w:color w:val="000000"/>
              </w:rPr>
              <w:t xml:space="preserve">28.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r>
              <w:rPr>
                <w:color w:val="000000"/>
              </w:rPr>
              <w:t xml:space="preserve">28.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2024.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0067A2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0067A2" w:rsidRDefault="00822BA8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0067A2" w:rsidRDefault="00822BA8">
            <w:pPr>
              <w:spacing w:after="150"/>
            </w:pPr>
            <w:r>
              <w:rPr>
                <w:color w:val="000000"/>
              </w:rPr>
              <w:t xml:space="preserve">0,75%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</w:tbl>
    <w:bookmarkEnd w:id="1"/>
    <w:p w:rsidR="000067A2" w:rsidRDefault="00822BA8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</w:t>
      </w:r>
      <w:r>
        <w:rPr>
          <w:color w:val="000000"/>
        </w:rPr>
        <w:t>ар</w:t>
      </w:r>
      <w:proofErr w:type="spellEnd"/>
      <w:r>
        <w:rPr>
          <w:color w:val="000000"/>
        </w:rPr>
        <w:t>).</w:t>
      </w:r>
    </w:p>
    <w:p w:rsidR="000067A2" w:rsidRDefault="00822BA8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28.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</w:t>
      </w:r>
      <w:r>
        <w:rPr>
          <w:color w:val="000000"/>
        </w:rPr>
        <w:t>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proofErr w:type="spellStart"/>
      <w:r>
        <w:rPr>
          <w:color w:val="000000"/>
        </w:rPr>
        <w:lastRenderedPageBreak/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0067A2" w:rsidRDefault="00822BA8">
      <w:bookmarkStart w:id="2" w:name="_idContainer002"/>
      <w:r>
        <w:rPr>
          <w:noProof/>
        </w:rPr>
        <w:drawing>
          <wp:inline distT="0" distB="0" distL="0" distR="0">
            <wp:extent cx="3237255" cy="1005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00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0067A2" w:rsidRDefault="00822BA8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0067A2" w:rsidRDefault="00822BA8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0067A2" w:rsidRDefault="00822BA8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0067A2" w:rsidRDefault="00822BA8">
      <w:bookmarkStart w:id="3" w:name="_idContainer003"/>
      <w:r>
        <w:rPr>
          <w:noProof/>
        </w:rPr>
        <w:drawing>
          <wp:inline distT="0" distB="0" distL="0" distR="0">
            <wp:extent cx="3237255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0067A2" w:rsidRDefault="00822BA8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0067A2" w:rsidRDefault="00822BA8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0067A2" w:rsidRDefault="00822BA8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0067A2" w:rsidRDefault="00822BA8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</w:t>
      </w:r>
      <w:r>
        <w:rPr>
          <w:color w:val="000000"/>
        </w:rPr>
        <w:t>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lastRenderedPageBreak/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100/14, 78/17, 66/18, 78/18 и 140/20)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0067A2" w:rsidRDefault="00822BA8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067A2" w:rsidRDefault="00822BA8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424-12248/2021</w:t>
      </w:r>
    </w:p>
    <w:p w:rsidR="000067A2" w:rsidRDefault="00822BA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29.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0067A2" w:rsidRDefault="00822BA8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0067A2" w:rsidRDefault="00822BA8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0067A2" w:rsidRDefault="00822BA8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067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2"/>
    <w:rsid w:val="000067A2"/>
    <w:rsid w:val="008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178DF-5F04-4B19-88D4-A62ABD7E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2022-02-02T07:57:00Z</dcterms:created>
  <dcterms:modified xsi:type="dcterms:W3CDTF">2022-02-02T07:57:00Z</dcterms:modified>
</cp:coreProperties>
</file>