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E1" w:rsidRDefault="001C4FBA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141. став 2. Царинског закона („Службени гласник РС”, бр. 95/18, 91/19 – др. закон и 144/20),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одређивању царинских органа за царињење одређених врста робе или спровођење одређених поступака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"Службени гласник РС", бр. 79 од 6. августа 2021, 83 од 27. августа 2021, 54 од 6. маја 2022, 67 од 17. јуна 2022, 139 од </w:t>
      </w:r>
      <w:r>
        <w:rPr>
          <w:rFonts w:ascii="Verdana" w:eastAsia="Verdana" w:hAnsi="Verdana" w:cs="Verdana"/>
        </w:rPr>
        <w:t>16. децембра 2022, 32 од 21. априла 2023, 99 од 10. новембра 2023, 32 од 12. априла 2024, 59 од 12. јула 2024, 87 од 1. новембра 2024.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УВОДНА ОДРЕДБА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Овим правилником одређују се царински органи за царињење одређених врста робе или спровођење од</w:t>
      </w:r>
      <w:r>
        <w:rPr>
          <w:rFonts w:ascii="Verdana" w:eastAsia="Verdana" w:hAnsi="Verdana" w:cs="Verdana"/>
        </w:rPr>
        <w:t>ређених поступака.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II. РОБА ШИРОКЕ ПОТРОШЊЕ И ТЕКСТИЛ ПОРЕКЛОМ ИЗ АЗИЈСКИХ И ЕВРОАЗИЈСКИХ ЗЕМАЉА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Поступак транзита робе широке потрошње, укључујући и текстил пореклом из азијских и евроазијских земаља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Поступак транзита робе широке потрошње, укључуј</w:t>
      </w:r>
      <w:r>
        <w:rPr>
          <w:rFonts w:ascii="Verdana" w:eastAsia="Verdana" w:hAnsi="Verdana" w:cs="Verdana"/>
        </w:rPr>
        <w:t>ући и готове производе од текстила који су намењени пијачној продаји, продаји у отвореним тржним центрима и продавницама, а пореклом су из азијских и евроазијских земаља, као и та роба која чини једну пошиљку, а која је спакована на начин (вреће и сл.) кој</w:t>
      </w:r>
      <w:r>
        <w:rPr>
          <w:rFonts w:ascii="Verdana" w:eastAsia="Verdana" w:hAnsi="Verdana" w:cs="Verdana"/>
        </w:rPr>
        <w:t>и указује да је намењена за више корисника у Републици Србији, у друмском, железничком и ваздушном саобраћају, подразумева допремање у и отпремање из царинског подручја Републике Србије.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Под робом широке потрошње у смислу става 1. овог члана не сматра се р</w:t>
      </w:r>
      <w:r>
        <w:rPr>
          <w:rFonts w:ascii="Verdana" w:eastAsia="Verdana" w:hAnsi="Verdana" w:cs="Verdana"/>
          <w:b/>
        </w:rPr>
        <w:t xml:space="preserve">оба за коју декларант има доказе (уговори, рачуни о продаји, доказ о плаћању рачуна, пакинг листа, спецификација робе и сл.) да та роба није намењена пијачној продаји, продаји у отвореним тржним центрима и продавницама (што подразумева продавнице у оквиру </w:t>
      </w:r>
      <w:r>
        <w:rPr>
          <w:rFonts w:ascii="Verdana" w:eastAsia="Verdana" w:hAnsi="Verdana" w:cs="Verdana"/>
          <w:b/>
        </w:rPr>
        <w:t>отворених тржних центара), већ је намењена за продају у сопственим малопродајним објектима, великим трговинским ланцима и другим правним лицима ради продаје у њиховим продајним објектима.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Поступак транзита робе из става 1. овог члана започиње допремањем/</w:t>
      </w:r>
      <w:r>
        <w:rPr>
          <w:rFonts w:ascii="Verdana" w:eastAsia="Verdana" w:hAnsi="Verdana" w:cs="Verdana"/>
        </w:rPr>
        <w:t>отпремањем те робе и подношењем декларације, односно другог транзитног документа следећим отпремним царинарницама (царинским испоставама/рефератима), преко којих предметна роба треба да се унесе у/ изнесе са царинског подручја Републике Србије: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7"/>
        <w:gridCol w:w="5589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</w:t>
            </w:r>
            <w:r>
              <w:rPr>
                <w:rFonts w:ascii="Verdana" w:eastAsia="Verdana" w:hAnsi="Verdana" w:cs="Verdana"/>
              </w:rPr>
              <w:t>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Царинарница Вршац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Ватин;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Градина;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Прешево;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Батровци;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Шид;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Хоргош;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Гостун;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Мали Зворник</w:t>
            </w:r>
            <w:r>
              <w:rPr>
                <w:rFonts w:ascii="Verdana" w:eastAsia="Verdana" w:hAnsi="Verdana" w:cs="Verdana"/>
                <w:b/>
              </w:rPr>
              <w:t>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Љубовија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  <w:r>
              <w:rPr>
                <w:rFonts w:ascii="Verdana" w:eastAsia="Verdana" w:hAnsi="Verdana" w:cs="Verdana"/>
                <w:b/>
              </w:rPr>
              <w:t>.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*** </w:t>
            </w:r>
          </w:p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Трбушница.;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*** ***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Ристовац;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3) допрема и </w:t>
            </w:r>
            <w:r>
              <w:rPr>
                <w:rFonts w:ascii="Verdana" w:eastAsia="Verdana" w:hAnsi="Verdana" w:cs="Verdana"/>
              </w:rPr>
              <w:t>отпрема робе у ваздушном саобраћају: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Роба из става 1. овог члана која се превози у ваздушном саобраћају може се унети на, односно изнети са царинског подручја Републике Србије код следећих царинарница (царинских испостава/реферата):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Аеродром Београд;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Аеродром Константин Велики.</w:t>
            </w:r>
          </w:p>
        </w:tc>
      </w:tr>
    </w:tbl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Поступак стављања у слободан промет и поступак царинског складиштења робе из члана 2. став 1. овог правилника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99/2023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**Сл</w:t>
      </w:r>
      <w:r>
        <w:rPr>
          <w:rFonts w:ascii="Verdana" w:eastAsia="Verdana" w:hAnsi="Verdana" w:cs="Verdana"/>
        </w:rPr>
        <w:t>ужбени гласник РС, број 32/2024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***Службени гласник РС, број 87/2024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Поступак стављања у слободан промет и поступак царинског складиштења допремљене робе из члана 2. став 1. овог правилника могу да спроводе следеће царинарнице (царинске испоставе/р</w:t>
      </w:r>
      <w:r>
        <w:rPr>
          <w:rFonts w:ascii="Verdana" w:eastAsia="Verdana" w:hAnsi="Verdana" w:cs="Verdana"/>
        </w:rPr>
        <w:t>еферати):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2"/>
        <w:gridCol w:w="6074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Складишта;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Ниш;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Јавна складишта Суботица.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Макиш – Београд;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ваздушном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Аеродром Београд;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Аеродром Константин Велики.</w:t>
            </w:r>
          </w:p>
        </w:tc>
      </w:tr>
    </w:tbl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Одредбе чл. 2. и 3. овог правилника не примењују се на: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– робу која је произведена у азијским и евроазијским земљама, заштићена правима интелектуалне својине, коју увозе носиоци тих права или овлашћени заступници за ту робу или роба која је произведена у а</w:t>
      </w:r>
      <w:r>
        <w:rPr>
          <w:rFonts w:ascii="Verdana" w:eastAsia="Verdana" w:hAnsi="Verdana" w:cs="Verdana"/>
        </w:rPr>
        <w:t>зијским и евроазијским земљама за потребе домаћих правних лица која су за ту робу регистровала робну марку у Републици Србији и имају уговор о производњи конкретне робне марке. Ту робу морају да прате уредне пакинг листе, ЦМР, фактуре на којима је прецизно</w:t>
      </w:r>
      <w:r>
        <w:rPr>
          <w:rFonts w:ascii="Verdana" w:eastAsia="Verdana" w:hAnsi="Verdana" w:cs="Verdana"/>
        </w:rPr>
        <w:t xml:space="preserve"> обележено паковање робе, серијски бројеви, величине, комади, начин плаћања, банка преко које се врши плаћање;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– робу пореклом из азијских и евроазијских земаља која се увози из трећих земаља ако постоји доказ (царинска исправа) да је предметна роба национ</w:t>
      </w:r>
      <w:r>
        <w:rPr>
          <w:rFonts w:ascii="Verdana" w:eastAsia="Verdana" w:hAnsi="Verdana" w:cs="Verdana"/>
        </w:rPr>
        <w:t>ализована, односно увозно оцарињена у земљи из које се увози. Ако не постоји доказ да је предметна роба извозно оцарињена у трећој земљи из које се увози, над истом се спроводи поступак стављања робе у слободан промет у царинским испоставама наведеним у ов</w:t>
      </w:r>
      <w:r>
        <w:rPr>
          <w:rFonts w:ascii="Verdana" w:eastAsia="Verdana" w:hAnsi="Verdana" w:cs="Verdana"/>
        </w:rPr>
        <w:t>ом правилнику;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– робу која очигледно представља репродукциони материјал, сировине за производњу, опрему или резервне делове, ако увозник недвосмислено докаже да се ради о репродукционом материјалу, сировини за производњу, опреми или резервним деловима (нпр</w:t>
      </w:r>
      <w:r>
        <w:rPr>
          <w:rFonts w:ascii="Verdana" w:eastAsia="Verdana" w:hAnsi="Verdana" w:cs="Verdana"/>
        </w:rPr>
        <w:t>. одлука о оснивању или уговор о организовању привредног друштва као доказ о обављању одговарајуће делатности, увозне декларације по којима је вршен увоз исте робе и сл.);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 xml:space="preserve">– робу која се ставља у поступак привременог увоза, активног оплемењивања, као и на </w:t>
      </w:r>
      <w:r>
        <w:rPr>
          <w:rFonts w:ascii="Verdana" w:eastAsia="Verdana" w:hAnsi="Verdana" w:cs="Verdana"/>
        </w:rPr>
        <w:t>увоз робе од стране физичких лица;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– робу која се упућује у слободну зону, а намењена је обављању процеса производње за корисника слободне зоне.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III. НАФТА И ДЕРИВАТИ НАФТЕ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Унос/износ у друмском саобраћају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друмском саобраћају код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9"/>
        <w:gridCol w:w="5187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Ват</w:t>
            </w:r>
            <w:r>
              <w:rPr>
                <w:rFonts w:ascii="Verdana" w:eastAsia="Verdana" w:hAnsi="Verdana" w:cs="Verdana"/>
              </w:rPr>
              <w:t>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Градина;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Ђердап;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Вршка Чука;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Мокрање;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Прешево;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Батровци;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Хоргош,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Гостун;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Мали Зворник;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Рача;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– Царинска испостава </w:t>
            </w:r>
            <w:r>
              <w:rPr>
                <w:rFonts w:ascii="Verdana" w:eastAsia="Verdana" w:hAnsi="Verdana" w:cs="Verdana"/>
                <w:b/>
              </w:rPr>
              <w:t>Љубовија;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Српска Црња.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Изузетно од става 1. овог члана, толуен из тарифне ознаке 2902 30 00 00 може да се износи са царинског подручја Републике Србије у друмском саобраћају, преко: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Рача.</w:t>
            </w:r>
          </w:p>
        </w:tc>
      </w:tr>
    </w:tbl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32/2024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Унос/износ у железничком саобраћају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железничком саобраћају код свих царинарница (граничних царинских испостава/реферата) преко којих се спроводи железнички</w:t>
      </w:r>
      <w:r>
        <w:rPr>
          <w:rFonts w:ascii="Verdana" w:eastAsia="Verdana" w:hAnsi="Verdana" w:cs="Verdana"/>
        </w:rPr>
        <w:t xml:space="preserve"> саобраћај.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Унос/износ у речном саобраћају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Нафта и деривати нафте у царинско подручје Републике Србије могу да се уносе на, односно износе са царинског подручја Републике Србије у речном саобраћају код царинарница (царинских испостава/реферата) пре</w:t>
      </w:r>
      <w:r>
        <w:rPr>
          <w:rFonts w:ascii="Verdana" w:eastAsia="Verdana" w:hAnsi="Verdana" w:cs="Verdana"/>
        </w:rPr>
        <w:t>ко којих пловила улазе, односно напуштају царинско подручје Републике Србије.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Претовар у поступку транзита нафте и деривата нафте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Нафта и деривати нафте у току поступка транзита могу се претоварити с једног превозног средства на друго превозно средство у следећим царинарницама (царинским испоставама/рефератима):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143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Панчево;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</w:t>
            </w:r>
            <w:r>
              <w:rPr>
                <w:rFonts w:ascii="Verdana" w:eastAsia="Verdana" w:hAnsi="Verdana" w:cs="Verdana"/>
              </w:rPr>
              <w:t xml:space="preserve"> Ранжирна Железничка станица Макиш – Београд;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Вршац;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Крагујевац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Слободна зона Смедерево;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</w:t>
            </w:r>
            <w:r>
              <w:rPr>
                <w:rFonts w:ascii="Verdana" w:eastAsia="Verdana" w:hAnsi="Verdana" w:cs="Verdana"/>
              </w:rPr>
              <w:t>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Нови Сад;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Апатин;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Сомбор;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Сента;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Ужице;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Митровица.</w:t>
            </w:r>
          </w:p>
        </w:tc>
      </w:tr>
    </w:tbl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83/2021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Поступак стављања у слободан промет нафте и деривата нафте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Нафта и деривати нафте могу се ставити у слободан промет код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9"/>
        <w:gridCol w:w="5607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Аеродром Београд;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Лука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</w:t>
            </w:r>
            <w:r>
              <w:rPr>
                <w:rFonts w:ascii="Verdana" w:eastAsia="Verdana" w:hAnsi="Verdana" w:cs="Verdana"/>
              </w:rPr>
              <w:t>спостава Панчево;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i/>
              </w:rPr>
              <w:t>– брисана је (види члан 2. Правилника – 99/2023-3)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Вршац;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Градина;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Зрењанин;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Кикинда;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Ђердап;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Зајечар;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Прахово;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Бор;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Крагујевац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Смедерево;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Крагујевац;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Јагодина;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Слободна зона Крагујевац;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</w:t>
            </w:r>
            <w:r>
              <w:rPr>
                <w:rFonts w:ascii="Verdana" w:eastAsia="Verdana" w:hAnsi="Verdana" w:cs="Verdana"/>
              </w:rPr>
              <w:t xml:space="preserve"> Царински реферат Слободна зона Смедерево;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Краљево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Чачак;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Рашка;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Крушевац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Крушевац;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Слободна зона Крушевац;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Лесковац;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Врање;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Ниш;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Прокупље;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и складишта Нови Сад;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Слободна зона Нови Сад;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Бачка Паланка;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Инђија;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Сомбор;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Апатин;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Јавна складишта Суботица;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Сента;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Ужице;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Ваљево;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Шабац.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 xml:space="preserve"> Изузетно од става 1. овог члана, моторна, компресорска и турбинска уља из тарифне ознаке 2710 19 81 00, хидраулична уља из тарифне ознаке 2710 19 83 00, уља за мењаче и редукторе из тарифне ознаке 2710 19 87 00 и уља из тарифне ознаке 2710 19 99 00 еx 80 </w:t>
            </w:r>
            <w:r>
              <w:rPr>
                <w:rFonts w:ascii="Verdana" w:eastAsia="Verdana" w:hAnsi="Verdana" w:cs="Verdana"/>
                <w:b/>
              </w:rPr>
              <w:t>Царинске тарифе, сва у паковањима до 210 l, поред наведених царинских испостава Царинарнице Београд, могу се ради стављања у слободан промет упућивати у друмском саобраћају и до свих осталих царинских испостава Царинарнице Београд, као и поред наведених ца</w:t>
            </w:r>
            <w:r>
              <w:rPr>
                <w:rFonts w:ascii="Verdana" w:eastAsia="Verdana" w:hAnsi="Verdana" w:cs="Verdana"/>
                <w:b/>
              </w:rPr>
              <w:t>ринских испостава Царинарнице Краљево, и до Царинске испоставе Краљево.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Београд: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Панчево;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Макиш – Београд;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i/>
              </w:rPr>
              <w:t>– брисана је (види члан 2. П</w:t>
            </w:r>
            <w:r>
              <w:rPr>
                <w:rFonts w:ascii="Verdana" w:eastAsia="Verdana" w:hAnsi="Verdana" w:cs="Verdana"/>
                <w:i/>
              </w:rPr>
              <w:t>равилника – 99/2023-3)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Вршац;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Димитровград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Железничка станица Димитровград;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Зрењанин;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Крагујевац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Смедерево;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Крагујевац;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Јагодина;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Слободна зона Смедерево;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Краљево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Чачак;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Крушевац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Крушевац;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Нови Сад;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Царински реферат Слободна зона </w:t>
            </w:r>
            <w:r>
              <w:rPr>
                <w:rFonts w:ascii="Verdana" w:eastAsia="Verdana" w:hAnsi="Verdana" w:cs="Verdana"/>
              </w:rPr>
              <w:t>Нови Сад;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Инђија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Сомбор;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Апатин;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Ужице;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Пожега;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Ваљево;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Шабац.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речном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Београд;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Панчево;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Прахово;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Крагујевац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Смедерево;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Слободна зона Смедерево;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и складишта Нови Сад;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Апатин.</w:t>
            </w:r>
          </w:p>
        </w:tc>
      </w:tr>
    </w:tbl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83/2021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99/2023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***Службени гласник РС, број 59/2024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IV. ДУВАН И ДУВАНСКE ПРЕРАЂЕВИНE, АЛКОХОЛНA ПИЋA И К</w:t>
      </w:r>
      <w:r>
        <w:rPr>
          <w:rFonts w:ascii="Verdana" w:eastAsia="Verdana" w:hAnsi="Verdana" w:cs="Verdana"/>
          <w:b/>
          <w:u w:val="single"/>
        </w:rPr>
        <w:t>АФА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Унос дувана и дуванских прерађевина на царинско подручје Републике Србије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lastRenderedPageBreak/>
        <w:t>Члан 10.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Дуван и дуванске прерађевине могу да се уносе на царинско подручје Републике Србије само у ва</w:t>
      </w:r>
      <w:r>
        <w:rPr>
          <w:rFonts w:ascii="Verdana" w:eastAsia="Verdana" w:hAnsi="Verdana" w:cs="Verdana"/>
          <w:b/>
        </w:rPr>
        <w:t>здушном и у друмском саобраћају.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У друмском саобраћају дуван и дуванске прерађевине могу да се уносе само преко следећих царинарница (царинских испостава):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Вршац – Царинска испостава Ватин;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Димитровград – Царинска испостава Терминал Градина;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Нови Сад – Царинска испостава Батровци;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Ниш – Царинска испостава Прешево;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Суботица – Царинска испостава Терминал – Хоргош;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Ужице – Царинска испостава Гостун;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Шабац – Царинска испостава Сремска Рача.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Одредбе ст. 1 и 2. овог члана не примењују се на унос дувана и дуванских прерађевина од стране привредних субјеката уписаних у Регистар произвођача дува</w:t>
      </w:r>
      <w:r>
        <w:rPr>
          <w:rFonts w:ascii="Verdana" w:eastAsia="Verdana" w:hAnsi="Verdana" w:cs="Verdana"/>
          <w:b/>
        </w:rPr>
        <w:t>на, Регистар произвођача дуванских производа, Регистар увозника дувана, обрађеног дувана, прерађеног дувана, односно дуванских производа, Регистар извозника дувана, обрађеног дувана, прерађеног дувана, односно дуванских производа и Регистар привредних субј</w:t>
      </w:r>
      <w:r>
        <w:rPr>
          <w:rFonts w:ascii="Verdana" w:eastAsia="Verdana" w:hAnsi="Verdana" w:cs="Verdana"/>
          <w:b/>
        </w:rPr>
        <w:t>еката који обављају промет дуванских производа по посебном поступку.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Износ дувана и дуванских прерађевина са царинског подручја Републике Србије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1E06E1" w:rsidRDefault="001C4FBA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10а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Дуван и дуванске прерађеви</w:t>
      </w:r>
      <w:r>
        <w:rPr>
          <w:rFonts w:ascii="Verdana" w:eastAsia="Verdana" w:hAnsi="Verdana" w:cs="Verdana"/>
          <w:b/>
        </w:rPr>
        <w:t>не могу да се износе са царинског подручја Републике Србије само у ваздушном и у друмском саобраћају.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Дуван и дуванске прерађевине могу да се износе са царинског подручја Републике Србије у друмском саобраћају само преко следећих царинарница (царинских и</w:t>
      </w:r>
      <w:r>
        <w:rPr>
          <w:rFonts w:ascii="Verdana" w:eastAsia="Verdana" w:hAnsi="Verdana" w:cs="Verdana"/>
          <w:b/>
        </w:rPr>
        <w:t>спостава):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Вршац – Царинска испостава Ватин;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Димитровград – Царинска испостава Терминал Градина;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Нови Сад – Царинска испостава Батровци;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Ниш – Царинска испостава Прешево;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Царинарница Суботица – Цари</w:t>
      </w:r>
      <w:r>
        <w:rPr>
          <w:rFonts w:ascii="Verdana" w:eastAsia="Verdana" w:hAnsi="Verdana" w:cs="Verdana"/>
          <w:b/>
        </w:rPr>
        <w:t>нска испостава Терминал – Хоргош;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Ужице – Царинска испостава Гостун;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Царинарница Шабац – Царинска испостава Сремска Рача.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Одредбе ст. 1 и 2. овог члана не примењују се на износ дувана и дуванских прерађевина од стране привредних субјеката</w:t>
      </w:r>
      <w:r>
        <w:rPr>
          <w:rFonts w:ascii="Verdana" w:eastAsia="Verdana" w:hAnsi="Verdana" w:cs="Verdana"/>
          <w:b/>
        </w:rPr>
        <w:t xml:space="preserve"> уписаних у Регистар произвођача дувана, Регистар произвођача дуванских производа, Регистар увозника дувана, обрађеног дувана, прерађеног дувана, односно дуванских производа, Регистар извозника дувана, обрађеног дувана, прерађеног дувана, односно дуванских</w:t>
      </w:r>
      <w:r>
        <w:rPr>
          <w:rFonts w:ascii="Verdana" w:eastAsia="Verdana" w:hAnsi="Verdana" w:cs="Verdana"/>
          <w:b/>
        </w:rPr>
        <w:t xml:space="preserve"> производа и Регистар привредних субјеката који обављају промет дуванских производа по посебном поступку.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Стављање у слободан промет дувана и дуванских прерађевина, алкохолних пића и кафе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</w:t>
      </w:r>
      <w:r>
        <w:rPr>
          <w:rFonts w:ascii="Verdana" w:eastAsia="Verdana" w:hAnsi="Verdana" w:cs="Verdana"/>
        </w:rPr>
        <w:t>/2022</w:t>
      </w:r>
    </w:p>
    <w:p w:rsidR="001E06E1" w:rsidRDefault="001C4FBA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10б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Поступак стављања у слободан промет дувана и дуванских прерађевина, алкохолних пића и кафе могу да спроводе следеће царинарнице (царинске испоставе/реферати):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4"/>
        <w:gridCol w:w="6022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Београд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Аеродром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Лука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Складишта;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Терминал –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Терминал II;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за курирске пошиљке – ДХЛ;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Ранжирна Железничка стани</w:t>
            </w:r>
            <w:r>
              <w:rPr>
                <w:rFonts w:ascii="Verdana" w:eastAsia="Verdana" w:hAnsi="Verdana" w:cs="Verdana"/>
                <w:b/>
              </w:rPr>
              <w:t>ца Макиш–Београд;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Остружница–Београд;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за послове царинског надзора – Београд;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Панчево;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Димитровград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Терминал Градина;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Железничка станица Димитровград;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Пирот;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Вршац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Железничка станица Вршац;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Крагујевац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Крагујевац;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Јагодина;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Лапово;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Краљево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Чачак;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Крушевац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Крушевац;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Трстеник;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Ниш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Терминал Ниш;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Врање;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Лесковац;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Дуванска Ниш;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Нови Сад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Железничка станица Шид;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Лука и складишта Нови Сад;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за послове царинског надзора – Нови Сад;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Бачка Паланка;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Инђија;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Сомбор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Сомбор;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Апатин;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Суботица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Јавна складишта Суботица;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Сента;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Ужице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Ужице;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Пријепоље;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Пожега;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Шабац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Шабац;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Сремска Митровица.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</w:tbl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54/2022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lastRenderedPageBreak/>
        <w:t>**Службени гласник РС, број 67/2022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V. УПОТРЕБЉАВАНА МОТОРНА ВОЗИЛА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Стављање у слободан промет употребљаваних моторних возила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Поступак стављања у слободан промет употреб</w:t>
      </w:r>
      <w:r>
        <w:rPr>
          <w:rFonts w:ascii="Verdana" w:eastAsia="Verdana" w:hAnsi="Verdana" w:cs="Verdana"/>
        </w:rPr>
        <w:t xml:space="preserve">љаваних путничких аутомобила и других моторних возила конструисаних првенствено за превоз лица, укључујући „караван” и „комби” возила и возила за трке, осим возила из тарифног подброја 8703 10, употребљаваних моторних возила за превоз робе, осим возила из </w:t>
      </w:r>
      <w:r>
        <w:rPr>
          <w:rFonts w:ascii="Verdana" w:eastAsia="Verdana" w:hAnsi="Verdana" w:cs="Verdana"/>
        </w:rPr>
        <w:t>тарифног подброја 8704 10 и употребљаваних моторних возила за превоз десет или више особа, укључујући возача, могу да спроводе следеће царинарнице (царинске испоставе/реферати):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4"/>
        <w:gridCol w:w="5972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Београд;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</w:t>
            </w:r>
            <w:r>
              <w:rPr>
                <w:rFonts w:ascii="Verdana" w:eastAsia="Verdana" w:hAnsi="Verdana" w:cs="Verdana"/>
              </w:rPr>
              <w:t>а испостава Железничка станица Вршац;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Пирот;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Зрењанин;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Ђердап;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Прахово;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Зајечар;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Крагујевац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Крагујевац;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Јагодина;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Краљево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Краљево;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Чачак;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Нови Пазар;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Крушевац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Крушевац;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i/>
              </w:rPr>
              <w:t>– брисана је (види члан 3. Правилника – 32/2024-15)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Нови Сад;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Сомбор;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</w:t>
            </w:r>
            <w:r>
              <w:rPr>
                <w:rFonts w:ascii="Verdana" w:eastAsia="Verdana" w:hAnsi="Verdana" w:cs="Verdana"/>
              </w:rPr>
              <w:t>става Ужице;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Пријепоље;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Шабац.</w:t>
            </w:r>
          </w:p>
        </w:tc>
      </w:tr>
    </w:tbl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VI. ШЕЋЕР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Унос шећера на царинско подручје Републике Србије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Сирови шећер из тар. ознака 1701 12 10 00, 1701 12 90 00, 1701 13 10 00, 1701 13 90 00, 1701 14 10 00 и 1701 14 90 00 Царинске тарифе, као и рафинисани шећер у кристалу из тарифног става 1701 99 10 00 (у даљем тексту: шећер), може да се уноси на царинско п</w:t>
      </w:r>
      <w:r>
        <w:rPr>
          <w:rFonts w:ascii="Verdana" w:eastAsia="Verdana" w:hAnsi="Verdana" w:cs="Verdana"/>
        </w:rPr>
        <w:t>одручје Републике Србије само преко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5821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Ватин;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– Градина;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</w:t>
            </w:r>
            <w:r>
              <w:rPr>
                <w:rFonts w:ascii="Verdana" w:eastAsia="Verdana" w:hAnsi="Verdana" w:cs="Verdana"/>
              </w:rPr>
              <w:t>ринска испостава Српска Црња;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Прешево;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Батровци;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Келебија;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Мали Зворник;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Рача;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Љубовија;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Трбушница;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  Царинска испостава Гостун.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Ристовац;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–Царинска испостава Железничка станица Суботица;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Пријепоље.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речном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Царинарница Кладово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Прахово;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за речни саобраћај Нови Сад;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Сомбор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Бездан–Мохач.</w:t>
            </w:r>
          </w:p>
        </w:tc>
      </w:tr>
    </w:tbl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32/2024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87/2024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Износ шећера са царинског подручја Републике Србије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Шећер може да се износи са царинског подручја Републике Србије само п</w:t>
      </w:r>
      <w:r>
        <w:rPr>
          <w:rFonts w:ascii="Verdana" w:eastAsia="Verdana" w:hAnsi="Verdana" w:cs="Verdana"/>
        </w:rPr>
        <w:t>реко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6"/>
        <w:gridCol w:w="5820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Ватин;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Градина;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Прешево;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Батровци;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Келебија;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Гостун;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Рача.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Вршац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Вршац;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Железничка станица Ристовац;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</w:t>
            </w:r>
            <w:r>
              <w:rPr>
                <w:rFonts w:ascii="Verdana" w:eastAsia="Verdana" w:hAnsi="Verdana" w:cs="Verdana"/>
              </w:rPr>
              <w:t>ид;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Пријепоље.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речном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Кладово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Велико Градиште.</w:t>
            </w:r>
          </w:p>
        </w:tc>
      </w:tr>
    </w:tbl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Стављање шећера у слободан промет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14.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Шећер може да се стави у слободан промет само код следећих царинарница (царинских испостава/реферата):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8"/>
        <w:gridCol w:w="6068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1) у друмском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Остружница – Београд;</w:t>
            </w:r>
          </w:p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Панчево;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</w:t>
            </w:r>
            <w:r>
              <w:rPr>
                <w:rFonts w:ascii="Verdana" w:eastAsia="Verdana" w:hAnsi="Verdana" w:cs="Verdana"/>
              </w:rPr>
              <w:t>аринска испостава Терминал – Градина;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Царинарница Крагујевац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Царински реферат Лапово;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Терминал Ниш;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Слободна зона Нови Сад;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Јавна складишта Суботица.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2) у железничком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Ранжирна Железничка станица Макиш – Београд;</w:t>
            </w:r>
          </w:p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  <w:b/>
              </w:rPr>
              <w:t>– Царинска испостава Панчево;</w:t>
            </w:r>
            <w:r>
              <w:rPr>
                <w:rFonts w:ascii="Verdana" w:eastAsia="Verdana" w:hAnsi="Verdana" w:cs="Verdana"/>
                <w:b/>
                <w:vertAlign w:val="superscript"/>
              </w:rPr>
              <w:t xml:space="preserve">** 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Димитровград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Димитровград;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Ниш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Ниш;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Шид;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Суботица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Железничка станица Суботица;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Ужице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Пријепоље.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3) у речном саобраћају:</w:t>
            </w:r>
          </w:p>
        </w:tc>
        <w:tc>
          <w:tcPr>
            <w:tcW w:w="0" w:type="auto"/>
          </w:tcPr>
          <w:p w:rsidR="001E06E1" w:rsidRDefault="001E06E1"/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Београд;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Панчево;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Лука и складишта Нови Сад.</w:t>
            </w:r>
          </w:p>
        </w:tc>
      </w:tr>
    </w:tbl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67/2022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139/2022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***Службени гласник РС, број 59/2024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Извоз шећера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Члан 15.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Шећер може да се извозно царини само у следећим царинарницама: Београд, Зрењанин, Нови Сад, Суботица, Шабац и Вршац.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Извоз ше</w:t>
      </w:r>
      <w:r>
        <w:rPr>
          <w:rFonts w:ascii="Verdana" w:eastAsia="Verdana" w:hAnsi="Verdana" w:cs="Verdana"/>
          <w:b/>
        </w:rPr>
        <w:t>ћера у земље Европске уније уз примену преференцијала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16.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Поступак извозног царињења шећера за извоз у земље Европске уније уз примену преференцијала врши се само преко следећих царинарница (царинских испостава/ реферата):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6306"/>
      </w:tblGrid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Београд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</w:t>
            </w:r>
            <w:r>
              <w:rPr>
                <w:rFonts w:ascii="Verdana" w:eastAsia="Verdana" w:hAnsi="Verdana" w:cs="Verdana"/>
              </w:rPr>
              <w:t>ка испостава Панчево;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Зрењанин: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Зрењанин;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Кикинда;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Нови Сад: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Царински реферат Врбас;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–Царинска испостава Ранжирна Железничка станица Нови Сад;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E06E1"/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Бачка Паланка;</w:t>
            </w:r>
          </w:p>
        </w:tc>
      </w:tr>
      <w:tr w:rsidR="001E06E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Царинарница Шабац</w:t>
            </w:r>
          </w:p>
        </w:tc>
        <w:tc>
          <w:tcPr>
            <w:tcW w:w="0" w:type="auto"/>
          </w:tcPr>
          <w:p w:rsidR="001E06E1" w:rsidRDefault="001C4FBA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– Царинска испостава Сремска Митровица.</w:t>
            </w:r>
          </w:p>
        </w:tc>
      </w:tr>
    </w:tbl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 xml:space="preserve">Шећер чије се извозно царињење врши код наведених царинских испостава/реферата за извоз у земље Европске уније уз примену преференцијала, мора да буде утоварен у превозна средства у фабрици шећера </w:t>
      </w:r>
      <w:r>
        <w:rPr>
          <w:rFonts w:ascii="Verdana" w:eastAsia="Verdana" w:hAnsi="Verdana" w:cs="Verdana"/>
        </w:rPr>
        <w:t>која га је произвела и без претовара отпремљен преко тих царинских испостава/реферата.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Изузетно од става 2. овог члана, ако се странка у поступку извозног царињења определила за комбиновани – мултимодални саобраћај и у рубрику 25 ЈЦИ (Врста саобраћаја на граници) унела шифру „60”, може, уз сагласност Управе царина, да изврши претовар шећера.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17.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Одговарајући царински поступци у смислу овог правилника могу се спроводити искључиво у оквиру организационих јединица (царинских испостава/реферата) који су овим правилником одређени за спровођење тих поступака.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18.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</w:t>
      </w:r>
      <w:r>
        <w:rPr>
          <w:rFonts w:ascii="Verdana" w:eastAsia="Verdana" w:hAnsi="Verdana" w:cs="Verdana"/>
        </w:rPr>
        <w:t>ог правилника престаје да важи Правилник о одређивању царинских органа за царињење одређених врста робе или спровођење одређених поступака („Службени гласник РС”, бр. 42/19, 86/19, 96/19, 57/20, 115/20, 152/20 и 22/21).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19.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1E06E1" w:rsidRDefault="001C4FBA">
      <w:pPr>
        <w:spacing w:line="210" w:lineRule="atLeast"/>
        <w:jc w:val="right"/>
      </w:pPr>
      <w:r>
        <w:rPr>
          <w:rFonts w:ascii="Verdana" w:eastAsia="Verdana" w:hAnsi="Verdana" w:cs="Verdana"/>
        </w:rPr>
        <w:lastRenderedPageBreak/>
        <w:t>Број 110-00-00393/2021-17</w:t>
      </w:r>
    </w:p>
    <w:p w:rsidR="001E06E1" w:rsidRDefault="001C4FBA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30. јула 2021. године</w:t>
      </w:r>
    </w:p>
    <w:p w:rsidR="001E06E1" w:rsidRDefault="001C4FBA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1E06E1" w:rsidRDefault="001C4FBA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Синиша Мали, </w:t>
      </w:r>
      <w:r>
        <w:rPr>
          <w:rFonts w:ascii="Verdana" w:eastAsia="Verdana" w:hAnsi="Verdana" w:cs="Verdana"/>
        </w:rPr>
        <w:t>с.р.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ОДРЕДБЕ КОЈЕ НИСУ УНЕТЕ У "ПРЕЧИШЋЕН ТЕКСТ" ПРАВИЛНИКА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 xml:space="preserve">Правилника </w:t>
      </w:r>
      <w:r>
        <w:rPr>
          <w:rFonts w:ascii="Verdana" w:eastAsia="Verdana" w:hAnsi="Verdana" w:cs="Verdana"/>
          <w:i/>
        </w:rPr>
        <w:t>о изменама и допунама Правилника о одређивању царинских органа за царињење одређених врста робе или спровођење одређених поступака: "Службени гласник РС", број 54/2022-12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4.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 xml:space="preserve">Овај правилник ступа на снагу наредног дана од дана објављивања у „Службеном </w:t>
      </w:r>
      <w:r>
        <w:rPr>
          <w:rFonts w:ascii="Verdana" w:eastAsia="Verdana" w:hAnsi="Verdana" w:cs="Verdana"/>
          <w:b/>
        </w:rPr>
        <w:t>гласнику Републике Србијеˮ.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Правилника о измени и допунама Правилника о одређивању царинских органа за царињење одређених врста робе или спровођење одређених поступака: "Службени гласник РС", број 32/2024-15</w:t>
      </w:r>
    </w:p>
    <w:p w:rsidR="001E06E1" w:rsidRDefault="001C4FBA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5.</w:t>
      </w:r>
    </w:p>
    <w:p w:rsidR="001E06E1" w:rsidRDefault="001C4FBA">
      <w:pPr>
        <w:spacing w:line="210" w:lineRule="atLeast"/>
      </w:pPr>
      <w:r>
        <w:rPr>
          <w:rFonts w:ascii="Verdana" w:eastAsia="Verdana" w:hAnsi="Verdana" w:cs="Verdana"/>
          <w:b/>
        </w:rPr>
        <w:t>Оваj правилник ступа на снагу наредног д</w:t>
      </w:r>
      <w:r>
        <w:rPr>
          <w:rFonts w:ascii="Verdana" w:eastAsia="Verdana" w:hAnsi="Verdana" w:cs="Verdana"/>
          <w:b/>
        </w:rPr>
        <w:t>ана од дана објављивања у „Службеном гласнику Републике Србије”.</w:t>
      </w:r>
    </w:p>
    <w:sectPr w:rsidR="001E06E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E1"/>
    <w:rsid w:val="001C4FBA"/>
    <w:rsid w:val="001E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19AE18-3232-405E-8E23-F066BA7E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2024-11-12T09:38:00Z</dcterms:created>
  <dcterms:modified xsi:type="dcterms:W3CDTF">2024-11-12T09:38:00Z</dcterms:modified>
</cp:coreProperties>
</file>